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Default Extension="png" ContentType="image/png"/>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5.xml" ContentType="application/vnd.openxmlformats-officedocument.wordprocessingml.header+xml"/>
  <Override PartName="/word/footer31.xml" ContentType="application/vnd.openxmlformats-officedocument.wordprocessingml.footer+xml"/>
  <Override PartName="/word/header6.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601811</w:t>
        <w:tab/>
      </w:r>
      <w:r>
        <w:rPr>
          <w:spacing w:val="-2"/>
        </w:rPr>
        <w:t>公司简称：新华文轩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951" w:right="1440" w:hanging="1489"/>
        <w:jc w:val="left"/>
        <w:rPr>
          <w:rFonts w:ascii="黑体" w:hAnsi="黑体" w:cs="黑体" w:eastAsia="黑体" w:hint="default"/>
          <w:sz w:val="44"/>
          <w:szCs w:val="44"/>
        </w:rPr>
      </w:pPr>
      <w:r>
        <w:rPr>
          <w:rFonts w:ascii="黑体" w:hAnsi="黑体" w:cs="黑体" w:eastAsia="黑体" w:hint="default"/>
          <w:b/>
          <w:bCs/>
          <w:color w:val="FF0000"/>
          <w:sz w:val="44"/>
          <w:szCs w:val="44"/>
        </w:rPr>
        <w:t>新华文轩出版传媒股份有限公司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06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972" w:right="398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240" w:lineRule="auto"/>
        <w:ind w:left="138" w:right="0"/>
        <w:jc w:val="left"/>
        <w:rPr>
          <w:b w:val="0"/>
          <w:bCs w:val="0"/>
        </w:rPr>
      </w:pPr>
      <w:r>
        <w:rPr/>
        <w:t>二、</w:t>
      </w:r>
      <w:r>
        <w:rPr>
          <w:spacing w:val="-77"/>
        </w:rPr>
        <w:t> </w:t>
      </w:r>
      <w:r>
        <w:rPr/>
        <w:t>未出席董事情况</w:t>
      </w:r>
      <w:r>
        <w:rPr>
          <w:b w:val="0"/>
          <w:bCs w:val="0"/>
        </w:rPr>
      </w:r>
    </w:p>
    <w:p>
      <w:pPr>
        <w:spacing w:line="240" w:lineRule="auto" w:before="13"/>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1"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58"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8" w:right="0"/>
              <w:jc w:val="left"/>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64"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03"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杨杪</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因其他公务</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何志勇</w:t>
            </w:r>
          </w:p>
        </w:tc>
      </w:tr>
    </w:tbl>
    <w:p>
      <w:pPr>
        <w:spacing w:line="240" w:lineRule="auto" w:before="7"/>
        <w:rPr>
          <w:rFonts w:ascii="宋体" w:hAnsi="宋体" w:cs="宋体" w:eastAsia="宋体" w:hint="default"/>
          <w:b/>
          <w:bCs/>
          <w:sz w:val="15"/>
          <w:szCs w:val="15"/>
        </w:rPr>
      </w:pPr>
    </w:p>
    <w:p>
      <w:pPr>
        <w:pStyle w:val="Heading2"/>
        <w:spacing w:line="240" w:lineRule="auto" w:before="36"/>
        <w:ind w:left="138" w:right="0"/>
        <w:jc w:val="left"/>
        <w:rPr>
          <w:b w:val="0"/>
          <w:bCs w:val="0"/>
        </w:rPr>
      </w:pPr>
      <w:r>
        <w:rPr/>
        <w:t>三、</w:t>
      </w:r>
      <w:r>
        <w:rPr>
          <w:spacing w:val="-13"/>
        </w:rPr>
        <w:t> </w:t>
      </w:r>
      <w:r>
        <w:rPr/>
        <w:t>德勤华永会计师事务所（特殊普通合伙）为本公司出具了标准无保留意见的审计报告。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5" w:lineRule="auto" w:before="142"/>
        <w:ind w:left="505" w:right="0" w:hanging="368"/>
        <w:jc w:val="left"/>
        <w:rPr>
          <w:b w:val="0"/>
          <w:bCs w:val="0"/>
        </w:rPr>
      </w:pPr>
      <w:r>
        <w:rPr>
          <w:spacing w:val="-1"/>
        </w:rPr>
        <w:t>四、公司负责人何志勇、主管会计工作负责人朱在祥及会计机构负责人（会计主管人员）吴素芳</w:t>
      </w:r>
      <w:r>
        <w:rPr>
          <w:spacing w:val="-88"/>
        </w:rPr>
        <w:t> </w:t>
      </w:r>
      <w:r>
        <w:rPr>
          <w:spacing w:val="-88"/>
        </w:rPr>
      </w:r>
      <w:r>
        <w:rPr/>
        <w:t>声明：保证年度报告中财务报告的真实、准确、完整。</w:t>
      </w:r>
      <w:r>
        <w:rPr>
          <w:b w:val="0"/>
          <w:bCs w:val="0"/>
        </w:rPr>
      </w:r>
    </w:p>
    <w:p>
      <w:pPr>
        <w:spacing w:line="480" w:lineRule="atLeast" w:before="101"/>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4"/>
          <w:sz w:val="21"/>
          <w:szCs w:val="21"/>
        </w:rPr>
        <w:t>经审计，本公司</w:t>
      </w:r>
      <w:r>
        <w:rPr>
          <w:rFonts w:ascii="宋体" w:hAnsi="宋体" w:cs="宋体" w:eastAsia="宋体" w:hint="default"/>
          <w:spacing w:val="-4"/>
          <w:sz w:val="21"/>
          <w:szCs w:val="21"/>
        </w:rPr>
        <w:t>2018</w:t>
      </w:r>
      <w:r>
        <w:rPr>
          <w:rFonts w:ascii="宋体" w:hAnsi="宋体" w:cs="宋体" w:eastAsia="宋体" w:hint="default"/>
          <w:spacing w:val="-4"/>
          <w:sz w:val="21"/>
          <w:szCs w:val="21"/>
        </w:rPr>
        <w:t>年度归属于上市公司股东的净利润为</w:t>
      </w:r>
      <w:r>
        <w:rPr>
          <w:rFonts w:ascii="宋体" w:hAnsi="宋体" w:cs="宋体" w:eastAsia="宋体" w:hint="default"/>
          <w:spacing w:val="-4"/>
          <w:sz w:val="21"/>
          <w:szCs w:val="21"/>
        </w:rPr>
        <w:t>93,218.48</w:t>
      </w:r>
      <w:r>
        <w:rPr>
          <w:rFonts w:ascii="宋体" w:hAnsi="宋体" w:cs="宋体" w:eastAsia="宋体" w:hint="default"/>
          <w:spacing w:val="-4"/>
          <w:sz w:val="21"/>
          <w:szCs w:val="21"/>
        </w:rPr>
        <w:t>万元。</w:t>
      </w:r>
      <w:r>
        <w:rPr>
          <w:rFonts w:ascii="宋体" w:hAnsi="宋体" w:cs="宋体" w:eastAsia="宋体" w:hint="default"/>
          <w:spacing w:val="-4"/>
          <w:sz w:val="21"/>
          <w:szCs w:val="21"/>
        </w:rPr>
        <w:t>2018</w:t>
      </w:r>
      <w:r>
        <w:rPr>
          <w:rFonts w:ascii="宋体" w:hAnsi="宋体" w:cs="宋体" w:eastAsia="宋体" w:hint="default"/>
          <w:spacing w:val="-4"/>
          <w:sz w:val="21"/>
          <w:szCs w:val="21"/>
        </w:rPr>
        <w:t>年利润分配预</w:t>
      </w:r>
    </w:p>
    <w:p>
      <w:pPr>
        <w:pStyle w:val="BodyText"/>
        <w:spacing w:line="314" w:lineRule="auto" w:before="85"/>
        <w:ind w:left="138" w:right="0"/>
        <w:jc w:val="left"/>
      </w:pPr>
      <w:r>
        <w:rPr>
          <w:spacing w:val="-4"/>
        </w:rPr>
        <w:t>案：拟以总股本</w:t>
      </w:r>
      <w:r>
        <w:rPr>
          <w:rFonts w:ascii="宋体" w:hAnsi="宋体" w:cs="宋体" w:eastAsia="宋体" w:hint="default"/>
          <w:spacing w:val="-4"/>
        </w:rPr>
        <w:t>123,384.1</w:t>
      </w:r>
      <w:r>
        <w:rPr>
          <w:spacing w:val="-4"/>
        </w:rPr>
        <w:t>万股为基数，向股东每</w:t>
      </w:r>
      <w:r>
        <w:rPr>
          <w:rFonts w:ascii="宋体" w:hAnsi="宋体" w:cs="宋体" w:eastAsia="宋体" w:hint="default"/>
          <w:spacing w:val="-4"/>
        </w:rPr>
        <w:t>10</w:t>
      </w:r>
      <w:r>
        <w:rPr>
          <w:spacing w:val="-4"/>
        </w:rPr>
        <w:t>股派发现金股利</w:t>
      </w:r>
      <w:r>
        <w:rPr>
          <w:rFonts w:ascii="宋体" w:hAnsi="宋体" w:cs="宋体" w:eastAsia="宋体" w:hint="default"/>
          <w:spacing w:val="-4"/>
        </w:rPr>
        <w:t>3.00</w:t>
      </w:r>
      <w:r>
        <w:rPr>
          <w:spacing w:val="-4"/>
        </w:rPr>
        <w:t>元（含税），共计支付现</w:t>
      </w:r>
      <w:r>
        <w:rPr>
          <w:spacing w:val="-7"/>
        </w:rPr>
        <w:t> </w:t>
      </w:r>
      <w:r>
        <w:rPr>
          <w:spacing w:val="-7"/>
        </w:rPr>
      </w:r>
      <w:r>
        <w:rPr/>
        <w:t>金股利</w:t>
      </w:r>
      <w:r>
        <w:rPr>
          <w:rFonts w:ascii="宋体" w:hAnsi="宋体" w:cs="宋体" w:eastAsia="宋体" w:hint="default"/>
        </w:rPr>
        <w:t>37,015.23</w:t>
      </w:r>
      <w:r>
        <w:rPr/>
        <w:t>万元。</w:t>
      </w:r>
    </w:p>
    <w:p>
      <w:pPr>
        <w:pStyle w:val="BodyText"/>
        <w:spacing w:line="240" w:lineRule="auto" w:before="20"/>
        <w:ind w:left="562" w:right="0"/>
        <w:jc w:val="left"/>
      </w:pPr>
      <w:r>
        <w:rPr/>
        <w:t>上述利润分配预案需经本公司</w:t>
      </w:r>
      <w:r>
        <w:rPr>
          <w:rFonts w:ascii="宋体" w:hAnsi="宋体" w:cs="宋体" w:eastAsia="宋体" w:hint="default"/>
        </w:rPr>
        <w:t>2018</w:t>
      </w:r>
      <w:r>
        <w:rPr/>
        <w:t>年度股东周年大会审议通过后方可实施。</w:t>
      </w:r>
    </w:p>
    <w:p>
      <w:pPr>
        <w:spacing w:line="240" w:lineRule="auto" w:before="2"/>
        <w:rPr>
          <w:rFonts w:ascii="宋体" w:hAnsi="宋体" w:cs="宋体" w:eastAsia="宋体" w:hint="default"/>
          <w:sz w:val="28"/>
          <w:szCs w:val="28"/>
        </w:rPr>
      </w:pPr>
    </w:p>
    <w:p>
      <w:pPr>
        <w:pStyle w:val="Heading2"/>
        <w:spacing w:line="240" w:lineRule="auto"/>
        <w:ind w:left="138" w:right="0"/>
        <w:jc w:val="left"/>
        <w:rPr>
          <w:b w:val="0"/>
          <w:bCs w:val="0"/>
        </w:rPr>
      </w:pPr>
      <w:r>
        <w:rPr/>
        <w:t>六、</w:t>
      </w:r>
      <w:r>
        <w:rPr>
          <w:spacing w:val="-24"/>
        </w:rPr>
        <w:t> </w:t>
      </w:r>
      <w:r>
        <w:rPr/>
        <w:t>前瞻性陈述的风险声明</w:t>
      </w:r>
      <w:r>
        <w:rPr>
          <w:b w:val="0"/>
          <w:bCs w:val="0"/>
        </w:rPr>
      </w:r>
    </w:p>
    <w:p>
      <w:pPr>
        <w:pStyle w:val="BodyText"/>
        <w:spacing w:line="304" w:lineRule="auto" w:before="135"/>
        <w:ind w:left="562" w:right="0" w:hanging="425"/>
        <w:jc w:val="left"/>
      </w:pPr>
      <w:r>
        <w:rPr/>
        <w:t>√适用</w:t>
      </w:r>
      <w:r>
        <w:rPr>
          <w:spacing w:val="-2"/>
        </w:rPr>
        <w:t> </w:t>
      </w:r>
      <w:r>
        <w:rPr/>
        <w:t>□不适用</w:t>
      </w:r>
      <w:r>
        <w:rPr>
          <w:w w:val="100"/>
        </w:rPr>
        <w:t> </w:t>
      </w:r>
      <w:r>
        <w:rPr>
          <w:spacing w:val="-2"/>
        </w:rPr>
        <w:t>本报告中所涉及的未来计划、发展战略等前瞻性描述不构成本公司对投资者的实质承诺，敬</w:t>
      </w:r>
    </w:p>
    <w:p>
      <w:pPr>
        <w:pStyle w:val="BodyText"/>
        <w:spacing w:line="240" w:lineRule="auto" w:before="28"/>
        <w:ind w:left="138" w:right="0"/>
        <w:jc w:val="left"/>
      </w:pPr>
      <w:r>
        <w:rPr/>
        <w:t>请投资者注意投资风险。</w:t>
      </w:r>
    </w:p>
    <w:p>
      <w:pPr>
        <w:spacing w:line="240" w:lineRule="auto" w:before="2"/>
        <w:rPr>
          <w:rFonts w:ascii="宋体" w:hAnsi="宋体" w:cs="宋体" w:eastAsia="宋体" w:hint="default"/>
          <w:sz w:val="28"/>
          <w:szCs w:val="28"/>
        </w:rPr>
      </w:pPr>
    </w:p>
    <w:p>
      <w:pPr>
        <w:pStyle w:val="Heading2"/>
        <w:spacing w:line="424" w:lineRule="auto"/>
        <w:ind w:left="138" w:right="348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2"/>
        <w:tabs>
          <w:tab w:pos="781" w:val="left" w:leader="none"/>
        </w:tabs>
        <w:spacing w:line="355" w:lineRule="auto"/>
        <w:ind w:left="138" w:right="370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tabs>
          <w:tab w:pos="781" w:val="left" w:leader="none"/>
        </w:tabs>
        <w:spacing w:line="357" w:lineRule="auto" w:before="169"/>
        <w:ind w:left="562" w:right="152" w:hanging="425"/>
        <w:jc w:val="left"/>
        <w:rPr>
          <w:rFonts w:ascii="宋体" w:hAnsi="宋体" w:cs="宋体" w:eastAsia="宋体" w:hint="default"/>
          <w:sz w:val="21"/>
          <w:szCs w:val="21"/>
        </w:rPr>
      </w:pPr>
      <w:r>
        <w:rPr>
          <w:rFonts w:ascii="宋体" w:hAnsi="宋体" w:cs="宋体" w:eastAsia="宋体" w:hint="default"/>
          <w:b/>
          <w:bCs/>
          <w:sz w:val="21"/>
          <w:szCs w:val="21"/>
        </w:rPr>
        <w:t>九、</w:t>
        <w:tab/>
        <w:tab/>
        <w:t>重大风险提示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报告期内，不存在对公司生产经营产生实质性影响的重大风险，公司已在本报告第四节“经</w:t>
      </w:r>
    </w:p>
    <w:p>
      <w:pPr>
        <w:pStyle w:val="BodyText"/>
        <w:spacing w:line="240" w:lineRule="auto" w:before="30"/>
        <w:ind w:left="138" w:right="0"/>
        <w:jc w:val="left"/>
      </w:pPr>
      <w:r>
        <w:rPr/>
        <w:t>营情况讨论与分析”部分详细阐述了可能存在的风险因素，敬请查阅相关内容。</w:t>
      </w:r>
    </w:p>
    <w:p>
      <w:pPr>
        <w:spacing w:line="240" w:lineRule="auto" w:before="0"/>
        <w:rPr>
          <w:rFonts w:ascii="宋体" w:hAnsi="宋体" w:cs="宋体" w:eastAsia="宋体" w:hint="default"/>
          <w:sz w:val="20"/>
          <w:szCs w:val="20"/>
        </w:rPr>
      </w:pPr>
    </w:p>
    <w:p>
      <w:pPr>
        <w:spacing w:before="139"/>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20"/>
        </w:sectPr>
      </w:pPr>
    </w:p>
    <w:p>
      <w:pPr>
        <w:spacing w:line="240" w:lineRule="auto" w:before="0"/>
        <w:rPr>
          <w:rFonts w:ascii="宋体" w:hAnsi="宋体" w:cs="宋体" w:eastAsia="宋体" w:hint="default"/>
          <w:sz w:val="26"/>
          <w:szCs w:val="26"/>
        </w:rPr>
      </w:pPr>
    </w:p>
    <w:p>
      <w:pPr>
        <w:spacing w:before="14"/>
        <w:ind w:left="4253" w:right="425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196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spacing w:line="240" w:lineRule="auto" w:before="6"/>
        <w:rPr>
          <w:rFonts w:ascii="Times New Roman" w:hAnsi="Times New Roman" w:cs="Times New Roman" w:eastAsia="Times New Roman" w:hint="default"/>
          <w:b/>
          <w:bCs/>
          <w:sz w:val="2"/>
          <w:szCs w:val="2"/>
        </w:rPr>
      </w:pPr>
    </w:p>
    <w:p>
      <w:pPr>
        <w:spacing w:line="20" w:lineRule="exact"/>
        <w:ind w:left="78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95pt;height:.75pt;mso-position-horizontal-relative:char;mso-position-vertical-relative:line" coordorigin="0,0" coordsize="9079,15">
            <v:group style="position:absolute;left:7;top:7;width:9064;height:2" coordorigin="7,7" coordsize="9064,2">
              <v:shape style="position:absolute;left:7;top:7;width:9064;height:2" coordorigin="7,7" coordsize="9064,0" path="m7,7l9071,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9"/>
        <w:rPr>
          <w:rFonts w:ascii="Times New Roman" w:hAnsi="Times New Roman" w:cs="Times New Roman" w:eastAsia="Times New Roman" w:hint="default"/>
          <w:b/>
          <w:bCs/>
          <w:sz w:val="26"/>
          <w:szCs w:val="26"/>
        </w:rPr>
      </w:pPr>
    </w:p>
    <w:p>
      <w:pPr>
        <w:pStyle w:val="Heading1"/>
        <w:tabs>
          <w:tab w:pos="1261" w:val="left" w:leader="none"/>
        </w:tabs>
        <w:spacing w:line="240" w:lineRule="auto"/>
        <w:ind w:left="1" w:right="0"/>
        <w:jc w:val="center"/>
        <w:rPr>
          <w:b w:val="0"/>
          <w:bCs w:val="0"/>
        </w:rPr>
      </w:pPr>
      <w:bookmarkStart w:name="_TOC_250011" w:id="1"/>
      <w:r>
        <w:rPr>
          <w:w w:val="95"/>
        </w:rPr>
        <w:t>第一节</w:t>
        <w:tab/>
      </w:r>
      <w:r>
        <w:rPr/>
        <w:t>释义</w:t>
      </w:r>
      <w:bookmarkEnd w:id="1"/>
      <w:r>
        <w:rPr>
          <w:b w:val="0"/>
          <w:bCs w:val="0"/>
        </w:rPr>
      </w:r>
    </w:p>
    <w:p>
      <w:pPr>
        <w:spacing w:line="240" w:lineRule="auto" w:before="4"/>
        <w:rPr>
          <w:rFonts w:ascii="黑体" w:hAnsi="黑体" w:cs="黑体" w:eastAsia="黑体" w:hint="default"/>
          <w:b/>
          <w:bCs/>
          <w:sz w:val="19"/>
          <w:szCs w:val="19"/>
        </w:rPr>
      </w:pPr>
    </w:p>
    <w:p>
      <w:pPr>
        <w:pStyle w:val="BodyText"/>
        <w:spacing w:line="290" w:lineRule="auto"/>
        <w:ind w:left="820" w:right="3243"/>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11" w:type="dxa"/>
        <w:tblLayout w:type="fixed"/>
        <w:tblCellMar>
          <w:top w:w="0" w:type="dxa"/>
          <w:left w:w="0" w:type="dxa"/>
          <w:bottom w:w="0" w:type="dxa"/>
          <w:right w:w="0" w:type="dxa"/>
        </w:tblCellMar>
        <w:tblLook w:val="01E0"/>
      </w:tblPr>
      <w:tblGrid>
        <w:gridCol w:w="3956"/>
        <w:gridCol w:w="919"/>
        <w:gridCol w:w="5557"/>
      </w:tblGrid>
      <w:tr>
        <w:trPr>
          <w:trHeight w:val="283" w:hRule="exact"/>
        </w:trPr>
        <w:tc>
          <w:tcPr>
            <w:tcW w:w="104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年度股东周年大会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本公司拟于</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日举行之股东周年大会</w:t>
            </w:r>
          </w:p>
        </w:tc>
      </w:tr>
      <w:tr>
        <w:trPr>
          <w:trHeight w:val="557"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本公司于中国境内发行的、以人民币认购并在上交所上市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的每股面值人民币</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5"/>
                <w:sz w:val="21"/>
                <w:szCs w:val="21"/>
              </w:rPr>
              <w:t> </w:t>
            </w:r>
            <w:r>
              <w:rPr>
                <w:rFonts w:ascii="宋体" w:hAnsi="宋体" w:cs="宋体" w:eastAsia="宋体" w:hint="default"/>
                <w:sz w:val="21"/>
                <w:szCs w:val="21"/>
              </w:rPr>
              <w:t>元的人民币普通股</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本公司的公司章程，经不时修订</w:t>
            </w:r>
          </w:p>
        </w:tc>
      </w:tr>
      <w:tr>
        <w:trPr>
          <w:trHeight w:val="28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审计委员会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本公司董事会审计委员会</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本公司董事会</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《企业管治守则》</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《上市规则》附录十四《企业管治守则》</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本公司、新华文轩、公司、上市公司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新华文轩出版传媒股份有限公司</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《公司条例》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香港《公司条例》（香港法例第</w:t>
            </w:r>
            <w:r>
              <w:rPr>
                <w:rFonts w:ascii="宋体" w:hAnsi="宋体" w:cs="宋体" w:eastAsia="宋体" w:hint="default"/>
                <w:spacing w:val="-52"/>
                <w:sz w:val="21"/>
                <w:szCs w:val="21"/>
              </w:rPr>
              <w:t> </w:t>
            </w:r>
            <w:r>
              <w:rPr>
                <w:rFonts w:ascii="宋体" w:hAnsi="宋体" w:cs="宋体" w:eastAsia="宋体" w:hint="default"/>
                <w:sz w:val="21"/>
                <w:szCs w:val="21"/>
              </w:rPr>
              <w:t>622</w:t>
            </w:r>
            <w:r>
              <w:rPr>
                <w:rFonts w:ascii="宋体" w:hAnsi="宋体" w:cs="宋体" w:eastAsia="宋体" w:hint="default"/>
                <w:spacing w:val="-53"/>
                <w:sz w:val="21"/>
                <w:szCs w:val="21"/>
              </w:rPr>
              <w:t> </w:t>
            </w:r>
            <w:r>
              <w:rPr>
                <w:rFonts w:ascii="宋体" w:hAnsi="宋体" w:cs="宋体" w:eastAsia="宋体" w:hint="default"/>
                <w:sz w:val="21"/>
                <w:szCs w:val="21"/>
              </w:rPr>
              <w:t>章）</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合并权益变动表</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本集团于本年度之储备变动详情</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控股股东、四川新华发行集团</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德勤会计师事务所</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德勤华永会计师事务所（特殊普通合伙）</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w:t>
            </w:r>
          </w:p>
        </w:tc>
      </w:tr>
      <w:tr>
        <w:trPr>
          <w:trHeight w:val="555"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年度股息</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董事会建议就截至</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日止年度派发股息每股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2"/>
                <w:sz w:val="21"/>
                <w:szCs w:val="21"/>
              </w:rPr>
              <w:t> </w:t>
            </w:r>
            <w:r>
              <w:rPr>
                <w:rFonts w:ascii="宋体" w:hAnsi="宋体" w:cs="宋体" w:eastAsia="宋体" w:hint="default"/>
                <w:sz w:val="21"/>
                <w:szCs w:val="21"/>
              </w:rPr>
              <w:t>0.30</w:t>
            </w:r>
            <w:r>
              <w:rPr>
                <w:rFonts w:ascii="宋体" w:hAnsi="宋体" w:cs="宋体" w:eastAsia="宋体" w:hint="default"/>
                <w:spacing w:val="-53"/>
                <w:sz w:val="21"/>
                <w:szCs w:val="21"/>
              </w:rPr>
              <w:t> </w:t>
            </w:r>
            <w:r>
              <w:rPr>
                <w:rFonts w:ascii="宋体" w:hAnsi="宋体" w:cs="宋体" w:eastAsia="宋体" w:hint="default"/>
                <w:sz w:val="21"/>
                <w:szCs w:val="21"/>
              </w:rPr>
              <w:t>元（含税）</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本公司及子公司</w:t>
            </w:r>
          </w:p>
        </w:tc>
      </w:tr>
      <w:tr>
        <w:trPr>
          <w:trHeight w:val="55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H</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本公司于香港发行的、以港币认购并在联交所上市的每股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面值人民币</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元的境外上市外资股</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华盛集团</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成都市华盛（集团）实业有限公司</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皇鹏物业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成都皇鹏物业有限责任公司</w:t>
            </w:r>
          </w:p>
        </w:tc>
      </w:tr>
      <w:tr>
        <w:trPr>
          <w:trHeight w:val="557"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上市规则</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《香港联合交易所有限公司证券上市规则》及╱或《上海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证券交易所股票上市规则》，视内文具体情况而定</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文轩教育科技</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四川文轩教育科技有限公司</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北京航天云教育科技有限公司</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少儿社</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四川少年儿童出版社有限公司</w:t>
            </w:r>
          </w:p>
        </w:tc>
      </w:tr>
      <w:tr>
        <w:trPr>
          <w:trHeight w:val="28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天地社</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四川天地出版社有限公司</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文轩投资</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文轩投资有限公司</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文轩在线</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四川文轩在线电子商务有限公司</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文轩在线旗下纸质出版物互联网销售平台</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九月网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文轩在线旗下数字内容推送平台</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哈工智能</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江苏哈工智能机器人股份有限公司</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皖新传媒</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安徽新华传媒股份有限公司</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文宝公司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四川文轩宝湾供应链有限公司</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文传物流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四川文传物流有限公司</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成都银行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成都银行股份有限公司</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四川发展</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四川发展（控股）有限责任公司</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四川省国资委</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四川省政府国有资产监督管理委员会</w:t>
            </w:r>
          </w:p>
        </w:tc>
      </w:tr>
      <w:tr>
        <w:trPr>
          <w:trHeight w:val="28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四川出版集团有限责任公司</w:t>
            </w:r>
          </w:p>
        </w:tc>
      </w:tr>
    </w:tbl>
    <w:p>
      <w:pPr>
        <w:spacing w:after="0" w:line="227" w:lineRule="exact"/>
        <w:jc w:val="left"/>
        <w:rPr>
          <w:rFonts w:ascii="宋体" w:hAnsi="宋体" w:cs="宋体" w:eastAsia="宋体" w:hint="default"/>
          <w:sz w:val="21"/>
          <w:szCs w:val="21"/>
        </w:rPr>
        <w:sectPr>
          <w:footerReference w:type="default" r:id="rId7"/>
          <w:pgSz w:w="11910" w:h="16840"/>
          <w:pgMar w:footer="1195" w:header="880" w:top="1060" w:bottom="1380" w:left="620" w:right="620"/>
          <w:pgNumType w:start="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956"/>
        <w:gridCol w:w="919"/>
        <w:gridCol w:w="5557"/>
      </w:tblGrid>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四川日报集团</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四川日报报业集团</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辽宁出版集团</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辽宁出版集团有限公司</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全国社会保障基金理事会转特二户</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中信并购基金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中信并购投资基金（深圳）合伙企业（有限合伙）</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文轩恒信基金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文轩恒信（深圳）股权投资基金合伙企业（有限合伙）</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青岛金石</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青岛金石智信投资中心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泰州信恒基金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泰州信恒众润投资基金</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人民币，中国法定货币</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码洋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图书背面印有的图书定价</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r>
        <w:trPr>
          <w:trHeight w:val="28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本年度、本期间、报告期、本期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联交所</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香港联合交易所有限公司</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tabs>
          <w:tab w:pos="4418" w:val="left" w:leader="none"/>
        </w:tabs>
        <w:spacing w:line="240" w:lineRule="auto" w:before="14"/>
        <w:ind w:left="3158" w:right="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left="820" w:right="3243"/>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784" w:type="dxa"/>
        <w:tblLayout w:type="fixed"/>
        <w:tblCellMar>
          <w:top w:w="0" w:type="dxa"/>
          <w:left w:w="0" w:type="dxa"/>
          <w:bottom w:w="0" w:type="dxa"/>
          <w:right w:w="0" w:type="dxa"/>
        </w:tblCellMar>
        <w:tblLook w:val="01E0"/>
      </w:tblPr>
      <w:tblGrid>
        <w:gridCol w:w="3286"/>
        <w:gridCol w:w="5802"/>
      </w:tblGrid>
      <w:tr>
        <w:trPr>
          <w:trHeight w:val="302"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新华文轩出版传媒股份有限公司</w:t>
            </w:r>
          </w:p>
        </w:tc>
      </w:tr>
      <w:tr>
        <w:trPr>
          <w:trHeight w:val="302"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新华文轩</w:t>
            </w:r>
          </w:p>
        </w:tc>
      </w:tr>
      <w:tr>
        <w:trPr>
          <w:trHeight w:val="302"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Xinhua Winshare Publishing and Media</w:t>
            </w:r>
            <w:r>
              <w:rPr>
                <w:rFonts w:ascii="宋体"/>
                <w:spacing w:val="-4"/>
                <w:sz w:val="21"/>
              </w:rPr>
              <w:t> </w:t>
            </w:r>
            <w:r>
              <w:rPr>
                <w:rFonts w:ascii="宋体"/>
                <w:sz w:val="21"/>
              </w:rPr>
              <w:t>Co.,Ltd.</w:t>
            </w:r>
          </w:p>
        </w:tc>
      </w:tr>
      <w:tr>
        <w:trPr>
          <w:trHeight w:val="305"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Xinhua Winshare</w:t>
            </w:r>
          </w:p>
        </w:tc>
      </w:tr>
      <w:tr>
        <w:trPr>
          <w:trHeight w:val="302"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何志勇</w:t>
            </w:r>
          </w:p>
        </w:tc>
      </w:tr>
    </w:tbl>
    <w:p>
      <w:pPr>
        <w:spacing w:line="240" w:lineRule="auto" w:before="2"/>
        <w:rPr>
          <w:rFonts w:ascii="宋体" w:hAnsi="宋体" w:cs="宋体" w:eastAsia="宋体" w:hint="default"/>
          <w:b/>
          <w:bCs/>
          <w:sz w:val="20"/>
          <w:szCs w:val="20"/>
        </w:rPr>
      </w:pPr>
    </w:p>
    <w:p>
      <w:pPr>
        <w:pStyle w:val="Heading2"/>
        <w:spacing w:line="240" w:lineRule="auto" w:before="36"/>
        <w:ind w:left="820" w:right="3243"/>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784" w:type="dxa"/>
        <w:tblLayout w:type="fixed"/>
        <w:tblCellMar>
          <w:top w:w="0" w:type="dxa"/>
          <w:left w:w="0" w:type="dxa"/>
          <w:bottom w:w="0" w:type="dxa"/>
          <w:right w:w="0" w:type="dxa"/>
        </w:tblCellMar>
        <w:tblLook w:val="01E0"/>
      </w:tblPr>
      <w:tblGrid>
        <w:gridCol w:w="2059"/>
        <w:gridCol w:w="3479"/>
        <w:gridCol w:w="3550"/>
      </w:tblGrid>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
        </w:tc>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游祖刚</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杨淼</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四川省成都市金牛区蓉北商贸大道文</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轩路</w:t>
            </w:r>
            <w:r>
              <w:rPr>
                <w:rFonts w:ascii="宋体" w:hAnsi="宋体" w:cs="宋体" w:eastAsia="宋体" w:hint="default"/>
                <w:sz w:val="21"/>
                <w:szCs w:val="21"/>
              </w:rPr>
              <w:t>6</w:t>
            </w:r>
            <w:r>
              <w:rPr>
                <w:rFonts w:ascii="宋体" w:hAnsi="宋体" w:cs="宋体" w:eastAsia="宋体" w:hint="default"/>
                <w:sz w:val="21"/>
                <w:szCs w:val="21"/>
              </w:rPr>
              <w:t>号</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四川省成都市金牛区蓉北商贸大道文</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轩路</w:t>
            </w:r>
            <w:r>
              <w:rPr>
                <w:rFonts w:ascii="宋体" w:hAnsi="宋体" w:cs="宋体" w:eastAsia="宋体" w:hint="default"/>
                <w:sz w:val="21"/>
                <w:szCs w:val="21"/>
              </w:rPr>
              <w:t>6</w:t>
            </w:r>
            <w:r>
              <w:rPr>
                <w:rFonts w:ascii="宋体" w:hAnsi="宋体" w:cs="宋体" w:eastAsia="宋体" w:hint="default"/>
                <w:sz w:val="21"/>
                <w:szCs w:val="21"/>
              </w:rPr>
              <w:t>号</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028-83157099</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028-83157099</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028-83157090</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028-83157090</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8">
              <w:r>
                <w:rPr>
                  <w:rFonts w:ascii="宋体"/>
                  <w:sz w:val="21"/>
                </w:rPr>
                <w:t>xh-dsb@winshare.com.cn</w:t>
              </w:r>
            </w:hyperlink>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xh-dsb@winshare.com.cn</w:t>
              </w:r>
            </w:hyperlink>
          </w:p>
        </w:tc>
      </w:tr>
    </w:tbl>
    <w:p>
      <w:pPr>
        <w:spacing w:line="240" w:lineRule="auto" w:before="13"/>
        <w:rPr>
          <w:rFonts w:ascii="宋体" w:hAnsi="宋体" w:cs="宋体" w:eastAsia="宋体" w:hint="default"/>
          <w:b/>
          <w:bCs/>
          <w:sz w:val="19"/>
          <w:szCs w:val="19"/>
        </w:rPr>
      </w:pPr>
    </w:p>
    <w:p>
      <w:pPr>
        <w:pStyle w:val="Heading2"/>
        <w:spacing w:line="240" w:lineRule="auto" w:before="36"/>
        <w:ind w:left="820" w:right="3243"/>
        <w:jc w:val="left"/>
        <w:rPr>
          <w:b w:val="0"/>
          <w:bCs w:val="0"/>
        </w:rPr>
      </w:pPr>
      <w:r>
        <w:rPr/>
        <w:t>三、</w:t>
      </w:r>
      <w:r>
        <w:rPr>
          <w:spacing w:val="-30"/>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784" w:type="dxa"/>
        <w:tblLayout w:type="fixed"/>
        <w:tblCellMar>
          <w:top w:w="0" w:type="dxa"/>
          <w:left w:w="0" w:type="dxa"/>
          <w:bottom w:w="0" w:type="dxa"/>
          <w:right w:w="0" w:type="dxa"/>
        </w:tblCellMar>
        <w:tblLook w:val="01E0"/>
      </w:tblPr>
      <w:tblGrid>
        <w:gridCol w:w="3944"/>
        <w:gridCol w:w="5144"/>
      </w:tblGrid>
      <w:tr>
        <w:trPr>
          <w:trHeight w:val="305"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四川省成都市锦江区金石路</w:t>
            </w:r>
            <w:r>
              <w:rPr>
                <w:rFonts w:ascii="宋体" w:hAnsi="宋体" w:cs="宋体" w:eastAsia="宋体" w:hint="default"/>
                <w:sz w:val="21"/>
                <w:szCs w:val="21"/>
              </w:rPr>
              <w:t>239</w:t>
            </w:r>
            <w:r>
              <w:rPr>
                <w:rFonts w:ascii="宋体" w:hAnsi="宋体" w:cs="宋体" w:eastAsia="宋体" w:hint="default"/>
                <w:sz w:val="21"/>
                <w:szCs w:val="21"/>
              </w:rPr>
              <w:t>号</w:t>
            </w:r>
            <w:r>
              <w:rPr>
                <w:rFonts w:ascii="宋体" w:hAnsi="宋体" w:cs="宋体" w:eastAsia="宋体" w:hint="default"/>
                <w:sz w:val="21"/>
                <w:szCs w:val="21"/>
              </w:rPr>
              <w:t>4</w:t>
            </w:r>
            <w:r>
              <w:rPr>
                <w:rFonts w:ascii="宋体" w:hAnsi="宋体" w:cs="宋体" w:eastAsia="宋体" w:hint="default"/>
                <w:sz w:val="21"/>
                <w:szCs w:val="21"/>
              </w:rPr>
              <w:t>栋</w:t>
            </w:r>
            <w:r>
              <w:rPr>
                <w:rFonts w:ascii="宋体" w:hAnsi="宋体" w:cs="宋体" w:eastAsia="宋体" w:hint="default"/>
                <w:sz w:val="21"/>
                <w:szCs w:val="21"/>
              </w:rPr>
              <w:t>1</w:t>
            </w:r>
            <w:r>
              <w:rPr>
                <w:rFonts w:ascii="宋体" w:hAnsi="宋体" w:cs="宋体" w:eastAsia="宋体" w:hint="default"/>
                <w:sz w:val="21"/>
                <w:szCs w:val="21"/>
              </w:rPr>
              <w:t>层</w:t>
            </w:r>
            <w:r>
              <w:rPr>
                <w:rFonts w:ascii="宋体" w:hAnsi="宋体" w:cs="宋体" w:eastAsia="宋体" w:hint="default"/>
                <w:sz w:val="21"/>
                <w:szCs w:val="21"/>
              </w:rPr>
              <w:t>1</w:t>
            </w:r>
            <w:r>
              <w:rPr>
                <w:rFonts w:ascii="宋体" w:hAnsi="宋体" w:cs="宋体" w:eastAsia="宋体" w:hint="default"/>
                <w:sz w:val="21"/>
                <w:szCs w:val="21"/>
              </w:rPr>
              <w:t>号</w:t>
            </w:r>
          </w:p>
        </w:tc>
      </w:tr>
      <w:tr>
        <w:trPr>
          <w:trHeight w:val="302"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610000</w:t>
            </w:r>
          </w:p>
        </w:tc>
      </w:tr>
      <w:tr>
        <w:trPr>
          <w:trHeight w:val="302"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四川省成都市金牛区蓉北商贸大道文轩路</w:t>
            </w:r>
            <w:r>
              <w:rPr>
                <w:rFonts w:ascii="宋体" w:hAnsi="宋体" w:cs="宋体" w:eastAsia="宋体" w:hint="default"/>
                <w:sz w:val="21"/>
                <w:szCs w:val="21"/>
              </w:rPr>
              <w:t>6</w:t>
            </w:r>
            <w:r>
              <w:rPr>
                <w:rFonts w:ascii="宋体" w:hAnsi="宋体" w:cs="宋体" w:eastAsia="宋体" w:hint="default"/>
                <w:sz w:val="21"/>
                <w:szCs w:val="21"/>
              </w:rPr>
              <w:t>号</w:t>
            </w:r>
          </w:p>
        </w:tc>
      </w:tr>
      <w:tr>
        <w:trPr>
          <w:trHeight w:val="302"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610081</w:t>
            </w:r>
          </w:p>
        </w:tc>
      </w:tr>
      <w:tr>
        <w:trPr>
          <w:trHeight w:val="305"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hyperlink r:id="rId9">
              <w:r>
                <w:rPr>
                  <w:rFonts w:ascii="宋体"/>
                  <w:sz w:val="21"/>
                </w:rPr>
                <w:t>http://www.winshare.com.cn</w:t>
              </w:r>
            </w:hyperlink>
          </w:p>
        </w:tc>
      </w:tr>
      <w:tr>
        <w:trPr>
          <w:trHeight w:val="302"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8">
              <w:r>
                <w:rPr>
                  <w:rFonts w:ascii="宋体"/>
                  <w:sz w:val="21"/>
                </w:rPr>
                <w:t>xh-dsb@winshare.com.cn</w:t>
              </w:r>
            </w:hyperlink>
          </w:p>
        </w:tc>
      </w:tr>
    </w:tbl>
    <w:p>
      <w:pPr>
        <w:spacing w:line="240" w:lineRule="auto" w:before="2"/>
        <w:rPr>
          <w:rFonts w:ascii="宋体" w:hAnsi="宋体" w:cs="宋体" w:eastAsia="宋体" w:hint="default"/>
          <w:b/>
          <w:bCs/>
          <w:sz w:val="20"/>
          <w:szCs w:val="20"/>
        </w:rPr>
      </w:pPr>
    </w:p>
    <w:p>
      <w:pPr>
        <w:pStyle w:val="Heading2"/>
        <w:spacing w:line="240" w:lineRule="auto" w:before="36"/>
        <w:ind w:left="820" w:right="3243"/>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784" w:type="dxa"/>
        <w:tblLayout w:type="fixed"/>
        <w:tblCellMar>
          <w:top w:w="0" w:type="dxa"/>
          <w:left w:w="0" w:type="dxa"/>
          <w:bottom w:w="0" w:type="dxa"/>
          <w:right w:w="0" w:type="dxa"/>
        </w:tblCellMar>
        <w:tblLook w:val="01E0"/>
      </w:tblPr>
      <w:tblGrid>
        <w:gridCol w:w="4232"/>
        <w:gridCol w:w="4856"/>
      </w:tblGrid>
      <w:tr>
        <w:trPr>
          <w:trHeight w:val="555"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15"/>
              <w:jc w:val="left"/>
              <w:rPr>
                <w:rFonts w:ascii="宋体" w:hAnsi="宋体" w:cs="宋体" w:eastAsia="宋体" w:hint="default"/>
                <w:sz w:val="21"/>
                <w:szCs w:val="21"/>
              </w:rPr>
            </w:pPr>
            <w:r>
              <w:rPr>
                <w:rFonts w:ascii="宋体" w:hAnsi="宋体" w:cs="宋体" w:eastAsia="宋体" w:hint="default"/>
                <w:spacing w:val="-2"/>
                <w:sz w:val="21"/>
                <w:szCs w:val="21"/>
              </w:rPr>
              <w:t>《中国证券报》、《上海证券报》、《证券时报》、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《证券日报》</w:t>
            </w:r>
          </w:p>
        </w:tc>
      </w:tr>
    </w:tbl>
    <w:p>
      <w:pPr>
        <w:spacing w:after="0" w:line="274" w:lineRule="exact"/>
        <w:jc w:val="left"/>
        <w:rPr>
          <w:rFonts w:ascii="宋体" w:hAnsi="宋体" w:cs="宋体" w:eastAsia="宋体" w:hint="default"/>
          <w:sz w:val="21"/>
          <w:szCs w:val="21"/>
        </w:rPr>
        <w:sectPr>
          <w:pgSz w:w="11910" w:h="16840"/>
          <w:pgMar w:header="880" w:footer="1195" w:top="1060" w:bottom="1380" w:left="620" w:right="6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tbl>
      <w:tblPr>
        <w:tblW w:w="0" w:type="auto"/>
        <w:jc w:val="left"/>
        <w:tblInd w:w="184" w:type="dxa"/>
        <w:tblLayout w:type="fixed"/>
        <w:tblCellMar>
          <w:top w:w="0" w:type="dxa"/>
          <w:left w:w="0" w:type="dxa"/>
          <w:bottom w:w="0" w:type="dxa"/>
          <w:right w:w="0" w:type="dxa"/>
        </w:tblCellMar>
        <w:tblLook w:val="01E0"/>
      </w:tblPr>
      <w:tblGrid>
        <w:gridCol w:w="4232"/>
        <w:gridCol w:w="4856"/>
      </w:tblGrid>
      <w:tr>
        <w:trPr>
          <w:trHeight w:val="302"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10">
              <w:r>
                <w:rPr>
                  <w:rFonts w:ascii="宋体"/>
                  <w:sz w:val="21"/>
                </w:rPr>
                <w:t>http://www.sse.com.cn</w:t>
              </w:r>
            </w:hyperlink>
          </w:p>
        </w:tc>
      </w:tr>
      <w:tr>
        <w:trPr>
          <w:trHeight w:val="302"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2"/>
        <w:rPr>
          <w:rFonts w:ascii="宋体" w:hAnsi="宋体" w:cs="宋体" w:eastAsia="宋体" w:hint="default"/>
          <w:b/>
          <w:bCs/>
          <w:sz w:val="20"/>
          <w:szCs w:val="20"/>
        </w:rPr>
      </w:pPr>
    </w:p>
    <w:p>
      <w:pPr>
        <w:pStyle w:val="Heading2"/>
        <w:spacing w:line="240" w:lineRule="auto" w:before="36"/>
        <w:ind w:right="0"/>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4" w:type="dxa"/>
        <w:tblLayout w:type="fixed"/>
        <w:tblCellMar>
          <w:top w:w="0" w:type="dxa"/>
          <w:left w:w="0" w:type="dxa"/>
          <w:bottom w:w="0" w:type="dxa"/>
          <w:right w:w="0" w:type="dxa"/>
        </w:tblCellMar>
        <w:tblLook w:val="01E0"/>
      </w:tblPr>
      <w:tblGrid>
        <w:gridCol w:w="1308"/>
        <w:gridCol w:w="2552"/>
        <w:gridCol w:w="1596"/>
        <w:gridCol w:w="1817"/>
        <w:gridCol w:w="1815"/>
      </w:tblGrid>
      <w:tr>
        <w:trPr>
          <w:trHeight w:val="305" w:hRule="exact"/>
        </w:trPr>
        <w:tc>
          <w:tcPr>
            <w:tcW w:w="90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新华文轩</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601811</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w:t>
            </w:r>
          </w:p>
        </w:tc>
      </w:tr>
      <w:tr>
        <w:trPr>
          <w:trHeight w:val="30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H</w:t>
            </w:r>
            <w:r>
              <w:rPr>
                <w:rFonts w:ascii="宋体" w:hAnsi="宋体" w:cs="宋体" w:eastAsia="宋体" w:hint="default"/>
                <w:sz w:val="21"/>
                <w:szCs w:val="21"/>
              </w:rPr>
              <w:t>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香港联合交易所有限公司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新华文轩</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00811</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b/>
          <w:bCs/>
          <w:sz w:val="19"/>
          <w:szCs w:val="19"/>
        </w:rPr>
      </w:pPr>
    </w:p>
    <w:p>
      <w:pPr>
        <w:pStyle w:val="Heading2"/>
        <w:spacing w:line="240" w:lineRule="auto" w:before="36"/>
        <w:ind w:right="0"/>
        <w:jc w:val="left"/>
        <w:rPr>
          <w:b w:val="0"/>
          <w:bCs w:val="0"/>
        </w:rPr>
      </w:pPr>
      <w:r>
        <w:rPr/>
        <w:t>六、</w:t>
      </w:r>
      <w:r>
        <w:rPr>
          <w:spacing w:val="-30"/>
        </w:rPr>
        <w:t> </w:t>
      </w:r>
      <w:r>
        <w:rPr/>
        <w:t>其他相关资料</w:t>
      </w:r>
      <w:r>
        <w:rPr>
          <w:b w:val="0"/>
          <w:bCs w:val="0"/>
        </w:rPr>
      </w:r>
    </w:p>
    <w:p>
      <w:pPr>
        <w:spacing w:line="240" w:lineRule="auto" w:before="13"/>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2234"/>
        <w:gridCol w:w="2655"/>
        <w:gridCol w:w="4355"/>
      </w:tblGrid>
      <w:tr>
        <w:trPr>
          <w:trHeight w:val="283" w:hRule="exact"/>
        </w:trPr>
        <w:tc>
          <w:tcPr>
            <w:tcW w:w="2234" w:type="dxa"/>
            <w:vMerge w:val="restart"/>
            <w:tcBorders>
              <w:top w:val="single" w:sz="4" w:space="0" w:color="000000"/>
              <w:left w:val="single" w:sz="4" w:space="0" w:color="000000"/>
              <w:right w:val="single" w:sz="4" w:space="0" w:color="000000"/>
            </w:tcBorders>
          </w:tcPr>
          <w:p>
            <w:pPr>
              <w:pStyle w:val="TableParagraph"/>
              <w:spacing w:line="272" w:lineRule="exact" w:before="142"/>
              <w:ind w:left="103" w:right="100"/>
              <w:jc w:val="left"/>
              <w:rPr>
                <w:rFonts w:ascii="宋体" w:hAnsi="宋体" w:cs="宋体" w:eastAsia="宋体" w:hint="default"/>
                <w:sz w:val="21"/>
                <w:szCs w:val="21"/>
              </w:rPr>
            </w:pPr>
            <w:r>
              <w:rPr>
                <w:rFonts w:ascii="宋体" w:hAnsi="宋体" w:cs="宋体" w:eastAsia="宋体" w:hint="default"/>
                <w:spacing w:val="12"/>
                <w:sz w:val="21"/>
                <w:szCs w:val="21"/>
              </w:rPr>
              <w:t>公司聘请的会计师事</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务所（境内）</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德勤华永会计师事务所（特殊普通合伙）</w:t>
            </w:r>
          </w:p>
        </w:tc>
      </w:tr>
      <w:tr>
        <w:trPr>
          <w:trHeight w:val="283" w:hRule="exact"/>
        </w:trPr>
        <w:tc>
          <w:tcPr>
            <w:tcW w:w="2234" w:type="dxa"/>
            <w:vMerge/>
            <w:tcBorders>
              <w:left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中国上海市延安东路</w:t>
            </w:r>
            <w:r>
              <w:rPr>
                <w:rFonts w:ascii="宋体" w:hAnsi="宋体" w:cs="宋体" w:eastAsia="宋体" w:hint="default"/>
                <w:spacing w:val="-53"/>
                <w:sz w:val="21"/>
                <w:szCs w:val="21"/>
              </w:rPr>
              <w:t> </w:t>
            </w:r>
            <w:r>
              <w:rPr>
                <w:rFonts w:ascii="宋体" w:hAnsi="宋体" w:cs="宋体" w:eastAsia="宋体" w:hint="default"/>
                <w:sz w:val="21"/>
                <w:szCs w:val="21"/>
              </w:rPr>
              <w:t>222</w:t>
            </w:r>
            <w:r>
              <w:rPr>
                <w:rFonts w:ascii="宋体" w:hAnsi="宋体" w:cs="宋体" w:eastAsia="宋体" w:hint="default"/>
                <w:spacing w:val="-55"/>
                <w:sz w:val="21"/>
                <w:szCs w:val="21"/>
              </w:rPr>
              <w:t> </w:t>
            </w:r>
            <w:r>
              <w:rPr>
                <w:rFonts w:ascii="宋体" w:hAnsi="宋体" w:cs="宋体" w:eastAsia="宋体" w:hint="default"/>
                <w:sz w:val="21"/>
                <w:szCs w:val="21"/>
              </w:rPr>
              <w:t>号外滩中心</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楼</w:t>
            </w:r>
          </w:p>
        </w:tc>
      </w:tr>
      <w:tr>
        <w:trPr>
          <w:trHeight w:val="281" w:hRule="exact"/>
        </w:trPr>
        <w:tc>
          <w:tcPr>
            <w:tcW w:w="2234" w:type="dxa"/>
            <w:vMerge/>
            <w:tcBorders>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解彦峰、李彦刚</w:t>
            </w:r>
          </w:p>
        </w:tc>
      </w:tr>
      <w:tr>
        <w:trPr>
          <w:trHeight w:val="283" w:hRule="exact"/>
        </w:trPr>
        <w:tc>
          <w:tcPr>
            <w:tcW w:w="223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2"/>
                <w:sz w:val="21"/>
                <w:szCs w:val="21"/>
              </w:rPr>
              <w:t>报告期内履行持续督</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导职责的保荐机构</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中银国际证券股份有限公司</w:t>
            </w:r>
          </w:p>
        </w:tc>
      </w:tr>
      <w:tr>
        <w:trPr>
          <w:trHeight w:val="283" w:hRule="exact"/>
        </w:trPr>
        <w:tc>
          <w:tcPr>
            <w:tcW w:w="2234" w:type="dxa"/>
            <w:vMerge/>
            <w:tcBorders>
              <w:left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中国北京市西城区西单北大街</w:t>
            </w:r>
            <w:r>
              <w:rPr>
                <w:rFonts w:ascii="宋体" w:hAnsi="宋体" w:cs="宋体" w:eastAsia="宋体" w:hint="default"/>
                <w:spacing w:val="-52"/>
                <w:sz w:val="21"/>
                <w:szCs w:val="21"/>
              </w:rPr>
              <w:t> </w:t>
            </w:r>
            <w:r>
              <w:rPr>
                <w:rFonts w:ascii="宋体" w:hAnsi="宋体" w:cs="宋体" w:eastAsia="宋体" w:hint="default"/>
                <w:sz w:val="21"/>
                <w:szCs w:val="21"/>
              </w:rPr>
              <w:t>110</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281" w:hRule="exact"/>
        </w:trPr>
        <w:tc>
          <w:tcPr>
            <w:tcW w:w="2234" w:type="dxa"/>
            <w:vMerge/>
            <w:tcBorders>
              <w:left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王丁、杨志伟</w:t>
            </w:r>
          </w:p>
        </w:tc>
      </w:tr>
      <w:tr>
        <w:trPr>
          <w:trHeight w:val="283" w:hRule="exact"/>
        </w:trPr>
        <w:tc>
          <w:tcPr>
            <w:tcW w:w="2234" w:type="dxa"/>
            <w:vMerge/>
            <w:tcBorders>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060" w:bottom="1380" w:left="1220" w:right="700"/>
        </w:sectPr>
      </w:pPr>
    </w:p>
    <w:p>
      <w:pPr>
        <w:pStyle w:val="Heading2"/>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2"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700"/>
          <w:cols w:num="2" w:equalWidth="0">
            <w:col w:w="3670" w:space="3046"/>
            <w:col w:w="3274"/>
          </w:cols>
        </w:sectPr>
      </w:pPr>
    </w:p>
    <w:p>
      <w:pPr>
        <w:spacing w:line="240" w:lineRule="auto" w:before="3"/>
        <w:rPr>
          <w:rFonts w:ascii="宋体" w:hAnsi="宋体" w:cs="宋体" w:eastAsia="宋体"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1951"/>
        <w:gridCol w:w="2129"/>
        <w:gridCol w:w="2127"/>
        <w:gridCol w:w="1279"/>
        <w:gridCol w:w="2264"/>
      </w:tblGrid>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before="27"/>
              <w:ind w:left="213" w:right="211"/>
              <w:jc w:val="center"/>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8,186,582,966.73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7,345,882,957.66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6,356,168,113.43</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932,184,804.06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923,844,500.04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647,462,291.44</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损益的净利润</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867,590,825.44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726,105,264.10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614,569,293.59</w:t>
            </w:r>
          </w:p>
        </w:tc>
      </w:tr>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993,450,271.97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345,621,870.44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187.44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683,427,278.33</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6"/>
              <w:ind w:left="266" w:right="105"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8,480,563,534.34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8,027,301,715.11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8,335,690,360.52</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13,287,712,452.79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12,286,705,641.32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12,255,176,609.39</w:t>
            </w:r>
          </w:p>
        </w:tc>
      </w:tr>
    </w:tbl>
    <w:p>
      <w:pPr>
        <w:spacing w:line="240" w:lineRule="auto" w:before="2"/>
        <w:rPr>
          <w:rFonts w:ascii="宋体" w:hAnsi="宋体" w:cs="宋体" w:eastAsia="宋体" w:hint="default"/>
          <w:sz w:val="20"/>
          <w:szCs w:val="20"/>
        </w:rPr>
      </w:pPr>
    </w:p>
    <w:p>
      <w:pPr>
        <w:pStyle w:val="Heading2"/>
        <w:tabs>
          <w:tab w:pos="1060" w:val="left" w:leader="none"/>
        </w:tabs>
        <w:spacing w:line="240" w:lineRule="auto" w:before="36"/>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3097"/>
        <w:gridCol w:w="1442"/>
        <w:gridCol w:w="1383"/>
        <w:gridCol w:w="1985"/>
        <w:gridCol w:w="1337"/>
      </w:tblGrid>
      <w:tr>
        <w:trPr>
          <w:trHeight w:val="55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11"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9" w:right="0"/>
              <w:jc w:val="left"/>
              <w:rPr>
                <w:rFonts w:ascii="宋体" w:hAnsi="宋体" w:cs="宋体" w:eastAsia="宋体" w:hint="default"/>
                <w:sz w:val="21"/>
                <w:szCs w:val="21"/>
              </w:rPr>
            </w:pPr>
            <w:r>
              <w:rPr>
                <w:rFonts w:ascii="宋体"/>
                <w:sz w:val="21"/>
              </w:rPr>
              <w:t>0.76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sz w:val="21"/>
              </w:rPr>
              <w:t>0.75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3" w:right="0"/>
              <w:jc w:val="left"/>
              <w:rPr>
                <w:rFonts w:ascii="宋体" w:hAnsi="宋体" w:cs="宋体" w:eastAsia="宋体" w:hint="default"/>
                <w:sz w:val="21"/>
                <w:szCs w:val="21"/>
              </w:rPr>
            </w:pPr>
            <w:r>
              <w:rPr>
                <w:rFonts w:ascii="宋体"/>
                <w:sz w:val="21"/>
              </w:rPr>
              <w:t>0.55</w:t>
            </w:r>
          </w:p>
        </w:tc>
      </w:tr>
    </w:tbl>
    <w:p>
      <w:pPr>
        <w:spacing w:after="0" w:line="241" w:lineRule="exact"/>
        <w:jc w:val="left"/>
        <w:rPr>
          <w:rFonts w:ascii="宋体" w:hAnsi="宋体" w:cs="宋体" w:eastAsia="宋体" w:hint="default"/>
          <w:sz w:val="21"/>
          <w:szCs w:val="21"/>
        </w:rPr>
        <w:sectPr>
          <w:type w:val="continuous"/>
          <w:pgSz w:w="11910" w:h="16840"/>
          <w:pgMar w:top="1060" w:bottom="1380" w:left="1220" w:right="7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tbl>
      <w:tblPr>
        <w:tblW w:w="0" w:type="auto"/>
        <w:jc w:val="left"/>
        <w:tblInd w:w="347" w:type="dxa"/>
        <w:tblLayout w:type="fixed"/>
        <w:tblCellMar>
          <w:top w:w="0" w:type="dxa"/>
          <w:left w:w="0" w:type="dxa"/>
          <w:bottom w:w="0" w:type="dxa"/>
          <w:right w:w="0" w:type="dxa"/>
        </w:tblCellMar>
        <w:tblLook w:val="01E0"/>
      </w:tblPr>
      <w:tblGrid>
        <w:gridCol w:w="3097"/>
        <w:gridCol w:w="1442"/>
        <w:gridCol w:w="1383"/>
        <w:gridCol w:w="1985"/>
        <w:gridCol w:w="1337"/>
      </w:tblGrid>
      <w:tr>
        <w:trPr>
          <w:trHeight w:val="281"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557"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0.70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18.64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0.53</w:t>
            </w:r>
          </w:p>
        </w:tc>
      </w:tr>
      <w:tr>
        <w:trPr>
          <w:trHeight w:val="281"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0.20</w:t>
            </w:r>
            <w:r>
              <w:rPr>
                <w:rFonts w:ascii="宋体" w:hAnsi="宋体" w:cs="宋体" w:eastAsia="宋体" w:hint="default"/>
                <w:spacing w:val="-1"/>
                <w:sz w:val="21"/>
                <w:szCs w:val="21"/>
              </w:rPr>
              <w:t>个百分点</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8.22</w:t>
            </w: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1.82</w:t>
            </w:r>
            <w:r>
              <w:rPr>
                <w:rFonts w:ascii="宋体" w:hAnsi="宋体" w:cs="宋体" w:eastAsia="宋体" w:hint="default"/>
                <w:spacing w:val="-1"/>
                <w:sz w:val="21"/>
                <w:szCs w:val="21"/>
              </w:rPr>
              <w:t>个百分点</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7.80</w:t>
            </w:r>
          </w:p>
        </w:tc>
      </w:tr>
    </w:tbl>
    <w:p>
      <w:pPr>
        <w:spacing w:line="240" w:lineRule="auto" w:before="7"/>
        <w:rPr>
          <w:rFonts w:ascii="宋体" w:hAnsi="宋体" w:cs="宋体" w:eastAsia="宋体" w:hint="default"/>
          <w:b/>
          <w:bCs/>
          <w:sz w:val="15"/>
          <w:szCs w:val="15"/>
        </w:rPr>
      </w:pPr>
    </w:p>
    <w:p>
      <w:pPr>
        <w:pStyle w:val="BodyText"/>
        <w:spacing w:line="273" w:lineRule="exact" w:before="36"/>
        <w:ind w:left="460" w:right="0"/>
        <w:jc w:val="left"/>
      </w:pPr>
      <w:r>
        <w:rPr/>
        <w:t>报告期末公司前三年主要会计数据和财务指标的说明</w:t>
      </w:r>
    </w:p>
    <w:p>
      <w:pPr>
        <w:pStyle w:val="BodyText"/>
        <w:spacing w:line="272" w:lineRule="exact"/>
        <w:ind w:left="460" w:right="0"/>
        <w:jc w:val="left"/>
      </w:pPr>
      <w:r>
        <w:rPr/>
        <w:t>√适用 □不适用</w:t>
      </w:r>
    </w:p>
    <w:p>
      <w:pPr>
        <w:pStyle w:val="BodyText"/>
        <w:spacing w:line="357" w:lineRule="auto"/>
        <w:ind w:left="460" w:right="0" w:firstLine="420"/>
        <w:jc w:val="left"/>
      </w:pPr>
      <w:r>
        <w:rPr/>
        <w:t>经营活动产生的现金流量净额较上年度增加</w:t>
      </w:r>
      <w:r>
        <w:rPr>
          <w:spacing w:val="-55"/>
        </w:rPr>
        <w:t> </w:t>
      </w:r>
      <w:r>
        <w:rPr>
          <w:rFonts w:ascii="宋体" w:hAnsi="宋体" w:cs="宋体" w:eastAsia="宋体" w:hint="default"/>
        </w:rPr>
        <w:t>187.44%</w:t>
      </w:r>
      <w:r>
        <w:rPr/>
        <w:t>，主要因本期间公司销售收入实现持续增</w:t>
      </w:r>
      <w:r>
        <w:rPr>
          <w:w w:val="100"/>
        </w:rPr>
        <w:t> </w:t>
      </w:r>
      <w:r>
        <w:rPr/>
        <w:t>长的同时，经营活动现金流量也有较好的表现。教育类图书业务继续保持较高的回款率；以前年度</w:t>
      </w:r>
      <w:r>
        <w:rPr>
          <w:w w:val="100"/>
        </w:rPr>
        <w:t> </w:t>
      </w:r>
      <w:r>
        <w:rPr/>
        <w:t>增加的大量采用分期收款方式的教育装备及信息化业务随着回款期的到来实现陆续回款，本期间向</w:t>
      </w:r>
      <w:r>
        <w:rPr>
          <w:w w:val="100"/>
        </w:rPr>
        <w:t> </w:t>
      </w:r>
      <w:r>
        <w:rPr>
          <w:spacing w:val="-2"/>
        </w:rPr>
        <w:t>供应商的付款也同比减少；互联网销售业务本期间在网店运营和供货方面的回款都实现了同比增长；</w:t>
      </w:r>
      <w:r>
        <w:rPr>
          <w:spacing w:val="-29"/>
        </w:rPr>
        <w:t> </w:t>
      </w:r>
      <w:r>
        <w:rPr>
          <w:spacing w:val="-29"/>
        </w:rPr>
      </w:r>
      <w:r>
        <w:rPr/>
        <w:t>此外，公司上年在一般图书出版业务方面的较大投入也随着图书在本年实现销售回款使现金流量净</w:t>
      </w:r>
      <w:r>
        <w:rPr>
          <w:w w:val="100"/>
        </w:rPr>
        <w:t> </w:t>
      </w:r>
      <w:r>
        <w:rPr/>
        <w:t>流入同比增加。</w:t>
      </w:r>
    </w:p>
    <w:p>
      <w:pPr>
        <w:spacing w:line="240" w:lineRule="auto" w:before="11"/>
        <w:rPr>
          <w:rFonts w:ascii="宋体" w:hAnsi="宋体" w:cs="宋体" w:eastAsia="宋体" w:hint="default"/>
          <w:sz w:val="27"/>
          <w:szCs w:val="27"/>
        </w:rPr>
      </w:pPr>
    </w:p>
    <w:p>
      <w:pPr>
        <w:pStyle w:val="Heading2"/>
        <w:spacing w:line="240" w:lineRule="auto"/>
        <w:ind w:left="460" w:right="0"/>
        <w:jc w:val="left"/>
        <w:rPr>
          <w:b w:val="0"/>
          <w:bCs w:val="0"/>
        </w:rPr>
      </w:pPr>
      <w:r>
        <w:rPr/>
        <w:t>八、</w:t>
      </w:r>
      <w:r>
        <w:rPr>
          <w:spacing w:val="-32"/>
        </w:rPr>
        <w:t> </w:t>
      </w:r>
      <w:r>
        <w:rPr/>
        <w:t>境内外会计准则下会计数据差异</w:t>
      </w:r>
      <w:r>
        <w:rPr>
          <w:b w:val="0"/>
          <w:bCs w:val="0"/>
        </w:rPr>
      </w:r>
    </w:p>
    <w:p>
      <w:pPr>
        <w:pStyle w:val="Heading2"/>
        <w:spacing w:line="274" w:lineRule="exact" w:before="82"/>
        <w:ind w:left="880" w:right="0"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同时按照国际会计准则与按中国会计准则披露的财务报告中净利润和归属于上市公司股东的</w:t>
      </w:r>
      <w:r>
        <w:rPr>
          <w:spacing w:val="-88"/>
        </w:rPr>
        <w:t> </w:t>
      </w:r>
      <w:r>
        <w:rPr>
          <w:spacing w:val="-88"/>
        </w:rPr>
      </w:r>
      <w:r>
        <w:rPr/>
        <w:t>净资产差异情况</w:t>
      </w:r>
      <w:r>
        <w:rPr>
          <w:b w:val="0"/>
          <w:bCs w:val="0"/>
        </w:rPr>
      </w:r>
    </w:p>
    <w:p>
      <w:pPr>
        <w:pStyle w:val="BodyText"/>
        <w:spacing w:line="240" w:lineRule="auto" w:before="31"/>
        <w:ind w:left="460" w:right="0"/>
        <w:jc w:val="left"/>
      </w:pPr>
      <w:r>
        <w:rPr/>
        <w:t>□适用 √不适用</w:t>
      </w:r>
    </w:p>
    <w:p>
      <w:pPr>
        <w:pStyle w:val="Heading2"/>
        <w:spacing w:line="272" w:lineRule="exact" w:before="86"/>
        <w:ind w:left="827" w:right="447" w:hanging="3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13"/>
        </w:rPr>
        <w:t> </w:t>
      </w:r>
      <w:r>
        <w:rPr/>
        <w:t>同时按照境外会计准则与按中国会计准则披露的财务报告中净利润和归属于上市公司股东的净</w:t>
      </w:r>
      <w:r>
        <w:rPr>
          <w:spacing w:val="-101"/>
        </w:rPr>
        <w:t> </w:t>
      </w:r>
      <w:r>
        <w:rPr/>
        <w:t>资产差异情况</w:t>
      </w:r>
      <w:r>
        <w:rPr>
          <w:b w:val="0"/>
          <w:bCs w:val="0"/>
        </w:rPr>
      </w:r>
    </w:p>
    <w:p>
      <w:pPr>
        <w:pStyle w:val="BodyText"/>
        <w:spacing w:line="240" w:lineRule="auto" w:before="31"/>
        <w:ind w:left="460" w:right="0"/>
        <w:jc w:val="left"/>
      </w:pPr>
      <w:r>
        <w:rPr/>
        <w:t>□适用 √不适用</w:t>
      </w:r>
    </w:p>
    <w:p>
      <w:pPr>
        <w:pStyle w:val="Heading2"/>
        <w:spacing w:line="240" w:lineRule="auto" w:before="58"/>
        <w:ind w:left="460"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29"/>
        <w:ind w:left="460" w:right="0"/>
        <w:jc w:val="left"/>
      </w:pPr>
      <w:r>
        <w:rPr/>
        <w:t>□适用 √不适用</w:t>
      </w:r>
    </w:p>
    <w:p>
      <w:pPr>
        <w:spacing w:line="240" w:lineRule="auto" w:before="6"/>
        <w:rPr>
          <w:rFonts w:ascii="宋体" w:hAnsi="宋体" w:cs="宋体" w:eastAsia="宋体" w:hint="default"/>
          <w:sz w:val="22"/>
          <w:szCs w:val="22"/>
        </w:rPr>
      </w:pPr>
    </w:p>
    <w:p>
      <w:pPr>
        <w:pStyle w:val="Heading2"/>
        <w:spacing w:line="240" w:lineRule="auto" w:before="36"/>
        <w:ind w:left="460" w:right="0"/>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453"/>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35"/>
        <w:gridCol w:w="1899"/>
        <w:gridCol w:w="1983"/>
        <w:gridCol w:w="1985"/>
        <w:gridCol w:w="1908"/>
      </w:tblGrid>
      <w:tr>
        <w:trPr>
          <w:trHeight w:val="554" w:hRule="exact"/>
        </w:trPr>
        <w:tc>
          <w:tcPr>
            <w:tcW w:w="1935"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月份）</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4"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1,584,603,344.86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1,993,075,354.70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1,901,239,177.22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pacing w:val="-1"/>
                <w:sz w:val="21"/>
              </w:rPr>
              <w:t>2,707,665,089.95</w:t>
            </w:r>
          </w:p>
        </w:tc>
      </w:tr>
      <w:tr>
        <w:trPr>
          <w:trHeight w:val="554"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178,405,094.29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270,491,347.10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150,834,373.64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332,453,989.03</w:t>
            </w:r>
          </w:p>
        </w:tc>
      </w:tr>
      <w:tr>
        <w:trPr>
          <w:trHeight w:val="828"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损益后的净利润</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169,906,938.38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237,705,065.10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141,445,411.88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318,533,410.08</w:t>
            </w:r>
          </w:p>
        </w:tc>
      </w:tr>
      <w:tr>
        <w:trPr>
          <w:trHeight w:val="554"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-153,188,800.44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596,457,253.51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137,988,717.72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412,193,101.18</w:t>
            </w:r>
          </w:p>
        </w:tc>
      </w:tr>
    </w:tbl>
    <w:p>
      <w:pPr>
        <w:pStyle w:val="BodyText"/>
        <w:spacing w:line="240" w:lineRule="exact"/>
        <w:ind w:left="460" w:right="0"/>
        <w:jc w:val="left"/>
      </w:pPr>
      <w:r>
        <w:rPr/>
        <w:t>季度数据与已披露定期报告数据差异说明</w:t>
      </w:r>
    </w:p>
    <w:p>
      <w:pPr>
        <w:pStyle w:val="BodyText"/>
        <w:spacing w:line="274" w:lineRule="exact"/>
        <w:ind w:left="460" w:right="0"/>
        <w:jc w:val="left"/>
      </w:pPr>
      <w:r>
        <w:rPr/>
        <w:t>□适用 √不适用</w:t>
      </w:r>
    </w:p>
    <w:p>
      <w:pPr>
        <w:spacing w:after="0" w:line="274" w:lineRule="exact"/>
        <w:jc w:val="left"/>
        <w:sectPr>
          <w:pgSz w:w="11910" w:h="16840"/>
          <w:pgMar w:header="880" w:footer="1195" w:top="1060" w:bottom="138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0" w:footer="1195" w:top="1060" w:bottom="1380" w:left="1220" w:right="1220"/>
        </w:sectPr>
      </w:pPr>
    </w:p>
    <w:p>
      <w:pPr>
        <w:pStyle w:val="Heading2"/>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6"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220" w:right="1220"/>
          <w:cols w:num="2" w:equalWidth="0">
            <w:col w:w="3039" w:space="3889"/>
            <w:col w:w="2542"/>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166"/>
        <w:gridCol w:w="1687"/>
        <w:gridCol w:w="1018"/>
        <w:gridCol w:w="1685"/>
        <w:gridCol w:w="1687"/>
      </w:tblGrid>
      <w:tr>
        <w:trPr>
          <w:trHeight w:val="554"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hanging="85"/>
              <w:jc w:val="left"/>
              <w:rPr>
                <w:rFonts w:ascii="宋体" w:hAnsi="宋体" w:cs="宋体" w:eastAsia="宋体" w:hint="default"/>
                <w:sz w:val="21"/>
                <w:szCs w:val="21"/>
              </w:rPr>
            </w:pPr>
            <w:r>
              <w:rPr>
                <w:rFonts w:ascii="宋体" w:hAnsi="宋体" w:cs="宋体" w:eastAsia="宋体" w:hint="default"/>
                <w:spacing w:val="-11"/>
                <w:sz w:val="21"/>
                <w:szCs w:val="21"/>
              </w:rPr>
              <w:t>附注（如</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1,430,208.01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169,442,046.77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-879,957.69</w:t>
            </w:r>
          </w:p>
        </w:tc>
      </w:tr>
      <w:tr>
        <w:trPr>
          <w:trHeight w:val="137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before="2"/>
              <w:ind w:left="103" w:right="106"/>
              <w:jc w:val="both"/>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25,082,079.56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21,184,433.93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32,991,583.75</w:t>
            </w:r>
          </w:p>
        </w:tc>
      </w:tr>
      <w:tr>
        <w:trPr>
          <w:trHeight w:val="1918"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ind w:left="103" w:right="106"/>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01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26,774,422.44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11,305,165.50</w:t>
            </w:r>
          </w:p>
        </w:tc>
      </w:tr>
      <w:tr>
        <w:trPr>
          <w:trHeight w:val="2189"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效套期保值业务外，持有交易性</w:t>
            </w:r>
            <w:r>
              <w:rPr>
                <w:rFonts w:ascii="宋体" w:hAnsi="宋体" w:cs="宋体" w:eastAsia="宋体" w:hint="default"/>
                <w:w w:val="100"/>
                <w:sz w:val="21"/>
                <w:szCs w:val="21"/>
              </w:rPr>
              <w:t> </w:t>
            </w:r>
            <w:r>
              <w:rPr>
                <w:rFonts w:ascii="宋体" w:hAnsi="宋体" w:cs="宋体" w:eastAsia="宋体" w:hint="default"/>
                <w:sz w:val="21"/>
                <w:szCs w:val="21"/>
              </w:rPr>
              <w:t>金融资产、衍生金融资产、交易</w:t>
            </w:r>
            <w:r>
              <w:rPr>
                <w:rFonts w:ascii="宋体" w:hAnsi="宋体" w:cs="宋体" w:eastAsia="宋体" w:hint="default"/>
                <w:w w:val="100"/>
                <w:sz w:val="21"/>
                <w:szCs w:val="21"/>
              </w:rPr>
              <w:t> </w:t>
            </w:r>
            <w:r>
              <w:rPr>
                <w:rFonts w:ascii="宋体" w:hAnsi="宋体" w:cs="宋体" w:eastAsia="宋体" w:hint="default"/>
                <w:sz w:val="21"/>
                <w:szCs w:val="21"/>
              </w:rPr>
              <w:t>性金融负债、衍生金融负债产生</w:t>
            </w:r>
            <w:r>
              <w:rPr>
                <w:rFonts w:ascii="宋体" w:hAnsi="宋体" w:cs="宋体" w:eastAsia="宋体" w:hint="default"/>
                <w:w w:val="100"/>
                <w:sz w:val="21"/>
                <w:szCs w:val="21"/>
              </w:rPr>
              <w:t> </w:t>
            </w:r>
            <w:r>
              <w:rPr>
                <w:rFonts w:ascii="宋体" w:hAnsi="宋体" w:cs="宋体" w:eastAsia="宋体" w:hint="default"/>
                <w:sz w:val="21"/>
                <w:szCs w:val="21"/>
              </w:rPr>
              <w:t>的公允价值变动损益，以及处置</w:t>
            </w:r>
            <w:r>
              <w:rPr>
                <w:rFonts w:ascii="宋体" w:hAnsi="宋体" w:cs="宋体" w:eastAsia="宋体" w:hint="default"/>
                <w:w w:val="100"/>
                <w:sz w:val="21"/>
                <w:szCs w:val="21"/>
              </w:rPr>
              <w:t> </w:t>
            </w:r>
            <w:r>
              <w:rPr>
                <w:rFonts w:ascii="宋体" w:hAnsi="宋体" w:cs="宋体" w:eastAsia="宋体" w:hint="default"/>
                <w:spacing w:val="-8"/>
                <w:w w:val="100"/>
                <w:sz w:val="21"/>
                <w:szCs w:val="21"/>
              </w:rPr>
              <w:t>交易性金融资产、衍生金融资产、</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交易性金融负债、衍生金融负债</w:t>
            </w:r>
            <w:r>
              <w:rPr>
                <w:rFonts w:ascii="宋体" w:hAnsi="宋体" w:cs="宋体" w:eastAsia="宋体" w:hint="default"/>
                <w:w w:val="100"/>
                <w:sz w:val="21"/>
                <w:szCs w:val="21"/>
              </w:rPr>
              <w:t> </w:t>
            </w:r>
            <w:r>
              <w:rPr>
                <w:rFonts w:ascii="宋体" w:hAnsi="宋体" w:cs="宋体" w:eastAsia="宋体" w:hint="default"/>
                <w:sz w:val="21"/>
                <w:szCs w:val="21"/>
              </w:rPr>
              <w:t>和其他债权投资取得的投资收益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56,203,775.16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1,180,018.10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7,183,426.01</w:t>
            </w:r>
          </w:p>
        </w:tc>
      </w:tr>
      <w:tr>
        <w:trPr>
          <w:trHeight w:val="554"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-14,928,383.11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-24,629,037.73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-14,942,825.06</w:t>
            </w:r>
          </w:p>
        </w:tc>
      </w:tr>
      <w:tr>
        <w:trPr>
          <w:trHeight w:val="554"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价值重新计量产生的利得</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5,042,726.27</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-1,679,018.75</w:t>
            </w:r>
          </w:p>
        </w:tc>
        <w:tc>
          <w:tcPr>
            <w:tcW w:w="101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-711,710.21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-2,541,097.96</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-1,514,682.25</w:t>
            </w:r>
          </w:p>
        </w:tc>
        <w:tc>
          <w:tcPr>
            <w:tcW w:w="101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-543,663.63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-223,296.70</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64,593,978.62</w:t>
            </w:r>
          </w:p>
        </w:tc>
        <w:tc>
          <w:tcPr>
            <w:tcW w:w="101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197,739,235.94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32,892,997.85</w:t>
            </w:r>
          </w:p>
        </w:tc>
      </w:tr>
    </w:tbl>
    <w:p>
      <w:pPr>
        <w:spacing w:line="240" w:lineRule="auto" w:before="11"/>
        <w:rPr>
          <w:rFonts w:ascii="宋体" w:hAnsi="宋体" w:cs="宋体" w:eastAsia="宋体" w:hint="default"/>
          <w:sz w:val="25"/>
          <w:szCs w:val="25"/>
        </w:rPr>
      </w:pPr>
    </w:p>
    <w:p>
      <w:pPr>
        <w:pStyle w:val="BodyText"/>
        <w:spacing w:line="357" w:lineRule="auto" w:before="36"/>
        <w:ind w:right="205"/>
        <w:jc w:val="left"/>
      </w:pPr>
      <w:r>
        <w:rPr>
          <w:spacing w:val="-2"/>
        </w:rPr>
        <w:t>注：本公司的子公司文轩投资主营业务为投资，其处置以公允价值计量且其变动计入当期损益的金</w:t>
      </w:r>
      <w:r>
        <w:rPr>
          <w:spacing w:val="-31"/>
        </w:rPr>
        <w:t> </w:t>
      </w:r>
      <w:r>
        <w:rPr>
          <w:spacing w:val="-31"/>
        </w:rPr>
      </w:r>
      <w:r>
        <w:rPr>
          <w:spacing w:val="-5"/>
        </w:rPr>
        <w:t>融资产取得的投资收益不作为非经常性损益，本年度，该等投资收益金额为人民币</w:t>
      </w:r>
      <w:r>
        <w:rPr>
          <w:spacing w:val="-23"/>
        </w:rPr>
        <w:t> </w:t>
      </w:r>
      <w:r>
        <w:rPr>
          <w:rFonts w:ascii="宋体" w:hAnsi="宋体" w:cs="宋体" w:eastAsia="宋体" w:hint="default"/>
        </w:rPr>
        <w:t>558,399.83</w:t>
      </w:r>
      <w:r>
        <w:rPr>
          <w:rFonts w:ascii="宋体" w:hAnsi="宋体" w:cs="宋体" w:eastAsia="宋体" w:hint="default"/>
          <w:spacing w:val="-28"/>
        </w:rPr>
        <w:t> </w:t>
      </w:r>
      <w:r>
        <w:rPr/>
        <w:t>元；</w:t>
      </w:r>
      <w:r>
        <w:rPr>
          <w:spacing w:val="-95"/>
        </w:rPr>
        <w:t> </w:t>
      </w:r>
      <w:r>
        <w:rPr/>
        <w:t>文轩投资持有以公允价值计量且其变动计入当期损益的金融资产取得的投资收益亦不作为非经常</w:t>
      </w:r>
      <w:r>
        <w:rPr>
          <w:w w:val="100"/>
        </w:rPr>
        <w:t> </w:t>
      </w:r>
      <w:r>
        <w:rPr/>
        <w:t>性损益，本年度，该等投资损失金额为人民币</w:t>
      </w:r>
      <w:r>
        <w:rPr>
          <w:spacing w:val="-54"/>
        </w:rPr>
        <w:t> </w:t>
      </w:r>
      <w:r>
        <w:rPr>
          <w:rFonts w:ascii="宋体" w:hAnsi="宋体" w:cs="宋体" w:eastAsia="宋体" w:hint="default"/>
        </w:rPr>
        <w:t>45,483,325.72</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2"/>
        <w:tabs>
          <w:tab w:pos="1060" w:val="left" w:leader="none"/>
        </w:tabs>
        <w:spacing w:line="240" w:lineRule="auto"/>
        <w:ind w:right="205"/>
        <w:jc w:val="left"/>
        <w:rPr>
          <w:b w:val="0"/>
          <w:bCs w:val="0"/>
        </w:rPr>
      </w:pPr>
      <w:r>
        <w:rPr/>
        <w:t>十一、</w:t>
        <w:tab/>
        <w:t>采用公允价值计量的项目</w:t>
      </w:r>
      <w:r>
        <w:rPr>
          <w:b w:val="0"/>
          <w:bCs w:val="0"/>
        </w:rPr>
      </w:r>
    </w:p>
    <w:p>
      <w:pPr>
        <w:pStyle w:val="BodyText"/>
        <w:spacing w:line="240" w:lineRule="auto" w:before="59"/>
        <w:ind w:right="205"/>
        <w:jc w:val="left"/>
      </w:pPr>
      <w:r>
        <w:rPr/>
        <w:t>√适用 □不适用</w:t>
      </w:r>
    </w:p>
    <w:p>
      <w:pPr>
        <w:spacing w:after="0" w:line="240" w:lineRule="auto"/>
        <w:jc w:val="left"/>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tabs>
          <w:tab w:pos="1051" w:val="left" w:leader="none"/>
        </w:tabs>
        <w:spacing w:line="240" w:lineRule="auto" w:before="36"/>
        <w:ind w:left="0" w:right="493"/>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68"/>
        <w:gridCol w:w="1985"/>
        <w:gridCol w:w="1983"/>
        <w:gridCol w:w="1808"/>
        <w:gridCol w:w="1742"/>
      </w:tblGrid>
      <w:tr>
        <w:trPr>
          <w:trHeight w:val="55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交易性金融资产：</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1,157,800,000.00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1,261,790,000.00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103,990,000.00</w:t>
            </w: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股上市公司股票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28,233.14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641,274.52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613,041.38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-127,441.08</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其他权益工具投资：</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皖新传媒</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1,318,691,200.00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832,595,200.00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-486,096,000.00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哈工智能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1,979,726.73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844,038.28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-1,135,688.45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成都银行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520,056,000.00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618,240,000.00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98,184,000.00</w:t>
            </w: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228,815.33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375,393.81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146,578.48</w:t>
            </w: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其他非流动金融资产：</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中信并购基金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96,885,632.80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94,837,468.07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-2,048,164.73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7,429,734.19</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文轩恒信基金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269,424,584.74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248,097,708.00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-21,326,876.74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-15,995,157.56</w:t>
            </w: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青岛金石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153,252,074.60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148,790,378.40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-4,461,696.20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-3,346,272.15</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泰州信恒基金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35,625,966.22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15,931,213.44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-19,694,752.78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-14,771,064.59</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3,553,972,233.56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3,222,142,674.52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-331,829,559.04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-26,810,201.19</w:t>
            </w:r>
          </w:p>
        </w:tc>
      </w:tr>
    </w:tbl>
    <w:p>
      <w:pPr>
        <w:spacing w:line="240" w:lineRule="auto" w:before="8"/>
        <w:rPr>
          <w:rFonts w:ascii="宋体" w:hAnsi="宋体" w:cs="宋体" w:eastAsia="宋体" w:hint="default"/>
          <w:sz w:val="15"/>
          <w:szCs w:val="15"/>
        </w:rPr>
      </w:pPr>
    </w:p>
    <w:p>
      <w:pPr>
        <w:spacing w:before="37"/>
        <w:ind w:left="500" w:right="560"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z w:val="20"/>
          <w:szCs w:val="20"/>
        </w:rPr>
        <w:t>：成都银行期初余额系根据其</w:t>
      </w:r>
      <w:r>
        <w:rPr>
          <w:rFonts w:ascii="宋体" w:hAnsi="宋体" w:cs="宋体" w:eastAsia="宋体" w:hint="default"/>
          <w:spacing w:val="-51"/>
          <w:sz w:val="20"/>
          <w:szCs w:val="20"/>
        </w:rPr>
        <w:t> </w:t>
      </w: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1"/>
          <w:sz w:val="20"/>
          <w:szCs w:val="20"/>
        </w:rPr>
        <w:t> </w:t>
      </w:r>
      <w:r>
        <w:rPr>
          <w:rFonts w:ascii="宋体" w:hAnsi="宋体" w:cs="宋体" w:eastAsia="宋体" w:hint="default"/>
          <w:sz w:val="20"/>
          <w:szCs w:val="20"/>
        </w:rPr>
        <w:t>日</w:t>
      </w:r>
      <w:r>
        <w:rPr>
          <w:rFonts w:ascii="宋体" w:hAnsi="宋体" w:cs="宋体" w:eastAsia="宋体" w:hint="default"/>
          <w:spacing w:val="-52"/>
          <w:sz w:val="20"/>
          <w:szCs w:val="20"/>
        </w:rPr>
        <w:t> </w:t>
      </w:r>
      <w:r>
        <w:rPr>
          <w:rFonts w:ascii="宋体" w:hAnsi="宋体" w:cs="宋体" w:eastAsia="宋体" w:hint="default"/>
          <w:sz w:val="20"/>
          <w:szCs w:val="20"/>
        </w:rPr>
        <w:t>A</w:t>
      </w:r>
      <w:r>
        <w:rPr>
          <w:rFonts w:ascii="宋体" w:hAnsi="宋体" w:cs="宋体" w:eastAsia="宋体" w:hint="default"/>
          <w:spacing w:val="-53"/>
          <w:sz w:val="20"/>
          <w:szCs w:val="20"/>
        </w:rPr>
        <w:t> </w:t>
      </w:r>
      <w:r>
        <w:rPr>
          <w:rFonts w:ascii="宋体" w:hAnsi="宋体" w:cs="宋体" w:eastAsia="宋体" w:hint="default"/>
          <w:sz w:val="20"/>
          <w:szCs w:val="20"/>
        </w:rPr>
        <w:t>股发行价计算的公允价值。</w:t>
      </w:r>
    </w:p>
    <w:p>
      <w:pPr>
        <w:spacing w:line="273" w:lineRule="auto" w:before="36"/>
        <w:ind w:left="500" w:right="560"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4"/>
          <w:sz w:val="20"/>
          <w:szCs w:val="20"/>
        </w:rPr>
        <w:t> </w:t>
      </w:r>
      <w:r>
        <w:rPr>
          <w:rFonts w:ascii="宋体" w:hAnsi="宋体" w:cs="宋体" w:eastAsia="宋体" w:hint="default"/>
          <w:sz w:val="20"/>
          <w:szCs w:val="20"/>
        </w:rPr>
        <w:t>2</w:t>
      </w:r>
      <w:r>
        <w:rPr>
          <w:rFonts w:ascii="宋体" w:hAnsi="宋体" w:cs="宋体" w:eastAsia="宋体" w:hint="default"/>
          <w:sz w:val="20"/>
          <w:szCs w:val="20"/>
        </w:rPr>
        <w:t>：对当期利润的影响净额只列示了其公允价值变动对当期利润的影响，不含分红及到期赎回收益。</w:t>
      </w:r>
      <w:r>
        <w:rPr>
          <w:rFonts w:ascii="宋体" w:hAnsi="宋体" w:cs="宋体" w:eastAsia="宋体" w:hint="default"/>
          <w:w w:val="99"/>
          <w:sz w:val="20"/>
          <w:szCs w:val="20"/>
        </w:rPr>
        <w:t> </w:t>
      </w:r>
      <w:r>
        <w:rPr>
          <w:rFonts w:ascii="宋体" w:hAnsi="宋体" w:cs="宋体" w:eastAsia="宋体" w:hint="default"/>
          <w:sz w:val="20"/>
          <w:szCs w:val="20"/>
        </w:rPr>
        <w:t>注</w:t>
      </w:r>
      <w:r>
        <w:rPr>
          <w:rFonts w:ascii="宋体" w:hAnsi="宋体" w:cs="宋体" w:eastAsia="宋体" w:hint="default"/>
          <w:spacing w:val="-8"/>
          <w:sz w:val="20"/>
          <w:szCs w:val="20"/>
        </w:rPr>
        <w:t> </w:t>
      </w:r>
      <w:r>
        <w:rPr>
          <w:rFonts w:ascii="宋体" w:hAnsi="宋体" w:cs="宋体" w:eastAsia="宋体" w:hint="default"/>
          <w:sz w:val="20"/>
          <w:szCs w:val="20"/>
        </w:rPr>
        <w:t>3</w:t>
      </w:r>
      <w:r>
        <w:rPr>
          <w:rFonts w:ascii="宋体" w:hAnsi="宋体" w:cs="宋体" w:eastAsia="宋体" w:hint="default"/>
          <w:sz w:val="20"/>
          <w:szCs w:val="20"/>
        </w:rPr>
        <w:t>：文轩恒信基金、青岛金石和泰州信恒基金公允价值变动对当期利润的影响为税后金额。</w:t>
      </w:r>
    </w:p>
    <w:p>
      <w:pPr>
        <w:pStyle w:val="Heading2"/>
        <w:tabs>
          <w:tab w:pos="1340" w:val="left" w:leader="none"/>
        </w:tabs>
        <w:spacing w:line="240" w:lineRule="auto" w:before="68"/>
        <w:ind w:left="500" w:right="560"/>
        <w:jc w:val="left"/>
        <w:rPr>
          <w:b w:val="0"/>
          <w:bCs w:val="0"/>
        </w:rPr>
      </w:pPr>
      <w:r>
        <w:rPr/>
        <w:t>十二、</w:t>
        <w:tab/>
        <w:t>其他</w:t>
      </w:r>
      <w:r>
        <w:rPr>
          <w:b w:val="0"/>
          <w:bCs w:val="0"/>
        </w:rPr>
      </w:r>
    </w:p>
    <w:p>
      <w:pPr>
        <w:pStyle w:val="BodyText"/>
        <w:spacing w:line="240" w:lineRule="auto" w:before="56"/>
        <w:ind w:left="500" w:right="560"/>
        <w:jc w:val="left"/>
      </w:pPr>
      <w:r>
        <w:rPr/>
        <w:t>□适用 √不适用</w:t>
      </w:r>
    </w:p>
    <w:p>
      <w:pPr>
        <w:pStyle w:val="Heading1"/>
        <w:tabs>
          <w:tab w:pos="1259" w:val="left" w:leader="none"/>
        </w:tabs>
        <w:spacing w:line="240" w:lineRule="auto" w:before="44"/>
        <w:ind w:right="0"/>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290" w:lineRule="auto" w:before="0"/>
        <w:ind w:left="920" w:right="0"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sz w:val="21"/>
          <w:szCs w:val="21"/>
        </w:rPr>
        <w:t>本公司作为以出版发行为主业的全国一流文化企业，以传承中华文化为使命，是集出版物编辑、</w:t>
      </w:r>
    </w:p>
    <w:p>
      <w:pPr>
        <w:pStyle w:val="BodyText"/>
        <w:spacing w:line="357" w:lineRule="auto" w:before="89"/>
        <w:ind w:left="500" w:right="0"/>
        <w:jc w:val="left"/>
      </w:pPr>
      <w:r>
        <w:rPr>
          <w:spacing w:val="-2"/>
        </w:rPr>
        <w:t>出版、销售及多元文化产业投资于一体的文化产业经营实体，主营业务包括出版业务、阅读服务业</w:t>
      </w:r>
      <w:r>
        <w:rPr>
          <w:spacing w:val="-29"/>
        </w:rPr>
        <w:t> </w:t>
      </w:r>
      <w:r>
        <w:rPr>
          <w:spacing w:val="-29"/>
        </w:rPr>
      </w:r>
      <w:r>
        <w:rPr/>
        <w:t>务和教育服务业务，销售的商品包括自有出版物和外采商品。</w:t>
      </w:r>
    </w:p>
    <w:p>
      <w:pPr>
        <w:pStyle w:val="BodyText"/>
        <w:spacing w:line="240" w:lineRule="auto" w:before="31"/>
        <w:ind w:left="920" w:right="560"/>
        <w:jc w:val="left"/>
      </w:pPr>
      <w:r>
        <w:rPr>
          <w:rFonts w:ascii="宋体" w:hAnsi="宋体" w:cs="宋体" w:eastAsia="宋体" w:hint="default"/>
        </w:rPr>
        <w:t>1.</w:t>
      </w:r>
      <w:r>
        <w:rPr/>
        <w:t>出版业务：本公司旗下</w:t>
      </w:r>
      <w:r>
        <w:rPr>
          <w:spacing w:val="-59"/>
        </w:rPr>
        <w:t> </w:t>
      </w:r>
      <w:r>
        <w:rPr>
          <w:rFonts w:ascii="宋体" w:hAnsi="宋体" w:cs="宋体" w:eastAsia="宋体" w:hint="default"/>
        </w:rPr>
        <w:t>10</w:t>
      </w:r>
      <w:r>
        <w:rPr>
          <w:rFonts w:ascii="宋体" w:hAnsi="宋体" w:cs="宋体" w:eastAsia="宋体" w:hint="default"/>
          <w:spacing w:val="-57"/>
        </w:rPr>
        <w:t> </w:t>
      </w:r>
      <w:r>
        <w:rPr/>
        <w:t>家出版社，围绕各自的出版专业定位，组织策划选题，按出版流</w:t>
      </w:r>
    </w:p>
    <w:p>
      <w:pPr>
        <w:pStyle w:val="BodyText"/>
        <w:spacing w:line="240" w:lineRule="auto" w:before="133"/>
        <w:ind w:left="500" w:right="0"/>
        <w:jc w:val="left"/>
      </w:pPr>
      <w:r>
        <w:rPr/>
        <w:t>程完成图书出版工作，并通过相关渠道面向市场进行销售。其中</w:t>
      </w:r>
      <w:r>
        <w:rPr>
          <w:spacing w:val="-58"/>
        </w:rPr>
        <w:t> </w:t>
      </w:r>
      <w:r>
        <w:rPr>
          <w:rFonts w:ascii="宋体" w:hAnsi="宋体" w:cs="宋体" w:eastAsia="宋体" w:hint="default"/>
        </w:rPr>
        <w:t>1</w:t>
      </w:r>
      <w:r>
        <w:rPr>
          <w:rFonts w:ascii="宋体" w:hAnsi="宋体" w:cs="宋体" w:eastAsia="宋体" w:hint="default"/>
          <w:spacing w:val="-60"/>
        </w:rPr>
        <w:t> </w:t>
      </w:r>
      <w:r>
        <w:rPr/>
        <w:t>家出版社作为专业的教育图书出</w:t>
      </w:r>
    </w:p>
    <w:p>
      <w:pPr>
        <w:pStyle w:val="BodyText"/>
        <w:spacing w:line="355" w:lineRule="auto" w:before="133"/>
        <w:ind w:left="500" w:right="487"/>
        <w:jc w:val="left"/>
      </w:pPr>
      <w:r>
        <w:rPr/>
        <w:t>版单位，负责本公司教育类图书的研发及出版工作，其余</w:t>
      </w:r>
      <w:r>
        <w:rPr>
          <w:spacing w:val="-59"/>
        </w:rPr>
        <w:t> </w:t>
      </w:r>
      <w:r>
        <w:rPr>
          <w:rFonts w:ascii="宋体" w:hAnsi="宋体" w:cs="宋体" w:eastAsia="宋体" w:hint="default"/>
        </w:rPr>
        <w:t>9</w:t>
      </w:r>
      <w:r>
        <w:rPr>
          <w:rFonts w:ascii="宋体" w:hAnsi="宋体" w:cs="宋体" w:eastAsia="宋体" w:hint="default"/>
          <w:spacing w:val="-57"/>
        </w:rPr>
        <w:t> </w:t>
      </w:r>
      <w:r>
        <w:rPr/>
        <w:t>家为专业大众图书及音像电子网络出版</w:t>
      </w:r>
      <w:r>
        <w:rPr>
          <w:w w:val="100"/>
        </w:rPr>
        <w:t> </w:t>
      </w:r>
      <w:r>
        <w:rPr/>
        <w:t>单位，负责相关产品的研发及出版工作。</w:t>
      </w:r>
    </w:p>
    <w:p>
      <w:pPr>
        <w:pStyle w:val="BodyText"/>
        <w:spacing w:line="355" w:lineRule="auto" w:before="34"/>
        <w:ind w:left="500" w:right="491" w:firstLine="420"/>
        <w:jc w:val="both"/>
      </w:pPr>
      <w:r>
        <w:rPr>
          <w:rFonts w:ascii="宋体" w:hAnsi="宋体" w:cs="宋体" w:eastAsia="宋体" w:hint="default"/>
        </w:rPr>
        <w:t>2.</w:t>
      </w:r>
      <w:r>
        <w:rPr/>
        <w:t>阅读服务业务：包括实体门店和互联网销售业务。本公司构建了强大的实体销售网络</w:t>
      </w:r>
      <w:r>
        <w:rPr>
          <w:rFonts w:ascii="宋体" w:hAnsi="宋体" w:cs="宋体" w:eastAsia="宋体" w:hint="default"/>
        </w:rPr>
        <w:t>,</w:t>
      </w:r>
      <w:r>
        <w:rPr/>
        <w:t>拥有</w:t>
      </w:r>
      <w:r>
        <w:rPr>
          <w:spacing w:val="-3"/>
          <w:w w:val="100"/>
        </w:rPr>
        <w:t> </w:t>
      </w:r>
      <w:r>
        <w:rPr/>
        <w:t>覆盖全省的</w:t>
      </w:r>
      <w:r>
        <w:rPr>
          <w:spacing w:val="-53"/>
        </w:rPr>
        <w:t> </w:t>
      </w:r>
      <w:r>
        <w:rPr>
          <w:rFonts w:ascii="宋体" w:hAnsi="宋体" w:cs="宋体" w:eastAsia="宋体" w:hint="default"/>
        </w:rPr>
        <w:t>160</w:t>
      </w:r>
      <w:r>
        <w:rPr>
          <w:rFonts w:ascii="宋体" w:hAnsi="宋体" w:cs="宋体" w:eastAsia="宋体" w:hint="default"/>
          <w:spacing w:val="-55"/>
        </w:rPr>
        <w:t> </w:t>
      </w:r>
      <w:r>
        <w:rPr/>
        <w:t>多家零售直营门店、遍布全国大中城市的</w:t>
      </w:r>
      <w:r>
        <w:rPr>
          <w:spacing w:val="-53"/>
        </w:rPr>
        <w:t> </w:t>
      </w:r>
      <w:r>
        <w:rPr>
          <w:rFonts w:ascii="宋体" w:hAnsi="宋体" w:cs="宋体" w:eastAsia="宋体" w:hint="default"/>
        </w:rPr>
        <w:t>700</w:t>
      </w:r>
      <w:r>
        <w:rPr>
          <w:rFonts w:ascii="宋体" w:hAnsi="宋体" w:cs="宋体" w:eastAsia="宋体" w:hint="default"/>
          <w:spacing w:val="-55"/>
        </w:rPr>
        <w:t> </w:t>
      </w:r>
      <w:r>
        <w:rPr/>
        <w:t>多家商超网点，</w:t>
      </w:r>
      <w:r>
        <w:rPr>
          <w:rFonts w:ascii="宋体" w:hAnsi="宋体" w:cs="宋体" w:eastAsia="宋体" w:hint="default"/>
        </w:rPr>
        <w:t>200</w:t>
      </w:r>
      <w:r>
        <w:rPr>
          <w:rFonts w:ascii="宋体" w:hAnsi="宋体" w:cs="宋体" w:eastAsia="宋体" w:hint="default"/>
          <w:spacing w:val="-54"/>
        </w:rPr>
        <w:t> </w:t>
      </w:r>
      <w:r>
        <w:rPr/>
        <w:t>余家布局四川、</w:t>
      </w:r>
      <w:r>
        <w:rPr>
          <w:w w:val="100"/>
        </w:rPr>
        <w:t> </w:t>
      </w:r>
      <w:r>
        <w:rPr>
          <w:spacing w:val="-2"/>
        </w:rPr>
        <w:t>北京的智能阅读服务网点，以及“文轩网”“九月网”为核心的互联网销售平台，为广大消费者提</w:t>
      </w:r>
      <w:r>
        <w:rPr>
          <w:spacing w:val="-31"/>
        </w:rPr>
        <w:t> </w:t>
      </w:r>
      <w:r>
        <w:rPr>
          <w:spacing w:val="-31"/>
        </w:rPr>
      </w:r>
      <w:r>
        <w:rPr/>
        <w:t>供多维度的阅读文化消费服务。</w:t>
      </w:r>
    </w:p>
    <w:p>
      <w:pPr>
        <w:spacing w:after="0" w:line="355" w:lineRule="auto"/>
        <w:jc w:val="both"/>
        <w:sectPr>
          <w:pgSz w:w="11910" w:h="16840"/>
          <w:pgMar w:header="880" w:footer="1195" w:top="1060" w:bottom="1380" w:left="940" w:right="9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7" w:lineRule="auto" w:before="36"/>
        <w:ind w:left="140" w:right="211" w:firstLine="420"/>
        <w:jc w:val="both"/>
      </w:pPr>
      <w:r>
        <w:rPr>
          <w:rFonts w:ascii="宋体" w:hAnsi="宋体" w:cs="宋体" w:eastAsia="宋体" w:hint="default"/>
        </w:rPr>
        <w:t>3.</w:t>
      </w:r>
      <w:r>
        <w:rPr/>
        <w:t>教育服务业务：本公司拥有覆盖全省的</w:t>
      </w:r>
      <w:r>
        <w:rPr>
          <w:spacing w:val="-56"/>
        </w:rPr>
        <w:t> </w:t>
      </w:r>
      <w:r>
        <w:rPr>
          <w:rFonts w:ascii="宋体" w:hAnsi="宋体" w:cs="宋体" w:eastAsia="宋体" w:hint="default"/>
        </w:rPr>
        <w:t>125</w:t>
      </w:r>
      <w:r>
        <w:rPr>
          <w:rFonts w:ascii="宋体" w:hAnsi="宋体" w:cs="宋体" w:eastAsia="宋体" w:hint="default"/>
          <w:spacing w:val="-59"/>
        </w:rPr>
        <w:t> </w:t>
      </w:r>
      <w:r>
        <w:rPr/>
        <w:t>家分公司组成的教育服务网络，主要为全省中小</w:t>
      </w:r>
      <w:r>
        <w:rPr>
          <w:w w:val="100"/>
        </w:rPr>
        <w:t> </w:t>
      </w:r>
      <w:r>
        <w:rPr>
          <w:spacing w:val="-2"/>
        </w:rPr>
        <w:t>学校和师生提供教学用书、教育信息化及教育装备服务。公司总部负责制定营销策略和计划，组织</w:t>
      </w:r>
      <w:r>
        <w:rPr>
          <w:spacing w:val="-30"/>
        </w:rPr>
        <w:t> </w:t>
      </w:r>
      <w:r>
        <w:rPr>
          <w:spacing w:val="-30"/>
        </w:rPr>
      </w:r>
      <w:r>
        <w:rPr>
          <w:spacing w:val="-2"/>
        </w:rPr>
        <w:t>进行商品采购、渠道建设、市场营销及销售工作，以获取订单。省内各分公司接受省内各中小学的</w:t>
      </w:r>
      <w:r>
        <w:rPr>
          <w:spacing w:val="-34"/>
        </w:rPr>
        <w:t> </w:t>
      </w:r>
      <w:r>
        <w:rPr>
          <w:spacing w:val="-34"/>
        </w:rPr>
      </w:r>
      <w:r>
        <w:rPr>
          <w:spacing w:val="-2"/>
        </w:rPr>
        <w:t>教材报订，面向用户进行教辅销售，主要通过参与各级教育部门招标进行教育信息化及教育装备产</w:t>
      </w:r>
      <w:r>
        <w:rPr>
          <w:spacing w:val="-29"/>
        </w:rPr>
        <w:t> </w:t>
      </w:r>
      <w:r>
        <w:rPr>
          <w:spacing w:val="-29"/>
        </w:rPr>
      </w:r>
      <w:r>
        <w:rPr>
          <w:spacing w:val="-2"/>
        </w:rPr>
        <w:t>品的销售。公司教学用书产品包括教材教辅；教育信息化产品包括满足国家建设“三通两平台”要</w:t>
      </w:r>
      <w:r>
        <w:rPr>
          <w:spacing w:val="-34"/>
        </w:rPr>
        <w:t> </w:t>
      </w:r>
      <w:r>
        <w:rPr>
          <w:spacing w:val="-34"/>
        </w:rPr>
      </w:r>
      <w:r>
        <w:rPr>
          <w:spacing w:val="-2"/>
        </w:rPr>
        <w:t>求的智慧校园、智慧课堂、数字学校及文轩云平台等；教育装备产品包括基础类仪器教育装备和创</w:t>
      </w:r>
      <w:r>
        <w:rPr>
          <w:spacing w:val="-33"/>
        </w:rPr>
        <w:t> </w:t>
      </w:r>
      <w:r>
        <w:rPr>
          <w:spacing w:val="-33"/>
        </w:rPr>
      </w:r>
      <w:r>
        <w:rPr>
          <w:spacing w:val="-2"/>
        </w:rPr>
        <w:t>新类教育装备。公司充分发挥内容资源整合优势和销售网络优势，做精做深教育服务，推动业绩增</w:t>
      </w:r>
      <w:r>
        <w:rPr>
          <w:spacing w:val="-28"/>
        </w:rPr>
        <w:t> </w:t>
      </w:r>
      <w:r>
        <w:rPr>
          <w:spacing w:val="-28"/>
        </w:rPr>
      </w:r>
      <w:r>
        <w:rPr/>
        <w:t>长。</w:t>
      </w:r>
    </w:p>
    <w:p>
      <w:pPr>
        <w:pStyle w:val="BodyText"/>
        <w:spacing w:line="357" w:lineRule="auto" w:before="31"/>
        <w:ind w:left="140" w:right="117" w:firstLine="420"/>
        <w:jc w:val="left"/>
      </w:pPr>
      <w:r>
        <w:rPr>
          <w:rFonts w:ascii="宋体" w:hAnsi="宋体" w:cs="宋体" w:eastAsia="宋体" w:hint="default"/>
        </w:rPr>
        <w:t>2018</w:t>
      </w:r>
      <w:r>
        <w:rPr>
          <w:rFonts w:ascii="宋体" w:hAnsi="宋体" w:cs="宋体" w:eastAsia="宋体" w:hint="default"/>
          <w:spacing w:val="-39"/>
        </w:rPr>
        <w:t> </w:t>
      </w:r>
      <w:r>
        <w:rPr>
          <w:spacing w:val="-3"/>
        </w:rPr>
        <w:t>年是贯彻党的十九大精神的开局之年，党的十九大报告明确了文化建设在中国特色社会主</w:t>
      </w:r>
      <w:r>
        <w:rPr>
          <w:w w:val="100"/>
        </w:rPr>
        <w:t> </w:t>
      </w:r>
      <w:r>
        <w:rPr>
          <w:spacing w:val="-3"/>
        </w:rPr>
        <w:t>义建设总体布局中的定位，提出了新时代文化建设的基本要求。</w:t>
      </w:r>
      <w:r>
        <w:rPr>
          <w:rFonts w:ascii="宋体" w:hAnsi="宋体" w:cs="宋体" w:eastAsia="宋体" w:hint="default"/>
          <w:spacing w:val="-3"/>
        </w:rPr>
        <w:t>2018 </w:t>
      </w:r>
      <w:r>
        <w:rPr>
          <w:spacing w:val="-3"/>
        </w:rPr>
        <w:t>年，“全民阅读”第五次写入</w:t>
      </w:r>
      <w:r>
        <w:rPr>
          <w:spacing w:val="-86"/>
        </w:rPr>
        <w:t> </w:t>
      </w:r>
      <w:r>
        <w:rPr>
          <w:spacing w:val="-86"/>
        </w:rPr>
      </w:r>
      <w:r>
        <w:rPr/>
        <w:t>政府工作报告，公共文化服务建设再上新台阶。为进一步深化文化体制改革，促进文化企业发展，</w:t>
      </w:r>
      <w:r>
        <w:rPr>
          <w:spacing w:val="-9"/>
        </w:rPr>
        <w:t> </w:t>
      </w:r>
      <w:r>
        <w:rPr>
          <w:spacing w:val="-9"/>
        </w:rPr>
      </w:r>
      <w:r>
        <w:rPr/>
        <w:t>国务院办公厅、财政部、文化旅游部等部门多措并举，加快构建现代化文化市场体系，陆续发布了</w:t>
      </w:r>
      <w:r>
        <w:rPr>
          <w:w w:val="100"/>
        </w:rPr>
        <w:t> </w:t>
      </w:r>
      <w:r>
        <w:rPr/>
        <w:t>一系列优惠政策，涵盖体制建设、人才培养、财政金融、国际贸易和产业融合等多个方面，助力培</w:t>
      </w:r>
      <w:r>
        <w:rPr>
          <w:w w:val="100"/>
        </w:rPr>
        <w:t> </w:t>
      </w:r>
      <w:r>
        <w:rPr/>
        <w:t>育新型文化业态，促进文化企业做强、做优、做大，有力地提振了出版传媒企业发展信心，为推进</w:t>
      </w:r>
      <w:r>
        <w:rPr>
          <w:w w:val="100"/>
        </w:rPr>
        <w:t> </w:t>
      </w:r>
      <w:r>
        <w:rPr/>
        <w:t>新闻出版产业升级融合发展和新时代加强与改进出版工作指明了方向。</w:t>
      </w:r>
    </w:p>
    <w:p>
      <w:pPr>
        <w:pStyle w:val="BodyText"/>
        <w:spacing w:line="357" w:lineRule="auto" w:before="30"/>
        <w:ind w:left="140" w:right="211" w:firstLine="420"/>
        <w:jc w:val="both"/>
      </w:pPr>
      <w:r>
        <w:rPr>
          <w:spacing w:val="-2"/>
        </w:rPr>
        <w:t>随着中国特色社会主义进入新时代，我国已经进入高质量发展的新阶段，出版业的发展目标也</w:t>
      </w:r>
      <w:r>
        <w:rPr>
          <w:w w:val="100"/>
        </w:rPr>
        <w:t> </w:t>
      </w:r>
      <w:r>
        <w:rPr>
          <w:spacing w:val="-2"/>
        </w:rPr>
        <w:t>由数量规模增长转变到质量效益提升。从中国图书阅读市场来看，随着社会购买力的提高和互联网</w:t>
      </w:r>
      <w:r>
        <w:rPr>
          <w:spacing w:val="-30"/>
        </w:rPr>
        <w:t> </w:t>
      </w:r>
      <w:r>
        <w:rPr>
          <w:spacing w:val="-30"/>
        </w:rPr>
      </w:r>
      <w:r>
        <w:rPr>
          <w:spacing w:val="-2"/>
        </w:rPr>
        <w:t>时代阅读方式的变化，阅读服务需求表现强劲，但阅读服务市场细分越趋明显，竞争激烈。中国书</w:t>
      </w:r>
      <w:r>
        <w:rPr>
          <w:spacing w:val="-35"/>
        </w:rPr>
        <w:t> </w:t>
      </w:r>
      <w:r>
        <w:rPr>
          <w:spacing w:val="-35"/>
        </w:rPr>
      </w:r>
      <w:r>
        <w:rPr>
          <w:spacing w:val="-2"/>
        </w:rPr>
        <w:t>业零售市场在调整中发展，行业内实体书店转型升级速度明显加快，同时各上市公司纷纷探索线上</w:t>
      </w:r>
      <w:r>
        <w:rPr>
          <w:spacing w:val="-30"/>
        </w:rPr>
        <w:t> </w:t>
      </w:r>
      <w:r>
        <w:rPr>
          <w:spacing w:val="-30"/>
        </w:rPr>
      </w:r>
      <w:r>
        <w:rPr>
          <w:spacing w:val="-3"/>
        </w:rPr>
        <w:t>线下融合发展新模式。我国数字出版产业依旧保持快速发展势头，电子书、有声书、</w:t>
      </w:r>
      <w:r>
        <w:rPr>
          <w:rFonts w:ascii="宋体" w:hAnsi="宋体" w:cs="宋体" w:eastAsia="宋体" w:hint="default"/>
          <w:spacing w:val="-3"/>
        </w:rPr>
        <w:t>AR</w:t>
      </w:r>
      <w:r>
        <w:rPr>
          <w:rFonts w:ascii="宋体" w:hAnsi="宋体" w:cs="宋体" w:eastAsia="宋体" w:hint="default"/>
          <w:spacing w:val="-14"/>
        </w:rPr>
        <w:t> </w:t>
      </w:r>
      <w:r>
        <w:rPr/>
        <w:t>图书等内容</w:t>
      </w:r>
      <w:r>
        <w:rPr>
          <w:spacing w:val="-90"/>
        </w:rPr>
        <w:t> </w:t>
      </w:r>
      <w:r>
        <w:rPr>
          <w:spacing w:val="-90"/>
        </w:rPr>
      </w:r>
      <w:r>
        <w:rPr>
          <w:spacing w:val="-3"/>
        </w:rPr>
        <w:t>呈现形式创新，</w:t>
      </w:r>
      <w:r>
        <w:rPr>
          <w:rFonts w:ascii="宋体" w:hAnsi="宋体" w:cs="宋体" w:eastAsia="宋体" w:hint="default"/>
          <w:spacing w:val="-3"/>
        </w:rPr>
        <w:t>IP </w:t>
      </w:r>
      <w:r>
        <w:rPr>
          <w:spacing w:val="-3"/>
        </w:rPr>
        <w:t>运营、共享阅读、付费阅读等运营模式创新，为传统的出版发行产业注入了新的</w:t>
      </w:r>
      <w:r>
        <w:rPr>
          <w:spacing w:val="-87"/>
        </w:rPr>
        <w:t> </w:t>
      </w:r>
      <w:r>
        <w:rPr>
          <w:spacing w:val="-87"/>
        </w:rPr>
      </w:r>
      <w:r>
        <w:rPr/>
        <w:t>活力。</w:t>
      </w:r>
    </w:p>
    <w:p>
      <w:pPr>
        <w:pStyle w:val="Heading2"/>
        <w:spacing w:line="240" w:lineRule="auto" w:before="90"/>
        <w:ind w:left="140" w:right="117"/>
        <w:jc w:val="left"/>
        <w:rPr>
          <w:b w:val="0"/>
          <w:bCs w:val="0"/>
        </w:rPr>
      </w:pPr>
      <w:r>
        <w:rPr/>
        <w:t>二、报告期内公司主要资产发生重大变化情况的说明</w:t>
      </w:r>
      <w:r>
        <w:rPr>
          <w:b w:val="0"/>
          <w:bCs w:val="0"/>
        </w:rPr>
      </w:r>
    </w:p>
    <w:p>
      <w:pPr>
        <w:spacing w:line="290" w:lineRule="auto" w:before="58"/>
        <w:ind w:left="140" w:right="64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273" w:lineRule="exact" w:before="14"/>
        <w:ind w:left="140" w:right="117"/>
        <w:jc w:val="left"/>
      </w:pPr>
      <w:r>
        <w:rPr/>
        <w:t>√适用 □不适用</w:t>
      </w:r>
    </w:p>
    <w:p>
      <w:pPr>
        <w:pStyle w:val="BodyText"/>
        <w:spacing w:line="357" w:lineRule="auto"/>
        <w:ind w:left="140" w:right="211" w:firstLine="513"/>
        <w:jc w:val="both"/>
      </w:pPr>
      <w:r>
        <w:rPr>
          <w:spacing w:val="-4"/>
        </w:rPr>
        <w:t>本集团作为出版发行产业链一体化经营的出版传媒企业，从内容到渠道，从前台到后端，构筑</w:t>
      </w:r>
      <w:r>
        <w:rPr>
          <w:w w:val="100"/>
        </w:rPr>
        <w:t> </w:t>
      </w:r>
      <w:r>
        <w:rPr>
          <w:spacing w:val="-2"/>
        </w:rPr>
        <w:t>了一个覆盖出版传媒产业链所有环节的创新、高效业务网络。本公司通过在出版传媒产业链各个环</w:t>
      </w:r>
      <w:r>
        <w:rPr>
          <w:spacing w:val="-29"/>
        </w:rPr>
        <w:t> </w:t>
      </w:r>
      <w:r>
        <w:rPr>
          <w:spacing w:val="-29"/>
        </w:rPr>
      </w:r>
      <w:r>
        <w:rPr>
          <w:spacing w:val="-2"/>
        </w:rPr>
        <w:t>节的精耕细作，业务间的协同力持续增强，业务运转效率得到明显提高，在出版、教育服务、阅读</w:t>
      </w:r>
      <w:r>
        <w:rPr>
          <w:spacing w:val="-37"/>
        </w:rPr>
        <w:t> </w:t>
      </w:r>
      <w:r>
        <w:rPr>
          <w:spacing w:val="-37"/>
        </w:rPr>
      </w:r>
      <w:r>
        <w:rPr/>
        <w:t>服务、渠道建设等方面的竞争力不断增强。</w:t>
      </w:r>
    </w:p>
    <w:p>
      <w:pPr>
        <w:pStyle w:val="BodyText"/>
        <w:spacing w:line="357" w:lineRule="auto" w:before="30"/>
        <w:ind w:left="140" w:right="213" w:firstLine="422"/>
        <w:jc w:val="both"/>
      </w:pPr>
      <w:r>
        <w:rPr>
          <w:rFonts w:ascii="宋体" w:hAnsi="宋体" w:cs="宋体" w:eastAsia="宋体" w:hint="default"/>
          <w:b/>
          <w:bCs/>
          <w:spacing w:val="-2"/>
        </w:rPr>
        <w:t>（一）出版能力优势</w:t>
      </w:r>
      <w:r>
        <w:rPr>
          <w:spacing w:val="-2"/>
        </w:rPr>
        <w:t>。本公司一向重视导向管理、质量把控，制定并严格执行各项出版管理制</w:t>
      </w:r>
      <w:r>
        <w:rPr>
          <w:w w:val="100"/>
        </w:rPr>
        <w:t> </w:t>
      </w:r>
      <w:r>
        <w:rPr>
          <w:spacing w:val="-2"/>
        </w:rPr>
        <w:t>度。在“振兴四川出版”的战略部署下，公司出版的战略核心地位凸显，通过各项举措实现五年目</w:t>
      </w:r>
      <w:r>
        <w:rPr>
          <w:spacing w:val="-34"/>
        </w:rPr>
        <w:t> </w:t>
      </w:r>
      <w:r>
        <w:rPr>
          <w:spacing w:val="-34"/>
        </w:rPr>
      </w:r>
      <w:r>
        <w:rPr>
          <w:spacing w:val="-2"/>
        </w:rPr>
        <w:t>标三年完成，成为发展新引擎。多措并举，吸引王蒙、北猫、刘慈欣等名家签约本公司，并与美国</w:t>
      </w:r>
    </w:p>
    <w:p>
      <w:pPr>
        <w:spacing w:after="0" w:line="357" w:lineRule="auto"/>
        <w:jc w:val="both"/>
        <w:sectPr>
          <w:footerReference w:type="default" r:id="rId11"/>
          <w:pgSz w:w="11910" w:h="16840"/>
          <w:pgMar w:footer="1195" w:header="880" w:top="1060" w:bottom="1380" w:left="13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6"/>
        <w:ind w:left="140" w:right="106"/>
        <w:jc w:val="left"/>
      </w:pPr>
      <w:r>
        <w:rPr/>
        <w:t>企鹅兰登、尼克儿童频道等优质机构达成出版合作，入选国家级出版项目的品种共计</w:t>
      </w:r>
      <w:r>
        <w:rPr>
          <w:spacing w:val="-54"/>
        </w:rPr>
        <w:t> </w:t>
      </w:r>
      <w:r>
        <w:rPr>
          <w:rFonts w:ascii="宋体" w:hAnsi="宋体" w:cs="宋体" w:eastAsia="宋体" w:hint="default"/>
        </w:rPr>
        <w:t>40</w:t>
      </w:r>
      <w:r>
        <w:rPr>
          <w:rFonts w:ascii="宋体" w:hAnsi="宋体" w:cs="宋体" w:eastAsia="宋体" w:hint="default"/>
          <w:spacing w:val="-55"/>
        </w:rPr>
        <w:t> </w:t>
      </w:r>
      <w:r>
        <w:rPr/>
        <w:t>余项。本</w:t>
      </w:r>
      <w:r>
        <w:rPr>
          <w:w w:val="100"/>
        </w:rPr>
        <w:t> </w:t>
      </w:r>
      <w:r>
        <w:rPr>
          <w:spacing w:val="-2"/>
        </w:rPr>
        <w:t>公司在渠道支撑本版图书销售上不遗余力，各渠道均有相应权重考核，本版图书市场竞争力不断增</w:t>
      </w:r>
      <w:r>
        <w:rPr>
          <w:spacing w:val="-30"/>
        </w:rPr>
        <w:t> </w:t>
      </w:r>
      <w:r>
        <w:rPr>
          <w:spacing w:val="-30"/>
        </w:rPr>
      </w:r>
      <w:r>
        <w:rPr/>
        <w:t>强，在实现连续两年排名增速第一的基础上，</w:t>
      </w:r>
      <w:r>
        <w:rPr>
          <w:rFonts w:ascii="宋体" w:hAnsi="宋体" w:cs="宋体" w:eastAsia="宋体" w:hint="default"/>
        </w:rPr>
        <w:t>2018</w:t>
      </w:r>
      <w:r>
        <w:rPr>
          <w:rFonts w:ascii="宋体" w:hAnsi="宋体" w:cs="宋体" w:eastAsia="宋体" w:hint="default"/>
          <w:spacing w:val="-56"/>
        </w:rPr>
        <w:t> </w:t>
      </w:r>
      <w:r>
        <w:rPr/>
        <w:t>年度继续稳步增长，在全国总体市场排名第</w:t>
      </w:r>
      <w:r>
        <w:rPr>
          <w:spacing w:val="-53"/>
        </w:rPr>
        <w:t> </w:t>
      </w:r>
      <w:r>
        <w:rPr>
          <w:rFonts w:ascii="宋体" w:hAnsi="宋体" w:cs="宋体" w:eastAsia="宋体" w:hint="default"/>
          <w:spacing w:val="-3"/>
        </w:rPr>
        <w:t>13</w:t>
      </w:r>
      <w:r>
        <w:rPr>
          <w:rFonts w:ascii="宋体" w:hAnsi="宋体" w:cs="宋体" w:eastAsia="宋体" w:hint="default"/>
          <w:spacing w:val="-3"/>
          <w:w w:val="100"/>
        </w:rPr>
        <w:t> </w:t>
      </w:r>
      <w:r>
        <w:rPr/>
        <w:t>位（以上数据来自于开卷）。</w:t>
      </w:r>
    </w:p>
    <w:p>
      <w:pPr>
        <w:pStyle w:val="BodyText"/>
        <w:spacing w:line="357" w:lineRule="auto" w:before="34"/>
        <w:ind w:left="140" w:right="111" w:firstLine="422"/>
        <w:jc w:val="both"/>
      </w:pPr>
      <w:r>
        <w:rPr>
          <w:rFonts w:ascii="宋体" w:hAnsi="宋体" w:cs="宋体" w:eastAsia="宋体" w:hint="default"/>
          <w:b/>
          <w:bCs/>
          <w:spacing w:val="-2"/>
        </w:rPr>
        <w:t>（二）阅读服务能力优势</w:t>
      </w:r>
      <w:r>
        <w:rPr>
          <w:spacing w:val="-2"/>
        </w:rPr>
        <w:t>。近年来，公司在全省实体书店的基础上，通过加大业态创新不断满</w:t>
      </w:r>
      <w:r>
        <w:rPr>
          <w:w w:val="100"/>
        </w:rPr>
        <w:t> </w:t>
      </w:r>
      <w:r>
        <w:rPr>
          <w:spacing w:val="-2"/>
        </w:rPr>
        <w:t>足人们文化消费的新需求，构建了以四川省为基础、辐射全国的垂直纵深阅读服务网络体系。本公</w:t>
      </w:r>
      <w:r>
        <w:rPr>
          <w:spacing w:val="-31"/>
        </w:rPr>
        <w:t> </w:t>
      </w:r>
      <w:r>
        <w:rPr>
          <w:spacing w:val="-31"/>
        </w:rPr>
      </w:r>
      <w:r>
        <w:rPr>
          <w:spacing w:val="-9"/>
        </w:rPr>
        <w:t>司运营“新华文轩”“轩客会•格调书店”“读读书吧”“文轩</w:t>
      </w:r>
      <w:r>
        <w:rPr>
          <w:spacing w:val="-31"/>
        </w:rPr>
        <w:t> </w:t>
      </w:r>
      <w:r>
        <w:rPr>
          <w:rFonts w:ascii="宋体" w:hAnsi="宋体" w:cs="宋体" w:eastAsia="宋体" w:hint="default"/>
          <w:spacing w:val="-8"/>
        </w:rPr>
        <w:t>BOOKS</w:t>
      </w:r>
      <w:r>
        <w:rPr>
          <w:spacing w:val="-8"/>
        </w:rPr>
        <w:t>”“格致书馆”“</w:t>
      </w:r>
      <w:r>
        <w:rPr>
          <w:rFonts w:ascii="宋体" w:hAnsi="宋体" w:cs="宋体" w:eastAsia="宋体" w:hint="default"/>
          <w:spacing w:val="-8"/>
        </w:rPr>
        <w:t>Kids</w:t>
      </w:r>
      <w:r>
        <w:rPr>
          <w:rFonts w:ascii="宋体" w:hAnsi="宋体" w:cs="宋体" w:eastAsia="宋体" w:hint="default"/>
          <w:spacing w:val="-28"/>
        </w:rPr>
        <w:t> </w:t>
      </w:r>
      <w:r>
        <w:rPr>
          <w:rFonts w:ascii="宋体" w:hAnsi="宋体" w:cs="宋体" w:eastAsia="宋体" w:hint="default"/>
        </w:rPr>
        <w:t>WinShare</w:t>
      </w:r>
      <w:r>
        <w:rPr>
          <w:rFonts w:ascii="宋体" w:hAnsi="宋体" w:cs="宋体" w:eastAsia="宋体" w:hint="default"/>
          <w:spacing w:val="-94"/>
        </w:rPr>
        <w:t> </w:t>
      </w:r>
      <w:r>
        <w:rPr>
          <w:rFonts w:ascii="宋体" w:hAnsi="宋体" w:cs="宋体" w:eastAsia="宋体" w:hint="default"/>
          <w:spacing w:val="-94"/>
        </w:rPr>
      </w:r>
      <w:r>
        <w:rPr>
          <w:spacing w:val="-3"/>
        </w:rPr>
        <w:t>文轩儿童书店”“文轩云图”“文轩商超”等各具特色的实体书店品牌，涵盖文化</w:t>
      </w:r>
      <w:r>
        <w:rPr>
          <w:spacing w:val="-24"/>
        </w:rPr>
        <w:t> </w:t>
      </w:r>
      <w:r>
        <w:rPr>
          <w:rFonts w:ascii="宋体" w:hAnsi="宋体" w:cs="宋体" w:eastAsia="宋体" w:hint="default"/>
        </w:rPr>
        <w:t>MALL</w:t>
      </w:r>
      <w:r>
        <w:rPr/>
        <w:t>、大中型书</w:t>
      </w:r>
      <w:r>
        <w:rPr>
          <w:spacing w:val="-93"/>
        </w:rPr>
        <w:t> </w:t>
      </w:r>
      <w:r>
        <w:rPr>
          <w:spacing w:val="-93"/>
        </w:rPr>
      </w:r>
      <w:r>
        <w:rPr>
          <w:spacing w:val="-2"/>
        </w:rPr>
        <w:t>店、专业书店、社区书店、商超书店、智能书店等众多业态，为消费者提供便捷、舒适、智能和个</w:t>
      </w:r>
      <w:r>
        <w:rPr>
          <w:spacing w:val="-34"/>
        </w:rPr>
        <w:t> </w:t>
      </w:r>
      <w:r>
        <w:rPr>
          <w:spacing w:val="-34"/>
        </w:rPr>
      </w:r>
      <w:r>
        <w:rPr/>
        <w:t>性化的阅读服务，已成为中国最具影响力的阅读服务提供商之一，阅读服务能力大幅提升。</w:t>
      </w:r>
    </w:p>
    <w:p>
      <w:pPr>
        <w:pStyle w:val="BodyText"/>
        <w:spacing w:line="357" w:lineRule="auto" w:before="30"/>
        <w:ind w:left="140" w:right="111" w:firstLine="422"/>
        <w:jc w:val="both"/>
      </w:pPr>
      <w:r>
        <w:rPr>
          <w:rFonts w:ascii="宋体" w:hAnsi="宋体" w:cs="宋体" w:eastAsia="宋体" w:hint="default"/>
          <w:b/>
          <w:bCs/>
          <w:spacing w:val="-2"/>
        </w:rPr>
        <w:t>（三）教育服务能力优势</w:t>
      </w:r>
      <w:r>
        <w:rPr>
          <w:spacing w:val="-2"/>
        </w:rPr>
        <w:t>。本公司是原国家新闻出版广电总局核准的在四川省唯一具备开展中</w:t>
      </w:r>
      <w:r>
        <w:rPr>
          <w:w w:val="100"/>
        </w:rPr>
        <w:t> </w:t>
      </w:r>
      <w:r>
        <w:rPr>
          <w:spacing w:val="-2"/>
        </w:rPr>
        <w:t>小学教科书发行业务资质的企业。本公司率先提供数字教育业务服务，建立了面向基础教育阶段的</w:t>
      </w:r>
      <w:r>
        <w:rPr>
          <w:spacing w:val="-30"/>
        </w:rPr>
        <w:t> </w:t>
      </w:r>
      <w:r>
        <w:rPr>
          <w:spacing w:val="-30"/>
        </w:rPr>
      </w:r>
      <w:r>
        <w:rPr>
          <w:spacing w:val="-2"/>
        </w:rPr>
        <w:t>教育服务生态体系，提供包括数字化资源、教学软硬件、数字化学科工具和在线服务等在内的教育</w:t>
      </w:r>
      <w:r>
        <w:rPr>
          <w:spacing w:val="-33"/>
        </w:rPr>
        <w:t> </w:t>
      </w:r>
      <w:r>
        <w:rPr>
          <w:spacing w:val="-33"/>
        </w:rPr>
      </w:r>
      <w:r>
        <w:rPr>
          <w:spacing w:val="-2"/>
        </w:rPr>
        <w:t>服务，同时围绕学科内容和课堂教学场景开发学科专业教室和创客教装等创新型教育装备产品。公</w:t>
      </w:r>
      <w:r>
        <w:rPr>
          <w:spacing w:val="-30"/>
        </w:rPr>
        <w:t> </w:t>
      </w:r>
      <w:r>
        <w:rPr>
          <w:spacing w:val="-30"/>
        </w:rPr>
      </w:r>
      <w:r>
        <w:rPr>
          <w:spacing w:val="-2"/>
        </w:rPr>
        <w:t>司产品和服务全面满足教育系统基于课堂教学的需求，从“产品提供商”向“服务运营商”转型升</w:t>
      </w:r>
      <w:r>
        <w:rPr>
          <w:spacing w:val="-31"/>
        </w:rPr>
        <w:t> </w:t>
      </w:r>
      <w:r>
        <w:rPr>
          <w:spacing w:val="-31"/>
        </w:rPr>
      </w:r>
      <w:r>
        <w:rPr/>
        <w:t>级。</w:t>
      </w:r>
    </w:p>
    <w:p>
      <w:pPr>
        <w:pStyle w:val="BodyText"/>
        <w:spacing w:line="357" w:lineRule="auto" w:before="30"/>
        <w:ind w:left="140" w:right="111" w:firstLine="422"/>
        <w:jc w:val="both"/>
      </w:pPr>
      <w:r>
        <w:rPr>
          <w:rFonts w:ascii="宋体" w:hAnsi="宋体" w:cs="宋体" w:eastAsia="宋体" w:hint="default"/>
          <w:b/>
          <w:bCs/>
          <w:spacing w:val="-2"/>
        </w:rPr>
        <w:t>（四）互联网渠道优势</w:t>
      </w:r>
      <w:r>
        <w:rPr>
          <w:spacing w:val="-2"/>
        </w:rPr>
        <w:t>。本公司把握出版业发展趋势，大力拓展互联网销售渠道，打造了面向</w:t>
      </w:r>
      <w:r>
        <w:rPr>
          <w:w w:val="100"/>
        </w:rPr>
        <w:t> </w:t>
      </w:r>
      <w:r>
        <w:rPr>
          <w:spacing w:val="-2"/>
        </w:rPr>
        <w:t>消费者的“文轩网”“九月网”，以及行业参与者的“出版物协同交易平台”等纸质图书和电子书</w:t>
      </w:r>
      <w:r>
        <w:rPr>
          <w:spacing w:val="-33"/>
        </w:rPr>
        <w:t> </w:t>
      </w:r>
      <w:r>
        <w:rPr>
          <w:spacing w:val="-33"/>
        </w:rPr>
      </w:r>
      <w:r>
        <w:rPr>
          <w:spacing w:val="-2"/>
        </w:rPr>
        <w:t>的互联网销售平台。为进一步争夺互联网销售市场，构建了以成都、天津、无锡为中心辐射全国的</w:t>
      </w:r>
      <w:r>
        <w:rPr>
          <w:spacing w:val="-34"/>
        </w:rPr>
        <w:t> </w:t>
      </w:r>
      <w:r>
        <w:rPr>
          <w:spacing w:val="-34"/>
        </w:rPr>
      </w:r>
      <w:r>
        <w:rPr>
          <w:spacing w:val="-2"/>
        </w:rPr>
        <w:t>物流配送体系，着力加强商品供应、销售组织、物流配送及商业技术开发等四大能力建设，发挥了</w:t>
      </w:r>
      <w:r>
        <w:rPr>
          <w:spacing w:val="-32"/>
        </w:rPr>
        <w:t> </w:t>
      </w:r>
      <w:r>
        <w:rPr>
          <w:spacing w:val="-32"/>
        </w:rPr>
      </w:r>
      <w:r>
        <w:rPr/>
        <w:t>供应链整体优势，销售规模持续快速增长。</w:t>
      </w:r>
    </w:p>
    <w:p>
      <w:pPr>
        <w:spacing w:line="240" w:lineRule="auto" w:before="9"/>
        <w:rPr>
          <w:rFonts w:ascii="宋体" w:hAnsi="宋体" w:cs="宋体" w:eastAsia="宋体" w:hint="default"/>
          <w:sz w:val="26"/>
          <w:szCs w:val="26"/>
        </w:rPr>
      </w:pPr>
    </w:p>
    <w:p>
      <w:pPr>
        <w:pStyle w:val="Heading1"/>
        <w:tabs>
          <w:tab w:pos="4019" w:val="left" w:leader="none"/>
        </w:tabs>
        <w:spacing w:line="240" w:lineRule="auto"/>
        <w:ind w:left="2759" w:right="106"/>
        <w:jc w:val="left"/>
        <w:rPr>
          <w:b w:val="0"/>
          <w:bCs w:val="0"/>
        </w:rPr>
      </w:pPr>
      <w:bookmarkStart w:name="_TOC_250008" w:id="4"/>
      <w:r>
        <w:rPr>
          <w:w w:val="95"/>
        </w:rPr>
        <w:t>第四节</w:t>
        <w:tab/>
      </w:r>
      <w:r>
        <w:rPr/>
        <w:t>经营情况讨论与分析</w:t>
      </w:r>
      <w:bookmarkEnd w:id="4"/>
      <w:r>
        <w:rPr>
          <w:b w:val="0"/>
          <w:bCs w:val="0"/>
        </w:rPr>
      </w:r>
    </w:p>
    <w:p>
      <w:pPr>
        <w:spacing w:line="240" w:lineRule="auto" w:before="5"/>
        <w:rPr>
          <w:rFonts w:ascii="黑体" w:hAnsi="黑体" w:cs="黑体" w:eastAsia="黑体" w:hint="default"/>
          <w:b/>
          <w:bCs/>
          <w:sz w:val="19"/>
          <w:szCs w:val="19"/>
        </w:rPr>
      </w:pPr>
    </w:p>
    <w:p>
      <w:pPr>
        <w:pStyle w:val="Heading2"/>
        <w:spacing w:line="240" w:lineRule="auto"/>
        <w:ind w:left="140" w:right="106"/>
        <w:jc w:val="left"/>
        <w:rPr>
          <w:b w:val="0"/>
          <w:bCs w:val="0"/>
        </w:rPr>
      </w:pPr>
      <w:r>
        <w:rPr/>
        <w:t>一、经营情况讨论与分析</w:t>
      </w:r>
      <w:r>
        <w:rPr>
          <w:b w:val="0"/>
          <w:bCs w:val="0"/>
        </w:rPr>
      </w:r>
    </w:p>
    <w:p>
      <w:pPr>
        <w:pStyle w:val="BodyText"/>
        <w:spacing w:line="355" w:lineRule="auto" w:before="56"/>
        <w:ind w:left="140" w:right="111" w:firstLine="420"/>
        <w:jc w:val="both"/>
      </w:pPr>
      <w:r>
        <w:rPr>
          <w:rFonts w:ascii="宋体" w:hAnsi="宋体" w:cs="宋体" w:eastAsia="宋体" w:hint="default"/>
        </w:rPr>
        <w:t>2018</w:t>
      </w:r>
      <w:r>
        <w:rPr>
          <w:rFonts w:ascii="宋体" w:hAnsi="宋体" w:cs="宋体" w:eastAsia="宋体" w:hint="default"/>
          <w:spacing w:val="-16"/>
        </w:rPr>
        <w:t> </w:t>
      </w:r>
      <w:r>
        <w:rPr>
          <w:spacing w:val="-3"/>
        </w:rPr>
        <w:t>年，公司积极推进“振兴四川出版”和“振兴实体书店”两大工程，做强做大出版发行主</w:t>
      </w:r>
      <w:r>
        <w:rPr>
          <w:w w:val="100"/>
        </w:rPr>
        <w:t> </w:t>
      </w:r>
      <w:r>
        <w:rPr/>
        <w:t>业，取得社会效益和经济效益的双丰收。</w:t>
      </w:r>
    </w:p>
    <w:p>
      <w:pPr>
        <w:pStyle w:val="Heading2"/>
        <w:spacing w:line="240" w:lineRule="auto" w:before="34"/>
        <w:ind w:left="562" w:right="106"/>
        <w:jc w:val="left"/>
        <w:rPr>
          <w:b w:val="0"/>
          <w:bCs w:val="0"/>
        </w:rPr>
      </w:pPr>
      <w:r>
        <w:rPr/>
        <w:t>（一）贯彻“三精出版”理念，出版逐步从高速发展转向高质量发展</w:t>
      </w:r>
      <w:r>
        <w:rPr>
          <w:b w:val="0"/>
          <w:bCs w:val="0"/>
        </w:rPr>
      </w:r>
    </w:p>
    <w:p>
      <w:pPr>
        <w:pStyle w:val="BodyText"/>
        <w:spacing w:line="357" w:lineRule="auto" w:before="133"/>
        <w:ind w:left="140" w:right="106" w:firstLine="420"/>
        <w:jc w:val="left"/>
      </w:pPr>
      <w:r>
        <w:rPr>
          <w:rFonts w:ascii="宋体" w:hAnsi="宋体" w:cs="宋体" w:eastAsia="宋体" w:hint="default"/>
        </w:rPr>
        <w:t>2018</w:t>
      </w:r>
      <w:r>
        <w:rPr>
          <w:rFonts w:ascii="宋体" w:hAnsi="宋体" w:cs="宋体" w:eastAsia="宋体" w:hint="default"/>
          <w:spacing w:val="-56"/>
        </w:rPr>
        <w:t> </w:t>
      </w:r>
      <w:r>
        <w:rPr/>
        <w:t>年</w:t>
      </w:r>
      <w:r>
        <w:rPr>
          <w:rFonts w:ascii="宋体" w:hAnsi="宋体" w:cs="宋体" w:eastAsia="宋体" w:hint="default"/>
        </w:rPr>
        <w:t>,</w:t>
      </w:r>
      <w:r>
        <w:rPr/>
        <w:t>本公司按照精准出版、精细出版、精品出版的“三精出版”理念，出版工作从高速发</w:t>
      </w:r>
      <w:r>
        <w:rPr>
          <w:w w:val="100"/>
        </w:rPr>
        <w:t> </w:t>
      </w:r>
      <w:r>
        <w:rPr>
          <w:spacing w:val="-3"/>
        </w:rPr>
        <w:t>展向高质量发展转变。出版影响力进一步提升，出版业务经营业绩显著增长，</w:t>
      </w:r>
      <w:r>
        <w:rPr>
          <w:rFonts w:ascii="宋体" w:hAnsi="宋体" w:cs="宋体" w:eastAsia="宋体" w:hint="default"/>
          <w:spacing w:val="-3"/>
        </w:rPr>
        <w:t>2018</w:t>
      </w:r>
      <w:r>
        <w:rPr>
          <w:rFonts w:ascii="宋体" w:hAnsi="宋体" w:cs="宋体" w:eastAsia="宋体" w:hint="default"/>
          <w:spacing w:val="-17"/>
        </w:rPr>
        <w:t> </w:t>
      </w:r>
      <w:r>
        <w:rPr/>
        <w:t>年一般图书出版</w:t>
      </w:r>
      <w:r>
        <w:rPr>
          <w:spacing w:val="-91"/>
        </w:rPr>
        <w:t> </w:t>
      </w:r>
      <w:r>
        <w:rPr>
          <w:spacing w:val="-91"/>
        </w:rPr>
      </w:r>
      <w:r>
        <w:rPr/>
        <w:t>业务经营净利润首次突破</w:t>
      </w:r>
      <w:r>
        <w:rPr>
          <w:spacing w:val="-56"/>
        </w:rPr>
        <w:t> </w:t>
      </w:r>
      <w:r>
        <w:rPr>
          <w:rFonts w:ascii="宋体" w:hAnsi="宋体" w:cs="宋体" w:eastAsia="宋体" w:hint="default"/>
        </w:rPr>
        <w:t>1</w:t>
      </w:r>
      <w:r>
        <w:rPr>
          <w:rFonts w:ascii="宋体" w:hAnsi="宋体" w:cs="宋体" w:eastAsia="宋体" w:hint="default"/>
          <w:spacing w:val="-53"/>
        </w:rPr>
        <w:t> </w:t>
      </w:r>
      <w:r>
        <w:rPr/>
        <w:t>亿元，与</w:t>
      </w:r>
      <w:r>
        <w:rPr>
          <w:spacing w:val="-56"/>
        </w:rPr>
        <w:t> </w:t>
      </w:r>
      <w:r>
        <w:rPr>
          <w:rFonts w:ascii="宋体" w:hAnsi="宋体" w:cs="宋体" w:eastAsia="宋体" w:hint="default"/>
        </w:rPr>
        <w:t>2017</w:t>
      </w:r>
      <w:r>
        <w:rPr>
          <w:rFonts w:ascii="宋体" w:hAnsi="宋体" w:cs="宋体" w:eastAsia="宋体" w:hint="default"/>
          <w:spacing w:val="-54"/>
        </w:rPr>
        <w:t> </w:t>
      </w:r>
      <w:r>
        <w:rPr/>
        <w:t>年相比翻了一番。据开卷监控数据显示，本期间，本公</w:t>
      </w:r>
      <w:r>
        <w:rPr>
          <w:w w:val="100"/>
        </w:rPr>
        <w:t> </w:t>
      </w:r>
      <w:r>
        <w:rPr/>
        <w:t>司一般图书新书出版品种增长</w:t>
      </w:r>
      <w:r>
        <w:rPr>
          <w:spacing w:val="-57"/>
        </w:rPr>
        <w:t> </w:t>
      </w:r>
      <w:r>
        <w:rPr>
          <w:rFonts w:ascii="宋体" w:hAnsi="宋体" w:cs="宋体" w:eastAsia="宋体" w:hint="default"/>
        </w:rPr>
        <w:t>20%</w:t>
      </w:r>
      <w:r>
        <w:rPr/>
        <w:t>，销售码洋增长</w:t>
      </w:r>
      <w:r>
        <w:rPr>
          <w:spacing w:val="-58"/>
        </w:rPr>
        <w:t> </w:t>
      </w:r>
      <w:r>
        <w:rPr>
          <w:rFonts w:ascii="宋体" w:hAnsi="宋体" w:cs="宋体" w:eastAsia="宋体" w:hint="default"/>
        </w:rPr>
        <w:t>128%</w:t>
      </w:r>
      <w:r>
        <w:rPr/>
        <w:t>，在品种增幅下降的情况下，实现销售码洋</w:t>
      </w:r>
      <w:r>
        <w:rPr>
          <w:w w:val="100"/>
        </w:rPr>
        <w:t> </w:t>
      </w:r>
      <w:r>
        <w:rPr/>
        <w:t>大幅增长，单本图书的首印数和市场效益均在不断提升；在市场排名方面，本公司在</w:t>
      </w:r>
      <w:r>
        <w:rPr>
          <w:spacing w:val="-54"/>
        </w:rPr>
        <w:t> </w:t>
      </w:r>
      <w:r>
        <w:rPr>
          <w:rFonts w:ascii="宋体" w:hAnsi="宋体" w:cs="宋体" w:eastAsia="宋体" w:hint="default"/>
        </w:rPr>
        <w:t>2018</w:t>
      </w:r>
      <w:r>
        <w:rPr>
          <w:rFonts w:ascii="宋体" w:hAnsi="宋体" w:cs="宋体" w:eastAsia="宋体" w:hint="default"/>
          <w:spacing w:val="-57"/>
        </w:rPr>
        <w:t> </w:t>
      </w:r>
      <w:r>
        <w:rPr/>
        <w:t>年开卷</w:t>
      </w:r>
    </w:p>
    <w:p>
      <w:pPr>
        <w:spacing w:after="0" w:line="357" w:lineRule="auto"/>
        <w:jc w:val="left"/>
        <w:sectPr>
          <w:footerReference w:type="default" r:id="rId12"/>
          <w:pgSz w:w="11910" w:h="16840"/>
          <w:pgMar w:footer="1195" w:header="880" w:top="1060" w:bottom="1380" w:left="1300" w:right="1320"/>
          <w:pgNumType w:start="11"/>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36"/>
        <w:ind w:left="140" w:right="117"/>
        <w:jc w:val="left"/>
      </w:pPr>
      <w:r>
        <w:rPr/>
        <w:t>排名中比</w:t>
      </w:r>
      <w:r>
        <w:rPr>
          <w:spacing w:val="-54"/>
        </w:rPr>
        <w:t> </w:t>
      </w:r>
      <w:r>
        <w:rPr>
          <w:rFonts w:ascii="宋体" w:hAnsi="宋体" w:cs="宋体" w:eastAsia="宋体" w:hint="default"/>
        </w:rPr>
        <w:t>2017</w:t>
      </w:r>
      <w:r>
        <w:rPr>
          <w:rFonts w:ascii="宋体" w:hAnsi="宋体" w:cs="宋体" w:eastAsia="宋体" w:hint="default"/>
          <w:spacing w:val="-56"/>
        </w:rPr>
        <w:t> </w:t>
      </w:r>
      <w:r>
        <w:rPr/>
        <w:t>年提升</w:t>
      </w:r>
      <w:r>
        <w:rPr>
          <w:spacing w:val="-54"/>
        </w:rPr>
        <w:t> </w:t>
      </w:r>
      <w:r>
        <w:rPr>
          <w:rFonts w:ascii="宋体" w:hAnsi="宋体" w:cs="宋体" w:eastAsia="宋体" w:hint="default"/>
        </w:rPr>
        <w:t>2</w:t>
      </w:r>
      <w:r>
        <w:rPr>
          <w:rFonts w:ascii="宋体" w:hAnsi="宋体" w:cs="宋体" w:eastAsia="宋体" w:hint="default"/>
          <w:spacing w:val="-56"/>
        </w:rPr>
        <w:t> </w:t>
      </w:r>
      <w:r>
        <w:rPr/>
        <w:t>个位次，比</w:t>
      </w:r>
      <w:r>
        <w:rPr>
          <w:spacing w:val="-53"/>
        </w:rPr>
        <w:t> </w:t>
      </w:r>
      <w:r>
        <w:rPr>
          <w:rFonts w:ascii="宋体" w:hAnsi="宋体" w:cs="宋体" w:eastAsia="宋体" w:hint="default"/>
        </w:rPr>
        <w:t>2016</w:t>
      </w:r>
      <w:r>
        <w:rPr>
          <w:rFonts w:ascii="宋体" w:hAnsi="宋体" w:cs="宋体" w:eastAsia="宋体" w:hint="default"/>
          <w:spacing w:val="-54"/>
        </w:rPr>
        <w:t> </w:t>
      </w:r>
      <w:r>
        <w:rPr/>
        <w:t>年提升</w:t>
      </w:r>
      <w:r>
        <w:rPr>
          <w:spacing w:val="-56"/>
        </w:rPr>
        <w:t> </w:t>
      </w:r>
      <w:r>
        <w:rPr>
          <w:rFonts w:ascii="宋体" w:hAnsi="宋体" w:cs="宋体" w:eastAsia="宋体" w:hint="default"/>
        </w:rPr>
        <w:t>6</w:t>
      </w:r>
      <w:r>
        <w:rPr>
          <w:rFonts w:ascii="宋体" w:hAnsi="宋体" w:cs="宋体" w:eastAsia="宋体" w:hint="default"/>
          <w:spacing w:val="-54"/>
        </w:rPr>
        <w:t> </w:t>
      </w:r>
      <w:r>
        <w:rPr/>
        <w:t>个位次，位列全国</w:t>
      </w:r>
      <w:r>
        <w:rPr>
          <w:spacing w:val="-54"/>
        </w:rPr>
        <w:t> </w:t>
      </w:r>
      <w:r>
        <w:rPr>
          <w:rFonts w:ascii="宋体" w:hAnsi="宋体" w:cs="宋体" w:eastAsia="宋体" w:hint="default"/>
        </w:rPr>
        <w:t>36</w:t>
      </w:r>
      <w:r>
        <w:rPr>
          <w:rFonts w:ascii="宋体" w:hAnsi="宋体" w:cs="宋体" w:eastAsia="宋体" w:hint="default"/>
          <w:spacing w:val="-54"/>
        </w:rPr>
        <w:t> </w:t>
      </w:r>
      <w:r>
        <w:rPr/>
        <w:t>家出版集团中第</w:t>
      </w:r>
      <w:r>
        <w:rPr>
          <w:spacing w:val="-54"/>
        </w:rPr>
        <w:t> </w:t>
      </w:r>
      <w:r>
        <w:rPr>
          <w:rFonts w:ascii="宋体" w:hAnsi="宋体" w:cs="宋体" w:eastAsia="宋体" w:hint="default"/>
        </w:rPr>
        <w:t>13</w:t>
      </w:r>
      <w:r>
        <w:rPr>
          <w:rFonts w:ascii="宋体" w:hAnsi="宋体" w:cs="宋体" w:eastAsia="宋体" w:hint="default"/>
          <w:spacing w:val="-54"/>
        </w:rPr>
        <w:t> </w:t>
      </w:r>
      <w:r>
        <w:rPr/>
        <w:t>位。公</w:t>
      </w:r>
    </w:p>
    <w:p>
      <w:pPr>
        <w:pStyle w:val="BodyText"/>
        <w:spacing w:line="240" w:lineRule="auto" w:before="133"/>
        <w:ind w:left="140" w:right="117"/>
        <w:jc w:val="left"/>
      </w:pPr>
      <w:r>
        <w:rPr/>
        <w:t>司旗下四川少年儿童出版社和天地出版社稳居全国百强，分别位列</w:t>
      </w:r>
      <w:r>
        <w:rPr>
          <w:spacing w:val="-57"/>
        </w:rPr>
        <w:t> </w:t>
      </w:r>
      <w:r>
        <w:rPr>
          <w:rFonts w:ascii="宋体" w:hAnsi="宋体" w:cs="宋体" w:eastAsia="宋体" w:hint="default"/>
        </w:rPr>
        <w:t>32</w:t>
      </w:r>
      <w:r>
        <w:rPr>
          <w:rFonts w:ascii="宋体" w:hAnsi="宋体" w:cs="宋体" w:eastAsia="宋体" w:hint="default"/>
          <w:spacing w:val="-57"/>
        </w:rPr>
        <w:t> </w:t>
      </w:r>
      <w:r>
        <w:rPr/>
        <w:t>位和</w:t>
      </w:r>
      <w:r>
        <w:rPr>
          <w:spacing w:val="-55"/>
        </w:rPr>
        <w:t> </w:t>
      </w:r>
      <w:r>
        <w:rPr>
          <w:rFonts w:ascii="宋体" w:hAnsi="宋体" w:cs="宋体" w:eastAsia="宋体" w:hint="default"/>
        </w:rPr>
        <w:t>53</w:t>
      </w:r>
      <w:r>
        <w:rPr>
          <w:rFonts w:ascii="宋体" w:hAnsi="宋体" w:cs="宋体" w:eastAsia="宋体" w:hint="default"/>
          <w:spacing w:val="-55"/>
        </w:rPr>
        <w:t> </w:t>
      </w:r>
      <w:r>
        <w:rPr/>
        <w:t>位。有市场影响力的</w:t>
      </w:r>
    </w:p>
    <w:p>
      <w:pPr>
        <w:pStyle w:val="BodyText"/>
        <w:spacing w:line="240" w:lineRule="auto" w:before="133"/>
        <w:ind w:left="140" w:right="117"/>
        <w:jc w:val="left"/>
      </w:pPr>
      <w:r>
        <w:rPr>
          <w:w w:val="100"/>
        </w:rPr>
        <w:t>图书</w:t>
      </w:r>
      <w:r>
        <w:rPr>
          <w:spacing w:val="-3"/>
          <w:w w:val="100"/>
        </w:rPr>
        <w:t>品</w:t>
      </w:r>
      <w:r>
        <w:rPr>
          <w:w w:val="100"/>
        </w:rPr>
        <w:t>种</w:t>
      </w:r>
      <w:r>
        <w:rPr>
          <w:spacing w:val="-3"/>
          <w:w w:val="100"/>
        </w:rPr>
        <w:t>不</w:t>
      </w:r>
      <w:r>
        <w:rPr>
          <w:w w:val="100"/>
        </w:rPr>
        <w:t>断</w:t>
      </w:r>
      <w:r>
        <w:rPr>
          <w:spacing w:val="-3"/>
          <w:w w:val="100"/>
        </w:rPr>
        <w:t>增</w:t>
      </w:r>
      <w:r>
        <w:rPr>
          <w:w w:val="100"/>
        </w:rPr>
        <w:t>多</w:t>
      </w:r>
      <w:r>
        <w:rPr>
          <w:spacing w:val="-108"/>
          <w:w w:val="100"/>
        </w:rPr>
        <w:t>，</w:t>
      </w:r>
      <w:r>
        <w:rPr>
          <w:w w:val="100"/>
        </w:rPr>
        <w:t>年</w:t>
      </w:r>
      <w:r>
        <w:rPr>
          <w:spacing w:val="-3"/>
          <w:w w:val="100"/>
        </w:rPr>
        <w:t>监控</w:t>
      </w:r>
      <w:r>
        <w:rPr>
          <w:w w:val="100"/>
        </w:rPr>
        <w:t>销售量</w:t>
      </w:r>
      <w:r>
        <w:rPr>
          <w:spacing w:val="-55"/>
        </w:rPr>
        <w:t> </w:t>
      </w:r>
      <w:r>
        <w:rPr>
          <w:rFonts w:ascii="宋体" w:hAnsi="宋体" w:cs="宋体" w:eastAsia="宋体" w:hint="default"/>
          <w:w w:val="100"/>
        </w:rPr>
        <w:t>10</w:t>
      </w:r>
      <w:r>
        <w:rPr>
          <w:rFonts w:ascii="宋体" w:hAnsi="宋体" w:cs="宋体" w:eastAsia="宋体" w:hint="default"/>
          <w:spacing w:val="-57"/>
        </w:rPr>
        <w:t> </w:t>
      </w:r>
      <w:r>
        <w:rPr>
          <w:w w:val="100"/>
        </w:rPr>
        <w:t>万</w:t>
      </w:r>
      <w:r>
        <w:rPr>
          <w:spacing w:val="-3"/>
          <w:w w:val="100"/>
        </w:rPr>
        <w:t>册</w:t>
      </w:r>
      <w:r>
        <w:rPr>
          <w:w w:val="100"/>
        </w:rPr>
        <w:t>以</w:t>
      </w:r>
      <w:r>
        <w:rPr>
          <w:spacing w:val="-3"/>
          <w:w w:val="100"/>
        </w:rPr>
        <w:t>上</w:t>
      </w:r>
      <w:r>
        <w:rPr>
          <w:w w:val="100"/>
        </w:rPr>
        <w:t>的</w:t>
      </w:r>
      <w:r>
        <w:rPr>
          <w:spacing w:val="-3"/>
          <w:w w:val="100"/>
        </w:rPr>
        <w:t>图</w:t>
      </w:r>
      <w:r>
        <w:rPr>
          <w:w w:val="100"/>
        </w:rPr>
        <w:t>书</w:t>
      </w:r>
      <w:r>
        <w:rPr>
          <w:spacing w:val="-55"/>
        </w:rPr>
        <w:t> </w:t>
      </w:r>
      <w:r>
        <w:rPr>
          <w:rFonts w:ascii="宋体" w:hAnsi="宋体" w:cs="宋体" w:eastAsia="宋体" w:hint="default"/>
          <w:w w:val="100"/>
        </w:rPr>
        <w:t>64</w:t>
      </w:r>
      <w:r>
        <w:rPr>
          <w:rFonts w:ascii="宋体" w:hAnsi="宋体" w:cs="宋体" w:eastAsia="宋体" w:hint="default"/>
          <w:spacing w:val="-55"/>
        </w:rPr>
        <w:t> </w:t>
      </w:r>
      <w:r>
        <w:rPr>
          <w:w w:val="100"/>
        </w:rPr>
        <w:t>种</w:t>
      </w:r>
      <w:r>
        <w:rPr>
          <w:spacing w:val="-106"/>
          <w:w w:val="100"/>
        </w:rPr>
        <w:t>，</w:t>
      </w:r>
      <w:r>
        <w:rPr>
          <w:spacing w:val="-3"/>
          <w:w w:val="100"/>
        </w:rPr>
        <w:t>多</w:t>
      </w:r>
      <w:r>
        <w:rPr>
          <w:w w:val="100"/>
        </w:rPr>
        <w:t>种</w:t>
      </w:r>
      <w:r>
        <w:rPr>
          <w:spacing w:val="-3"/>
          <w:w w:val="100"/>
        </w:rPr>
        <w:t>图</w:t>
      </w:r>
      <w:r>
        <w:rPr>
          <w:w w:val="100"/>
        </w:rPr>
        <w:t>书</w:t>
      </w:r>
      <w:r>
        <w:rPr>
          <w:spacing w:val="-3"/>
          <w:w w:val="100"/>
        </w:rPr>
        <w:t>位</w:t>
      </w:r>
      <w:r>
        <w:rPr>
          <w:spacing w:val="-1"/>
          <w:w w:val="100"/>
        </w:rPr>
        <w:t>居</w:t>
      </w:r>
      <w:r>
        <w:rPr>
          <w:spacing w:val="-3"/>
          <w:w w:val="100"/>
        </w:rPr>
        <w:t>全</w:t>
      </w:r>
      <w:r>
        <w:rPr>
          <w:w w:val="100"/>
        </w:rPr>
        <w:t>国畅</w:t>
      </w:r>
      <w:r>
        <w:rPr>
          <w:spacing w:val="-3"/>
          <w:w w:val="100"/>
        </w:rPr>
        <w:t>销</w:t>
      </w:r>
      <w:r>
        <w:rPr>
          <w:w w:val="100"/>
        </w:rPr>
        <w:t>书</w:t>
      </w:r>
      <w:r>
        <w:rPr>
          <w:spacing w:val="-3"/>
          <w:w w:val="100"/>
        </w:rPr>
        <w:t>排</w:t>
      </w:r>
      <w:r>
        <w:rPr>
          <w:w w:val="100"/>
        </w:rPr>
        <w:t>行</w:t>
      </w:r>
      <w:r>
        <w:rPr>
          <w:spacing w:val="-3"/>
          <w:w w:val="100"/>
        </w:rPr>
        <w:t>榜</w:t>
      </w:r>
      <w:r>
        <w:rPr>
          <w:w w:val="100"/>
        </w:rPr>
        <w:t>前</w:t>
      </w:r>
      <w:r>
        <w:rPr>
          <w:spacing w:val="-3"/>
          <w:w w:val="100"/>
        </w:rPr>
        <w:t>列</w:t>
      </w:r>
      <w:r>
        <w:rPr>
          <w:w w:val="100"/>
        </w:rPr>
        <w:t>。</w:t>
      </w:r>
    </w:p>
    <w:p>
      <w:pPr>
        <w:pStyle w:val="BodyText"/>
        <w:spacing w:line="357" w:lineRule="auto" w:before="133"/>
        <w:ind w:left="140" w:right="117"/>
        <w:jc w:val="left"/>
      </w:pPr>
      <w:r>
        <w:rPr/>
        <w:t>在出版项目方面，本公司</w:t>
      </w:r>
      <w:r>
        <w:rPr>
          <w:spacing w:val="-57"/>
        </w:rPr>
        <w:t> </w:t>
      </w:r>
      <w:r>
        <w:rPr>
          <w:rFonts w:ascii="宋体" w:hAnsi="宋体" w:cs="宋体" w:eastAsia="宋体" w:hint="default"/>
        </w:rPr>
        <w:t>2018</w:t>
      </w:r>
      <w:r>
        <w:rPr>
          <w:rFonts w:ascii="宋体" w:hAnsi="宋体" w:cs="宋体" w:eastAsia="宋体" w:hint="default"/>
          <w:spacing w:val="-55"/>
        </w:rPr>
        <w:t> </w:t>
      </w:r>
      <w:r>
        <w:rPr/>
        <w:t>年共有</w:t>
      </w:r>
      <w:r>
        <w:rPr>
          <w:spacing w:val="-54"/>
        </w:rPr>
        <w:t> </w:t>
      </w:r>
      <w:r>
        <w:rPr>
          <w:rFonts w:ascii="宋体" w:hAnsi="宋体" w:cs="宋体" w:eastAsia="宋体" w:hint="default"/>
        </w:rPr>
        <w:t>10</w:t>
      </w:r>
      <w:r>
        <w:rPr>
          <w:rFonts w:ascii="宋体" w:hAnsi="宋体" w:cs="宋体" w:eastAsia="宋体" w:hint="default"/>
          <w:spacing w:val="-56"/>
        </w:rPr>
        <w:t> </w:t>
      </w:r>
      <w:r>
        <w:rPr/>
        <w:t>个项目增补入选</w:t>
      </w:r>
      <w:r>
        <w:rPr>
          <w:spacing w:val="-53"/>
        </w:rPr>
        <w:t> </w:t>
      </w:r>
      <w:r>
        <w:rPr>
          <w:rFonts w:ascii="宋体" w:hAnsi="宋体" w:cs="宋体" w:eastAsia="宋体" w:hint="default"/>
        </w:rPr>
        <w:t>2018</w:t>
      </w:r>
      <w:r>
        <w:rPr>
          <w:rFonts w:ascii="宋体" w:hAnsi="宋体" w:cs="宋体" w:eastAsia="宋体" w:hint="default"/>
          <w:spacing w:val="-54"/>
        </w:rPr>
        <w:t> </w:t>
      </w:r>
      <w:r>
        <w:rPr/>
        <w:t>年度国家十三五重点出版项目，</w:t>
      </w:r>
      <w:r>
        <w:rPr>
          <w:rFonts w:ascii="宋体" w:hAnsi="宋体" w:cs="宋体" w:eastAsia="宋体" w:hint="default"/>
        </w:rPr>
        <w:t>16</w:t>
      </w:r>
      <w:r>
        <w:rPr>
          <w:rFonts w:ascii="宋体" w:hAnsi="宋体" w:cs="宋体" w:eastAsia="宋体" w:hint="default"/>
          <w:w w:val="100"/>
        </w:rPr>
        <w:t> </w:t>
      </w:r>
      <w:r>
        <w:rPr/>
        <w:t>个项目入选</w:t>
      </w:r>
      <w:r>
        <w:rPr>
          <w:spacing w:val="-38"/>
        </w:rPr>
        <w:t> </w:t>
      </w:r>
      <w:r>
        <w:rPr>
          <w:rFonts w:ascii="宋体" w:hAnsi="宋体" w:cs="宋体" w:eastAsia="宋体" w:hint="default"/>
        </w:rPr>
        <w:t>2018</w:t>
      </w:r>
      <w:r>
        <w:rPr>
          <w:rFonts w:ascii="宋体" w:hAnsi="宋体" w:cs="宋体" w:eastAsia="宋体" w:hint="default"/>
          <w:spacing w:val="-38"/>
        </w:rPr>
        <w:t> </w:t>
      </w:r>
      <w:r>
        <w:rPr>
          <w:spacing w:val="-4"/>
        </w:rPr>
        <w:t>年度国家出版基金资助项目，</w:t>
      </w:r>
      <w:r>
        <w:rPr>
          <w:rFonts w:ascii="宋体" w:hAnsi="宋体" w:cs="宋体" w:eastAsia="宋体" w:hint="default"/>
          <w:spacing w:val="-4"/>
        </w:rPr>
        <w:t>3</w:t>
      </w:r>
      <w:r>
        <w:rPr>
          <w:rFonts w:ascii="宋体" w:hAnsi="宋体" w:cs="宋体" w:eastAsia="宋体" w:hint="default"/>
          <w:spacing w:val="-38"/>
        </w:rPr>
        <w:t> </w:t>
      </w:r>
      <w:r>
        <w:rPr>
          <w:spacing w:val="-3"/>
        </w:rPr>
        <w:t>个项目入选国家古籍整理专项经费资助项目。在版</w:t>
      </w:r>
      <w:r>
        <w:rPr>
          <w:spacing w:val="-98"/>
        </w:rPr>
        <w:t> </w:t>
      </w:r>
      <w:r>
        <w:rPr>
          <w:spacing w:val="-98"/>
        </w:rPr>
      </w:r>
      <w:r>
        <w:rPr>
          <w:spacing w:val="-3"/>
        </w:rPr>
        <w:t>权输出方面，出版“走出去”成果丰硕，通过合作出版、产品线打造、版权置换等方式，</w:t>
      </w:r>
      <w:r>
        <w:rPr>
          <w:rFonts w:ascii="宋体" w:hAnsi="宋体" w:cs="宋体" w:eastAsia="宋体" w:hint="default"/>
          <w:spacing w:val="-3"/>
        </w:rPr>
        <w:t>2018 </w:t>
      </w:r>
      <w:r>
        <w:rPr>
          <w:spacing w:val="-3"/>
        </w:rPr>
        <w:t>年成</w:t>
      </w:r>
      <w:r>
        <w:rPr>
          <w:spacing w:val="-92"/>
        </w:rPr>
        <w:t> </w:t>
      </w:r>
      <w:r>
        <w:rPr/>
        <w:t>功输出版权</w:t>
      </w:r>
      <w:r>
        <w:rPr>
          <w:spacing w:val="-33"/>
        </w:rPr>
        <w:t> </w:t>
      </w:r>
      <w:r>
        <w:rPr>
          <w:rFonts w:ascii="宋体" w:hAnsi="宋体" w:cs="宋体" w:eastAsia="宋体" w:hint="default"/>
        </w:rPr>
        <w:t>272</w:t>
      </w:r>
      <w:r>
        <w:rPr>
          <w:rFonts w:ascii="宋体" w:hAnsi="宋体" w:cs="宋体" w:eastAsia="宋体" w:hint="default"/>
          <w:spacing w:val="-36"/>
        </w:rPr>
        <w:t> </w:t>
      </w:r>
      <w:r>
        <w:rPr>
          <w:spacing w:val="-6"/>
        </w:rPr>
        <w:t>项，增长</w:t>
      </w:r>
      <w:r>
        <w:rPr>
          <w:spacing w:val="-36"/>
        </w:rPr>
        <w:t> </w:t>
      </w:r>
      <w:r>
        <w:rPr>
          <w:rFonts w:ascii="宋体" w:hAnsi="宋体" w:cs="宋体" w:eastAsia="宋体" w:hint="default"/>
          <w:spacing w:val="-3"/>
        </w:rPr>
        <w:t>55.43%</w:t>
      </w:r>
      <w:r>
        <w:rPr>
          <w:spacing w:val="-3"/>
        </w:rPr>
        <w:t>。随着版权贸易不断成熟，“熊猫编辑部”“欧洲图书中心”“南</w:t>
      </w:r>
      <w:r>
        <w:rPr>
          <w:spacing w:val="-97"/>
        </w:rPr>
        <w:t> </w:t>
      </w:r>
      <w:r>
        <w:rPr>
          <w:spacing w:val="-97"/>
        </w:rPr>
      </w:r>
      <w:r>
        <w:rPr>
          <w:spacing w:val="-2"/>
        </w:rPr>
        <w:t>亚出版中心”“中国—拉美文学工作室”“伦敦编辑部”等跨国工作机构纷纷设立，成为文轩在各</w:t>
      </w:r>
      <w:r>
        <w:rPr>
          <w:spacing w:val="-30"/>
        </w:rPr>
        <w:t> </w:t>
      </w:r>
      <w:r>
        <w:rPr>
          <w:spacing w:val="-30"/>
        </w:rPr>
      </w:r>
      <w:r>
        <w:rPr/>
        <w:t>个地区“走出去”的桥头堡。</w:t>
      </w:r>
    </w:p>
    <w:p>
      <w:pPr>
        <w:pStyle w:val="Heading2"/>
        <w:spacing w:line="240" w:lineRule="auto" w:before="32"/>
        <w:ind w:left="562" w:right="117"/>
        <w:jc w:val="left"/>
        <w:rPr>
          <w:b w:val="0"/>
          <w:bCs w:val="0"/>
        </w:rPr>
      </w:pPr>
      <w:r>
        <w:rPr/>
        <w:t>（二）以创新引领发展，教育服务业务业绩持续增长</w:t>
      </w:r>
      <w:r>
        <w:rPr>
          <w:b w:val="0"/>
          <w:bCs w:val="0"/>
        </w:rPr>
      </w:r>
    </w:p>
    <w:p>
      <w:pPr>
        <w:pStyle w:val="BodyText"/>
        <w:spacing w:line="357" w:lineRule="auto" w:before="133"/>
        <w:ind w:left="140" w:right="107" w:firstLine="420"/>
        <w:jc w:val="both"/>
      </w:pPr>
      <w:r>
        <w:rPr>
          <w:rFonts w:ascii="宋体" w:hAnsi="宋体" w:cs="宋体" w:eastAsia="宋体" w:hint="default"/>
        </w:rPr>
        <w:t>2018</w:t>
      </w:r>
      <w:r>
        <w:rPr>
          <w:rFonts w:ascii="宋体" w:hAnsi="宋体" w:cs="宋体" w:eastAsia="宋体" w:hint="default"/>
          <w:spacing w:val="-40"/>
        </w:rPr>
        <w:t> </w:t>
      </w:r>
      <w:r>
        <w:rPr>
          <w:spacing w:val="-3"/>
        </w:rPr>
        <w:t>年，本公司教育服务业务板块以用户需求为导向，以创新促发展，取得了较好的社会效益</w:t>
      </w:r>
      <w:r>
        <w:rPr>
          <w:w w:val="100"/>
        </w:rPr>
        <w:t> </w:t>
      </w:r>
      <w:r>
        <w:rPr/>
        <w:t>和经济效益。在教学用书业务领域，加强市场与上游出版资源的协同，提高在教育服务市场的运作</w:t>
      </w:r>
      <w:r>
        <w:rPr>
          <w:w w:val="100"/>
        </w:rPr>
        <w:t> </w:t>
      </w:r>
      <w:r>
        <w:rPr>
          <w:spacing w:val="-3"/>
        </w:rPr>
        <w:t>效率和竞争能力，教学用书实现销售收入</w:t>
      </w:r>
      <w:r>
        <w:rPr>
          <w:spacing w:val="-45"/>
        </w:rPr>
        <w:t> </w:t>
      </w:r>
      <w:r>
        <w:rPr>
          <w:rFonts w:ascii="宋体" w:hAnsi="宋体" w:cs="宋体" w:eastAsia="宋体" w:hint="default"/>
        </w:rPr>
        <w:t>40.15</w:t>
      </w:r>
      <w:r>
        <w:rPr>
          <w:rFonts w:ascii="宋体" w:hAnsi="宋体" w:cs="宋体" w:eastAsia="宋体" w:hint="default"/>
          <w:spacing w:val="-45"/>
        </w:rPr>
        <w:t> </w:t>
      </w:r>
      <w:r>
        <w:rPr>
          <w:spacing w:val="-3"/>
        </w:rPr>
        <w:t>亿元，较上年同期增加</w:t>
      </w:r>
      <w:r>
        <w:rPr>
          <w:spacing w:val="-47"/>
        </w:rPr>
        <w:t> </w:t>
      </w:r>
      <w:r>
        <w:rPr>
          <w:rFonts w:ascii="宋体" w:hAnsi="宋体" w:cs="宋体" w:eastAsia="宋体" w:hint="default"/>
        </w:rPr>
        <w:t>3.25</w:t>
      </w:r>
      <w:r>
        <w:rPr>
          <w:rFonts w:ascii="宋体" w:hAnsi="宋体" w:cs="宋体" w:eastAsia="宋体" w:hint="default"/>
          <w:spacing w:val="-47"/>
        </w:rPr>
        <w:t> </w:t>
      </w:r>
      <w:r>
        <w:rPr>
          <w:spacing w:val="-4"/>
        </w:rPr>
        <w:t>亿元，增长</w:t>
      </w:r>
      <w:r>
        <w:rPr>
          <w:spacing w:val="-46"/>
        </w:rPr>
        <w:t> </w:t>
      </w:r>
      <w:r>
        <w:rPr>
          <w:rFonts w:ascii="宋体" w:hAnsi="宋体" w:cs="宋体" w:eastAsia="宋体" w:hint="default"/>
          <w:spacing w:val="-6"/>
        </w:rPr>
        <w:t>8.81%</w:t>
      </w:r>
      <w:r>
        <w:rPr>
          <w:spacing w:val="-6"/>
        </w:rPr>
        <w:t>。在</w:t>
      </w:r>
      <w:r>
        <w:rPr>
          <w:spacing w:val="-81"/>
        </w:rPr>
        <w:t> </w:t>
      </w:r>
      <w:r>
        <w:rPr/>
        <w:t>教育信息化和教育装备领域，充分发挥内容资源优势和销售网络优势，依靠教育出版发行一体化的</w:t>
      </w:r>
      <w:r>
        <w:rPr>
          <w:w w:val="100"/>
        </w:rPr>
        <w:t> </w:t>
      </w:r>
      <w:r>
        <w:rPr/>
        <w:t>机制，深度推进融媒教辅——文轩“一起教”、</w:t>
      </w:r>
      <w:r>
        <w:rPr>
          <w:rFonts w:ascii="宋体" w:hAnsi="宋体" w:cs="宋体" w:eastAsia="宋体" w:hint="default"/>
        </w:rPr>
        <w:t>AR</w:t>
      </w:r>
      <w:r>
        <w:rPr>
          <w:rFonts w:ascii="宋体" w:hAnsi="宋体" w:cs="宋体" w:eastAsia="宋体" w:hint="default"/>
          <w:spacing w:val="-56"/>
        </w:rPr>
        <w:t> </w:t>
      </w:r>
      <w:r>
        <w:rPr/>
        <w:t>教辅及</w:t>
      </w:r>
      <w:r>
        <w:rPr>
          <w:spacing w:val="-53"/>
        </w:rPr>
        <w:t> </w:t>
      </w:r>
      <w:r>
        <w:rPr>
          <w:rFonts w:ascii="宋体" w:hAnsi="宋体" w:cs="宋体" w:eastAsia="宋体" w:hint="default"/>
        </w:rPr>
        <w:t>AR</w:t>
      </w:r>
      <w:r>
        <w:rPr>
          <w:rFonts w:ascii="宋体" w:hAnsi="宋体" w:cs="宋体" w:eastAsia="宋体" w:hint="default"/>
          <w:spacing w:val="-56"/>
        </w:rPr>
        <w:t> </w:t>
      </w:r>
      <w:r>
        <w:rPr/>
        <w:t>妙懂课堂工具箱等创新型数字化产品</w:t>
      </w:r>
      <w:r>
        <w:rPr>
          <w:w w:val="100"/>
        </w:rPr>
        <w:t> </w:t>
      </w:r>
      <w:r>
        <w:rPr/>
        <w:t>市场拓展。公司教育信息化和教育装备业务全年实现销售收入</w:t>
      </w:r>
      <w:r>
        <w:rPr>
          <w:spacing w:val="-56"/>
        </w:rPr>
        <w:t> </w:t>
      </w:r>
      <w:r>
        <w:rPr>
          <w:rFonts w:ascii="宋体" w:hAnsi="宋体" w:cs="宋体" w:eastAsia="宋体" w:hint="default"/>
        </w:rPr>
        <w:t>7.56</w:t>
      </w:r>
      <w:r>
        <w:rPr>
          <w:rFonts w:ascii="宋体" w:hAnsi="宋体" w:cs="宋体" w:eastAsia="宋体" w:hint="default"/>
          <w:spacing w:val="-56"/>
        </w:rPr>
        <w:t> </w:t>
      </w:r>
      <w:r>
        <w:rPr/>
        <w:t>亿元，同比增长</w:t>
      </w:r>
      <w:r>
        <w:rPr>
          <w:spacing w:val="-55"/>
        </w:rPr>
        <w:t> </w:t>
      </w:r>
      <w:r>
        <w:rPr>
          <w:rFonts w:ascii="宋体" w:hAnsi="宋体" w:cs="宋体" w:eastAsia="宋体" w:hint="default"/>
        </w:rPr>
        <w:t>23.74%</w:t>
      </w:r>
      <w:r>
        <w:rPr/>
        <w:t>。着力</w:t>
      </w:r>
      <w:r>
        <w:rPr>
          <w:spacing w:val="-3"/>
          <w:w w:val="100"/>
        </w:rPr>
        <w:t> </w:t>
      </w:r>
      <w:r>
        <w:rPr/>
        <w:t>抓好渠道、机制和业务创新，提升综合竞争力。试点“优学优教”教辅网络销售平台；大力实施青</w:t>
      </w:r>
      <w:r>
        <w:rPr>
          <w:w w:val="100"/>
        </w:rPr>
        <w:t> </w:t>
      </w:r>
      <w:r>
        <w:rPr>
          <w:spacing w:val="-4"/>
        </w:rPr>
        <w:t>年人才成长计划，试点城市教育服务体系升级项目；积极探索和推进研学教育业务和教师培训业务。</w:t>
      </w:r>
    </w:p>
    <w:p>
      <w:pPr>
        <w:pStyle w:val="Heading2"/>
        <w:spacing w:line="240" w:lineRule="auto" w:before="32"/>
        <w:ind w:left="562" w:right="117"/>
        <w:jc w:val="left"/>
        <w:rPr>
          <w:b w:val="0"/>
          <w:bCs w:val="0"/>
        </w:rPr>
      </w:pPr>
      <w:r>
        <w:rPr/>
        <w:t>（三）全面优化互联网渠道，实现互联网收入增长和效益提升</w:t>
      </w:r>
      <w:r>
        <w:rPr>
          <w:b w:val="0"/>
          <w:bCs w:val="0"/>
        </w:rPr>
      </w:r>
    </w:p>
    <w:p>
      <w:pPr>
        <w:pStyle w:val="BodyText"/>
        <w:spacing w:line="357" w:lineRule="auto" w:before="133"/>
        <w:ind w:left="140" w:right="210" w:firstLine="420"/>
        <w:jc w:val="both"/>
      </w:pPr>
      <w:r>
        <w:rPr>
          <w:rFonts w:ascii="宋体" w:hAnsi="宋体" w:cs="宋体" w:eastAsia="宋体" w:hint="default"/>
        </w:rPr>
        <w:t>2018</w:t>
      </w:r>
      <w:r>
        <w:rPr>
          <w:rFonts w:ascii="宋体" w:hAnsi="宋体" w:cs="宋体" w:eastAsia="宋体" w:hint="default"/>
          <w:spacing w:val="-17"/>
        </w:rPr>
        <w:t> </w:t>
      </w:r>
      <w:r>
        <w:rPr>
          <w:spacing w:val="-3"/>
        </w:rPr>
        <w:t>年，本公司紧抓互联网发展机遇，持续推动电子商务、数字出版和出版供应链服务等新兴</w:t>
      </w:r>
      <w:r>
        <w:rPr>
          <w:w w:val="100"/>
        </w:rPr>
        <w:t> </w:t>
      </w:r>
      <w:r>
        <w:rPr>
          <w:spacing w:val="-2"/>
        </w:rPr>
        <w:t>业态的发展，通过全面提升出版物互联网供应链的商品组织、物流加工、配送、商业技术等方面的</w:t>
      </w:r>
      <w:r>
        <w:rPr>
          <w:spacing w:val="-31"/>
        </w:rPr>
        <w:t> </w:t>
      </w:r>
      <w:r>
        <w:rPr>
          <w:spacing w:val="-31"/>
        </w:rPr>
      </w:r>
      <w:r>
        <w:rPr>
          <w:spacing w:val="-2"/>
        </w:rPr>
        <w:t>能力，积极拓展互联网销售渠道和第三方供应链服务业务，稳步向互联网经济转型。提升出版物商</w:t>
      </w:r>
      <w:r>
        <w:rPr>
          <w:spacing w:val="-30"/>
        </w:rPr>
        <w:t> </w:t>
      </w:r>
      <w:r>
        <w:rPr>
          <w:spacing w:val="-30"/>
        </w:rPr>
      </w:r>
      <w:r>
        <w:rPr>
          <w:spacing w:val="-2"/>
        </w:rPr>
        <w:t>品组织能力，通过采购组织调整，优化采购业务流程，建立了适应大众阅读业务线上线下融合发展</w:t>
      </w:r>
      <w:r>
        <w:rPr>
          <w:spacing w:val="-34"/>
        </w:rPr>
        <w:t> </w:t>
      </w:r>
      <w:r>
        <w:rPr>
          <w:spacing w:val="-34"/>
        </w:rPr>
      </w:r>
      <w:r>
        <w:rPr>
          <w:spacing w:val="-2"/>
        </w:rPr>
        <w:t>的采供体系，提升了出版供应链效率和对上游供应商的议价能力。积极拓展互联网销售渠道，开展</w:t>
      </w:r>
      <w:r>
        <w:rPr>
          <w:spacing w:val="-30"/>
        </w:rPr>
        <w:t> </w:t>
      </w:r>
      <w:r>
        <w:rPr>
          <w:spacing w:val="-30"/>
        </w:rPr>
      </w:r>
      <w:r>
        <w:rPr>
          <w:spacing w:val="-2"/>
        </w:rPr>
        <w:t>精细化营销，形成了以文轩网综合旗舰店为基础，以文学、少儿、社科等细分市场专业店群为重点</w:t>
      </w:r>
      <w:r>
        <w:rPr>
          <w:spacing w:val="-38"/>
        </w:rPr>
        <w:t> </w:t>
      </w:r>
      <w:r>
        <w:rPr>
          <w:spacing w:val="-38"/>
        </w:rPr>
      </w:r>
      <w:r>
        <w:rPr>
          <w:spacing w:val="-3"/>
        </w:rPr>
        <w:t>发展方向的互联网销售网络，巩固了本公司作为国内主要出版物互联网销售商的地位。</w:t>
      </w:r>
      <w:r>
        <w:rPr>
          <w:rFonts w:ascii="宋体" w:hAnsi="宋体" w:cs="宋体" w:eastAsia="宋体" w:hint="default"/>
          <w:spacing w:val="-3"/>
        </w:rPr>
        <w:t>2018 </w:t>
      </w:r>
      <w:r>
        <w:rPr>
          <w:spacing w:val="-8"/>
        </w:rPr>
        <w:t>年。本</w:t>
      </w:r>
      <w:r>
        <w:rPr>
          <w:spacing w:val="-68"/>
        </w:rPr>
        <w:t> </w:t>
      </w:r>
      <w:r>
        <w:rPr>
          <w:spacing w:val="-68"/>
        </w:rPr>
      </w:r>
      <w:r>
        <w:rPr/>
        <w:t>公司互联网经营业务收入稳步增长，效益明显提升，实现销售收入</w:t>
      </w:r>
      <w:r>
        <w:rPr>
          <w:spacing w:val="-38"/>
        </w:rPr>
        <w:t> </w:t>
      </w:r>
      <w:r>
        <w:rPr>
          <w:rFonts w:ascii="宋体" w:hAnsi="宋体" w:cs="宋体" w:eastAsia="宋体" w:hint="default"/>
        </w:rPr>
        <w:t>12.67</w:t>
      </w:r>
      <w:r>
        <w:rPr>
          <w:rFonts w:ascii="宋体" w:hAnsi="宋体" w:cs="宋体" w:eastAsia="宋体" w:hint="default"/>
          <w:spacing w:val="-40"/>
        </w:rPr>
        <w:t> </w:t>
      </w:r>
      <w:r>
        <w:rPr/>
        <w:t>亿元，同比增长</w:t>
      </w:r>
      <w:r>
        <w:rPr>
          <w:spacing w:val="-40"/>
        </w:rPr>
        <w:t> </w:t>
      </w:r>
      <w:r>
        <w:rPr>
          <w:rFonts w:ascii="宋体" w:hAnsi="宋体" w:cs="宋体" w:eastAsia="宋体" w:hint="default"/>
        </w:rPr>
        <w:t>2.66%</w:t>
      </w:r>
      <w:r>
        <w:rPr/>
        <w:t>。</w:t>
      </w:r>
      <w:r>
        <w:rPr>
          <w:w w:val="100"/>
        </w:rPr>
        <w:t> </w:t>
      </w:r>
      <w:r>
        <w:rPr>
          <w:spacing w:val="-2"/>
        </w:rPr>
        <w:t>与此同时，大力发展基于互联网的图书供应链服务业务，以“出版物协同交易平台”为基础，助力</w:t>
      </w:r>
      <w:r>
        <w:rPr>
          <w:spacing w:val="-29"/>
        </w:rPr>
        <w:t> </w:t>
      </w:r>
      <w:r>
        <w:rPr>
          <w:spacing w:val="-29"/>
        </w:rPr>
      </w:r>
      <w:r>
        <w:rPr/>
        <w:t>实体门店拓展互联网业务，“出版物协同交易平台”的服务能力和市场竞争力进一步提升。</w:t>
      </w:r>
    </w:p>
    <w:p>
      <w:pPr>
        <w:pStyle w:val="Heading2"/>
        <w:spacing w:line="240" w:lineRule="auto" w:before="30"/>
        <w:ind w:left="562" w:right="117"/>
        <w:jc w:val="left"/>
        <w:rPr>
          <w:b w:val="0"/>
          <w:bCs w:val="0"/>
        </w:rPr>
      </w:pPr>
      <w:r>
        <w:rPr/>
        <w:t>（四）坚持“三多”发展策略，提升阅读服务能力</w:t>
      </w:r>
      <w:r>
        <w:rPr>
          <w:b w:val="0"/>
          <w:bCs w:val="0"/>
        </w:rPr>
      </w:r>
    </w:p>
    <w:p>
      <w:pPr>
        <w:pStyle w:val="BodyText"/>
        <w:spacing w:line="357" w:lineRule="auto" w:before="133"/>
        <w:ind w:left="140" w:right="211" w:firstLine="420"/>
        <w:jc w:val="both"/>
      </w:pPr>
      <w:r>
        <w:rPr>
          <w:rFonts w:ascii="宋体" w:hAnsi="宋体" w:cs="宋体" w:eastAsia="宋体" w:hint="default"/>
        </w:rPr>
        <w:t>2018</w:t>
      </w:r>
      <w:r>
        <w:rPr>
          <w:rFonts w:ascii="宋体" w:hAnsi="宋体" w:cs="宋体" w:eastAsia="宋体" w:hint="default"/>
          <w:spacing w:val="-14"/>
        </w:rPr>
        <w:t> </w:t>
      </w:r>
      <w:r>
        <w:rPr>
          <w:spacing w:val="-3"/>
        </w:rPr>
        <w:t>年，在“振兴实体书店”的战略背景下，坚持“多品牌建设、多模式发展、多团队运营”</w:t>
      </w:r>
      <w:r>
        <w:rPr>
          <w:w w:val="100"/>
        </w:rPr>
        <w:t> </w:t>
      </w:r>
      <w:r>
        <w:rPr>
          <w:spacing w:val="-2"/>
        </w:rPr>
        <w:t>发展策略，打造了多品牌、多业态的现代阅读服务网络体系。一是持续完善实体书店网络布局和多</w:t>
      </w:r>
    </w:p>
    <w:p>
      <w:pPr>
        <w:spacing w:after="0" w:line="357" w:lineRule="auto"/>
        <w:jc w:val="both"/>
        <w:sectPr>
          <w:pgSz w:w="11910" w:h="16840"/>
          <w:pgMar w:header="880" w:footer="1195" w:top="1060" w:bottom="1380" w:left="13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7" w:lineRule="auto" w:before="36"/>
        <w:ind w:left="140" w:right="117"/>
        <w:jc w:val="left"/>
      </w:pPr>
      <w:r>
        <w:rPr/>
        <w:t>品牌建设。新开、升级改造门店共计</w:t>
      </w:r>
      <w:r>
        <w:rPr>
          <w:spacing w:val="-29"/>
        </w:rPr>
        <w:t> </w:t>
      </w:r>
      <w:r>
        <w:rPr>
          <w:rFonts w:ascii="宋体" w:hAnsi="宋体" w:cs="宋体" w:eastAsia="宋体" w:hint="default"/>
        </w:rPr>
        <w:t>23</w:t>
      </w:r>
      <w:r>
        <w:rPr>
          <w:rFonts w:ascii="宋体" w:hAnsi="宋体" w:cs="宋体" w:eastAsia="宋体" w:hint="default"/>
          <w:spacing w:val="-31"/>
        </w:rPr>
        <w:t> </w:t>
      </w:r>
      <w:r>
        <w:rPr/>
        <w:t>家，面积</w:t>
      </w:r>
      <w:r>
        <w:rPr>
          <w:spacing w:val="-31"/>
        </w:rPr>
        <w:t> </w:t>
      </w:r>
      <w:r>
        <w:rPr>
          <w:rFonts w:ascii="宋体" w:hAnsi="宋体" w:cs="宋体" w:eastAsia="宋体" w:hint="default"/>
        </w:rPr>
        <w:t>2</w:t>
      </w:r>
      <w:r>
        <w:rPr>
          <w:rFonts w:ascii="宋体" w:hAnsi="宋体" w:cs="宋体" w:eastAsia="宋体" w:hint="default"/>
          <w:spacing w:val="-29"/>
        </w:rPr>
        <w:t> </w:t>
      </w:r>
      <w:r>
        <w:rPr/>
        <w:t>万多平方米，进一步提升了实体书店阅读服务</w:t>
      </w:r>
      <w:r>
        <w:rPr>
          <w:w w:val="100"/>
        </w:rPr>
        <w:t> </w:t>
      </w:r>
      <w:r>
        <w:rPr>
          <w:spacing w:val="-5"/>
          <w:w w:val="100"/>
        </w:rPr>
        <w:t>能力。在原有品牌基础上，持续打造“轩客会•格调书店”“文轩</w:t>
      </w:r>
      <w:r>
        <w:rPr>
          <w:w w:val="100"/>
        </w:rPr>
        <w:t> </w:t>
      </w:r>
      <w:r>
        <w:rPr>
          <w:rFonts w:ascii="宋体" w:hAnsi="宋体" w:cs="宋体" w:eastAsia="宋体" w:hint="default"/>
          <w:spacing w:val="-2"/>
          <w:w w:val="100"/>
        </w:rPr>
        <w:t>BOOKS</w:t>
      </w:r>
      <w:r>
        <w:rPr>
          <w:spacing w:val="-2"/>
          <w:w w:val="100"/>
        </w:rPr>
        <w:t>”“Kids</w:t>
      </w:r>
      <w:r>
        <w:rPr>
          <w:w w:val="100"/>
        </w:rPr>
        <w:t> </w:t>
      </w:r>
      <w:r>
        <w:rPr>
          <w:spacing w:val="-1"/>
          <w:w w:val="100"/>
        </w:rPr>
        <w:t>winshare</w:t>
      </w:r>
      <w:r>
        <w:rPr>
          <w:w w:val="100"/>
        </w:rPr>
        <w:t> </w:t>
      </w:r>
      <w:r>
        <w:rPr>
          <w:spacing w:val="-1"/>
          <w:w w:val="100"/>
        </w:rPr>
        <w:t>文轩儿</w:t>
      </w:r>
      <w:r>
        <w:rPr>
          <w:spacing w:val="-100"/>
          <w:w w:val="100"/>
        </w:rPr>
        <w:t> </w:t>
      </w:r>
      <w:r>
        <w:rPr>
          <w:spacing w:val="-100"/>
          <w:w w:val="100"/>
        </w:rPr>
      </w:r>
      <w:r>
        <w:rPr/>
        <w:t>童书店”等新品牌，进一步夯实了多品牌发展格局。二是创新经营管理模式。完成了“轩客会”品</w:t>
      </w:r>
      <w:r>
        <w:rPr>
          <w:w w:val="100"/>
        </w:rPr>
        <w:t> </w:t>
      </w:r>
      <w:r>
        <w:rPr/>
        <w:t>牌的公司化运作，激发内部发展活力。三是在北京、四川两地的社区、机关、学校和企事业机构部</w:t>
      </w:r>
      <w:r>
        <w:rPr>
          <w:w w:val="100"/>
        </w:rPr>
        <w:t> </w:t>
      </w:r>
      <w:r>
        <w:rPr/>
        <w:t>署</w:t>
      </w:r>
      <w:r>
        <w:rPr>
          <w:spacing w:val="-56"/>
        </w:rPr>
        <w:t> </w:t>
      </w:r>
      <w:r>
        <w:rPr>
          <w:rFonts w:ascii="宋体" w:hAnsi="宋体" w:cs="宋体" w:eastAsia="宋体" w:hint="default"/>
        </w:rPr>
        <w:t>200</w:t>
      </w:r>
      <w:r>
        <w:rPr>
          <w:rFonts w:ascii="宋体" w:hAnsi="宋体" w:cs="宋体" w:eastAsia="宋体" w:hint="default"/>
          <w:spacing w:val="-58"/>
        </w:rPr>
        <w:t> </w:t>
      </w:r>
      <w:r>
        <w:rPr/>
        <w:t>余家智能书店。四是完成了时政读物发行专业团队组建，提升时政读物的阅读推广能力；实</w:t>
      </w:r>
      <w:r>
        <w:rPr>
          <w:spacing w:val="-3"/>
          <w:w w:val="100"/>
        </w:rPr>
        <w:t> </w:t>
      </w:r>
      <w:r>
        <w:rPr/>
        <w:t>施实体书店人才发展计划，聚焦“选品、陈列、推荐”阅读服务的能力培养，为书店销售业绩提升</w:t>
      </w:r>
      <w:r>
        <w:rPr>
          <w:w w:val="100"/>
        </w:rPr>
        <w:t> </w:t>
      </w:r>
      <w:r>
        <w:rPr/>
        <w:t>注入了新动力。在全国实体书店销售收入整体下降的环境下，公司实体书店销售实现了逆势增长， </w:t>
      </w:r>
      <w:r>
        <w:rPr/>
        <w:t>零售业务实现销售售收入</w:t>
      </w:r>
      <w:r>
        <w:rPr>
          <w:spacing w:val="-57"/>
        </w:rPr>
        <w:t> </w:t>
      </w:r>
      <w:r>
        <w:rPr>
          <w:rFonts w:ascii="宋体" w:hAnsi="宋体" w:cs="宋体" w:eastAsia="宋体" w:hint="default"/>
        </w:rPr>
        <w:t>6.62</w:t>
      </w:r>
      <w:r>
        <w:rPr>
          <w:rFonts w:ascii="宋体" w:hAnsi="宋体" w:cs="宋体" w:eastAsia="宋体" w:hint="default"/>
          <w:spacing w:val="-56"/>
        </w:rPr>
        <w:t> </w:t>
      </w:r>
      <w:r>
        <w:rPr/>
        <w:t>亿元，与去年同期相比增长</w:t>
      </w:r>
      <w:r>
        <w:rPr>
          <w:spacing w:val="-55"/>
        </w:rPr>
        <w:t> </w:t>
      </w:r>
      <w:r>
        <w:rPr>
          <w:rFonts w:ascii="宋体" w:hAnsi="宋体" w:cs="宋体" w:eastAsia="宋体" w:hint="default"/>
        </w:rPr>
        <w:t>8.06%</w:t>
      </w:r>
      <w:r>
        <w:rPr/>
        <w:t>。</w:t>
      </w:r>
    </w:p>
    <w:p>
      <w:pPr>
        <w:spacing w:line="357" w:lineRule="auto" w:before="31"/>
        <w:ind w:left="560" w:right="117" w:firstLine="2"/>
        <w:jc w:val="left"/>
        <w:rPr>
          <w:rFonts w:ascii="宋体" w:hAnsi="宋体" w:cs="宋体" w:eastAsia="宋体" w:hint="default"/>
          <w:sz w:val="21"/>
          <w:szCs w:val="21"/>
        </w:rPr>
      </w:pPr>
      <w:r>
        <w:rPr>
          <w:rFonts w:ascii="宋体" w:hAnsi="宋体" w:cs="宋体" w:eastAsia="宋体" w:hint="default"/>
          <w:b/>
          <w:bCs/>
          <w:sz w:val="21"/>
          <w:szCs w:val="21"/>
        </w:rPr>
        <w:t>（五）继续提升物流服务能力，积极拓展第三方物流业务</w:t>
      </w:r>
      <w:r>
        <w:rPr>
          <w:rFonts w:ascii="宋体" w:hAnsi="宋体" w:cs="宋体" w:eastAsia="宋体" w:hint="default"/>
          <w:b/>
          <w:bCs/>
          <w:w w:val="100"/>
          <w:sz w:val="21"/>
          <w:szCs w:val="21"/>
        </w:rPr>
        <w:t> </w:t>
      </w:r>
      <w:r>
        <w:rPr>
          <w:rFonts w:ascii="宋体" w:hAnsi="宋体" w:cs="宋体" w:eastAsia="宋体" w:hint="default"/>
          <w:spacing w:val="-2"/>
          <w:sz w:val="21"/>
          <w:szCs w:val="21"/>
        </w:rPr>
        <w:t>物流以服务于市场、服务于客户为宗旨，继续夯实物流基础，提高物流服务质量和效率，初步</w:t>
      </w:r>
    </w:p>
    <w:p>
      <w:pPr>
        <w:pStyle w:val="BodyText"/>
        <w:spacing w:line="357" w:lineRule="auto" w:before="30"/>
        <w:ind w:left="140" w:right="117"/>
        <w:jc w:val="left"/>
      </w:pPr>
      <w:r>
        <w:rPr/>
        <w:t>形成仓储网络和运输网络的“双网”协同物流服务能力。持续提升和优化物流信息技术应用水平，</w:t>
      </w:r>
      <w:r>
        <w:rPr>
          <w:spacing w:val="-12"/>
        </w:rPr>
        <w:t> </w:t>
      </w:r>
      <w:r>
        <w:rPr>
          <w:spacing w:val="-12"/>
        </w:rPr>
      </w:r>
      <w:r>
        <w:rPr>
          <w:spacing w:val="-3"/>
        </w:rPr>
        <w:t>加大物流资源投入和整合，为出版业务和渠道业务的高速发展提供有力支撑，</w:t>
      </w:r>
      <w:r>
        <w:rPr>
          <w:rFonts w:ascii="宋体" w:hAnsi="宋体" w:cs="宋体" w:eastAsia="宋体" w:hint="default"/>
          <w:spacing w:val="-3"/>
        </w:rPr>
        <w:t>2018</w:t>
      </w:r>
      <w:r>
        <w:rPr>
          <w:rFonts w:ascii="宋体" w:hAnsi="宋体" w:cs="宋体" w:eastAsia="宋体" w:hint="default"/>
          <w:spacing w:val="-38"/>
        </w:rPr>
        <w:t> </w:t>
      </w:r>
      <w:r>
        <w:rPr/>
        <w:t>年自有物流流转</w:t>
      </w:r>
      <w:r>
        <w:rPr>
          <w:spacing w:val="-69"/>
        </w:rPr>
        <w:t> </w:t>
      </w:r>
      <w:r>
        <w:rPr>
          <w:spacing w:val="-69"/>
        </w:rPr>
      </w:r>
      <w:r>
        <w:rPr/>
        <w:t>图书总码洋达到</w:t>
      </w:r>
      <w:r>
        <w:rPr>
          <w:spacing w:val="-54"/>
        </w:rPr>
        <w:t> </w:t>
      </w:r>
      <w:r>
        <w:rPr>
          <w:rFonts w:ascii="宋体" w:hAnsi="宋体" w:cs="宋体" w:eastAsia="宋体" w:hint="default"/>
        </w:rPr>
        <w:t>218</w:t>
      </w:r>
      <w:r>
        <w:rPr>
          <w:rFonts w:ascii="宋体" w:hAnsi="宋体" w:cs="宋体" w:eastAsia="宋体" w:hint="default"/>
          <w:spacing w:val="-56"/>
        </w:rPr>
        <w:t> </w:t>
      </w:r>
      <w:r>
        <w:rPr/>
        <w:t>亿元，同比上升</w:t>
      </w:r>
      <w:r>
        <w:rPr>
          <w:spacing w:val="-53"/>
        </w:rPr>
        <w:t> </w:t>
      </w:r>
      <w:r>
        <w:rPr>
          <w:rFonts w:ascii="宋体" w:hAnsi="宋体" w:cs="宋体" w:eastAsia="宋体" w:hint="default"/>
        </w:rPr>
        <w:t>17%</w:t>
      </w:r>
      <w:r>
        <w:rPr/>
        <w:t>。同时进一步完善第三方物流经营体系，选择重点行业，</w:t>
      </w:r>
      <w:r>
        <w:rPr>
          <w:w w:val="100"/>
        </w:rPr>
        <w:t> </w:t>
      </w:r>
      <w:r>
        <w:rPr/>
        <w:t>大力拓展仓配一体化的物流服务。全年第三方物流收入达</w:t>
      </w:r>
      <w:r>
        <w:rPr>
          <w:spacing w:val="-56"/>
        </w:rPr>
        <w:t> </w:t>
      </w:r>
      <w:r>
        <w:rPr>
          <w:rFonts w:ascii="宋体" w:hAnsi="宋体" w:cs="宋体" w:eastAsia="宋体" w:hint="default"/>
        </w:rPr>
        <w:t>1.76</w:t>
      </w:r>
      <w:r>
        <w:rPr>
          <w:rFonts w:ascii="宋体" w:hAnsi="宋体" w:cs="宋体" w:eastAsia="宋体" w:hint="default"/>
          <w:spacing w:val="-56"/>
        </w:rPr>
        <w:t> </w:t>
      </w:r>
      <w:r>
        <w:rPr/>
        <w:t>亿元，同比增长</w:t>
      </w:r>
      <w:r>
        <w:rPr>
          <w:spacing w:val="-56"/>
        </w:rPr>
        <w:t> </w:t>
      </w:r>
      <w:r>
        <w:rPr>
          <w:rFonts w:ascii="宋体" w:hAnsi="宋体" w:cs="宋体" w:eastAsia="宋体" w:hint="default"/>
        </w:rPr>
        <w:t>63.60%</w:t>
      </w:r>
      <w:r>
        <w:rPr/>
        <w:t>。</w:t>
      </w:r>
    </w:p>
    <w:p>
      <w:pPr>
        <w:pStyle w:val="Heading2"/>
        <w:spacing w:line="240" w:lineRule="auto" w:before="30"/>
        <w:ind w:left="562" w:right="117"/>
        <w:jc w:val="left"/>
        <w:rPr>
          <w:b w:val="0"/>
          <w:bCs w:val="0"/>
        </w:rPr>
      </w:pPr>
      <w:r>
        <w:rPr/>
        <w:t>（六）利用公司品牌优势，推动媒体板块转型升级，资本经营业务稳步开展</w:t>
      </w:r>
      <w:r>
        <w:rPr>
          <w:b w:val="0"/>
          <w:bCs w:val="0"/>
        </w:rPr>
      </w:r>
    </w:p>
    <w:p>
      <w:pPr>
        <w:pStyle w:val="BodyText"/>
        <w:spacing w:line="357" w:lineRule="auto" w:before="133"/>
        <w:ind w:left="140" w:right="211" w:firstLine="420"/>
        <w:jc w:val="both"/>
      </w:pPr>
      <w:r>
        <w:rPr>
          <w:rFonts w:ascii="宋体" w:hAnsi="宋体" w:cs="宋体" w:eastAsia="宋体" w:hint="default"/>
        </w:rPr>
        <w:t>2018</w:t>
      </w:r>
      <w:r>
        <w:rPr>
          <w:rFonts w:ascii="宋体" w:hAnsi="宋体" w:cs="宋体" w:eastAsia="宋体" w:hint="default"/>
          <w:spacing w:val="-15"/>
        </w:rPr>
        <w:t> </w:t>
      </w:r>
      <w:r>
        <w:rPr>
          <w:spacing w:val="-3"/>
        </w:rPr>
        <w:t>年，本集团把握媒体融合发展的趋势，立足内容优势和品牌优势，将传统媒体与新媒体相</w:t>
      </w:r>
      <w:r>
        <w:rPr>
          <w:w w:val="100"/>
        </w:rPr>
        <w:t> </w:t>
      </w:r>
      <w:r>
        <w:rPr>
          <w:spacing w:val="-2"/>
        </w:rPr>
        <w:t>结合，积极推进传统媒体转型升级，探索传统媒体和新媒体的融合发展道路。利用“熊猫”和“米</w:t>
      </w:r>
      <w:r>
        <w:rPr>
          <w:spacing w:val="-28"/>
        </w:rPr>
        <w:t> </w:t>
      </w:r>
      <w:r>
        <w:rPr>
          <w:spacing w:val="-28"/>
        </w:rPr>
      </w:r>
      <w:r>
        <w:rPr>
          <w:spacing w:val="-2"/>
        </w:rPr>
        <w:t>小圈”等优质品牌资源，新创《看熊猫》《米小圈》和《西部特种设备》等期刊杂志，发行量屡创</w:t>
      </w:r>
      <w:r>
        <w:rPr>
          <w:spacing w:val="-34"/>
        </w:rPr>
        <w:t> </w:t>
      </w:r>
      <w:r>
        <w:rPr>
          <w:spacing w:val="-34"/>
        </w:rPr>
      </w:r>
      <w:r>
        <w:rPr>
          <w:spacing w:val="-2"/>
        </w:rPr>
        <w:t>新高，市场影响力不断提升。“文轩全媒体服务平台”“轩视界”“《出版商务周报》官微”等新</w:t>
      </w:r>
      <w:r>
        <w:rPr>
          <w:spacing w:val="-35"/>
        </w:rPr>
        <w:t> </w:t>
      </w:r>
      <w:r>
        <w:rPr>
          <w:spacing w:val="-35"/>
        </w:rPr>
      </w:r>
      <w:r>
        <w:rPr/>
        <w:t>媒体平台影响力不断扩大，为深入推进媒体融合发展奠定了较好的基础。</w:t>
      </w:r>
    </w:p>
    <w:p>
      <w:pPr>
        <w:pStyle w:val="BodyText"/>
        <w:spacing w:line="357" w:lineRule="auto" w:before="30"/>
        <w:ind w:left="140" w:right="117" w:firstLine="420"/>
        <w:jc w:val="left"/>
      </w:pPr>
      <w:r>
        <w:rPr>
          <w:rFonts w:ascii="宋体" w:hAnsi="宋体" w:cs="宋体" w:eastAsia="宋体" w:hint="default"/>
        </w:rPr>
        <w:t>2018</w:t>
      </w:r>
      <w:r>
        <w:rPr>
          <w:rFonts w:ascii="宋体" w:hAnsi="宋体" w:cs="宋体" w:eastAsia="宋体" w:hint="default"/>
          <w:spacing w:val="-39"/>
        </w:rPr>
        <w:t> </w:t>
      </w:r>
      <w:r>
        <w:rPr>
          <w:spacing w:val="-3"/>
        </w:rPr>
        <w:t>年，本集团在发展主业的同时，围绕主业延伸产业链，积极探索资本经营与多元文化服务</w:t>
      </w:r>
      <w:r>
        <w:rPr>
          <w:w w:val="100"/>
        </w:rPr>
        <w:t> </w:t>
      </w:r>
      <w:r>
        <w:rPr/>
        <w:t>业务的拓展。一方面，继续以“文轩投资”为投融资平台，由探索型向成长性发展，以直接投资、</w:t>
      </w:r>
      <w:r>
        <w:rPr>
          <w:spacing w:val="-6"/>
        </w:rPr>
        <w:t> </w:t>
      </w:r>
      <w:r>
        <w:rPr>
          <w:spacing w:val="-6"/>
        </w:rPr>
      </w:r>
      <w:r>
        <w:rPr/>
        <w:t>股权投资基金等为手段，开展资本经营业务，已形成涵盖并购基金、创投基金等多种类型的文化产</w:t>
      </w:r>
      <w:r>
        <w:rPr>
          <w:w w:val="100"/>
        </w:rPr>
        <w:t> </w:t>
      </w:r>
      <w:r>
        <w:rPr/>
        <w:t>业基金群，实现基金管理规模约 </w:t>
      </w:r>
      <w:r>
        <w:rPr>
          <w:rFonts w:ascii="宋体" w:hAnsi="宋体" w:cs="宋体" w:eastAsia="宋体" w:hint="default"/>
        </w:rPr>
        <w:t>15</w:t>
      </w:r>
      <w:r>
        <w:rPr>
          <w:rFonts w:ascii="宋体" w:hAnsi="宋体" w:cs="宋体" w:eastAsia="宋体" w:hint="default"/>
          <w:spacing w:val="-10"/>
        </w:rPr>
        <w:t> </w:t>
      </w:r>
      <w:r>
        <w:rPr/>
        <w:t>亿元，初步形成有较强投资和管理能力的投融资平台。另一方</w:t>
      </w:r>
      <w:r>
        <w:rPr>
          <w:w w:val="100"/>
        </w:rPr>
        <w:t> </w:t>
      </w:r>
      <w:r>
        <w:rPr/>
        <w:t>面，利用公司品牌和相关资源优势在体育、音乐等相关文化领域进行探索，通过创新文轩体育、文</w:t>
      </w:r>
      <w:r>
        <w:rPr>
          <w:w w:val="100"/>
        </w:rPr>
        <w:t> </w:t>
      </w:r>
      <w:r>
        <w:rPr/>
        <w:t>轩音乐的商业模式，走差异化和专业化的发展道路，把企业品牌资源和影响力转化为经营业绩，稳</w:t>
      </w:r>
      <w:r>
        <w:rPr>
          <w:w w:val="100"/>
        </w:rPr>
        <w:t> </w:t>
      </w:r>
      <w:r>
        <w:rPr/>
        <w:t>步推进多元化文化产业的发展，行业影响力初步显现，走上了良性发展之路。</w:t>
      </w:r>
    </w:p>
    <w:p>
      <w:pPr>
        <w:pStyle w:val="Heading2"/>
        <w:spacing w:line="240" w:lineRule="auto" w:before="92"/>
        <w:ind w:left="140" w:right="117"/>
        <w:jc w:val="left"/>
        <w:rPr>
          <w:b w:val="0"/>
          <w:bCs w:val="0"/>
        </w:rPr>
      </w:pPr>
      <w:r>
        <w:rPr/>
        <w:t>二、报告期内主要经营情况</w:t>
      </w:r>
      <w:r>
        <w:rPr>
          <w:b w:val="0"/>
          <w:bCs w:val="0"/>
        </w:rPr>
      </w:r>
    </w:p>
    <w:p>
      <w:pPr>
        <w:pStyle w:val="BodyText"/>
        <w:spacing w:line="357" w:lineRule="auto" w:before="56"/>
        <w:ind w:left="140" w:right="213" w:firstLine="420"/>
        <w:jc w:val="both"/>
      </w:pPr>
      <w:r>
        <w:rPr>
          <w:rFonts w:ascii="宋体" w:hAnsi="宋体" w:cs="宋体" w:eastAsia="宋体" w:hint="default"/>
        </w:rPr>
        <w:t>2018</w:t>
      </w:r>
      <w:r>
        <w:rPr>
          <w:rFonts w:ascii="宋体" w:hAnsi="宋体" w:cs="宋体" w:eastAsia="宋体" w:hint="default"/>
          <w:spacing w:val="-41"/>
        </w:rPr>
        <w:t> </w:t>
      </w:r>
      <w:r>
        <w:rPr/>
        <w:t>年，公司整体经营业绩实现稳步增长。报告期内实现营业收入</w:t>
      </w:r>
      <w:r>
        <w:rPr>
          <w:spacing w:val="-39"/>
        </w:rPr>
        <w:t> </w:t>
      </w:r>
      <w:r>
        <w:rPr>
          <w:rFonts w:ascii="宋体" w:hAnsi="宋体" w:cs="宋体" w:eastAsia="宋体" w:hint="default"/>
        </w:rPr>
        <w:t>818,658.30</w:t>
      </w:r>
      <w:r>
        <w:rPr>
          <w:rFonts w:ascii="宋体" w:hAnsi="宋体" w:cs="宋体" w:eastAsia="宋体" w:hint="default"/>
          <w:spacing w:val="-39"/>
        </w:rPr>
        <w:t> </w:t>
      </w:r>
      <w:r>
        <w:rPr/>
        <w:t>万元，同比增</w:t>
      </w:r>
      <w:r>
        <w:rPr>
          <w:w w:val="100"/>
        </w:rPr>
        <w:t> </w:t>
      </w:r>
      <w:r>
        <w:rPr/>
        <w:t>长</w:t>
      </w:r>
      <w:r>
        <w:rPr>
          <w:spacing w:val="-44"/>
        </w:rPr>
        <w:t> </w:t>
      </w:r>
      <w:r>
        <w:rPr>
          <w:rFonts w:ascii="宋体" w:hAnsi="宋体" w:cs="宋体" w:eastAsia="宋体" w:hint="default"/>
          <w:spacing w:val="-3"/>
        </w:rPr>
        <w:t>11.44%</w:t>
      </w:r>
      <w:r>
        <w:rPr>
          <w:spacing w:val="-3"/>
        </w:rPr>
        <w:t>；净利润</w:t>
      </w:r>
      <w:r>
        <w:rPr>
          <w:spacing w:val="-47"/>
        </w:rPr>
        <w:t> </w:t>
      </w:r>
      <w:r>
        <w:rPr>
          <w:rFonts w:ascii="宋体" w:hAnsi="宋体" w:cs="宋体" w:eastAsia="宋体" w:hint="default"/>
        </w:rPr>
        <w:t>92,671.65</w:t>
      </w:r>
      <w:r>
        <w:rPr>
          <w:rFonts w:ascii="宋体" w:hAnsi="宋体" w:cs="宋体" w:eastAsia="宋体" w:hint="default"/>
          <w:spacing w:val="-43"/>
        </w:rPr>
        <w:t> </w:t>
      </w:r>
      <w:r>
        <w:rPr>
          <w:spacing w:val="-5"/>
        </w:rPr>
        <w:t>万元，同比增长</w:t>
      </w:r>
      <w:r>
        <w:rPr>
          <w:spacing w:val="-44"/>
        </w:rPr>
        <w:t> </w:t>
      </w:r>
      <w:r>
        <w:rPr>
          <w:rFonts w:ascii="宋体" w:hAnsi="宋体" w:cs="宋体" w:eastAsia="宋体" w:hint="default"/>
          <w:spacing w:val="-3"/>
        </w:rPr>
        <w:t>1.12%</w:t>
      </w:r>
      <w:r>
        <w:rPr>
          <w:spacing w:val="-3"/>
        </w:rPr>
        <w:t>；归属于上市公司股东的净利润</w:t>
      </w:r>
      <w:r>
        <w:rPr>
          <w:spacing w:val="-43"/>
        </w:rPr>
        <w:t> </w:t>
      </w:r>
      <w:r>
        <w:rPr>
          <w:rFonts w:ascii="宋体" w:hAnsi="宋体" w:cs="宋体" w:eastAsia="宋体" w:hint="default"/>
          <w:sz w:val="22"/>
          <w:szCs w:val="22"/>
        </w:rPr>
        <w:t>93,218.48</w:t>
      </w:r>
      <w:r>
        <w:rPr>
          <w:rFonts w:ascii="宋体" w:hAnsi="宋体" w:cs="宋体" w:eastAsia="宋体" w:hint="default"/>
          <w:spacing w:val="-49"/>
          <w:sz w:val="22"/>
          <w:szCs w:val="22"/>
        </w:rPr>
        <w:t> </w:t>
      </w:r>
      <w:r>
        <w:rPr/>
        <w:t>万</w:t>
      </w:r>
      <w:r>
        <w:rPr>
          <w:spacing w:val="-101"/>
        </w:rPr>
        <w:t> </w:t>
      </w:r>
      <w:r>
        <w:rPr/>
        <w:t>元，同比增长</w:t>
      </w:r>
      <w:r>
        <w:rPr>
          <w:spacing w:val="-41"/>
        </w:rPr>
        <w:t> </w:t>
      </w:r>
      <w:r>
        <w:rPr>
          <w:rFonts w:ascii="宋体" w:hAnsi="宋体" w:cs="宋体" w:eastAsia="宋体" w:hint="default"/>
        </w:rPr>
        <w:t>0.90%</w:t>
      </w:r>
      <w:r>
        <w:rPr/>
        <w:t>；扣除非经常性损益后的归属于上市公司股东净利润</w:t>
      </w:r>
      <w:r>
        <w:rPr>
          <w:spacing w:val="-40"/>
        </w:rPr>
        <w:t> </w:t>
      </w:r>
      <w:r>
        <w:rPr>
          <w:rFonts w:ascii="宋体" w:hAnsi="宋体" w:cs="宋体" w:eastAsia="宋体" w:hint="default"/>
        </w:rPr>
        <w:t>86,759.08</w:t>
      </w:r>
      <w:r>
        <w:rPr>
          <w:rFonts w:ascii="宋体" w:hAnsi="宋体" w:cs="宋体" w:eastAsia="宋体" w:hint="default"/>
          <w:spacing w:val="-40"/>
        </w:rPr>
        <w:t> </w:t>
      </w:r>
      <w:r>
        <w:rPr/>
        <w:t>万元，同比增</w:t>
      </w:r>
    </w:p>
    <w:p>
      <w:pPr>
        <w:spacing w:after="0" w:line="357" w:lineRule="auto"/>
        <w:jc w:val="both"/>
        <w:sectPr>
          <w:pgSz w:w="11910" w:h="16840"/>
          <w:pgMar w:header="880" w:footer="1195" w:top="1060" w:bottom="1380" w:left="13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6"/>
        <w:ind w:right="205"/>
        <w:jc w:val="left"/>
      </w:pPr>
      <w:r>
        <w:rPr/>
        <w:t>长 </w:t>
      </w:r>
      <w:r>
        <w:rPr>
          <w:rFonts w:ascii="宋体" w:hAnsi="宋体" w:cs="宋体" w:eastAsia="宋体" w:hint="default"/>
          <w:spacing w:val="-3"/>
        </w:rPr>
        <w:t>19.49%</w:t>
      </w:r>
      <w:r>
        <w:rPr>
          <w:spacing w:val="-3"/>
        </w:rPr>
        <w:t>。经营业绩的增长主要得益于公司精耕主业、做强主业，本年度公司在图书出版、教育服</w:t>
      </w:r>
      <w:r>
        <w:rPr>
          <w:spacing w:val="-86"/>
        </w:rPr>
        <w:t> </w:t>
      </w:r>
      <w:r>
        <w:rPr>
          <w:spacing w:val="-86"/>
        </w:rPr>
      </w:r>
      <w:r>
        <w:rPr/>
        <w:t>务以及阅读服务等领域的销售收入及效益均得以提升。</w:t>
      </w:r>
    </w:p>
    <w:p>
      <w:pPr>
        <w:spacing w:after="0" w:line="355" w:lineRule="auto"/>
        <w:jc w:val="left"/>
        <w:sectPr>
          <w:pgSz w:w="11910" w:h="16840"/>
          <w:pgMar w:header="880" w:footer="1195" w:top="1060" w:bottom="1380" w:left="1220" w:right="1220"/>
        </w:sectPr>
      </w:pPr>
    </w:p>
    <w:p>
      <w:pPr>
        <w:pStyle w:val="Heading2"/>
        <w:tabs>
          <w:tab w:pos="1060" w:val="left" w:leader="none"/>
        </w:tabs>
        <w:spacing w:line="240" w:lineRule="auto" w:before="92"/>
        <w:ind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2"/>
        <w:tabs>
          <w:tab w:pos="640" w:val="left" w:leader="none"/>
        </w:tabs>
        <w:spacing w:line="240" w:lineRule="auto" w:before="58"/>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pStyle w:val="BodyText"/>
        <w:tabs>
          <w:tab w:pos="1166"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220" w:right="1220"/>
          <w:cols w:num="2" w:equalWidth="0">
            <w:col w:w="4438" w:space="2489"/>
            <w:col w:w="2543"/>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471"/>
        <w:gridCol w:w="2026"/>
        <w:gridCol w:w="1982"/>
        <w:gridCol w:w="1765"/>
      </w:tblGrid>
      <w:tr>
        <w:trPr>
          <w:trHeight w:val="281"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8,186,582,966.73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7,345,882,957.66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11.44</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5,115,028,020.85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4,686,978,912.13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9.13</w:t>
            </w:r>
          </w:p>
        </w:tc>
      </w:tr>
      <w:tr>
        <w:trPr>
          <w:trHeight w:val="281"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1,010,672,983.29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892,516,374.83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13.24</w:t>
            </w:r>
          </w:p>
        </w:tc>
      </w:tr>
      <w:tr>
        <w:trPr>
          <w:trHeight w:val="284"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1,115,342,053.40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1,065,185,674.93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4.71</w:t>
            </w:r>
          </w:p>
        </w:tc>
      </w:tr>
      <w:tr>
        <w:trPr>
          <w:trHeight w:val="281"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13,592,602.42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5,820,875.63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133.51</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-24,410,724.03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-24,360,291.07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-0.21</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993,450,271.97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345,621,870.44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187.44</w:t>
            </w:r>
          </w:p>
        </w:tc>
      </w:tr>
      <w:tr>
        <w:trPr>
          <w:trHeight w:val="281"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125,499,137.19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407,364,377.23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-69.19</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-367,822,327.06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-561,580,856.22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34.50</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57,346,713.77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80,753,079.75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-28.99</w:t>
            </w:r>
          </w:p>
        </w:tc>
      </w:tr>
      <w:tr>
        <w:trPr>
          <w:trHeight w:val="281"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83,756,073.61</w:t>
            </w:r>
          </w:p>
        </w:tc>
        <w:tc>
          <w:tcPr>
            <w:tcW w:w="1982"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126,882,215.06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272,154,816.43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-53.38</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-38,181,032.61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10,279.16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-371,541.17</w:t>
            </w:r>
          </w:p>
        </w:tc>
      </w:tr>
      <w:tr>
        <w:trPr>
          <w:trHeight w:val="281"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1,430,228.33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2,837,854.36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-49.60</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-10,795,846.37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559,885.21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-2,028.22</w:t>
            </w:r>
          </w:p>
        </w:tc>
      </w:tr>
      <w:tr>
        <w:trPr>
          <w:trHeight w:val="284"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其他综合收益的税后净额</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-388,763,766.33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-815,201,000.16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52.31</w:t>
            </w:r>
          </w:p>
        </w:tc>
      </w:tr>
    </w:tbl>
    <w:p>
      <w:pPr>
        <w:spacing w:line="240" w:lineRule="auto" w:before="5"/>
        <w:rPr>
          <w:rFonts w:ascii="宋体" w:hAnsi="宋体" w:cs="宋体" w:eastAsia="宋体" w:hint="default"/>
          <w:sz w:val="15"/>
          <w:szCs w:val="15"/>
        </w:rPr>
      </w:pPr>
    </w:p>
    <w:p>
      <w:pPr>
        <w:pStyle w:val="BodyText"/>
        <w:spacing w:line="355" w:lineRule="auto" w:before="36"/>
        <w:ind w:right="205" w:firstLine="424"/>
        <w:jc w:val="left"/>
      </w:pPr>
      <w:r>
        <w:rPr/>
        <w:t>营业收入变动原因说明</w:t>
      </w:r>
      <w:r>
        <w:rPr>
          <w:rFonts w:ascii="宋体" w:hAnsi="宋体" w:cs="宋体" w:eastAsia="宋体" w:hint="default"/>
        </w:rPr>
        <w:t>:</w:t>
      </w:r>
      <w:r>
        <w:rPr>
          <w:rFonts w:ascii="宋体" w:hAnsi="宋体" w:cs="宋体" w:eastAsia="宋体" w:hint="default"/>
          <w:spacing w:val="-13"/>
        </w:rPr>
        <w:t> </w:t>
      </w:r>
      <w:r>
        <w:rPr/>
        <w:t>本期间公司营业收入的增长主要得益于教育服务业务、一般图书出版</w:t>
      </w:r>
      <w:r>
        <w:rPr>
          <w:w w:val="100"/>
        </w:rPr>
        <w:t> </w:t>
      </w:r>
      <w:r>
        <w:rPr/>
        <w:t>业务、阅读服务业务以及第三方物流业务的收入增长。</w:t>
      </w:r>
    </w:p>
    <w:p>
      <w:pPr>
        <w:pStyle w:val="BodyText"/>
        <w:spacing w:line="355" w:lineRule="auto" w:before="34"/>
        <w:ind w:right="205" w:firstLine="424"/>
        <w:jc w:val="left"/>
      </w:pPr>
      <w:r>
        <w:rPr/>
        <w:t>营业成本变动原因说明</w:t>
      </w:r>
      <w:r>
        <w:rPr>
          <w:rFonts w:ascii="宋体" w:hAnsi="宋体" w:cs="宋体" w:eastAsia="宋体" w:hint="default"/>
        </w:rPr>
        <w:t>:</w:t>
      </w:r>
      <w:r>
        <w:rPr>
          <w:rFonts w:ascii="宋体" w:hAnsi="宋体" w:cs="宋体" w:eastAsia="宋体" w:hint="default"/>
          <w:spacing w:val="-13"/>
        </w:rPr>
        <w:t> </w:t>
      </w:r>
      <w:r>
        <w:rPr/>
        <w:t>营业成本的增长由销售的增长所带动，由于公司收入结构的变化，本</w:t>
      </w:r>
      <w:r>
        <w:rPr>
          <w:w w:val="100"/>
        </w:rPr>
        <w:t> </w:t>
      </w:r>
      <w:r>
        <w:rPr/>
        <w:t>期综合成本率同比有所降低。</w:t>
      </w:r>
    </w:p>
    <w:p>
      <w:pPr>
        <w:pStyle w:val="BodyText"/>
        <w:spacing w:line="355" w:lineRule="auto" w:before="32"/>
        <w:ind w:right="205" w:firstLine="424"/>
        <w:jc w:val="left"/>
      </w:pPr>
      <w:r>
        <w:rPr/>
        <w:t>销售费用变动原因说明</w:t>
      </w:r>
      <w:r>
        <w:rPr>
          <w:rFonts w:ascii="宋体" w:hAnsi="宋体" w:cs="宋体" w:eastAsia="宋体" w:hint="default"/>
        </w:rPr>
        <w:t>:</w:t>
      </w:r>
      <w:r>
        <w:rPr>
          <w:rFonts w:ascii="宋体" w:hAnsi="宋体" w:cs="宋体" w:eastAsia="宋体" w:hint="default"/>
          <w:spacing w:val="-13"/>
        </w:rPr>
        <w:t> </w:t>
      </w:r>
      <w:r>
        <w:rPr/>
        <w:t>主要因销售增长带来物流等费用增加，销售人员人力成本增长，以及</w:t>
      </w:r>
      <w:r>
        <w:rPr>
          <w:w w:val="100"/>
        </w:rPr>
        <w:t> </w:t>
      </w:r>
      <w:r>
        <w:rPr/>
        <w:t>从</w:t>
      </w:r>
      <w:r>
        <w:rPr>
          <w:spacing w:val="-56"/>
        </w:rPr>
        <w:t> </w:t>
      </w:r>
      <w:r>
        <w:rPr>
          <w:rFonts w:ascii="宋体" w:hAnsi="宋体" w:cs="宋体" w:eastAsia="宋体" w:hint="default"/>
        </w:rPr>
        <w:t>2017</w:t>
      </w:r>
      <w:r>
        <w:rPr>
          <w:rFonts w:ascii="宋体" w:hAnsi="宋体" w:cs="宋体" w:eastAsia="宋体" w:hint="default"/>
          <w:spacing w:val="-56"/>
        </w:rPr>
        <w:t> </w:t>
      </w:r>
      <w:r>
        <w:rPr/>
        <w:t>年秋季起对三州的免费教材结算方式改变带来代发手续费增加。</w:t>
      </w:r>
    </w:p>
    <w:p>
      <w:pPr>
        <w:pStyle w:val="BodyText"/>
        <w:spacing w:line="357" w:lineRule="auto" w:before="32"/>
        <w:ind w:left="645" w:right="405"/>
        <w:jc w:val="left"/>
      </w:pPr>
      <w:r>
        <w:rPr/>
        <w:t>管理费用变动原因说明</w:t>
      </w:r>
      <w:r>
        <w:rPr>
          <w:rFonts w:ascii="宋体" w:hAnsi="宋体" w:cs="宋体" w:eastAsia="宋体" w:hint="default"/>
        </w:rPr>
        <w:t>:</w:t>
      </w:r>
      <w:r>
        <w:rPr>
          <w:rFonts w:ascii="宋体" w:hAnsi="宋体" w:cs="宋体" w:eastAsia="宋体" w:hint="default"/>
          <w:spacing w:val="-3"/>
        </w:rPr>
        <w:t> </w:t>
      </w:r>
      <w:r>
        <w:rPr/>
        <w:t>主要因人力成本增长，租赁、修理等运维费用增加。</w:t>
      </w:r>
      <w:r>
        <w:rPr>
          <w:w w:val="100"/>
        </w:rPr>
        <w:t> </w:t>
      </w:r>
      <w:r>
        <w:rPr/>
        <w:t>研发费用变动原因说明</w:t>
      </w:r>
      <w:r>
        <w:rPr>
          <w:rFonts w:ascii="宋体" w:hAnsi="宋体" w:cs="宋体" w:eastAsia="宋体" w:hint="default"/>
        </w:rPr>
        <w:t>:</w:t>
      </w:r>
      <w:r>
        <w:rPr>
          <w:rFonts w:ascii="宋体" w:hAnsi="宋体" w:cs="宋体" w:eastAsia="宋体" w:hint="default"/>
          <w:spacing w:val="-3"/>
        </w:rPr>
        <w:t> </w:t>
      </w:r>
      <w:r>
        <w:rPr/>
        <w:t>本公司研发费用均为教育信息化业务方面的投入。</w:t>
      </w:r>
      <w:r>
        <w:rPr>
          <w:w w:val="100"/>
        </w:rPr>
        <w:t> </w:t>
      </w:r>
      <w:r>
        <w:rPr/>
        <w:t>财务费用变动原因说明</w:t>
      </w:r>
      <w:r>
        <w:rPr>
          <w:rFonts w:ascii="宋体" w:hAnsi="宋体" w:cs="宋体" w:eastAsia="宋体" w:hint="default"/>
        </w:rPr>
        <w:t>:</w:t>
      </w:r>
      <w:r>
        <w:rPr>
          <w:rFonts w:ascii="宋体" w:hAnsi="宋体" w:cs="宋体" w:eastAsia="宋体" w:hint="default"/>
          <w:spacing w:val="-2"/>
        </w:rPr>
        <w:t> </w:t>
      </w:r>
      <w:r>
        <w:rPr/>
        <w:t>基本与去年同期持平。</w:t>
      </w:r>
      <w:r>
        <w:rPr>
          <w:w w:val="100"/>
        </w:rPr>
        <w:t> </w:t>
      </w:r>
      <w:r>
        <w:rPr/>
        <w:t>经营活动产生的现金流量净额变动原因说明</w:t>
      </w:r>
      <w:r>
        <w:rPr>
          <w:rFonts w:ascii="宋体" w:hAnsi="宋体" w:cs="宋体" w:eastAsia="宋体" w:hint="default"/>
        </w:rPr>
        <w:t>:</w:t>
      </w:r>
      <w:r>
        <w:rPr>
          <w:rFonts w:ascii="宋体" w:hAnsi="宋体" w:cs="宋体" w:eastAsia="宋体" w:hint="default"/>
          <w:spacing w:val="-4"/>
        </w:rPr>
        <w:t> </w:t>
      </w:r>
      <w:r>
        <w:rPr/>
        <w:t>主要因本期间教育类图书业务继续保持较高的</w:t>
      </w:r>
    </w:p>
    <w:p>
      <w:pPr>
        <w:pStyle w:val="BodyText"/>
        <w:spacing w:line="357" w:lineRule="auto" w:before="30"/>
        <w:ind w:right="211"/>
        <w:jc w:val="both"/>
      </w:pPr>
      <w:r>
        <w:rPr>
          <w:spacing w:val="-2"/>
        </w:rPr>
        <w:t>回款率；以前年度开展的大量采用分期收款方式的教育装备及信息化业务随着回款期的到来实现陆</w:t>
      </w:r>
      <w:r>
        <w:rPr>
          <w:spacing w:val="-30"/>
        </w:rPr>
        <w:t> </w:t>
      </w:r>
      <w:r>
        <w:rPr>
          <w:spacing w:val="-30"/>
        </w:rPr>
      </w:r>
      <w:r>
        <w:rPr>
          <w:spacing w:val="-2"/>
        </w:rPr>
        <w:t>续回款，本期间向供应商的付款也同比减少；互联网销售业务本期间在网店运营和供货方面的回款</w:t>
      </w:r>
      <w:r>
        <w:rPr>
          <w:spacing w:val="-30"/>
        </w:rPr>
        <w:t> </w:t>
      </w:r>
      <w:r>
        <w:rPr>
          <w:spacing w:val="-30"/>
        </w:rPr>
      </w:r>
      <w:r>
        <w:rPr>
          <w:spacing w:val="-2"/>
        </w:rPr>
        <w:t>都实现了同比增长；此外，公司上年在一般图书出版业务方面的较大投入也随着图书在本年实现销</w:t>
      </w:r>
      <w:r>
        <w:rPr>
          <w:spacing w:val="-30"/>
        </w:rPr>
        <w:t> </w:t>
      </w:r>
      <w:r>
        <w:rPr>
          <w:spacing w:val="-30"/>
        </w:rPr>
      </w:r>
      <w:r>
        <w:rPr/>
        <w:t>售回款使现金流量净流入同比增加。</w:t>
      </w:r>
    </w:p>
    <w:p>
      <w:pPr>
        <w:spacing w:after="0" w:line="357" w:lineRule="auto"/>
        <w:jc w:val="both"/>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6"/>
        <w:ind w:left="460" w:right="451" w:firstLine="424"/>
        <w:jc w:val="both"/>
      </w:pPr>
      <w:r>
        <w:rPr/>
        <w:t>投资活动产生的现金流量净额变动原因说明</w:t>
      </w:r>
      <w:r>
        <w:rPr>
          <w:rFonts w:ascii="宋体" w:hAnsi="宋体" w:cs="宋体" w:eastAsia="宋体" w:hint="default"/>
        </w:rPr>
        <w:t>:</w:t>
      </w:r>
      <w:r>
        <w:rPr>
          <w:rFonts w:ascii="宋体" w:hAnsi="宋体" w:cs="宋体" w:eastAsia="宋体" w:hint="default"/>
          <w:spacing w:val="-14"/>
        </w:rPr>
        <w:t> </w:t>
      </w:r>
      <w:r>
        <w:rPr/>
        <w:t>本期间较去年同期大幅减少，主要因去年同期公</w:t>
      </w:r>
      <w:r>
        <w:rPr>
          <w:w w:val="100"/>
        </w:rPr>
        <w:t> </w:t>
      </w:r>
      <w:r>
        <w:rPr/>
        <w:t>司处置持有的联营公司成都鑫汇</w:t>
      </w:r>
      <w:r>
        <w:rPr>
          <w:spacing w:val="-56"/>
        </w:rPr>
        <w:t> </w:t>
      </w:r>
      <w:r>
        <w:rPr>
          <w:rFonts w:ascii="宋体" w:hAnsi="宋体" w:cs="宋体" w:eastAsia="宋体" w:hint="default"/>
        </w:rPr>
        <w:t>34%</w:t>
      </w:r>
      <w:r>
        <w:rPr/>
        <w:t>、合营公司四川文卓</w:t>
      </w:r>
      <w:r>
        <w:rPr>
          <w:spacing w:val="-56"/>
        </w:rPr>
        <w:t> </w:t>
      </w:r>
      <w:r>
        <w:rPr>
          <w:rFonts w:ascii="宋体" w:hAnsi="宋体" w:cs="宋体" w:eastAsia="宋体" w:hint="default"/>
        </w:rPr>
        <w:t>48%</w:t>
      </w:r>
      <w:r>
        <w:rPr/>
        <w:t>的股权合计收到款项</w:t>
      </w:r>
      <w:r>
        <w:rPr>
          <w:spacing w:val="-55"/>
        </w:rPr>
        <w:t> </w:t>
      </w:r>
      <w:r>
        <w:rPr>
          <w:rFonts w:ascii="宋体" w:hAnsi="宋体" w:cs="宋体" w:eastAsia="宋体" w:hint="default"/>
        </w:rPr>
        <w:t>5.65</w:t>
      </w:r>
      <w:r>
        <w:rPr>
          <w:rFonts w:ascii="宋体" w:hAnsi="宋体" w:cs="宋体" w:eastAsia="宋体" w:hint="default"/>
          <w:spacing w:val="-56"/>
        </w:rPr>
        <w:t> </w:t>
      </w:r>
      <w:r>
        <w:rPr/>
        <w:t>亿元，转让</w:t>
      </w:r>
      <w:r>
        <w:rPr>
          <w:w w:val="100"/>
        </w:rPr>
        <w:t> </w:t>
      </w:r>
      <w:r>
        <w:rPr/>
        <w:t>子公司华影文轩</w:t>
      </w:r>
      <w:r>
        <w:rPr>
          <w:spacing w:val="-54"/>
        </w:rPr>
        <w:t> </w:t>
      </w:r>
      <w:r>
        <w:rPr>
          <w:rFonts w:ascii="宋体" w:hAnsi="宋体" w:cs="宋体" w:eastAsia="宋体" w:hint="default"/>
        </w:rPr>
        <w:t>85%</w:t>
      </w:r>
      <w:r>
        <w:rPr/>
        <w:t>股权带来的现金流量净增加额</w:t>
      </w:r>
      <w:r>
        <w:rPr>
          <w:spacing w:val="-56"/>
        </w:rPr>
        <w:t> </w:t>
      </w:r>
      <w:r>
        <w:rPr>
          <w:rFonts w:ascii="宋体" w:hAnsi="宋体" w:cs="宋体" w:eastAsia="宋体" w:hint="default"/>
        </w:rPr>
        <w:t>0.67</w:t>
      </w:r>
      <w:r>
        <w:rPr>
          <w:rFonts w:ascii="宋体" w:hAnsi="宋体" w:cs="宋体" w:eastAsia="宋体" w:hint="default"/>
          <w:spacing w:val="-56"/>
        </w:rPr>
        <w:t> </w:t>
      </w:r>
      <w:r>
        <w:rPr/>
        <w:t>亿元。</w:t>
      </w:r>
    </w:p>
    <w:p>
      <w:pPr>
        <w:pStyle w:val="BodyText"/>
        <w:spacing w:line="357" w:lineRule="auto" w:before="32"/>
        <w:ind w:left="885" w:right="0"/>
        <w:jc w:val="left"/>
      </w:pPr>
      <w:r>
        <w:rPr/>
        <w:t>筹资活动产生的现金流量净额变动原因说明</w:t>
      </w:r>
      <w:r>
        <w:rPr>
          <w:rFonts w:ascii="宋体" w:hAnsi="宋体" w:cs="宋体" w:eastAsia="宋体" w:hint="default"/>
        </w:rPr>
        <w:t>:</w:t>
      </w:r>
      <w:r>
        <w:rPr/>
        <w:t>主要受股利派发进度的影响。</w:t>
      </w:r>
      <w:r>
        <w:rPr>
          <w:w w:val="100"/>
        </w:rPr>
        <w:t> </w:t>
      </w:r>
      <w:r>
        <w:rPr>
          <w:spacing w:val="-2"/>
        </w:rPr>
        <w:t>资产减值损失、信用减值损失变动原因说明</w:t>
      </w:r>
      <w:r>
        <w:rPr>
          <w:rFonts w:ascii="宋体" w:hAnsi="宋体" w:cs="宋体" w:eastAsia="宋体" w:hint="default"/>
          <w:spacing w:val="-2"/>
        </w:rPr>
        <w:t>:</w:t>
      </w:r>
      <w:r>
        <w:rPr>
          <w:spacing w:val="-2"/>
        </w:rPr>
        <w:t>按照新金融工具准则的要求，对应收票据、应收</w:t>
      </w:r>
    </w:p>
    <w:p>
      <w:pPr>
        <w:pStyle w:val="BodyText"/>
        <w:spacing w:line="357" w:lineRule="auto" w:before="30"/>
        <w:ind w:left="460" w:right="451"/>
        <w:jc w:val="both"/>
      </w:pPr>
      <w:r>
        <w:rPr>
          <w:spacing w:val="-2"/>
        </w:rPr>
        <w:t>款项和其他应收款等金融资产发生的信用减值从原资产减值损失中单列出来，本期间两者合计金额</w:t>
      </w:r>
      <w:r>
        <w:rPr>
          <w:spacing w:val="-30"/>
        </w:rPr>
        <w:t> </w:t>
      </w:r>
      <w:r>
        <w:rPr>
          <w:spacing w:val="-30"/>
        </w:rPr>
      </w:r>
      <w:r>
        <w:rPr>
          <w:spacing w:val="-2"/>
        </w:rPr>
        <w:t>较上年同期增加</w:t>
      </w:r>
      <w:r>
        <w:rPr>
          <w:rFonts w:ascii="宋体" w:hAnsi="宋体" w:cs="宋体" w:eastAsia="宋体" w:hint="default"/>
          <w:spacing w:val="-2"/>
        </w:rPr>
        <w:t>74.73%</w:t>
      </w:r>
      <w:r>
        <w:rPr>
          <w:spacing w:val="-2"/>
        </w:rPr>
        <w:t>。主要因公司对采用分期收款方式的教育装备及信息化业务到期未收回的应</w:t>
      </w:r>
      <w:r>
        <w:rPr>
          <w:spacing w:val="-25"/>
        </w:rPr>
        <w:t> </w:t>
      </w:r>
      <w:r>
        <w:rPr>
          <w:spacing w:val="-25"/>
        </w:rPr>
      </w:r>
      <w:r>
        <w:rPr>
          <w:spacing w:val="-2"/>
        </w:rPr>
        <w:t>收账款基于谨慎原则计提了坏账准备；以及按照长期股权投资减值测试的结果对相关长期股权投资</w:t>
      </w:r>
      <w:r>
        <w:rPr>
          <w:spacing w:val="-31"/>
        </w:rPr>
        <w:t> </w:t>
      </w:r>
      <w:r>
        <w:rPr>
          <w:spacing w:val="-31"/>
        </w:rPr>
      </w:r>
      <w:r>
        <w:rPr/>
        <w:t>计提了减值准备。</w:t>
      </w:r>
    </w:p>
    <w:p>
      <w:pPr>
        <w:pStyle w:val="BodyText"/>
        <w:spacing w:line="355" w:lineRule="auto" w:before="32"/>
        <w:ind w:left="460" w:right="497" w:firstLine="424"/>
        <w:jc w:val="left"/>
      </w:pPr>
      <w:r>
        <w:rPr/>
        <w:t>投资收益变动原因说明</w:t>
      </w:r>
      <w:r>
        <w:rPr>
          <w:rFonts w:ascii="宋体" w:hAnsi="宋体" w:cs="宋体" w:eastAsia="宋体" w:hint="default"/>
        </w:rPr>
        <w:t>:</w:t>
      </w:r>
      <w:r>
        <w:rPr/>
        <w:t>主要因去年同期公司处置联营公司成都鑫汇</w:t>
      </w:r>
      <w:r>
        <w:rPr>
          <w:spacing w:val="-55"/>
        </w:rPr>
        <w:t> </w:t>
      </w:r>
      <w:r>
        <w:rPr>
          <w:rFonts w:ascii="宋体" w:hAnsi="宋体" w:cs="宋体" w:eastAsia="宋体" w:hint="default"/>
        </w:rPr>
        <w:t>34%</w:t>
      </w:r>
      <w:r>
        <w:rPr/>
        <w:t>、合营公司四川文卓</w:t>
      </w:r>
      <w:r>
        <w:rPr>
          <w:w w:val="100"/>
        </w:rPr>
        <w:t> </w:t>
      </w:r>
      <w:r>
        <w:rPr>
          <w:rFonts w:ascii="宋体" w:hAnsi="宋体" w:cs="宋体" w:eastAsia="宋体" w:hint="default"/>
        </w:rPr>
        <w:t>48%</w:t>
      </w:r>
      <w:r>
        <w:rPr/>
        <w:t>及子公司华影文轩</w:t>
      </w:r>
      <w:r>
        <w:rPr>
          <w:spacing w:val="-55"/>
        </w:rPr>
        <w:t> </w:t>
      </w:r>
      <w:r>
        <w:rPr>
          <w:rFonts w:ascii="宋体" w:hAnsi="宋体" w:cs="宋体" w:eastAsia="宋体" w:hint="default"/>
        </w:rPr>
        <w:t>85%</w:t>
      </w:r>
      <w:r>
        <w:rPr/>
        <w:t>股权产生的股权处置收益及相关利得约</w:t>
      </w:r>
      <w:r>
        <w:rPr>
          <w:spacing w:val="-54"/>
        </w:rPr>
        <w:t> </w:t>
      </w:r>
      <w:r>
        <w:rPr>
          <w:rFonts w:ascii="宋体" w:hAnsi="宋体" w:cs="宋体" w:eastAsia="宋体" w:hint="default"/>
        </w:rPr>
        <w:t>1.70</w:t>
      </w:r>
      <w:r>
        <w:rPr>
          <w:rFonts w:ascii="宋体" w:hAnsi="宋体" w:cs="宋体" w:eastAsia="宋体" w:hint="default"/>
          <w:spacing w:val="-57"/>
        </w:rPr>
        <w:t> </w:t>
      </w:r>
      <w:r>
        <w:rPr/>
        <w:t>亿元；本期间公司加强资金</w:t>
      </w:r>
      <w:r>
        <w:rPr>
          <w:w w:val="100"/>
        </w:rPr>
        <w:t> </w:t>
      </w:r>
      <w:r>
        <w:rPr/>
        <w:t>归集管理，通过购买银行理财产品等方式带来资金收益较去年同期增加</w:t>
      </w:r>
      <w:r>
        <w:rPr>
          <w:spacing w:val="-56"/>
        </w:rPr>
        <w:t> </w:t>
      </w:r>
      <w:r>
        <w:rPr>
          <w:rFonts w:ascii="宋体" w:hAnsi="宋体" w:cs="宋体" w:eastAsia="宋体" w:hint="default"/>
        </w:rPr>
        <w:t>2,000</w:t>
      </w:r>
      <w:r>
        <w:rPr>
          <w:rFonts w:ascii="宋体" w:hAnsi="宋体" w:cs="宋体" w:eastAsia="宋体" w:hint="default"/>
          <w:spacing w:val="-56"/>
        </w:rPr>
        <w:t> </w:t>
      </w:r>
      <w:r>
        <w:rPr/>
        <w:t>余万元。</w:t>
      </w:r>
    </w:p>
    <w:p>
      <w:pPr>
        <w:pStyle w:val="BodyText"/>
        <w:spacing w:line="357" w:lineRule="auto" w:before="32"/>
        <w:ind w:left="460" w:right="0" w:firstLine="424"/>
        <w:jc w:val="left"/>
      </w:pPr>
      <w:r>
        <w:rPr/>
        <w:t>公允价值变动损益变动原因说明：</w:t>
      </w:r>
      <w:r>
        <w:rPr>
          <w:spacing w:val="-4"/>
        </w:rPr>
        <w:t> </w:t>
      </w:r>
      <w:r>
        <w:rPr/>
        <w:t>主要因公司对中信并购基金、文轩恒信基金、青岛金石和</w:t>
      </w:r>
      <w:r>
        <w:rPr>
          <w:w w:val="100"/>
        </w:rPr>
        <w:t> </w:t>
      </w:r>
      <w:r>
        <w:rPr>
          <w:spacing w:val="-2"/>
        </w:rPr>
        <w:t>泰州信恒基金的投资按照新金融工具准则，分类为以公允价值计量且其变动计入当期损益的金融资</w:t>
      </w:r>
      <w:r>
        <w:rPr>
          <w:spacing w:val="-30"/>
        </w:rPr>
        <w:t> </w:t>
      </w:r>
      <w:r>
        <w:rPr>
          <w:spacing w:val="-30"/>
        </w:rPr>
      </w:r>
      <w:r>
        <w:rPr/>
        <w:t>产，本期间发生的公允价值变动损失（去年同期其公允价值变动计入其他综合收益）。</w:t>
      </w:r>
    </w:p>
    <w:p>
      <w:pPr>
        <w:pStyle w:val="BodyText"/>
        <w:spacing w:line="357" w:lineRule="auto" w:before="30"/>
        <w:ind w:left="460" w:right="447" w:firstLine="424"/>
        <w:jc w:val="left"/>
      </w:pPr>
      <w:r>
        <w:rPr/>
        <w:t>资产处置收益变动原因说明：</w:t>
      </w:r>
      <w:r>
        <w:rPr>
          <w:spacing w:val="-4"/>
        </w:rPr>
        <w:t> </w:t>
      </w:r>
      <w:r>
        <w:rPr/>
        <w:t>本年度主要系子公司读者报社处置一处房产带来的收益；去年</w:t>
      </w:r>
      <w:r>
        <w:rPr>
          <w:w w:val="100"/>
        </w:rPr>
        <w:t> </w:t>
      </w:r>
      <w:r>
        <w:rPr>
          <w:spacing w:val="-2"/>
        </w:rPr>
        <w:t>同期子公司文传物流向联营公司四川文轩宝湾供应链有限公司以土地使用权作价出资，确认处置收</w:t>
      </w:r>
      <w:r>
        <w:rPr>
          <w:spacing w:val="-30"/>
        </w:rPr>
        <w:t> </w:t>
      </w:r>
      <w:r>
        <w:rPr>
          <w:spacing w:val="-30"/>
        </w:rPr>
      </w:r>
      <w:r>
        <w:rPr/>
        <w:t>益</w:t>
      </w:r>
      <w:r>
        <w:rPr>
          <w:spacing w:val="-52"/>
        </w:rPr>
        <w:t> </w:t>
      </w:r>
      <w:r>
        <w:rPr>
          <w:rFonts w:ascii="宋体" w:hAnsi="宋体" w:cs="宋体" w:eastAsia="宋体" w:hint="default"/>
        </w:rPr>
        <w:t>263</w:t>
      </w:r>
      <w:r>
        <w:rPr>
          <w:rFonts w:ascii="宋体" w:hAnsi="宋体" w:cs="宋体" w:eastAsia="宋体" w:hint="default"/>
          <w:spacing w:val="-54"/>
        </w:rPr>
        <w:t> </w:t>
      </w:r>
      <w:r>
        <w:rPr/>
        <w:t>万元。</w:t>
      </w:r>
    </w:p>
    <w:p>
      <w:pPr>
        <w:pStyle w:val="BodyText"/>
        <w:spacing w:line="355" w:lineRule="auto" w:before="32"/>
        <w:ind w:left="460" w:right="542" w:firstLine="424"/>
        <w:jc w:val="left"/>
      </w:pPr>
      <w:r>
        <w:rPr/>
        <w:t>所得税费用变动原因说明：</w:t>
      </w:r>
      <w:r>
        <w:rPr>
          <w:spacing w:val="-5"/>
        </w:rPr>
        <w:t> </w:t>
      </w:r>
      <w:r>
        <w:rPr/>
        <w:t>主要因本期间以公允价值计量且其变动计入当期损益的金融资产</w:t>
      </w:r>
      <w:r>
        <w:rPr>
          <w:w w:val="100"/>
        </w:rPr>
        <w:t> </w:t>
      </w:r>
      <w:r>
        <w:rPr/>
        <w:t>公允价值变动损失带来的递延所得税费用的变化。</w:t>
      </w:r>
    </w:p>
    <w:p>
      <w:pPr>
        <w:pStyle w:val="BodyText"/>
        <w:spacing w:line="355" w:lineRule="auto" w:before="32"/>
        <w:ind w:left="460" w:right="0" w:firstLine="424"/>
        <w:jc w:val="left"/>
      </w:pPr>
      <w:r>
        <w:rPr>
          <w:spacing w:val="-2"/>
        </w:rPr>
        <w:t>其他综合收益的税后净额变动原因说明：主要因本公司持有皖新传媒、成都银行等上市公司股</w:t>
      </w:r>
      <w:r>
        <w:rPr>
          <w:w w:val="100"/>
        </w:rPr>
        <w:t> </w:t>
      </w:r>
      <w:r>
        <w:rPr/>
        <w:t>份，其股价发生波动带来的影响。</w:t>
      </w:r>
    </w:p>
    <w:p>
      <w:pPr>
        <w:spacing w:line="240" w:lineRule="auto" w:before="9"/>
        <w:rPr>
          <w:rFonts w:ascii="宋体" w:hAnsi="宋体" w:cs="宋体" w:eastAsia="宋体" w:hint="default"/>
          <w:sz w:val="26"/>
          <w:szCs w:val="26"/>
        </w:rPr>
      </w:pPr>
    </w:p>
    <w:p>
      <w:pPr>
        <w:pStyle w:val="Heading2"/>
        <w:spacing w:line="240" w:lineRule="auto"/>
        <w:ind w:left="460" w:right="0"/>
        <w:jc w:val="both"/>
        <w:rPr>
          <w:b w:val="0"/>
          <w:bCs w:val="0"/>
        </w:rPr>
      </w:pPr>
      <w:r>
        <w:rPr>
          <w:rFonts w:ascii="宋体" w:hAnsi="宋体" w:cs="宋体" w:eastAsia="宋体" w:hint="default"/>
        </w:rPr>
        <w:t>2.</w:t>
      </w:r>
      <w:r>
        <w:rPr>
          <w:rFonts w:ascii="宋体" w:hAnsi="宋体" w:cs="宋体" w:eastAsia="宋体" w:hint="default"/>
          <w:spacing w:val="105"/>
        </w:rPr>
        <w:t> </w:t>
      </w:r>
      <w:r>
        <w:rPr/>
        <w:t>收入和成本分析</w:t>
      </w:r>
      <w:r>
        <w:rPr>
          <w:b w:val="0"/>
          <w:bCs w:val="0"/>
        </w:rPr>
      </w:r>
    </w:p>
    <w:p>
      <w:pPr>
        <w:pStyle w:val="BodyText"/>
        <w:spacing w:line="273" w:lineRule="exact" w:before="59"/>
        <w:ind w:left="460" w:right="0"/>
        <w:jc w:val="both"/>
      </w:pPr>
      <w:r>
        <w:rPr/>
        <w:t>√适用 □不适用</w:t>
      </w:r>
    </w:p>
    <w:p>
      <w:pPr>
        <w:pStyle w:val="BodyText"/>
        <w:spacing w:line="357" w:lineRule="auto"/>
        <w:ind w:left="460" w:right="453" w:firstLine="420"/>
        <w:jc w:val="both"/>
      </w:pPr>
      <w:r>
        <w:rPr/>
        <w:t>本年度，公司实现营业收入</w:t>
      </w:r>
      <w:r>
        <w:rPr>
          <w:spacing w:val="-55"/>
        </w:rPr>
        <w:t> </w:t>
      </w:r>
      <w:r>
        <w:rPr>
          <w:rFonts w:ascii="宋体" w:hAnsi="宋体" w:cs="宋体" w:eastAsia="宋体" w:hint="default"/>
        </w:rPr>
        <w:t>818,658.30</w:t>
      </w:r>
      <w:r>
        <w:rPr>
          <w:rFonts w:ascii="宋体" w:hAnsi="宋体" w:cs="宋体" w:eastAsia="宋体" w:hint="default"/>
          <w:spacing w:val="-57"/>
        </w:rPr>
        <w:t> </w:t>
      </w:r>
      <w:r>
        <w:rPr/>
        <w:t>万元，其中主营业务收入</w:t>
      </w:r>
      <w:r>
        <w:rPr>
          <w:spacing w:val="-54"/>
        </w:rPr>
        <w:t> </w:t>
      </w:r>
      <w:r>
        <w:rPr>
          <w:rFonts w:ascii="宋体" w:hAnsi="宋体" w:cs="宋体" w:eastAsia="宋体" w:hint="default"/>
        </w:rPr>
        <w:t>803,020.15</w:t>
      </w:r>
      <w:r>
        <w:rPr>
          <w:rFonts w:ascii="宋体" w:hAnsi="宋体" w:cs="宋体" w:eastAsia="宋体" w:hint="default"/>
          <w:spacing w:val="-57"/>
        </w:rPr>
        <w:t> </w:t>
      </w:r>
      <w:r>
        <w:rPr/>
        <w:t>万元，同比增长</w:t>
      </w:r>
      <w:r>
        <w:rPr>
          <w:w w:val="100"/>
        </w:rPr>
        <w:t> </w:t>
      </w:r>
      <w:r>
        <w:rPr>
          <w:rFonts w:ascii="宋体" w:hAnsi="宋体" w:cs="宋体" w:eastAsia="宋体" w:hint="default"/>
          <w:spacing w:val="-2"/>
        </w:rPr>
        <w:t>11.56%</w:t>
      </w:r>
      <w:r>
        <w:rPr>
          <w:spacing w:val="-2"/>
        </w:rPr>
        <w:t>，主要得益于教育服务业务、一般图书出版业务、阅读服务业务以及第三方物流业务的收入</w:t>
      </w:r>
      <w:r>
        <w:rPr>
          <w:spacing w:val="-26"/>
        </w:rPr>
        <w:t> </w:t>
      </w:r>
      <w:r>
        <w:rPr>
          <w:spacing w:val="-26"/>
        </w:rPr>
      </w:r>
      <w:r>
        <w:rPr/>
        <w:t>增长。营业成本</w:t>
      </w:r>
      <w:r>
        <w:rPr>
          <w:spacing w:val="-55"/>
        </w:rPr>
        <w:t> </w:t>
      </w:r>
      <w:r>
        <w:rPr>
          <w:rFonts w:ascii="宋体" w:hAnsi="宋体" w:cs="宋体" w:eastAsia="宋体" w:hint="default"/>
        </w:rPr>
        <w:t>511,502.80</w:t>
      </w:r>
      <w:r>
        <w:rPr>
          <w:rFonts w:ascii="宋体" w:hAnsi="宋体" w:cs="宋体" w:eastAsia="宋体" w:hint="default"/>
          <w:spacing w:val="-54"/>
        </w:rPr>
        <w:t> </w:t>
      </w:r>
      <w:r>
        <w:rPr/>
        <w:t>万元，其中主营业务成本</w:t>
      </w:r>
      <w:r>
        <w:rPr>
          <w:spacing w:val="-55"/>
        </w:rPr>
        <w:t> </w:t>
      </w:r>
      <w:r>
        <w:rPr>
          <w:rFonts w:ascii="宋体" w:hAnsi="宋体" w:cs="宋体" w:eastAsia="宋体" w:hint="default"/>
        </w:rPr>
        <w:t>509,323.11</w:t>
      </w:r>
      <w:r>
        <w:rPr>
          <w:rFonts w:ascii="宋体" w:hAnsi="宋体" w:cs="宋体" w:eastAsia="宋体" w:hint="default"/>
          <w:spacing w:val="-57"/>
        </w:rPr>
        <w:t> </w:t>
      </w:r>
      <w:r>
        <w:rPr/>
        <w:t>万元，同比增长</w:t>
      </w:r>
      <w:r>
        <w:rPr>
          <w:spacing w:val="-54"/>
        </w:rPr>
        <w:t> </w:t>
      </w:r>
      <w:r>
        <w:rPr>
          <w:rFonts w:ascii="宋体" w:hAnsi="宋体" w:cs="宋体" w:eastAsia="宋体" w:hint="default"/>
        </w:rPr>
        <w:t>9.12%</w:t>
      </w:r>
      <w:r>
        <w:rPr/>
        <w:t>，主要由</w:t>
      </w:r>
      <w:r>
        <w:rPr>
          <w:w w:val="100"/>
        </w:rPr>
        <w:t> </w:t>
      </w:r>
      <w:r>
        <w:rPr/>
        <w:t>销售的增长所带动，因公司收入结构的变化致综合成本率略有下降。</w:t>
      </w:r>
    </w:p>
    <w:p>
      <w:pPr>
        <w:pStyle w:val="Heading2"/>
        <w:spacing w:line="240" w:lineRule="auto" w:before="90"/>
        <w:ind w:left="460" w:right="0"/>
        <w:jc w:val="left"/>
        <w:rPr>
          <w:b w:val="0"/>
          <w:bCs w:val="0"/>
        </w:rPr>
      </w:pPr>
      <w:r>
        <w:rPr>
          <w:rFonts w:ascii="宋体" w:hAnsi="宋体" w:cs="宋体" w:eastAsia="宋体" w:hint="default"/>
        </w:rPr>
        <w:t>(1).</w:t>
      </w:r>
      <w:r>
        <w:rPr>
          <w:rFonts w:ascii="宋体" w:hAnsi="宋体" w:cs="宋体" w:eastAsia="宋体" w:hint="default"/>
          <w:spacing w:val="38"/>
        </w:rPr>
        <w:t> </w:t>
      </w:r>
      <w:r>
        <w:rPr/>
        <w:t>主营业务分行业、分产品、分地区情况</w:t>
      </w:r>
      <w:r>
        <w:rPr>
          <w:b w:val="0"/>
          <w:bCs w:val="0"/>
        </w:rPr>
      </w:r>
    </w:p>
    <w:p>
      <w:pPr>
        <w:pStyle w:val="BodyText"/>
        <w:tabs>
          <w:tab w:pos="946" w:val="left" w:leader="none"/>
        </w:tabs>
        <w:spacing w:line="240" w:lineRule="auto" w:before="58"/>
        <w:ind w:left="0" w:right="453"/>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805"/>
        <w:gridCol w:w="1748"/>
        <w:gridCol w:w="1748"/>
        <w:gridCol w:w="852"/>
        <w:gridCol w:w="811"/>
        <w:gridCol w:w="809"/>
        <w:gridCol w:w="1933"/>
      </w:tblGrid>
      <w:tr>
        <w:trPr>
          <w:trHeight w:val="406" w:hRule="exact"/>
        </w:trPr>
        <w:tc>
          <w:tcPr>
            <w:tcW w:w="970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47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0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营业收</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入比上</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营业成</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本比上</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毛利率比上年增</w:t>
            </w:r>
            <w:r>
              <w:rPr>
                <w:rFonts w:ascii="宋体" w:hAnsi="宋体" w:cs="宋体" w:eastAsia="宋体" w:hint="default"/>
                <w:spacing w:val="-85"/>
                <w:sz w:val="18"/>
                <w:szCs w:val="18"/>
              </w:rPr>
              <w:t>减</w:t>
            </w:r>
            <w:r>
              <w:rPr>
                <w:rFonts w:ascii="宋体" w:hAnsi="宋体" w:cs="宋体" w:eastAsia="宋体" w:hint="default"/>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80" w:footer="1195"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236" w:type="dxa"/>
        <w:tblLayout w:type="fixed"/>
        <w:tblCellMar>
          <w:top w:w="0" w:type="dxa"/>
          <w:left w:w="0" w:type="dxa"/>
          <w:bottom w:w="0" w:type="dxa"/>
          <w:right w:w="0" w:type="dxa"/>
        </w:tblCellMar>
        <w:tblLook w:val="01E0"/>
      </w:tblPr>
      <w:tblGrid>
        <w:gridCol w:w="1805"/>
        <w:gridCol w:w="1748"/>
        <w:gridCol w:w="1748"/>
        <w:gridCol w:w="858"/>
        <w:gridCol w:w="811"/>
        <w:gridCol w:w="808"/>
        <w:gridCol w:w="1927"/>
      </w:tblGrid>
      <w:tr>
        <w:trPr>
          <w:trHeight w:val="475" w:hRule="exact"/>
        </w:trPr>
        <w:tc>
          <w:tcPr>
            <w:tcW w:w="1805"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3" w:right="0"/>
              <w:jc w:val="left"/>
              <w:rPr>
                <w:rFonts w:ascii="宋体" w:hAnsi="宋体" w:cs="宋体" w:eastAsia="宋体" w:hint="default"/>
                <w:sz w:val="18"/>
                <w:szCs w:val="18"/>
              </w:rPr>
            </w:pPr>
            <w:r>
              <w:rPr>
                <w:rFonts w:ascii="宋体" w:hAnsi="宋体" w:cs="宋体" w:eastAsia="宋体" w:hint="default"/>
                <w:sz w:val="18"/>
                <w:szCs w:val="18"/>
              </w:rPr>
              <w:t>年增减</w:t>
            </w: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3" w:right="0"/>
              <w:jc w:val="left"/>
              <w:rPr>
                <w:rFonts w:ascii="宋体" w:hAnsi="宋体" w:cs="宋体" w:eastAsia="宋体" w:hint="default"/>
                <w:sz w:val="18"/>
                <w:szCs w:val="18"/>
              </w:rPr>
            </w:pPr>
            <w:r>
              <w:rPr>
                <w:rFonts w:ascii="宋体" w:hAnsi="宋体" w:cs="宋体" w:eastAsia="宋体" w:hint="default"/>
                <w:sz w:val="18"/>
                <w:szCs w:val="18"/>
              </w:rPr>
              <w:t>年增减</w:t>
            </w:r>
          </w:p>
          <w:p>
            <w:pPr>
              <w:pStyle w:val="TableParagraph"/>
              <w:spacing w:line="234" w:lineRule="exact"/>
              <w:ind w:left="1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出版</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2,497,103,786.85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1,722,126,541.03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z w:val="18"/>
              </w:rPr>
              <w:t>31.04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z w:val="18"/>
              </w:rPr>
              <w:t>20.62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z w:val="18"/>
              </w:rPr>
              <w:t>20.16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0.27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7,026,920,235.21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4,867,119,349.32</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30.74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8.90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5.89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1.98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296,901,494.01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264,682,832.00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10.85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51.18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54.16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1.73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内部抵销数</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-1,790,724,030.57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-1,760,697,587.39</w:t>
            </w:r>
          </w:p>
        </w:tc>
        <w:tc>
          <w:tcPr>
            <w:tcW w:w="85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8,030,201,485.50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5,093,231,134.96</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36.57</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11.56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9.12</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1.41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9705"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94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151"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3" w:right="0"/>
              <w:jc w:val="left"/>
              <w:rPr>
                <w:rFonts w:ascii="宋体" w:hAnsi="宋体" w:cs="宋体" w:eastAsia="宋体" w:hint="default"/>
                <w:sz w:val="18"/>
                <w:szCs w:val="18"/>
              </w:rPr>
            </w:pPr>
            <w:r>
              <w:rPr>
                <w:rFonts w:ascii="宋体" w:hAnsi="宋体" w:cs="宋体" w:eastAsia="宋体" w:hint="default"/>
                <w:sz w:val="18"/>
                <w:szCs w:val="18"/>
              </w:rPr>
              <w:t>营业收</w:t>
            </w:r>
          </w:p>
          <w:p>
            <w:pPr>
              <w:pStyle w:val="TableParagraph"/>
              <w:spacing w:line="240" w:lineRule="auto"/>
              <w:ind w:left="123" w:right="136"/>
              <w:jc w:val="left"/>
              <w:rPr>
                <w:rFonts w:ascii="宋体" w:hAnsi="宋体" w:cs="宋体" w:eastAsia="宋体" w:hint="default"/>
                <w:sz w:val="18"/>
                <w:szCs w:val="18"/>
              </w:rPr>
            </w:pPr>
            <w:r>
              <w:rPr>
                <w:rFonts w:ascii="宋体" w:hAnsi="宋体" w:cs="宋体" w:eastAsia="宋体" w:hint="default"/>
                <w:sz w:val="18"/>
                <w:szCs w:val="18"/>
              </w:rPr>
              <w:t>入比上 年增减</w:t>
            </w:r>
          </w:p>
          <w:p>
            <w:pPr>
              <w:pStyle w:val="TableParagraph"/>
              <w:spacing w:line="233" w:lineRule="exact"/>
              <w:ind w:left="16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3" w:right="0"/>
              <w:jc w:val="left"/>
              <w:rPr>
                <w:rFonts w:ascii="宋体" w:hAnsi="宋体" w:cs="宋体" w:eastAsia="宋体" w:hint="default"/>
                <w:sz w:val="18"/>
                <w:szCs w:val="18"/>
              </w:rPr>
            </w:pPr>
            <w:r>
              <w:rPr>
                <w:rFonts w:ascii="宋体" w:hAnsi="宋体" w:cs="宋体" w:eastAsia="宋体" w:hint="default"/>
                <w:sz w:val="18"/>
                <w:szCs w:val="18"/>
              </w:rPr>
              <w:t>营业成</w:t>
            </w:r>
          </w:p>
          <w:p>
            <w:pPr>
              <w:pStyle w:val="TableParagraph"/>
              <w:spacing w:line="240" w:lineRule="auto"/>
              <w:ind w:left="123" w:right="133"/>
              <w:jc w:val="left"/>
              <w:rPr>
                <w:rFonts w:ascii="宋体" w:hAnsi="宋体" w:cs="宋体" w:eastAsia="宋体" w:hint="default"/>
                <w:sz w:val="18"/>
                <w:szCs w:val="18"/>
              </w:rPr>
            </w:pPr>
            <w:r>
              <w:rPr>
                <w:rFonts w:ascii="宋体" w:hAnsi="宋体" w:cs="宋体" w:eastAsia="宋体" w:hint="default"/>
                <w:sz w:val="18"/>
                <w:szCs w:val="18"/>
              </w:rPr>
              <w:t>本比上 年增减</w:t>
            </w:r>
          </w:p>
          <w:p>
            <w:pPr>
              <w:pStyle w:val="TableParagraph"/>
              <w:spacing w:line="233" w:lineRule="exact"/>
              <w:ind w:left="1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毛利率比上年增</w:t>
            </w:r>
            <w:r>
              <w:rPr>
                <w:rFonts w:ascii="宋体" w:hAnsi="宋体" w:cs="宋体" w:eastAsia="宋体" w:hint="default"/>
                <w:spacing w:val="-85"/>
                <w:sz w:val="18"/>
                <w:szCs w:val="18"/>
              </w:rPr>
              <w:t>减</w:t>
            </w:r>
            <w:r>
              <w:rPr>
                <w:rFonts w:ascii="宋体" w:hAnsi="宋体" w:cs="宋体" w:eastAsia="宋体" w:hint="default"/>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w:t>
            </w:r>
          </w:p>
        </w:tc>
      </w:tr>
      <w:tr>
        <w:trPr>
          <w:trHeight w:val="2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一、出版</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2,497,103,786.85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1,722,126,541.03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31.04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20.62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20.16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0.27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教材及助学类读物</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1,345,807,273.62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877,132,171.24</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34.82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14.74</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15.11</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0.21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一般图书</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786,343,197.10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525,166,730.75</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33.21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36.43</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34.72</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0.85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印刷及物资</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314,419,700.25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298,662,824.04</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5.01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11.52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12.96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1.21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50,533,615.88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21,164,815.00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58.12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29.46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24.77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1.58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二、发行</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7,026,920,235.21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4,867,119,349.32</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z w:val="18"/>
              </w:rPr>
              <w:t>30.74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z w:val="18"/>
              </w:rPr>
              <w:t>8.90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z w:val="18"/>
              </w:rPr>
              <w:t>5.89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1.98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教育服务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4,771,871,961.65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3,080,866,254.21</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35.44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10.93</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10.01</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0.54</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7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其中：教材及助学类</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读物</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4,015,378,780.29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2,417,525,533.74</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39.79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8.81</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6.79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1.13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7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0" w:right="0"/>
              <w:jc w:val="left"/>
              <w:rPr>
                <w:rFonts w:ascii="宋体" w:hAnsi="宋体" w:cs="宋体" w:eastAsia="宋体" w:hint="default"/>
                <w:sz w:val="18"/>
                <w:szCs w:val="18"/>
              </w:rPr>
            </w:pPr>
            <w:r>
              <w:rPr>
                <w:rFonts w:ascii="宋体" w:hAnsi="宋体" w:cs="宋体" w:eastAsia="宋体" w:hint="default"/>
                <w:sz w:val="18"/>
                <w:szCs w:val="18"/>
              </w:rPr>
              <w:t>教育信息化及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装备业务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756,493,181.36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663,340,720.47</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12.31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23.74</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23.60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0.10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互联网销售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1,266,527,032.62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1,129,994,562.12</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10.78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2.66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-1.49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3.76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662,056,056.76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425,835,034.77</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35.68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8.06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6.04</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1.22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326,465,184.18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230,423,498.22</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29.42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7.32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-6.89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10.77</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24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三、其他</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296,901,494.01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264,682,832.00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6"/>
              <w:jc w:val="right"/>
              <w:rPr>
                <w:rFonts w:ascii="宋体" w:hAnsi="宋体" w:cs="宋体" w:eastAsia="宋体" w:hint="default"/>
                <w:sz w:val="18"/>
                <w:szCs w:val="18"/>
              </w:rPr>
            </w:pPr>
            <w:r>
              <w:rPr>
                <w:rFonts w:ascii="宋体"/>
                <w:sz w:val="18"/>
              </w:rPr>
              <w:t>10.85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6"/>
              <w:jc w:val="right"/>
              <w:rPr>
                <w:rFonts w:ascii="宋体" w:hAnsi="宋体" w:cs="宋体" w:eastAsia="宋体" w:hint="default"/>
                <w:sz w:val="18"/>
                <w:szCs w:val="18"/>
              </w:rPr>
            </w:pPr>
            <w:r>
              <w:rPr>
                <w:rFonts w:ascii="宋体"/>
                <w:sz w:val="18"/>
              </w:rPr>
              <w:t>51.18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6"/>
              <w:jc w:val="right"/>
              <w:rPr>
                <w:rFonts w:ascii="宋体" w:hAnsi="宋体" w:cs="宋体" w:eastAsia="宋体" w:hint="default"/>
                <w:sz w:val="18"/>
                <w:szCs w:val="18"/>
              </w:rPr>
            </w:pPr>
            <w:r>
              <w:rPr>
                <w:rFonts w:ascii="宋体"/>
                <w:sz w:val="18"/>
              </w:rPr>
              <w:t>54.16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1.73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内部抵销数合计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-1,790,724,030.57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-1,760,697,587.39</w:t>
            </w:r>
          </w:p>
        </w:tc>
        <w:tc>
          <w:tcPr>
            <w:tcW w:w="85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8,030,201,485.50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5,093,231,134.96</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36.57</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11.56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9.12</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1.41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9705"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94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分地区</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2" w:right="0"/>
              <w:jc w:val="left"/>
              <w:rPr>
                <w:rFonts w:ascii="宋体" w:hAnsi="宋体" w:cs="宋体" w:eastAsia="宋体" w:hint="default"/>
                <w:sz w:val="18"/>
                <w:szCs w:val="18"/>
              </w:rPr>
            </w:pPr>
            <w:r>
              <w:rPr>
                <w:rFonts w:ascii="宋体" w:hAnsi="宋体" w:cs="宋体" w:eastAsia="宋体" w:hint="default"/>
                <w:sz w:val="18"/>
                <w:szCs w:val="18"/>
              </w:rPr>
              <w:t>营业收</w:t>
            </w:r>
          </w:p>
          <w:p>
            <w:pPr>
              <w:pStyle w:val="TableParagraph"/>
              <w:spacing w:line="232" w:lineRule="exact" w:before="23"/>
              <w:ind w:left="142" w:right="117"/>
              <w:jc w:val="left"/>
              <w:rPr>
                <w:rFonts w:ascii="宋体" w:hAnsi="宋体" w:cs="宋体" w:eastAsia="宋体" w:hint="default"/>
                <w:sz w:val="18"/>
                <w:szCs w:val="18"/>
              </w:rPr>
            </w:pPr>
            <w:r>
              <w:rPr>
                <w:rFonts w:ascii="宋体" w:hAnsi="宋体" w:cs="宋体" w:eastAsia="宋体" w:hint="default"/>
                <w:sz w:val="18"/>
                <w:szCs w:val="18"/>
              </w:rPr>
              <w:t>入比上 年增减</w:t>
            </w:r>
          </w:p>
          <w:p>
            <w:pPr>
              <w:pStyle w:val="TableParagraph"/>
              <w:spacing w:line="214" w:lineRule="exact"/>
              <w:ind w:left="18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0" w:right="0"/>
              <w:jc w:val="left"/>
              <w:rPr>
                <w:rFonts w:ascii="宋体" w:hAnsi="宋体" w:cs="宋体" w:eastAsia="宋体" w:hint="default"/>
                <w:sz w:val="18"/>
                <w:szCs w:val="18"/>
              </w:rPr>
            </w:pPr>
            <w:r>
              <w:rPr>
                <w:rFonts w:ascii="宋体" w:hAnsi="宋体" w:cs="宋体" w:eastAsia="宋体" w:hint="default"/>
                <w:sz w:val="18"/>
                <w:szCs w:val="18"/>
              </w:rPr>
              <w:t>营业成</w:t>
            </w:r>
          </w:p>
          <w:p>
            <w:pPr>
              <w:pStyle w:val="TableParagraph"/>
              <w:spacing w:line="232" w:lineRule="exact" w:before="23"/>
              <w:ind w:left="140" w:right="116"/>
              <w:jc w:val="left"/>
              <w:rPr>
                <w:rFonts w:ascii="宋体" w:hAnsi="宋体" w:cs="宋体" w:eastAsia="宋体" w:hint="default"/>
                <w:sz w:val="18"/>
                <w:szCs w:val="18"/>
              </w:rPr>
            </w:pPr>
            <w:r>
              <w:rPr>
                <w:rFonts w:ascii="宋体" w:hAnsi="宋体" w:cs="宋体" w:eastAsia="宋体" w:hint="default"/>
                <w:sz w:val="18"/>
                <w:szCs w:val="18"/>
              </w:rPr>
              <w:t>本比上 年增减</w:t>
            </w:r>
          </w:p>
          <w:p>
            <w:pPr>
              <w:pStyle w:val="TableParagraph"/>
              <w:spacing w:line="214" w:lineRule="exact"/>
              <w:ind w:left="18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1"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34" w:lineRule="exact"/>
              <w:ind w:left="1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24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四川省内</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5,859,725,939.03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3,264,367,407.41</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5"/>
              <w:jc w:val="right"/>
              <w:rPr>
                <w:rFonts w:ascii="宋体" w:hAnsi="宋体" w:cs="宋体" w:eastAsia="宋体" w:hint="default"/>
                <w:sz w:val="18"/>
                <w:szCs w:val="18"/>
              </w:rPr>
            </w:pPr>
            <w:r>
              <w:rPr>
                <w:rFonts w:ascii="宋体"/>
                <w:sz w:val="18"/>
              </w:rPr>
              <w:t>44.29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9"/>
              <w:jc w:val="right"/>
              <w:rPr>
                <w:rFonts w:ascii="宋体" w:hAnsi="宋体" w:cs="宋体" w:eastAsia="宋体" w:hint="default"/>
                <w:sz w:val="18"/>
                <w:szCs w:val="18"/>
              </w:rPr>
            </w:pPr>
            <w:r>
              <w:rPr>
                <w:rFonts w:ascii="宋体"/>
                <w:sz w:val="18"/>
              </w:rPr>
              <w:t>6.89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9"/>
              <w:jc w:val="right"/>
              <w:rPr>
                <w:rFonts w:ascii="宋体" w:hAnsi="宋体" w:cs="宋体" w:eastAsia="宋体" w:hint="default"/>
                <w:sz w:val="18"/>
                <w:szCs w:val="18"/>
              </w:rPr>
            </w:pPr>
            <w:r>
              <w:rPr>
                <w:rFonts w:ascii="宋体"/>
                <w:sz w:val="18"/>
              </w:rPr>
              <w:t>2.20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2.56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四川省外</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2,170,475,546.47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1,828,863,727.55</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5"/>
              <w:jc w:val="right"/>
              <w:rPr>
                <w:rFonts w:ascii="宋体" w:hAnsi="宋体" w:cs="宋体" w:eastAsia="宋体" w:hint="default"/>
                <w:sz w:val="18"/>
                <w:szCs w:val="18"/>
              </w:rPr>
            </w:pPr>
            <w:r>
              <w:rPr>
                <w:rFonts w:ascii="宋体"/>
                <w:sz w:val="18"/>
              </w:rPr>
              <w:t>15.74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0"/>
              <w:jc w:val="right"/>
              <w:rPr>
                <w:rFonts w:ascii="宋体" w:hAnsi="宋体" w:cs="宋体" w:eastAsia="宋体" w:hint="default"/>
                <w:sz w:val="18"/>
                <w:szCs w:val="18"/>
              </w:rPr>
            </w:pPr>
            <w:r>
              <w:rPr>
                <w:rFonts w:ascii="宋体"/>
                <w:sz w:val="18"/>
              </w:rPr>
              <w:t>26.48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9"/>
              <w:jc w:val="right"/>
              <w:rPr>
                <w:rFonts w:ascii="宋体" w:hAnsi="宋体" w:cs="宋体" w:eastAsia="宋体" w:hint="default"/>
                <w:sz w:val="18"/>
                <w:szCs w:val="18"/>
              </w:rPr>
            </w:pPr>
            <w:r>
              <w:rPr>
                <w:rFonts w:ascii="宋体"/>
                <w:sz w:val="18"/>
              </w:rPr>
              <w:t>24.12</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1.60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8,030,201,485.50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5,093,231,134.96</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5"/>
              <w:jc w:val="right"/>
              <w:rPr>
                <w:rFonts w:ascii="宋体" w:hAnsi="宋体" w:cs="宋体" w:eastAsia="宋体" w:hint="default"/>
                <w:sz w:val="18"/>
                <w:szCs w:val="18"/>
              </w:rPr>
            </w:pPr>
            <w:r>
              <w:rPr>
                <w:rFonts w:ascii="宋体"/>
                <w:sz w:val="18"/>
              </w:rPr>
              <w:t>36.57</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0"/>
              <w:jc w:val="right"/>
              <w:rPr>
                <w:rFonts w:ascii="宋体" w:hAnsi="宋体" w:cs="宋体" w:eastAsia="宋体" w:hint="default"/>
                <w:sz w:val="18"/>
                <w:szCs w:val="18"/>
              </w:rPr>
            </w:pPr>
            <w:r>
              <w:rPr>
                <w:rFonts w:ascii="宋体"/>
                <w:sz w:val="18"/>
              </w:rPr>
              <w:t>11.56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9"/>
              <w:jc w:val="right"/>
              <w:rPr>
                <w:rFonts w:ascii="宋体" w:hAnsi="宋体" w:cs="宋体" w:eastAsia="宋体" w:hint="default"/>
                <w:sz w:val="18"/>
                <w:szCs w:val="18"/>
              </w:rPr>
            </w:pPr>
            <w:r>
              <w:rPr>
                <w:rFonts w:ascii="宋体"/>
                <w:sz w:val="18"/>
              </w:rPr>
              <w:t>9.12</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1.41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bl>
    <w:p>
      <w:pPr>
        <w:pStyle w:val="BodyText"/>
        <w:spacing w:line="240" w:lineRule="exact"/>
        <w:ind w:left="580" w:right="568"/>
        <w:jc w:val="left"/>
      </w:pPr>
      <w:r>
        <w:rPr/>
        <w:t>主营业务分行业、分产品、分地区情况的说明</w:t>
      </w:r>
    </w:p>
    <w:p>
      <w:pPr>
        <w:pStyle w:val="BodyText"/>
        <w:spacing w:line="273" w:lineRule="exact"/>
        <w:ind w:left="580" w:right="568"/>
        <w:jc w:val="left"/>
      </w:pPr>
      <w:r>
        <w:rPr/>
        <w:t>√适用 □不适用</w:t>
      </w:r>
    </w:p>
    <w:p>
      <w:pPr>
        <w:pStyle w:val="BodyText"/>
        <w:spacing w:line="357" w:lineRule="auto"/>
        <w:ind w:left="580" w:right="568" w:firstLine="525"/>
        <w:jc w:val="left"/>
      </w:pPr>
      <w:r>
        <w:rPr/>
        <w:t>本年度，出版板块中一般图书销售收入</w:t>
      </w:r>
      <w:r>
        <w:rPr>
          <w:spacing w:val="-40"/>
        </w:rPr>
        <w:t> </w:t>
      </w:r>
      <w:r>
        <w:rPr>
          <w:rFonts w:ascii="宋体" w:hAnsi="宋体" w:cs="宋体" w:eastAsia="宋体" w:hint="default"/>
        </w:rPr>
        <w:t>7.86</w:t>
      </w:r>
      <w:r>
        <w:rPr>
          <w:rFonts w:ascii="宋体" w:hAnsi="宋体" w:cs="宋体" w:eastAsia="宋体" w:hint="default"/>
          <w:spacing w:val="-38"/>
        </w:rPr>
        <w:t> </w:t>
      </w:r>
      <w:r>
        <w:rPr/>
        <w:t>亿元</w:t>
      </w:r>
      <w:r>
        <w:rPr>
          <w:rFonts w:ascii="宋体" w:hAnsi="宋体" w:cs="宋体" w:eastAsia="宋体" w:hint="default"/>
        </w:rPr>
        <w:t>(</w:t>
      </w:r>
      <w:r>
        <w:rPr/>
        <w:t>含内销</w:t>
      </w:r>
      <w:r>
        <w:rPr>
          <w:rFonts w:ascii="宋体" w:hAnsi="宋体" w:cs="宋体" w:eastAsia="宋体" w:hint="default"/>
        </w:rPr>
        <w:t>),</w:t>
      </w:r>
      <w:r>
        <w:rPr/>
        <w:t>同比增长</w:t>
      </w:r>
      <w:r>
        <w:rPr>
          <w:spacing w:val="-39"/>
        </w:rPr>
        <w:t> </w:t>
      </w:r>
      <w:r>
        <w:rPr>
          <w:rFonts w:ascii="宋体" w:hAnsi="宋体" w:cs="宋体" w:eastAsia="宋体" w:hint="default"/>
        </w:rPr>
        <w:t>36.43%</w:t>
      </w:r>
      <w:r>
        <w:rPr/>
        <w:t>，主要因公司以</w:t>
      </w:r>
      <w:r>
        <w:rPr>
          <w:w w:val="100"/>
        </w:rPr>
        <w:t> </w:t>
      </w:r>
      <w:r>
        <w:rPr/>
        <w:t>“三精出版”理念引领一般图书出版业务，本年度销售实现大幅增长。</w:t>
      </w:r>
    </w:p>
    <w:p>
      <w:pPr>
        <w:pStyle w:val="BodyText"/>
        <w:spacing w:line="240" w:lineRule="auto" w:before="30"/>
        <w:ind w:left="1000" w:right="568"/>
        <w:jc w:val="left"/>
      </w:pPr>
      <w:r>
        <w:rPr>
          <w:spacing w:val="-2"/>
        </w:rPr>
        <w:t>其他业务实现销售收入增长</w:t>
      </w:r>
      <w:r>
        <w:rPr>
          <w:spacing w:val="13"/>
        </w:rPr>
        <w:t> </w:t>
      </w:r>
      <w:r>
        <w:rPr>
          <w:rFonts w:ascii="宋体" w:hAnsi="宋体" w:cs="宋体" w:eastAsia="宋体" w:hint="default"/>
          <w:spacing w:val="-2"/>
        </w:rPr>
        <w:t>51.18%</w:t>
      </w:r>
      <w:r>
        <w:rPr>
          <w:spacing w:val="-2"/>
        </w:rPr>
        <w:t>，主要得益于第三方物流业务的收入增长。</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060" w:bottom="1380" w:left="860" w:right="860"/>
        </w:sectPr>
      </w:pPr>
    </w:p>
    <w:p>
      <w:pPr>
        <w:pStyle w:val="Heading2"/>
        <w:spacing w:line="240" w:lineRule="auto" w:before="36"/>
        <w:ind w:left="580" w:right="-2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6"/>
        <w:ind w:left="58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580" w:right="0"/>
        <w:jc w:val="left"/>
      </w:pPr>
      <w:r>
        <w:rPr/>
        <w:t>单位：万册</w:t>
      </w:r>
    </w:p>
    <w:p>
      <w:pPr>
        <w:spacing w:after="0" w:line="240" w:lineRule="auto"/>
        <w:jc w:val="left"/>
        <w:sectPr>
          <w:type w:val="continuous"/>
          <w:pgSz w:w="11910" w:h="16840"/>
          <w:pgMar w:top="1060" w:bottom="1380" w:left="860" w:right="860"/>
          <w:cols w:num="2" w:equalWidth="0">
            <w:col w:w="2837" w:space="4720"/>
            <w:col w:w="2633"/>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40"/>
        <w:gridCol w:w="1441"/>
        <w:gridCol w:w="1418"/>
        <w:gridCol w:w="1275"/>
        <w:gridCol w:w="1418"/>
        <w:gridCol w:w="1277"/>
        <w:gridCol w:w="1169"/>
      </w:tblGrid>
      <w:tr>
        <w:trPr>
          <w:trHeight w:val="828"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125" w:firstLine="52"/>
              <w:jc w:val="left"/>
              <w:rPr>
                <w:rFonts w:ascii="宋体" w:hAnsi="宋体" w:cs="宋体" w:eastAsia="宋体" w:hint="default"/>
                <w:sz w:val="21"/>
                <w:szCs w:val="21"/>
              </w:rPr>
            </w:pPr>
            <w:r>
              <w:rPr>
                <w:rFonts w:ascii="宋体" w:hAnsi="宋体" w:cs="宋体" w:eastAsia="宋体" w:hint="default"/>
                <w:sz w:val="21"/>
                <w:szCs w:val="21"/>
              </w:rPr>
              <w:t>生产量比上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 w:firstLine="4"/>
              <w:jc w:val="left"/>
              <w:rPr>
                <w:rFonts w:ascii="宋体" w:hAnsi="宋体" w:cs="宋体" w:eastAsia="宋体" w:hint="default"/>
                <w:sz w:val="21"/>
                <w:szCs w:val="21"/>
              </w:rPr>
            </w:pPr>
            <w:r>
              <w:rPr>
                <w:rFonts w:ascii="宋体" w:hAnsi="宋体" w:cs="宋体" w:eastAsia="宋体" w:hint="default"/>
                <w:sz w:val="21"/>
                <w:szCs w:val="21"/>
              </w:rPr>
              <w:t>销售量比上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库存量比</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出版业务：</w:t>
            </w:r>
          </w:p>
        </w:tc>
        <w:tc>
          <w:tcPr>
            <w:tcW w:w="14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其中：教材教辅</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sz w:val="21"/>
              </w:rPr>
              <w:t>27,838.36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7" w:right="0"/>
              <w:jc w:val="left"/>
              <w:rPr>
                <w:rFonts w:ascii="宋体" w:hAnsi="宋体" w:cs="宋体" w:eastAsia="宋体" w:hint="default"/>
                <w:sz w:val="21"/>
                <w:szCs w:val="21"/>
              </w:rPr>
            </w:pPr>
            <w:r>
              <w:rPr>
                <w:rFonts w:ascii="宋体"/>
                <w:sz w:val="21"/>
              </w:rPr>
              <w:t>27,802.40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sz w:val="21"/>
              </w:rPr>
              <w:t>40.33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7" w:right="0"/>
              <w:jc w:val="left"/>
              <w:rPr>
                <w:rFonts w:ascii="宋体" w:hAnsi="宋体" w:cs="宋体" w:eastAsia="宋体" w:hint="default"/>
                <w:sz w:val="21"/>
                <w:szCs w:val="21"/>
              </w:rPr>
            </w:pPr>
            <w:r>
              <w:rPr>
                <w:rFonts w:ascii="宋体"/>
                <w:sz w:val="21"/>
              </w:rPr>
              <w:t>12.31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sz w:val="21"/>
              </w:rPr>
              <w:t>12.36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sz w:val="21"/>
              </w:rPr>
              <w:t>822.88</w:t>
            </w:r>
          </w:p>
        </w:tc>
      </w:tr>
    </w:tbl>
    <w:p>
      <w:pPr>
        <w:spacing w:after="0" w:line="243" w:lineRule="exact"/>
        <w:jc w:val="left"/>
        <w:rPr>
          <w:rFonts w:ascii="宋体" w:hAnsi="宋体" w:cs="宋体" w:eastAsia="宋体" w:hint="default"/>
          <w:sz w:val="21"/>
          <w:szCs w:val="21"/>
        </w:rPr>
        <w:sectPr>
          <w:type w:val="continuous"/>
          <w:pgSz w:w="11910" w:h="16840"/>
          <w:pgMar w:top="1060" w:bottom="1380" w:left="86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1940"/>
        <w:gridCol w:w="1441"/>
        <w:gridCol w:w="1418"/>
        <w:gridCol w:w="1275"/>
        <w:gridCol w:w="1418"/>
        <w:gridCol w:w="1277"/>
        <w:gridCol w:w="1169"/>
      </w:tblGrid>
      <w:tr>
        <w:trPr>
          <w:trHeight w:val="281"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一般图书</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7,416.36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2,756.61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19.81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27.33</w:t>
            </w:r>
          </w:p>
        </w:tc>
      </w:tr>
      <w:tr>
        <w:trPr>
          <w:trHeight w:val="283"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发行业务：</w:t>
            </w:r>
          </w:p>
        </w:tc>
        <w:tc>
          <w:tcPr>
            <w:tcW w:w="14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其中：教材教辅</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48,917.43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42,984.30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6,006.76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2,124.73</w:t>
            </w:r>
          </w:p>
        </w:tc>
      </w:tr>
      <w:tr>
        <w:trPr>
          <w:trHeight w:val="281"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一般图书</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9,959.63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9,652.84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5,744.08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5.64</w:t>
            </w:r>
          </w:p>
        </w:tc>
      </w:tr>
    </w:tbl>
    <w:p>
      <w:pPr>
        <w:spacing w:line="240" w:lineRule="auto" w:before="7"/>
        <w:rPr>
          <w:rFonts w:ascii="宋体" w:hAnsi="宋体" w:cs="宋体" w:eastAsia="宋体" w:hint="default"/>
          <w:sz w:val="15"/>
          <w:szCs w:val="15"/>
        </w:rPr>
      </w:pPr>
    </w:p>
    <w:p>
      <w:pPr>
        <w:pStyle w:val="BodyText"/>
        <w:spacing w:line="272" w:lineRule="exact" w:before="64"/>
        <w:ind w:left="1074" w:right="1977" w:hanging="435"/>
        <w:jc w:val="left"/>
      </w:pPr>
      <w:r>
        <w:rPr/>
        <w:t>产销量情况说明</w:t>
      </w:r>
      <w:r>
        <w:rPr>
          <w:spacing w:val="-103"/>
        </w:rPr>
        <w:t> </w:t>
      </w:r>
      <w:r>
        <w:rPr>
          <w:spacing w:val="-103"/>
        </w:rPr>
      </w:r>
      <w:r>
        <w:rPr>
          <w:spacing w:val="-2"/>
        </w:rPr>
        <w:t>上表中发行业务中教材教辅和一般图书的“生产量”指“采购量”。</w:t>
      </w:r>
    </w:p>
    <w:p>
      <w:pPr>
        <w:pStyle w:val="BodyText"/>
        <w:spacing w:line="240" w:lineRule="auto" w:before="110"/>
        <w:ind w:left="1074" w:right="0"/>
        <w:jc w:val="left"/>
        <w:rPr>
          <w:rFonts w:ascii="宋体" w:hAnsi="宋体" w:cs="宋体" w:eastAsia="宋体" w:hint="default"/>
        </w:rPr>
      </w:pPr>
      <w:r>
        <w:rPr/>
        <w:t>发行业务教材教辅本年生产量较上年增加 </w:t>
      </w:r>
      <w:r>
        <w:rPr>
          <w:rFonts w:ascii="宋体" w:hAnsi="宋体" w:cs="宋体" w:eastAsia="宋体" w:hint="default"/>
        </w:rPr>
        <w:t>46.31%</w:t>
      </w:r>
      <w:r>
        <w:rPr/>
        <w:t>，库存量较上年大幅增长，主要是因为</w:t>
      </w:r>
      <w:r>
        <w:rPr>
          <w:spacing w:val="-28"/>
        </w:rPr>
        <w:t> </w:t>
      </w:r>
      <w:r>
        <w:rPr>
          <w:rFonts w:ascii="宋体" w:hAnsi="宋体" w:cs="宋体" w:eastAsia="宋体" w:hint="default"/>
        </w:rPr>
        <w:t>2019</w:t>
      </w:r>
    </w:p>
    <w:p>
      <w:pPr>
        <w:pStyle w:val="BodyText"/>
        <w:spacing w:line="240" w:lineRule="auto" w:before="133"/>
        <w:ind w:left="640" w:right="1977"/>
        <w:jc w:val="left"/>
      </w:pPr>
      <w:r>
        <w:rPr/>
        <w:t>春开学时间靠前，部分</w:t>
      </w:r>
      <w:r>
        <w:rPr>
          <w:spacing w:val="-55"/>
        </w:rPr>
        <w:t> </w:t>
      </w:r>
      <w:r>
        <w:rPr>
          <w:rFonts w:ascii="宋体" w:hAnsi="宋体" w:cs="宋体" w:eastAsia="宋体" w:hint="default"/>
        </w:rPr>
        <w:t>2019</w:t>
      </w:r>
      <w:r>
        <w:rPr>
          <w:rFonts w:ascii="宋体" w:hAnsi="宋体" w:cs="宋体" w:eastAsia="宋体" w:hint="default"/>
          <w:spacing w:val="-55"/>
        </w:rPr>
        <w:t> </w:t>
      </w:r>
      <w:r>
        <w:rPr/>
        <w:t>春季教材教辅已在</w:t>
      </w:r>
      <w:r>
        <w:rPr>
          <w:spacing w:val="-55"/>
        </w:rPr>
        <w:t> </w:t>
      </w:r>
      <w:r>
        <w:rPr>
          <w:rFonts w:ascii="宋体" w:hAnsi="宋体" w:cs="宋体" w:eastAsia="宋体" w:hint="default"/>
        </w:rPr>
        <w:t>2018</w:t>
      </w:r>
      <w:r>
        <w:rPr>
          <w:rFonts w:ascii="宋体" w:hAnsi="宋体" w:cs="宋体" w:eastAsia="宋体" w:hint="default"/>
          <w:spacing w:val="-55"/>
        </w:rPr>
        <w:t> </w:t>
      </w:r>
      <w:r>
        <w:rPr/>
        <w:t>年年末进行了备货。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240" w:lineRule="auto"/>
        <w:ind w:left="640" w:right="1977"/>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633"/>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35"/>
        <w:gridCol w:w="1021"/>
        <w:gridCol w:w="1745"/>
        <w:gridCol w:w="994"/>
        <w:gridCol w:w="1747"/>
        <w:gridCol w:w="922"/>
        <w:gridCol w:w="895"/>
        <w:gridCol w:w="816"/>
      </w:tblGrid>
      <w:tr>
        <w:trPr>
          <w:trHeight w:val="242" w:hRule="exact"/>
        </w:trPr>
        <w:tc>
          <w:tcPr>
            <w:tcW w:w="10075"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分行业情况</w:t>
            </w:r>
          </w:p>
        </w:tc>
      </w:tr>
      <w:tr>
        <w:trPr>
          <w:trHeight w:val="1178"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3" w:right="146" w:hanging="180"/>
              <w:jc w:val="left"/>
              <w:rPr>
                <w:rFonts w:ascii="宋体" w:hAnsi="宋体" w:cs="宋体" w:eastAsia="宋体" w:hint="default"/>
                <w:sz w:val="18"/>
                <w:szCs w:val="18"/>
              </w:rPr>
            </w:pPr>
            <w:r>
              <w:rPr>
                <w:rFonts w:ascii="宋体" w:hAnsi="宋体" w:cs="宋体" w:eastAsia="宋体" w:hint="default"/>
                <w:sz w:val="18"/>
                <w:szCs w:val="18"/>
              </w:rPr>
              <w:t>成本构成 项目</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31" w:right="130"/>
              <w:jc w:val="center"/>
              <w:rPr>
                <w:rFonts w:ascii="宋体" w:hAnsi="宋体" w:cs="宋体" w:eastAsia="宋体" w:hint="default"/>
                <w:sz w:val="18"/>
                <w:szCs w:val="18"/>
              </w:rPr>
            </w:pPr>
            <w:r>
              <w:rPr>
                <w:rFonts w:ascii="宋体" w:hAnsi="宋体" w:cs="宋体" w:eastAsia="宋体" w:hint="default"/>
                <w:sz w:val="18"/>
                <w:szCs w:val="18"/>
              </w:rPr>
              <w:t>本期占总 成本比例 </w:t>
            </w:r>
            <w:r>
              <w:rPr>
                <w:rFonts w:ascii="宋体" w:hAnsi="宋体" w:cs="宋体" w:eastAsia="宋体" w:hint="default"/>
                <w:sz w:val="18"/>
                <w:szCs w:val="18"/>
              </w:rPr>
              <w:t>(%)</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87" w:right="183"/>
              <w:jc w:val="both"/>
              <w:rPr>
                <w:rFonts w:ascii="宋体" w:hAnsi="宋体" w:cs="宋体" w:eastAsia="宋体" w:hint="default"/>
                <w:sz w:val="18"/>
                <w:szCs w:val="18"/>
              </w:rPr>
            </w:pPr>
            <w:r>
              <w:rPr>
                <w:rFonts w:ascii="宋体" w:hAnsi="宋体" w:cs="宋体" w:eastAsia="宋体" w:hint="default"/>
                <w:sz w:val="18"/>
                <w:szCs w:val="18"/>
              </w:rPr>
              <w:t>上年同 期占总 成本比 例</w:t>
            </w:r>
            <w:r>
              <w:rPr>
                <w:rFonts w:ascii="宋体" w:hAnsi="宋体" w:cs="宋体" w:eastAsia="宋体" w:hint="default"/>
                <w:sz w:val="18"/>
                <w:szCs w:val="18"/>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both"/>
              <w:rPr>
                <w:rFonts w:ascii="宋体" w:hAnsi="宋体" w:cs="宋体" w:eastAsia="宋体" w:hint="default"/>
                <w:sz w:val="18"/>
                <w:szCs w:val="18"/>
              </w:rPr>
            </w:pPr>
            <w:r>
              <w:rPr>
                <w:rFonts w:ascii="宋体" w:hAnsi="宋体" w:cs="宋体" w:eastAsia="宋体" w:hint="default"/>
                <w:sz w:val="18"/>
                <w:szCs w:val="18"/>
              </w:rPr>
              <w:t>本期金</w:t>
            </w:r>
          </w:p>
          <w:p>
            <w:pPr>
              <w:pStyle w:val="TableParagraph"/>
              <w:spacing w:line="237" w:lineRule="auto"/>
              <w:ind w:left="170" w:right="173"/>
              <w:jc w:val="both"/>
              <w:rPr>
                <w:rFonts w:ascii="宋体" w:hAnsi="宋体" w:cs="宋体" w:eastAsia="宋体" w:hint="default"/>
                <w:sz w:val="18"/>
                <w:szCs w:val="18"/>
              </w:rPr>
            </w:pPr>
            <w:r>
              <w:rPr>
                <w:rFonts w:ascii="宋体" w:hAnsi="宋体" w:cs="宋体" w:eastAsia="宋体" w:hint="default"/>
                <w:sz w:val="18"/>
                <w:szCs w:val="18"/>
              </w:rPr>
              <w:t>额较上 年同期 变动比 例</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3" w:right="221"/>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242"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出版</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1,722,126,541.03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25.13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1,433,191,057.30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23.11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20.16</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4,867,119,349.32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71.01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4,596,590,524.63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74.12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5.89</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264,682,832.00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171,694,390.58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2.77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54.16</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内部抵销数</w:t>
            </w:r>
          </w:p>
        </w:tc>
        <w:tc>
          <w:tcPr>
            <w:tcW w:w="1021"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-1,760,697,587.39</w:t>
            </w:r>
          </w:p>
        </w:tc>
        <w:tc>
          <w:tcPr>
            <w:tcW w:w="99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-1,533,779,071.85</w:t>
            </w:r>
          </w:p>
        </w:tc>
        <w:tc>
          <w:tcPr>
            <w:tcW w:w="92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1"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5,093,231,134.96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4,667,696,900.66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9.12</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075"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分产品情况</w:t>
            </w:r>
          </w:p>
        </w:tc>
      </w:tr>
      <w:tr>
        <w:trPr>
          <w:trHeight w:val="1176"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23" w:right="146" w:hanging="180"/>
              <w:jc w:val="left"/>
              <w:rPr>
                <w:rFonts w:ascii="宋体" w:hAnsi="宋体" w:cs="宋体" w:eastAsia="宋体" w:hint="default"/>
                <w:sz w:val="18"/>
                <w:szCs w:val="18"/>
              </w:rPr>
            </w:pPr>
            <w:r>
              <w:rPr>
                <w:rFonts w:ascii="宋体" w:hAnsi="宋体" w:cs="宋体" w:eastAsia="宋体" w:hint="default"/>
                <w:sz w:val="18"/>
                <w:szCs w:val="18"/>
              </w:rPr>
              <w:t>成本构成 项目</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31" w:right="130"/>
              <w:jc w:val="center"/>
              <w:rPr>
                <w:rFonts w:ascii="宋体" w:hAnsi="宋体" w:cs="宋体" w:eastAsia="宋体" w:hint="default"/>
                <w:sz w:val="18"/>
                <w:szCs w:val="18"/>
              </w:rPr>
            </w:pPr>
            <w:r>
              <w:rPr>
                <w:rFonts w:ascii="宋体" w:hAnsi="宋体" w:cs="宋体" w:eastAsia="宋体" w:hint="default"/>
                <w:sz w:val="18"/>
                <w:szCs w:val="18"/>
              </w:rPr>
              <w:t>本期占总 成本比例 </w:t>
            </w:r>
            <w:r>
              <w:rPr>
                <w:rFonts w:ascii="宋体" w:hAnsi="宋体" w:cs="宋体" w:eastAsia="宋体" w:hint="default"/>
                <w:sz w:val="18"/>
                <w:szCs w:val="18"/>
              </w:rPr>
              <w:t>(%)</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87" w:right="183"/>
              <w:jc w:val="both"/>
              <w:rPr>
                <w:rFonts w:ascii="宋体" w:hAnsi="宋体" w:cs="宋体" w:eastAsia="宋体" w:hint="default"/>
                <w:sz w:val="18"/>
                <w:szCs w:val="18"/>
              </w:rPr>
            </w:pPr>
            <w:r>
              <w:rPr>
                <w:rFonts w:ascii="宋体" w:hAnsi="宋体" w:cs="宋体" w:eastAsia="宋体" w:hint="default"/>
                <w:sz w:val="18"/>
                <w:szCs w:val="18"/>
              </w:rPr>
              <w:t>上年同 期占总 成本比 例</w:t>
            </w:r>
            <w:r>
              <w:rPr>
                <w:rFonts w:ascii="宋体" w:hAnsi="宋体" w:cs="宋体" w:eastAsia="宋体" w:hint="default"/>
                <w:sz w:val="18"/>
                <w:szCs w:val="18"/>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both"/>
              <w:rPr>
                <w:rFonts w:ascii="宋体" w:hAnsi="宋体" w:cs="宋体" w:eastAsia="宋体" w:hint="default"/>
                <w:sz w:val="18"/>
                <w:szCs w:val="18"/>
              </w:rPr>
            </w:pPr>
            <w:r>
              <w:rPr>
                <w:rFonts w:ascii="宋体" w:hAnsi="宋体" w:cs="宋体" w:eastAsia="宋体" w:hint="default"/>
                <w:sz w:val="18"/>
                <w:szCs w:val="18"/>
              </w:rPr>
              <w:t>本期金</w:t>
            </w:r>
          </w:p>
          <w:p>
            <w:pPr>
              <w:pStyle w:val="TableParagraph"/>
              <w:spacing w:line="237" w:lineRule="auto"/>
              <w:ind w:left="170" w:right="173"/>
              <w:jc w:val="both"/>
              <w:rPr>
                <w:rFonts w:ascii="宋体" w:hAnsi="宋体" w:cs="宋体" w:eastAsia="宋体" w:hint="default"/>
                <w:sz w:val="18"/>
                <w:szCs w:val="18"/>
              </w:rPr>
            </w:pPr>
            <w:r>
              <w:rPr>
                <w:rFonts w:ascii="宋体" w:hAnsi="宋体" w:cs="宋体" w:eastAsia="宋体" w:hint="default"/>
                <w:sz w:val="18"/>
                <w:szCs w:val="18"/>
              </w:rPr>
              <w:t>额较上 年同期 变动比 例</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23" w:right="221"/>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242"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一、出版</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1,722,126,541.03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25.13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1,433,191,057.30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23.11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20.16</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教材及助学类读物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877,132,171.24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12.80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762,010,153.65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12.29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15.11</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一般图书</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525,166,730.75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7.66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389,827,557.63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6.29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34.72</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印刷及物资</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298,662,824.04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4.36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264,390,854.55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4.26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12.96</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21,164,815.00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0.31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16,962,491.47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0.27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24.77</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二、发行</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4,867,119,349.32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71.01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4,596,590,524.63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74.12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5.89</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教育服务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3,080,866,254.21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44.95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2,800,422,693.93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45.15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10.01</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教材及助学类读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2,417,525,533.74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35.27</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2,263,749,308.30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36.50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6.79</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教育信息化及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装备业务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663,340,720.47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9.68</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536,673,385.63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8.65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23.60</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互联网销售</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1,129,994,562.12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16.49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1,147,120,250.02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18.50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-1.49</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425,835,034.77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6.21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401,583,134.58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6.48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6.04</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230,423,498.22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3.36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247,464,446.10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3.99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-6.89</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三、其他</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264,682,832.00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171,694,390.58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2.77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54.16</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内部抵销数合计</w:t>
            </w:r>
          </w:p>
        </w:tc>
        <w:tc>
          <w:tcPr>
            <w:tcW w:w="1021"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-1,760,697,587.39</w:t>
            </w:r>
          </w:p>
        </w:tc>
        <w:tc>
          <w:tcPr>
            <w:tcW w:w="99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-1,533,779,071.85</w:t>
            </w:r>
          </w:p>
        </w:tc>
        <w:tc>
          <w:tcPr>
            <w:tcW w:w="92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1"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5,093,231,134.96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4,667,696,900.66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9.12</w:t>
            </w:r>
          </w:p>
        </w:tc>
        <w:tc>
          <w:tcPr>
            <w:tcW w:w="8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640" w:right="1977"/>
        <w:jc w:val="left"/>
      </w:pPr>
      <w:r>
        <w:rPr/>
        <w:t>成本分析其他情况说明</w:t>
      </w:r>
    </w:p>
    <w:p>
      <w:pPr>
        <w:pStyle w:val="BodyText"/>
        <w:spacing w:line="274" w:lineRule="exact"/>
        <w:ind w:left="640" w:right="1977"/>
        <w:jc w:val="left"/>
      </w:pPr>
      <w:r>
        <w:rPr/>
        <w:t>□适用 √不适用</w:t>
      </w:r>
    </w:p>
    <w:p>
      <w:pPr>
        <w:spacing w:after="0" w:line="274" w:lineRule="exact"/>
        <w:jc w:val="left"/>
        <w:sectPr>
          <w:pgSz w:w="11910" w:h="16840"/>
          <w:pgMar w:header="880" w:footer="1195" w:top="1060" w:bottom="1380" w:left="800" w:right="8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spacing w:line="240" w:lineRule="auto" w:before="36"/>
        <w:ind w:left="360" w:right="397"/>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4" w:lineRule="exact" w:before="56"/>
        <w:ind w:left="360" w:right="397"/>
        <w:jc w:val="left"/>
      </w:pPr>
      <w:r>
        <w:rPr/>
        <w:t>√适用 □不适用</w:t>
      </w:r>
    </w:p>
    <w:p>
      <w:pPr>
        <w:pStyle w:val="BodyText"/>
        <w:spacing w:line="355" w:lineRule="auto"/>
        <w:ind w:left="360" w:right="397" w:firstLine="424"/>
        <w:jc w:val="left"/>
      </w:pPr>
      <w:r>
        <w:rPr/>
        <w:t>前五名客户销售额</w:t>
      </w:r>
      <w:r>
        <w:rPr>
          <w:spacing w:val="-56"/>
        </w:rPr>
        <w:t> </w:t>
      </w:r>
      <w:r>
        <w:rPr>
          <w:rFonts w:ascii="宋体" w:hAnsi="宋体" w:cs="宋体" w:eastAsia="宋体" w:hint="default"/>
        </w:rPr>
        <w:t>137,767.19</w:t>
      </w:r>
      <w:r>
        <w:rPr>
          <w:rFonts w:ascii="宋体" w:hAnsi="宋体" w:cs="宋体" w:eastAsia="宋体" w:hint="default"/>
          <w:spacing w:val="-58"/>
        </w:rPr>
        <w:t> </w:t>
      </w:r>
      <w:r>
        <w:rPr/>
        <w:t>万元，占年度销售总额</w:t>
      </w:r>
      <w:r>
        <w:rPr>
          <w:spacing w:val="-56"/>
        </w:rPr>
        <w:t> </w:t>
      </w:r>
      <w:r>
        <w:rPr>
          <w:rFonts w:ascii="宋体" w:hAnsi="宋体" w:cs="宋体" w:eastAsia="宋体" w:hint="default"/>
        </w:rPr>
        <w:t>17.16%</w:t>
      </w:r>
      <w:r>
        <w:rPr/>
        <w:t>；其中前五名客户销售额中关联</w:t>
      </w:r>
      <w:r>
        <w:rPr>
          <w:w w:val="100"/>
        </w:rPr>
        <w:t> </w:t>
      </w:r>
      <w:r>
        <w:rPr/>
        <w:t>方销售额</w:t>
      </w:r>
      <w:r>
        <w:rPr>
          <w:spacing w:val="-54"/>
        </w:rPr>
        <w:t> </w:t>
      </w:r>
      <w:r>
        <w:rPr>
          <w:rFonts w:ascii="宋体" w:hAnsi="宋体" w:cs="宋体" w:eastAsia="宋体" w:hint="default"/>
        </w:rPr>
        <w:t>0.00</w:t>
      </w:r>
      <w:r>
        <w:rPr>
          <w:rFonts w:ascii="宋体" w:hAnsi="宋体" w:cs="宋体" w:eastAsia="宋体" w:hint="default"/>
          <w:spacing w:val="-56"/>
        </w:rPr>
        <w:t> </w:t>
      </w:r>
      <w:r>
        <w:rPr/>
        <w:t>万元，占年度销售总额</w:t>
      </w:r>
      <w:r>
        <w:rPr>
          <w:spacing w:val="-53"/>
        </w:rPr>
        <w:t> </w:t>
      </w:r>
      <w:r>
        <w:rPr>
          <w:rFonts w:ascii="宋体" w:hAnsi="宋体" w:cs="宋体" w:eastAsia="宋体" w:hint="default"/>
        </w:rPr>
        <w:t>0.00</w:t>
      </w:r>
      <w:r>
        <w:rPr>
          <w:rFonts w:ascii="宋体" w:hAnsi="宋体" w:cs="宋体" w:eastAsia="宋体" w:hint="default"/>
          <w:spacing w:val="-2"/>
        </w:rPr>
        <w:t> </w:t>
      </w:r>
      <w:r>
        <w:rPr>
          <w:rFonts w:ascii="宋体" w:hAnsi="宋体" w:cs="宋体" w:eastAsia="宋体" w:hint="default"/>
        </w:rPr>
        <w:t>%</w:t>
      </w:r>
      <w:r>
        <w:rPr/>
        <w:t>。</w:t>
      </w:r>
    </w:p>
    <w:p>
      <w:pPr>
        <w:pStyle w:val="BodyText"/>
        <w:spacing w:line="355" w:lineRule="auto" w:before="32"/>
        <w:ind w:left="360" w:right="0" w:firstLine="424"/>
        <w:jc w:val="left"/>
      </w:pPr>
      <w:r>
        <w:rPr/>
        <w:t>前五名供应商采购额</w:t>
      </w:r>
      <w:r>
        <w:rPr>
          <w:spacing w:val="-39"/>
        </w:rPr>
        <w:t> </w:t>
      </w:r>
      <w:r>
        <w:rPr>
          <w:rFonts w:ascii="宋体" w:hAnsi="宋体" w:cs="宋体" w:eastAsia="宋体" w:hint="default"/>
        </w:rPr>
        <w:t>77,446.05</w:t>
      </w:r>
      <w:r>
        <w:rPr>
          <w:rFonts w:ascii="宋体" w:hAnsi="宋体" w:cs="宋体" w:eastAsia="宋体" w:hint="default"/>
          <w:spacing w:val="-43"/>
        </w:rPr>
        <w:t> </w:t>
      </w:r>
      <w:r>
        <w:rPr>
          <w:spacing w:val="-5"/>
        </w:rPr>
        <w:t>万元，占年度采购总额</w:t>
      </w:r>
      <w:r>
        <w:rPr>
          <w:spacing w:val="-40"/>
        </w:rPr>
        <w:t> </w:t>
      </w:r>
      <w:r>
        <w:rPr>
          <w:rFonts w:ascii="宋体" w:hAnsi="宋体" w:cs="宋体" w:eastAsia="宋体" w:hint="default"/>
          <w:spacing w:val="-3"/>
        </w:rPr>
        <w:t>16.40%</w:t>
      </w:r>
      <w:r>
        <w:rPr>
          <w:spacing w:val="-3"/>
        </w:rPr>
        <w:t>；其中前五名供应商采购额中关</w:t>
      </w:r>
      <w:r>
        <w:rPr>
          <w:w w:val="100"/>
        </w:rPr>
        <w:t> </w:t>
      </w:r>
      <w:r>
        <w:rPr/>
        <w:t>联方采购额</w:t>
      </w:r>
      <w:r>
        <w:rPr>
          <w:spacing w:val="-56"/>
        </w:rPr>
        <w:t> </w:t>
      </w:r>
      <w:r>
        <w:rPr>
          <w:rFonts w:ascii="宋体" w:hAnsi="宋体" w:cs="宋体" w:eastAsia="宋体" w:hint="default"/>
        </w:rPr>
        <w:t>0.00</w:t>
      </w:r>
      <w:r>
        <w:rPr>
          <w:rFonts w:ascii="宋体" w:hAnsi="宋体" w:cs="宋体" w:eastAsia="宋体" w:hint="default"/>
          <w:spacing w:val="-56"/>
        </w:rPr>
        <w:t> </w:t>
      </w:r>
      <w:r>
        <w:rPr/>
        <w:t>万元，占年度采购总额</w:t>
      </w:r>
      <w:r>
        <w:rPr>
          <w:spacing w:val="-55"/>
        </w:rPr>
        <w:t> </w:t>
      </w:r>
      <w:r>
        <w:rPr>
          <w:rFonts w:ascii="宋体" w:hAnsi="宋体" w:cs="宋体" w:eastAsia="宋体" w:hint="default"/>
        </w:rPr>
        <w:t>0.00%</w:t>
      </w:r>
      <w:r>
        <w:rPr/>
        <w:t>。</w:t>
      </w:r>
    </w:p>
    <w:p>
      <w:pPr>
        <w:spacing w:line="240" w:lineRule="auto" w:before="13"/>
        <w:rPr>
          <w:rFonts w:ascii="宋体" w:hAnsi="宋体" w:cs="宋体" w:eastAsia="宋体" w:hint="default"/>
          <w:sz w:val="27"/>
          <w:szCs w:val="27"/>
        </w:rPr>
      </w:pPr>
    </w:p>
    <w:p>
      <w:pPr>
        <w:pStyle w:val="Heading2"/>
        <w:tabs>
          <w:tab w:pos="780" w:val="left" w:leader="none"/>
        </w:tabs>
        <w:spacing w:line="240" w:lineRule="auto"/>
        <w:ind w:left="360" w:right="397"/>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59"/>
        <w:ind w:left="360" w:right="397"/>
        <w:jc w:val="left"/>
      </w:pPr>
      <w:r>
        <w:rPr/>
        <w:t>√适用 □不适用</w:t>
      </w:r>
    </w:p>
    <w:p>
      <w:pPr>
        <w:pStyle w:val="BodyText"/>
        <w:spacing w:line="240" w:lineRule="auto" w:before="133"/>
        <w:ind w:left="926" w:right="0"/>
        <w:jc w:val="left"/>
      </w:pPr>
      <w:r>
        <w:rPr>
          <w:rFonts w:ascii="宋体" w:hAnsi="宋体" w:cs="宋体" w:eastAsia="宋体" w:hint="default"/>
        </w:rPr>
        <w:t>2018</w:t>
      </w:r>
      <w:r>
        <w:rPr>
          <w:rFonts w:ascii="宋体" w:hAnsi="宋体" w:cs="宋体" w:eastAsia="宋体" w:hint="default"/>
          <w:spacing w:val="-48"/>
        </w:rPr>
        <w:t> </w:t>
      </w:r>
      <w:r>
        <w:rPr>
          <w:spacing w:val="-4"/>
        </w:rPr>
        <w:t>年度，公司销售费用</w:t>
      </w:r>
      <w:r>
        <w:rPr>
          <w:spacing w:val="-48"/>
        </w:rPr>
        <w:t> </w:t>
      </w:r>
      <w:r>
        <w:rPr>
          <w:rFonts w:ascii="宋体" w:hAnsi="宋体" w:cs="宋体" w:eastAsia="宋体" w:hint="default"/>
        </w:rPr>
        <w:t>101,067.30</w:t>
      </w:r>
      <w:r>
        <w:rPr>
          <w:rFonts w:ascii="宋体" w:hAnsi="宋体" w:cs="宋体" w:eastAsia="宋体" w:hint="default"/>
          <w:spacing w:val="-46"/>
        </w:rPr>
        <w:t> </w:t>
      </w:r>
      <w:r>
        <w:rPr>
          <w:spacing w:val="-4"/>
        </w:rPr>
        <w:t>万元，较上年同期增长</w:t>
      </w:r>
      <w:r>
        <w:rPr>
          <w:spacing w:val="-46"/>
        </w:rPr>
        <w:t> </w:t>
      </w:r>
      <w:r>
        <w:rPr>
          <w:rFonts w:ascii="宋体" w:hAnsi="宋体" w:cs="宋体" w:eastAsia="宋体" w:hint="default"/>
        </w:rPr>
        <w:t>13.24%,</w:t>
      </w:r>
      <w:r>
        <w:rPr/>
        <w:t>费用率较上年同期上升</w:t>
      </w:r>
    </w:p>
    <w:p>
      <w:pPr>
        <w:pStyle w:val="BodyText"/>
        <w:spacing w:line="240" w:lineRule="auto" w:before="133"/>
        <w:ind w:left="360" w:right="0"/>
        <w:jc w:val="left"/>
      </w:pPr>
      <w:r>
        <w:rPr>
          <w:rFonts w:ascii="宋体" w:hAnsi="宋体" w:cs="宋体" w:eastAsia="宋体" w:hint="default"/>
        </w:rPr>
        <w:t>0.2</w:t>
      </w:r>
      <w:r>
        <w:rPr>
          <w:rFonts w:ascii="宋体" w:hAnsi="宋体" w:cs="宋体" w:eastAsia="宋体" w:hint="default"/>
          <w:spacing w:val="-11"/>
        </w:rPr>
        <w:t> </w:t>
      </w:r>
      <w:r>
        <w:rPr/>
        <w:t>个百分点。销售费用总额增加主要因销售增长带来物流等费用增加，销售人员人力成本增长，</w:t>
      </w:r>
    </w:p>
    <w:p>
      <w:pPr>
        <w:pStyle w:val="BodyText"/>
        <w:spacing w:line="240" w:lineRule="auto" w:before="133"/>
        <w:ind w:left="360" w:right="397"/>
        <w:jc w:val="left"/>
      </w:pPr>
      <w:r>
        <w:rPr/>
        <w:t>以及从</w:t>
      </w:r>
      <w:r>
        <w:rPr>
          <w:spacing w:val="-56"/>
        </w:rPr>
        <w:t> </w:t>
      </w:r>
      <w:r>
        <w:rPr>
          <w:rFonts w:ascii="宋体" w:hAnsi="宋体" w:cs="宋体" w:eastAsia="宋体" w:hint="default"/>
        </w:rPr>
        <w:t>2017</w:t>
      </w:r>
      <w:r>
        <w:rPr>
          <w:rFonts w:ascii="宋体" w:hAnsi="宋体" w:cs="宋体" w:eastAsia="宋体" w:hint="default"/>
          <w:spacing w:val="-56"/>
        </w:rPr>
        <w:t> </w:t>
      </w:r>
      <w:r>
        <w:rPr/>
        <w:t>年秋季起对三州的免费教材结算方式改变带来代发手续费增加所致。</w:t>
      </w:r>
    </w:p>
    <w:p>
      <w:pPr>
        <w:pStyle w:val="BodyText"/>
        <w:spacing w:line="240" w:lineRule="auto" w:before="133"/>
        <w:ind w:left="886" w:right="0"/>
        <w:jc w:val="left"/>
      </w:pPr>
      <w:r>
        <w:rPr>
          <w:rFonts w:ascii="宋体" w:hAnsi="宋体" w:cs="宋体" w:eastAsia="宋体" w:hint="default"/>
        </w:rPr>
        <w:t>2018</w:t>
      </w:r>
      <w:r>
        <w:rPr>
          <w:rFonts w:ascii="宋体" w:hAnsi="宋体" w:cs="宋体" w:eastAsia="宋体" w:hint="default"/>
          <w:spacing w:val="-29"/>
        </w:rPr>
        <w:t> </w:t>
      </w:r>
      <w:r>
        <w:rPr/>
        <w:t>年度，公司管理费用</w:t>
      </w:r>
      <w:r>
        <w:rPr>
          <w:spacing w:val="-28"/>
        </w:rPr>
        <w:t> </w:t>
      </w:r>
      <w:r>
        <w:rPr>
          <w:rFonts w:ascii="宋体" w:hAnsi="宋体" w:cs="宋体" w:eastAsia="宋体" w:hint="default"/>
        </w:rPr>
        <w:t>111,534.21</w:t>
      </w:r>
      <w:r>
        <w:rPr>
          <w:rFonts w:ascii="宋体" w:hAnsi="宋体" w:cs="宋体" w:eastAsia="宋体" w:hint="default"/>
          <w:spacing w:val="-31"/>
        </w:rPr>
        <w:t> </w:t>
      </w:r>
      <w:r>
        <w:rPr/>
        <w:t>万元，较上年同期增长</w:t>
      </w:r>
      <w:r>
        <w:rPr>
          <w:spacing w:val="-29"/>
        </w:rPr>
        <w:t> </w:t>
      </w:r>
      <w:r>
        <w:rPr>
          <w:rFonts w:ascii="宋体" w:hAnsi="宋体" w:cs="宋体" w:eastAsia="宋体" w:hint="default"/>
        </w:rPr>
        <w:t>4.71%,</w:t>
      </w:r>
      <w:r>
        <w:rPr/>
        <w:t>费用率较上年同期下降</w:t>
      </w:r>
    </w:p>
    <w:p>
      <w:pPr>
        <w:pStyle w:val="BodyText"/>
        <w:spacing w:line="240" w:lineRule="auto" w:before="135"/>
        <w:ind w:left="360" w:right="0"/>
        <w:jc w:val="left"/>
      </w:pPr>
      <w:r>
        <w:rPr>
          <w:rFonts w:ascii="宋体" w:hAnsi="宋体" w:cs="宋体" w:eastAsia="宋体" w:hint="default"/>
        </w:rPr>
        <w:t>0.88</w:t>
      </w:r>
      <w:r>
        <w:rPr>
          <w:rFonts w:ascii="宋体" w:hAnsi="宋体" w:cs="宋体" w:eastAsia="宋体" w:hint="default"/>
          <w:spacing w:val="-14"/>
        </w:rPr>
        <w:t> </w:t>
      </w:r>
      <w:r>
        <w:rPr/>
        <w:t>个百分点。管理费用总额增加主要因主要因人力成本、租赁费及修理费等运维费用增加所致。</w:t>
      </w:r>
    </w:p>
    <w:p>
      <w:pPr>
        <w:pStyle w:val="BodyText"/>
        <w:spacing w:line="240" w:lineRule="auto" w:before="133"/>
        <w:ind w:left="888" w:right="397"/>
        <w:jc w:val="left"/>
      </w:pPr>
      <w:r>
        <w:rPr>
          <w:rFonts w:ascii="宋体" w:hAnsi="宋体" w:cs="宋体" w:eastAsia="宋体" w:hint="default"/>
        </w:rPr>
        <w:t>2018</w:t>
      </w:r>
      <w:r>
        <w:rPr>
          <w:rFonts w:ascii="宋体" w:hAnsi="宋体" w:cs="宋体" w:eastAsia="宋体" w:hint="default"/>
          <w:spacing w:val="-58"/>
        </w:rPr>
        <w:t> </w:t>
      </w:r>
      <w:r>
        <w:rPr/>
        <w:t>年度，公司财务费用</w:t>
      </w:r>
      <w:r>
        <w:rPr>
          <w:rFonts w:ascii="宋体" w:hAnsi="宋体" w:cs="宋体" w:eastAsia="宋体" w:hint="default"/>
        </w:rPr>
        <w:t>-2,441.07</w:t>
      </w:r>
      <w:r>
        <w:rPr>
          <w:rFonts w:ascii="宋体" w:hAnsi="宋体" w:cs="宋体" w:eastAsia="宋体" w:hint="default"/>
          <w:spacing w:val="-56"/>
        </w:rPr>
        <w:t> </w:t>
      </w:r>
      <w:r>
        <w:rPr/>
        <w:t>万元，较上年同期基本持平。</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060" w:bottom="1380" w:left="1080" w:right="1080"/>
        </w:sectPr>
      </w:pPr>
    </w:p>
    <w:p>
      <w:pPr>
        <w:spacing w:line="240" w:lineRule="auto" w:before="6"/>
        <w:rPr>
          <w:rFonts w:ascii="宋体" w:hAnsi="宋体" w:cs="宋体" w:eastAsia="宋体" w:hint="default"/>
          <w:sz w:val="15"/>
          <w:szCs w:val="15"/>
        </w:rPr>
      </w:pPr>
    </w:p>
    <w:p>
      <w:pPr>
        <w:pStyle w:val="Heading2"/>
        <w:tabs>
          <w:tab w:pos="780" w:val="left" w:leader="none"/>
        </w:tabs>
        <w:spacing w:line="292" w:lineRule="auto"/>
        <w:ind w:left="360" w:right="96"/>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spacing w:line="240" w:lineRule="auto" w:before="10"/>
        <w:ind w:left="36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360" w:right="0"/>
        <w:jc w:val="left"/>
      </w:pPr>
      <w:r>
        <w:rPr/>
        <w:t>单位：元</w:t>
      </w:r>
    </w:p>
    <w:p>
      <w:pPr>
        <w:spacing w:after="0" w:line="240" w:lineRule="auto"/>
        <w:jc w:val="left"/>
        <w:sectPr>
          <w:type w:val="continuous"/>
          <w:pgSz w:w="11910" w:h="16840"/>
          <w:pgMar w:top="1060" w:bottom="1380" w:left="1080" w:right="1080"/>
          <w:cols w:num="2" w:equalWidth="0">
            <w:col w:w="1938" w:space="6250"/>
            <w:col w:w="1562"/>
          </w:cols>
        </w:sectPr>
      </w:pPr>
    </w:p>
    <w:p>
      <w:pPr>
        <w:spacing w:line="240" w:lineRule="auto" w:before="4"/>
        <w:rPr>
          <w:rFonts w:ascii="宋体" w:hAnsi="宋体" w:cs="宋体" w:eastAsia="宋体" w:hint="default"/>
          <w:sz w:val="2"/>
          <w:szCs w:val="2"/>
        </w:rPr>
      </w:pPr>
    </w:p>
    <w:tbl>
      <w:tblPr>
        <w:tblW w:w="0" w:type="auto"/>
        <w:jc w:val="left"/>
        <w:tblInd w:w="497" w:type="dxa"/>
        <w:tblLayout w:type="fixed"/>
        <w:tblCellMar>
          <w:top w:w="0" w:type="dxa"/>
          <w:left w:w="0" w:type="dxa"/>
          <w:bottom w:w="0" w:type="dxa"/>
          <w:right w:w="0" w:type="dxa"/>
        </w:tblCellMar>
        <w:tblLook w:val="01E0"/>
      </w:tblPr>
      <w:tblGrid>
        <w:gridCol w:w="4253"/>
        <w:gridCol w:w="4741"/>
      </w:tblGrid>
      <w:tr>
        <w:trPr>
          <w:trHeight w:val="283"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13,592,602.42</w:t>
            </w:r>
          </w:p>
        </w:tc>
      </w:tr>
      <w:tr>
        <w:trPr>
          <w:trHeight w:val="283"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10,000,833.14</w:t>
            </w:r>
          </w:p>
        </w:tc>
      </w:tr>
      <w:tr>
        <w:trPr>
          <w:trHeight w:val="281"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23,593,435.56</w:t>
            </w:r>
          </w:p>
        </w:tc>
      </w:tr>
      <w:tr>
        <w:trPr>
          <w:trHeight w:val="283"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0.29</w:t>
            </w:r>
          </w:p>
        </w:tc>
      </w:tr>
      <w:tr>
        <w:trPr>
          <w:trHeight w:val="283"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w:t>
            </w:r>
          </w:p>
        </w:tc>
      </w:tr>
      <w:tr>
        <w:trPr>
          <w:trHeight w:val="281"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p>
        </w:tc>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w:t>
            </w:r>
          </w:p>
        </w:tc>
      </w:tr>
      <w:tr>
        <w:trPr>
          <w:trHeight w:val="283"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42.39</w:t>
            </w:r>
          </w:p>
        </w:tc>
      </w:tr>
    </w:tbl>
    <w:p>
      <w:pPr>
        <w:spacing w:line="240" w:lineRule="auto" w:before="2"/>
        <w:rPr>
          <w:rFonts w:ascii="宋体" w:hAnsi="宋体" w:cs="宋体" w:eastAsia="宋体" w:hint="default"/>
          <w:sz w:val="20"/>
          <w:szCs w:val="20"/>
        </w:rPr>
      </w:pPr>
    </w:p>
    <w:p>
      <w:pPr>
        <w:pStyle w:val="Heading2"/>
        <w:spacing w:line="240" w:lineRule="auto" w:before="36"/>
        <w:ind w:left="360" w:right="397"/>
        <w:jc w:val="left"/>
        <w:rPr>
          <w:b w:val="0"/>
          <w:bCs w:val="0"/>
        </w:rPr>
      </w:pPr>
      <w:r>
        <w:rPr/>
        <w:t>情况说明</w:t>
      </w:r>
      <w:r>
        <w:rPr>
          <w:b w:val="0"/>
          <w:bCs w:val="0"/>
        </w:rPr>
      </w:r>
    </w:p>
    <w:p>
      <w:pPr>
        <w:pStyle w:val="BodyText"/>
        <w:spacing w:line="290" w:lineRule="auto" w:before="56"/>
        <w:ind w:left="360" w:right="2633"/>
        <w:jc w:val="left"/>
      </w:pPr>
      <w:r>
        <w:rPr/>
        <w:t>√适用</w:t>
      </w:r>
      <w:r>
        <w:rPr>
          <w:spacing w:val="-2"/>
        </w:rPr>
        <w:t> </w:t>
      </w:r>
      <w:r>
        <w:rPr/>
        <w:t>□不适用</w:t>
      </w:r>
      <w:r>
        <w:rPr>
          <w:spacing w:val="-103"/>
        </w:rPr>
        <w:t> </w:t>
      </w:r>
      <w:r>
        <w:rPr>
          <w:spacing w:val="-103"/>
        </w:rPr>
      </w:r>
      <w:r>
        <w:rPr>
          <w:spacing w:val="-2"/>
        </w:rPr>
        <w:t>本公司研发支出主要系教育信息化相关产品的研发投入。</w:t>
      </w:r>
    </w:p>
    <w:p>
      <w:pPr>
        <w:spacing w:line="240" w:lineRule="auto" w:before="9"/>
        <w:rPr>
          <w:rFonts w:ascii="宋体" w:hAnsi="宋体" w:cs="宋体" w:eastAsia="宋体" w:hint="default"/>
          <w:sz w:val="21"/>
          <w:szCs w:val="21"/>
        </w:rPr>
      </w:pPr>
    </w:p>
    <w:p>
      <w:pPr>
        <w:pStyle w:val="Heading2"/>
        <w:tabs>
          <w:tab w:pos="780" w:val="left" w:leader="none"/>
        </w:tabs>
        <w:spacing w:line="240" w:lineRule="auto"/>
        <w:ind w:left="360" w:right="397"/>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58"/>
        <w:ind w:left="360" w:right="397"/>
        <w:jc w:val="left"/>
      </w:pPr>
      <w:r>
        <w:rPr/>
        <w:t>√适用 □不适用</w:t>
      </w:r>
    </w:p>
    <w:p>
      <w:pPr>
        <w:spacing w:line="240" w:lineRule="auto" w:before="13"/>
        <w:rPr>
          <w:rFonts w:ascii="宋体" w:hAnsi="宋体" w:cs="宋体" w:eastAsia="宋体" w:hint="default"/>
          <w:sz w:val="18"/>
          <w:szCs w:val="18"/>
        </w:rPr>
      </w:pPr>
    </w:p>
    <w:p>
      <w:pPr>
        <w:spacing w:before="44"/>
        <w:ind w:left="0" w:right="217" w:firstLine="0"/>
        <w:jc w:val="right"/>
        <w:rPr>
          <w:rFonts w:ascii="宋体" w:hAnsi="宋体" w:cs="宋体" w:eastAsia="宋体" w:hint="default"/>
          <w:sz w:val="18"/>
          <w:szCs w:val="18"/>
        </w:rPr>
      </w:pPr>
      <w:r>
        <w:rPr>
          <w:rFonts w:ascii="宋体" w:hAnsi="宋体" w:cs="宋体" w:eastAsia="宋体" w:hint="default"/>
          <w:sz w:val="18"/>
          <w:szCs w:val="18"/>
        </w:rPr>
        <w:t>单位：元币种：人民币</w:t>
      </w:r>
    </w:p>
    <w:p>
      <w:pPr>
        <w:spacing w:line="240" w:lineRule="auto" w:before="5"/>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492"/>
        <w:gridCol w:w="1748"/>
        <w:gridCol w:w="1745"/>
        <w:gridCol w:w="1046"/>
        <w:gridCol w:w="2492"/>
      </w:tblGrid>
      <w:tr>
        <w:trPr>
          <w:trHeight w:val="31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56"/>
              <w:jc w:val="right"/>
              <w:rPr>
                <w:rFonts w:ascii="宋体" w:hAnsi="宋体" w:cs="宋体" w:eastAsia="宋体" w:hint="default"/>
                <w:sz w:val="18"/>
                <w:szCs w:val="18"/>
              </w:rPr>
            </w:pPr>
            <w:r>
              <w:rPr>
                <w:rFonts w:ascii="宋体" w:hAnsi="宋体" w:cs="宋体" w:eastAsia="宋体" w:hint="default"/>
                <w:sz w:val="18"/>
                <w:szCs w:val="18"/>
              </w:rPr>
              <w:t>增减比例</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01" w:right="0"/>
              <w:jc w:val="left"/>
              <w:rPr>
                <w:rFonts w:ascii="宋体" w:hAnsi="宋体" w:cs="宋体" w:eastAsia="宋体" w:hint="default"/>
                <w:sz w:val="18"/>
                <w:szCs w:val="18"/>
              </w:rPr>
            </w:pPr>
            <w:r>
              <w:rPr>
                <w:rFonts w:ascii="宋体" w:hAnsi="宋体" w:cs="宋体" w:eastAsia="宋体" w:hint="default"/>
                <w:sz w:val="18"/>
                <w:szCs w:val="18"/>
              </w:rPr>
              <w:t>主要变动分析</w:t>
            </w:r>
          </w:p>
        </w:tc>
      </w:tr>
      <w:tr>
        <w:trPr>
          <w:trHeight w:val="71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1"/>
              <w:jc w:val="left"/>
              <w:rPr>
                <w:rFonts w:ascii="宋体" w:hAnsi="宋体" w:cs="宋体" w:eastAsia="宋体" w:hint="default"/>
                <w:sz w:val="18"/>
                <w:szCs w:val="18"/>
              </w:rPr>
            </w:pPr>
            <w:r>
              <w:rPr>
                <w:rFonts w:ascii="宋体" w:hAnsi="宋体" w:cs="宋体" w:eastAsia="宋体" w:hint="default"/>
                <w:spacing w:val="-5"/>
                <w:sz w:val="18"/>
                <w:szCs w:val="18"/>
              </w:rPr>
              <w:t>销售商品、提供劳务收到的现</w:t>
            </w:r>
            <w:r>
              <w:rPr>
                <w:rFonts w:ascii="宋体" w:hAnsi="宋体" w:cs="宋体" w:eastAsia="宋体" w:hint="default"/>
                <w:sz w:val="18"/>
                <w:szCs w:val="18"/>
              </w:rPr>
              <w:t> 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sz w:val="18"/>
              </w:rPr>
              <w:t>8,428,611,018.96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7,429,249,050.43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13.45%</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主要因本期间教育服务、互联</w:t>
            </w:r>
          </w:p>
          <w:p>
            <w:pPr>
              <w:pStyle w:val="TableParagraph"/>
              <w:spacing w:line="234" w:lineRule="exact" w:before="21"/>
              <w:ind w:left="103" w:right="216"/>
              <w:jc w:val="left"/>
              <w:rPr>
                <w:rFonts w:ascii="宋体" w:hAnsi="宋体" w:cs="宋体" w:eastAsia="宋体" w:hint="default"/>
                <w:sz w:val="18"/>
                <w:szCs w:val="18"/>
              </w:rPr>
            </w:pPr>
            <w:r>
              <w:rPr>
                <w:rFonts w:ascii="宋体" w:hAnsi="宋体" w:cs="宋体" w:eastAsia="宋体" w:hint="default"/>
                <w:sz w:val="18"/>
                <w:szCs w:val="18"/>
              </w:rPr>
              <w:t>网销售业务及一般图书出版 业务等带来的销售回款额同</w:t>
            </w:r>
          </w:p>
        </w:tc>
      </w:tr>
    </w:tbl>
    <w:p>
      <w:pPr>
        <w:spacing w:after="0" w:line="234" w:lineRule="exact"/>
        <w:jc w:val="left"/>
        <w:rPr>
          <w:rFonts w:ascii="宋体" w:hAnsi="宋体" w:cs="宋体" w:eastAsia="宋体" w:hint="default"/>
          <w:sz w:val="18"/>
          <w:szCs w:val="18"/>
        </w:rPr>
        <w:sectPr>
          <w:type w:val="continuous"/>
          <w:pgSz w:w="11910" w:h="16840"/>
          <w:pgMar w:top="1060" w:bottom="1380" w:left="108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427" w:type="dxa"/>
        <w:tblLayout w:type="fixed"/>
        <w:tblCellMar>
          <w:top w:w="0" w:type="dxa"/>
          <w:left w:w="0" w:type="dxa"/>
          <w:bottom w:w="0" w:type="dxa"/>
          <w:right w:w="0" w:type="dxa"/>
        </w:tblCellMar>
        <w:tblLook w:val="01E0"/>
      </w:tblPr>
      <w:tblGrid>
        <w:gridCol w:w="2492"/>
        <w:gridCol w:w="1748"/>
        <w:gridCol w:w="1745"/>
        <w:gridCol w:w="1046"/>
        <w:gridCol w:w="2492"/>
      </w:tblGrid>
      <w:tr>
        <w:trPr>
          <w:trHeight w:val="499" w:hRule="exact"/>
        </w:trPr>
        <w:tc>
          <w:tcPr>
            <w:tcW w:w="2492" w:type="dxa"/>
            <w:tcBorders>
              <w:top w:val="nil" w:sz="6" w:space="0" w:color="auto"/>
              <w:left w:val="single" w:sz="4" w:space="0" w:color="000000"/>
              <w:bottom w:val="single" w:sz="4" w:space="0" w:color="000000"/>
              <w:right w:val="single" w:sz="4" w:space="0" w:color="000000"/>
            </w:tcBorders>
          </w:tcPr>
          <w:p>
            <w:pPr/>
          </w:p>
        </w:tc>
        <w:tc>
          <w:tcPr>
            <w:tcW w:w="1748" w:type="dxa"/>
            <w:tcBorders>
              <w:top w:val="nil" w:sz="6" w:space="0" w:color="auto"/>
              <w:left w:val="single" w:sz="4" w:space="0" w:color="000000"/>
              <w:bottom w:val="single" w:sz="4" w:space="0" w:color="000000"/>
              <w:right w:val="single" w:sz="4" w:space="0" w:color="000000"/>
            </w:tcBorders>
          </w:tcPr>
          <w:p>
            <w:pPr/>
          </w:p>
        </w:tc>
        <w:tc>
          <w:tcPr>
            <w:tcW w:w="17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2492"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比增加</w:t>
            </w:r>
          </w:p>
        </w:tc>
      </w:tr>
      <w:tr>
        <w:trPr>
          <w:trHeight w:val="694"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2,859,806.40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29,900,529.02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-90.44%</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103" w:right="218"/>
              <w:jc w:val="left"/>
              <w:rPr>
                <w:rFonts w:ascii="宋体" w:hAnsi="宋体" w:cs="宋体" w:eastAsia="宋体" w:hint="default"/>
                <w:sz w:val="18"/>
                <w:szCs w:val="18"/>
              </w:rPr>
            </w:pPr>
            <w:r>
              <w:rPr>
                <w:rFonts w:ascii="宋体" w:hAnsi="宋体" w:cs="宋体" w:eastAsia="宋体" w:hint="default"/>
                <w:sz w:val="18"/>
                <w:szCs w:val="18"/>
              </w:rPr>
              <w:t>主要因公司本年度收到增值 税返还较上年度减少</w:t>
            </w:r>
          </w:p>
        </w:tc>
      </w:tr>
      <w:tr>
        <w:trPr>
          <w:trHeight w:val="710"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16"/>
              <w:jc w:val="left"/>
              <w:rPr>
                <w:rFonts w:ascii="宋体" w:hAnsi="宋体" w:cs="宋体" w:eastAsia="宋体" w:hint="default"/>
                <w:sz w:val="18"/>
                <w:szCs w:val="18"/>
              </w:rPr>
            </w:pPr>
            <w:r>
              <w:rPr>
                <w:rFonts w:ascii="宋体" w:hAnsi="宋体" w:cs="宋体" w:eastAsia="宋体" w:hint="default"/>
                <w:sz w:val="18"/>
                <w:szCs w:val="18"/>
              </w:rPr>
              <w:t>收到其他与经营活动有关的 现金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128,901,806.29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57,301,876.32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124.95%</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主要因公司收到利息收入、与</w:t>
            </w:r>
          </w:p>
          <w:p>
            <w:pPr>
              <w:pStyle w:val="TableParagraph"/>
              <w:spacing w:line="232" w:lineRule="exact" w:before="23"/>
              <w:ind w:left="103" w:right="218"/>
              <w:jc w:val="left"/>
              <w:rPr>
                <w:rFonts w:ascii="宋体" w:hAnsi="宋体" w:cs="宋体" w:eastAsia="宋体" w:hint="default"/>
                <w:sz w:val="18"/>
                <w:szCs w:val="18"/>
              </w:rPr>
            </w:pPr>
            <w:r>
              <w:rPr>
                <w:rFonts w:ascii="宋体" w:hAnsi="宋体" w:cs="宋体" w:eastAsia="宋体" w:hint="default"/>
                <w:sz w:val="18"/>
                <w:szCs w:val="18"/>
              </w:rPr>
              <w:t>收益相关的政府补助及往来 款项等较上年增加</w:t>
            </w:r>
          </w:p>
        </w:tc>
      </w:tr>
      <w:tr>
        <w:trPr>
          <w:trHeight w:val="69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103" w:right="101"/>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w:t>
            </w:r>
            <w:r>
              <w:rPr>
                <w:rFonts w:ascii="宋体" w:hAnsi="宋体" w:cs="宋体" w:eastAsia="宋体" w:hint="default"/>
                <w:sz w:val="18"/>
                <w:szCs w:val="18"/>
              </w:rPr>
              <w:t> 他长期资产收回的现金净额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4,535,883.74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948,697.97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378.12%</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103" w:right="218"/>
              <w:jc w:val="left"/>
              <w:rPr>
                <w:rFonts w:ascii="宋体" w:hAnsi="宋体" w:cs="宋体" w:eastAsia="宋体" w:hint="default"/>
                <w:sz w:val="18"/>
                <w:szCs w:val="18"/>
              </w:rPr>
            </w:pPr>
            <w:r>
              <w:rPr>
                <w:rFonts w:ascii="宋体" w:hAnsi="宋体" w:cs="宋体" w:eastAsia="宋体" w:hint="default"/>
                <w:sz w:val="18"/>
                <w:szCs w:val="18"/>
              </w:rPr>
              <w:t>主要因子公司读者报社处置 一处房产带来现金流量增加</w:t>
            </w:r>
          </w:p>
        </w:tc>
      </w:tr>
      <w:tr>
        <w:trPr>
          <w:trHeight w:val="71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216"/>
              <w:jc w:val="left"/>
              <w:rPr>
                <w:rFonts w:ascii="宋体" w:hAnsi="宋体" w:cs="宋体" w:eastAsia="宋体" w:hint="default"/>
                <w:sz w:val="18"/>
                <w:szCs w:val="18"/>
              </w:rPr>
            </w:pPr>
            <w:r>
              <w:rPr>
                <w:rFonts w:ascii="宋体" w:hAnsi="宋体" w:cs="宋体" w:eastAsia="宋体" w:hint="default"/>
                <w:sz w:val="18"/>
                <w:szCs w:val="18"/>
              </w:rPr>
              <w:t>处置子公司及其他营业单位 收到的现金净额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393,915.64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66,946,783.23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-99.41%</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因上年度处置子公司华影文</w:t>
            </w:r>
          </w:p>
          <w:p>
            <w:pPr>
              <w:pStyle w:val="TableParagraph"/>
              <w:spacing w:line="234" w:lineRule="exact" w:before="21"/>
              <w:ind w:left="103" w:right="99"/>
              <w:jc w:val="left"/>
              <w:rPr>
                <w:rFonts w:ascii="宋体" w:hAnsi="宋体" w:cs="宋体" w:eastAsia="宋体" w:hint="default"/>
                <w:sz w:val="18"/>
                <w:szCs w:val="18"/>
              </w:rPr>
            </w:pPr>
            <w:r>
              <w:rPr>
                <w:rFonts w:ascii="宋体" w:hAnsi="宋体" w:cs="宋体" w:eastAsia="宋体" w:hint="default"/>
                <w:sz w:val="18"/>
                <w:szCs w:val="18"/>
              </w:rPr>
              <w:t>轩</w:t>
            </w:r>
            <w:r>
              <w:rPr>
                <w:rFonts w:ascii="宋体" w:hAnsi="宋体" w:cs="宋体" w:eastAsia="宋体" w:hint="default"/>
                <w:spacing w:val="-65"/>
                <w:sz w:val="18"/>
                <w:szCs w:val="18"/>
              </w:rPr>
              <w:t> </w:t>
            </w:r>
            <w:r>
              <w:rPr>
                <w:rFonts w:ascii="宋体" w:hAnsi="宋体" w:cs="宋体" w:eastAsia="宋体" w:hint="default"/>
                <w:sz w:val="18"/>
                <w:szCs w:val="18"/>
              </w:rPr>
              <w:t>85%</w:t>
            </w:r>
            <w:r>
              <w:rPr>
                <w:rFonts w:ascii="宋体" w:hAnsi="宋体" w:cs="宋体" w:eastAsia="宋体" w:hint="default"/>
                <w:sz w:val="18"/>
                <w:szCs w:val="18"/>
              </w:rPr>
              <w:t>股权带来的现金流量净 额较大</w:t>
            </w:r>
          </w:p>
        </w:tc>
      </w:tr>
      <w:tr>
        <w:trPr>
          <w:trHeight w:val="946"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216"/>
              <w:jc w:val="left"/>
              <w:rPr>
                <w:rFonts w:ascii="宋体" w:hAnsi="宋体" w:cs="宋体" w:eastAsia="宋体" w:hint="default"/>
                <w:sz w:val="18"/>
                <w:szCs w:val="18"/>
              </w:rPr>
            </w:pPr>
            <w:r>
              <w:rPr>
                <w:rFonts w:ascii="宋体" w:hAnsi="宋体" w:cs="宋体" w:eastAsia="宋体" w:hint="default"/>
                <w:sz w:val="18"/>
                <w:szCs w:val="18"/>
              </w:rPr>
              <w:t>收到其他与投资活动有关的 现金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283,561,027.40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151,392,643.48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87.30%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主要因本年度到期收回</w:t>
            </w:r>
            <w:r>
              <w:rPr>
                <w:rFonts w:ascii="宋体" w:hAnsi="宋体" w:cs="宋体" w:eastAsia="宋体" w:hint="default"/>
                <w:spacing w:val="-45"/>
                <w:sz w:val="18"/>
                <w:szCs w:val="18"/>
              </w:rPr>
              <w:t> </w:t>
            </w:r>
            <w:r>
              <w:rPr>
                <w:rFonts w:ascii="宋体" w:hAnsi="宋体" w:cs="宋体" w:eastAsia="宋体" w:hint="default"/>
                <w:sz w:val="18"/>
                <w:szCs w:val="18"/>
              </w:rPr>
              <w:t>2.8</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5"/>
                <w:sz w:val="18"/>
                <w:szCs w:val="18"/>
              </w:rPr>
              <w:t>亿元两年期定期存款，去年发</w:t>
            </w:r>
            <w:r>
              <w:rPr>
                <w:rFonts w:ascii="宋体" w:hAnsi="宋体" w:cs="宋体" w:eastAsia="宋体" w:hint="default"/>
                <w:sz w:val="18"/>
                <w:szCs w:val="18"/>
              </w:rPr>
              <w:t> 生额主要因收回对四川文卓 的委托贷款</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亿元</w:t>
            </w:r>
          </w:p>
        </w:tc>
      </w:tr>
      <w:tr>
        <w:trPr>
          <w:trHeight w:val="710"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1"/>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w:t>
            </w:r>
            <w:r>
              <w:rPr>
                <w:rFonts w:ascii="宋体" w:hAnsi="宋体" w:cs="宋体" w:eastAsia="宋体" w:hint="default"/>
                <w:sz w:val="18"/>
                <w:szCs w:val="18"/>
              </w:rPr>
              <w:t> 他长期资产支付的现金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160,006,970.69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245,938,614.43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-34.94%</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主要因根据在建工程的建设</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5"/>
                <w:sz w:val="18"/>
                <w:szCs w:val="18"/>
              </w:rPr>
              <w:t>进度，本年度建设投入较上年</w:t>
            </w:r>
            <w:r>
              <w:rPr>
                <w:rFonts w:ascii="宋体" w:hAnsi="宋体" w:cs="宋体" w:eastAsia="宋体" w:hint="default"/>
                <w:sz w:val="18"/>
                <w:szCs w:val="18"/>
              </w:rPr>
              <w:t> 有所减少。</w:t>
            </w:r>
          </w:p>
        </w:tc>
      </w:tr>
      <w:tr>
        <w:trPr>
          <w:trHeight w:val="69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5,035,000.00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103" w:right="216"/>
              <w:jc w:val="left"/>
              <w:rPr>
                <w:rFonts w:ascii="宋体" w:hAnsi="宋体" w:cs="宋体" w:eastAsia="宋体" w:hint="default"/>
                <w:sz w:val="18"/>
                <w:szCs w:val="18"/>
              </w:rPr>
            </w:pPr>
            <w:r>
              <w:rPr>
                <w:rFonts w:ascii="宋体" w:hAnsi="宋体" w:cs="宋体" w:eastAsia="宋体" w:hint="default"/>
                <w:sz w:val="18"/>
                <w:szCs w:val="18"/>
              </w:rPr>
              <w:t>本年度发生额系子公司北京 航天云收到少数股东增资</w:t>
            </w:r>
          </w:p>
        </w:tc>
      </w:tr>
      <w:tr>
        <w:trPr>
          <w:trHeight w:val="694"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4"/>
              <w:ind w:left="103" w:right="216"/>
              <w:jc w:val="left"/>
              <w:rPr>
                <w:rFonts w:ascii="宋体" w:hAnsi="宋体" w:cs="宋体" w:eastAsia="宋体" w:hint="default"/>
                <w:sz w:val="18"/>
                <w:szCs w:val="18"/>
              </w:rPr>
            </w:pPr>
            <w:r>
              <w:rPr>
                <w:rFonts w:ascii="宋体" w:hAnsi="宋体" w:cs="宋体" w:eastAsia="宋体" w:hint="default"/>
                <w:sz w:val="18"/>
                <w:szCs w:val="18"/>
              </w:rPr>
              <w:t>收到其他与筹资活动有关的 现金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10,423,573.81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4"/>
              <w:ind w:left="103" w:right="218"/>
              <w:jc w:val="left"/>
              <w:rPr>
                <w:rFonts w:ascii="宋体" w:hAnsi="宋体" w:cs="宋体" w:eastAsia="宋体" w:hint="default"/>
                <w:sz w:val="18"/>
                <w:szCs w:val="18"/>
              </w:rPr>
            </w:pPr>
            <w:r>
              <w:rPr>
                <w:rFonts w:ascii="宋体" w:hAnsi="宋体" w:cs="宋体" w:eastAsia="宋体" w:hint="default"/>
                <w:sz w:val="18"/>
                <w:szCs w:val="18"/>
              </w:rPr>
              <w:t>上年度发生额系公司收到与 资产相关的政府补助</w:t>
            </w:r>
          </w:p>
        </w:tc>
      </w:tr>
      <w:tr>
        <w:trPr>
          <w:trHeight w:val="71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16"/>
              <w:jc w:val="left"/>
              <w:rPr>
                <w:rFonts w:ascii="宋体" w:hAnsi="宋体" w:cs="宋体" w:eastAsia="宋体" w:hint="default"/>
                <w:sz w:val="18"/>
                <w:szCs w:val="18"/>
              </w:rPr>
            </w:pPr>
            <w:r>
              <w:rPr>
                <w:rFonts w:ascii="宋体" w:hAnsi="宋体" w:cs="宋体" w:eastAsia="宋体" w:hint="default"/>
                <w:sz w:val="18"/>
                <w:szCs w:val="18"/>
              </w:rPr>
              <w:t>支付其他与筹资活动有关的 现金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1,780,947.00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69,271,000.00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-97.43%</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因公司上年度收购子公司新</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z w:val="18"/>
                <w:szCs w:val="18"/>
              </w:rPr>
              <w:t>华彩印</w:t>
            </w:r>
            <w:r>
              <w:rPr>
                <w:rFonts w:ascii="宋体" w:hAnsi="宋体" w:cs="宋体" w:eastAsia="宋体" w:hint="default"/>
                <w:spacing w:val="-65"/>
                <w:sz w:val="18"/>
                <w:szCs w:val="18"/>
              </w:rPr>
              <w:t> </w:t>
            </w:r>
            <w:r>
              <w:rPr>
                <w:rFonts w:ascii="宋体" w:hAnsi="宋体" w:cs="宋体" w:eastAsia="宋体" w:hint="default"/>
                <w:sz w:val="18"/>
                <w:szCs w:val="18"/>
              </w:rPr>
              <w:t>35%</w:t>
            </w:r>
            <w:r>
              <w:rPr>
                <w:rFonts w:ascii="宋体" w:hAnsi="宋体" w:cs="宋体" w:eastAsia="宋体" w:hint="default"/>
                <w:sz w:val="18"/>
                <w:szCs w:val="18"/>
              </w:rPr>
              <w:t>少数股东股权支付 </w:t>
            </w:r>
            <w:r>
              <w:rPr>
                <w:rFonts w:ascii="宋体" w:hAnsi="宋体" w:cs="宋体" w:eastAsia="宋体" w:hint="default"/>
                <w:sz w:val="18"/>
                <w:szCs w:val="18"/>
              </w:rPr>
              <w:t>6,927.10</w:t>
            </w:r>
            <w:r>
              <w:rPr>
                <w:rFonts w:ascii="宋体" w:hAnsi="宋体" w:cs="宋体" w:eastAsia="宋体" w:hint="default"/>
                <w:spacing w:val="-45"/>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20"/>
          <w:szCs w:val="20"/>
        </w:rPr>
      </w:pPr>
    </w:p>
    <w:p>
      <w:pPr>
        <w:pStyle w:val="Heading2"/>
        <w:tabs>
          <w:tab w:pos="1520" w:val="left" w:leader="none"/>
        </w:tabs>
        <w:spacing w:line="240" w:lineRule="auto" w:before="36"/>
        <w:ind w:left="680"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56"/>
        <w:ind w:left="680"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060" w:bottom="1380" w:left="760" w:right="1080"/>
        </w:sectPr>
      </w:pPr>
    </w:p>
    <w:p>
      <w:pPr>
        <w:pStyle w:val="Heading2"/>
        <w:tabs>
          <w:tab w:pos="1520" w:val="left" w:leader="none"/>
        </w:tabs>
        <w:spacing w:line="240" w:lineRule="auto" w:before="36"/>
        <w:ind w:left="680"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spacing w:line="240" w:lineRule="auto" w:before="58"/>
        <w:ind w:left="680" w:right="-17"/>
        <w:jc w:val="left"/>
      </w:pPr>
      <w:r>
        <w:rPr/>
        <w:t>√适用 □不适用</w:t>
      </w:r>
    </w:p>
    <w:p>
      <w:pPr>
        <w:pStyle w:val="Heading2"/>
        <w:tabs>
          <w:tab w:pos="1105" w:val="left" w:leader="none"/>
        </w:tabs>
        <w:spacing w:line="240" w:lineRule="auto" w:before="56"/>
        <w:ind w:left="680" w:right="-17"/>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680" w:right="0"/>
        <w:jc w:val="left"/>
      </w:pPr>
      <w:r>
        <w:rPr/>
        <w:t>单位：元</w:t>
      </w:r>
    </w:p>
    <w:p>
      <w:pPr>
        <w:spacing w:after="0" w:line="240" w:lineRule="auto"/>
        <w:jc w:val="left"/>
        <w:sectPr>
          <w:type w:val="continuous"/>
          <w:pgSz w:w="11910" w:h="16840"/>
          <w:pgMar w:top="1060" w:bottom="1380" w:left="760" w:right="1080"/>
          <w:cols w:num="2" w:equalWidth="0">
            <w:col w:w="3422" w:space="4766"/>
            <w:col w:w="1882"/>
          </w:cols>
        </w:sectPr>
      </w:pPr>
    </w:p>
    <w:p>
      <w:pPr>
        <w:spacing w:line="240" w:lineRule="auto" w:before="5"/>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828"/>
        <w:gridCol w:w="1817"/>
        <w:gridCol w:w="817"/>
        <w:gridCol w:w="1817"/>
        <w:gridCol w:w="816"/>
        <w:gridCol w:w="1013"/>
        <w:gridCol w:w="2677"/>
      </w:tblGrid>
      <w:tr>
        <w:trPr>
          <w:trHeight w:val="1178"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19" w:right="137"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both"/>
              <w:rPr>
                <w:rFonts w:ascii="宋体" w:hAnsi="宋体" w:cs="宋体" w:eastAsia="宋体" w:hint="default"/>
                <w:sz w:val="18"/>
                <w:szCs w:val="18"/>
              </w:rPr>
            </w:pPr>
            <w:r>
              <w:rPr>
                <w:rFonts w:ascii="宋体" w:hAnsi="宋体" w:cs="宋体" w:eastAsia="宋体" w:hint="default"/>
                <w:sz w:val="18"/>
                <w:szCs w:val="18"/>
              </w:rPr>
              <w:t>本期期</w:t>
            </w:r>
          </w:p>
          <w:p>
            <w:pPr>
              <w:pStyle w:val="TableParagraph"/>
              <w:spacing w:line="237" w:lineRule="auto"/>
              <w:ind w:left="131" w:right="134"/>
              <w:jc w:val="both"/>
              <w:rPr>
                <w:rFonts w:ascii="宋体" w:hAnsi="宋体" w:cs="宋体" w:eastAsia="宋体" w:hint="default"/>
                <w:sz w:val="18"/>
                <w:szCs w:val="18"/>
              </w:rPr>
            </w:pPr>
            <w:r>
              <w:rPr>
                <w:rFonts w:ascii="宋体" w:hAnsi="宋体" w:cs="宋体" w:eastAsia="宋体" w:hint="default"/>
                <w:sz w:val="18"/>
                <w:szCs w:val="18"/>
              </w:rPr>
              <w:t>末数占 总资产 的比例</w:t>
            </w:r>
          </w:p>
          <w:p>
            <w:pPr>
              <w:pStyle w:val="TableParagraph"/>
              <w:spacing w:line="233" w:lineRule="exact"/>
              <w:ind w:left="177"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both"/>
              <w:rPr>
                <w:rFonts w:ascii="宋体" w:hAnsi="宋体" w:cs="宋体" w:eastAsia="宋体" w:hint="default"/>
                <w:sz w:val="18"/>
                <w:szCs w:val="18"/>
              </w:rPr>
            </w:pPr>
            <w:r>
              <w:rPr>
                <w:rFonts w:ascii="宋体" w:hAnsi="宋体" w:cs="宋体" w:eastAsia="宋体" w:hint="default"/>
                <w:sz w:val="18"/>
                <w:szCs w:val="18"/>
              </w:rPr>
              <w:t>上期期</w:t>
            </w:r>
          </w:p>
          <w:p>
            <w:pPr>
              <w:pStyle w:val="TableParagraph"/>
              <w:spacing w:line="237" w:lineRule="auto"/>
              <w:ind w:left="129" w:right="135"/>
              <w:jc w:val="both"/>
              <w:rPr>
                <w:rFonts w:ascii="宋体" w:hAnsi="宋体" w:cs="宋体" w:eastAsia="宋体" w:hint="default"/>
                <w:sz w:val="18"/>
                <w:szCs w:val="18"/>
              </w:rPr>
            </w:pPr>
            <w:r>
              <w:rPr>
                <w:rFonts w:ascii="宋体" w:hAnsi="宋体" w:cs="宋体" w:eastAsia="宋体" w:hint="default"/>
                <w:sz w:val="18"/>
                <w:szCs w:val="18"/>
              </w:rPr>
              <w:t>末数占 总资产 的比例</w:t>
            </w:r>
          </w:p>
          <w:p>
            <w:pPr>
              <w:pStyle w:val="TableParagraph"/>
              <w:spacing w:line="233" w:lineRule="exact"/>
              <w:ind w:left="175"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both"/>
              <w:rPr>
                <w:rFonts w:ascii="宋体" w:hAnsi="宋体" w:cs="宋体" w:eastAsia="宋体" w:hint="default"/>
                <w:sz w:val="18"/>
                <w:szCs w:val="18"/>
              </w:rPr>
            </w:pPr>
            <w:r>
              <w:rPr>
                <w:rFonts w:ascii="宋体" w:hAnsi="宋体" w:cs="宋体" w:eastAsia="宋体" w:hint="default"/>
                <w:sz w:val="18"/>
                <w:szCs w:val="18"/>
              </w:rPr>
              <w:t>本期期末</w:t>
            </w:r>
          </w:p>
          <w:p>
            <w:pPr>
              <w:pStyle w:val="TableParagraph"/>
              <w:spacing w:line="237" w:lineRule="auto"/>
              <w:ind w:left="139" w:right="143"/>
              <w:jc w:val="both"/>
              <w:rPr>
                <w:rFonts w:ascii="宋体" w:hAnsi="宋体" w:cs="宋体" w:eastAsia="宋体" w:hint="default"/>
                <w:sz w:val="18"/>
                <w:szCs w:val="18"/>
              </w:rPr>
            </w:pPr>
            <w:r>
              <w:rPr>
                <w:rFonts w:ascii="宋体" w:hAnsi="宋体" w:cs="宋体" w:eastAsia="宋体" w:hint="default"/>
                <w:sz w:val="18"/>
                <w:szCs w:val="18"/>
              </w:rPr>
              <w:t>金额较上 期期末变 动比例</w:t>
            </w:r>
          </w:p>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情况说明</w:t>
            </w:r>
          </w:p>
        </w:tc>
      </w:tr>
      <w:tr>
        <w:trPr>
          <w:trHeight w:val="71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货币资</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2,608,612,572.01</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19.63%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1,885,682,217.83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15.35%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38.34%</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主要本期间经营活动现金净流</w:t>
            </w:r>
          </w:p>
          <w:p>
            <w:pPr>
              <w:pStyle w:val="TableParagraph"/>
              <w:spacing w:line="232" w:lineRule="exact" w:before="23"/>
              <w:ind w:left="103" w:right="104"/>
              <w:jc w:val="left"/>
              <w:rPr>
                <w:rFonts w:ascii="宋体" w:hAnsi="宋体" w:cs="宋体" w:eastAsia="宋体" w:hint="default"/>
                <w:sz w:val="18"/>
                <w:szCs w:val="18"/>
              </w:rPr>
            </w:pPr>
            <w:r>
              <w:rPr>
                <w:rFonts w:ascii="宋体" w:hAnsi="宋体" w:cs="宋体" w:eastAsia="宋体" w:hint="default"/>
                <w:spacing w:val="8"/>
                <w:sz w:val="18"/>
                <w:szCs w:val="18"/>
              </w:rPr>
              <w:t>入的增加带来的货币资金余额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增长。</w:t>
            </w:r>
          </w:p>
        </w:tc>
      </w:tr>
      <w:tr>
        <w:trPr>
          <w:trHeight w:val="1409"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交易性</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2" w:lineRule="exact" w:before="23"/>
              <w:ind w:left="103" w:right="65"/>
              <w:jc w:val="left"/>
              <w:rPr>
                <w:rFonts w:ascii="宋体" w:hAnsi="宋体" w:cs="宋体" w:eastAsia="宋体" w:hint="default"/>
                <w:sz w:val="18"/>
                <w:szCs w:val="18"/>
              </w:rPr>
            </w:pPr>
            <w:r>
              <w:rPr>
                <w:rFonts w:ascii="宋体" w:hAnsi="宋体" w:cs="宋体" w:eastAsia="宋体" w:hint="default"/>
                <w:spacing w:val="24"/>
                <w:sz w:val="18"/>
                <w:szCs w:val="18"/>
              </w:rPr>
              <w:t>金融资</w:t>
            </w:r>
            <w:r>
              <w:rPr>
                <w:rFonts w:ascii="宋体" w:hAnsi="宋体" w:cs="宋体" w:eastAsia="宋体" w:hint="default"/>
                <w:spacing w:val="-54"/>
                <w:sz w:val="18"/>
                <w:szCs w:val="18"/>
              </w:rPr>
              <w:t> </w:t>
            </w:r>
            <w:r>
              <w:rPr>
                <w:rFonts w:ascii="宋体" w:hAnsi="宋体" w:cs="宋体" w:eastAsia="宋体" w:hint="default"/>
                <w:sz w:val="18"/>
                <w:szCs w:val="18"/>
              </w:rPr>
              <w:t>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1,262,431,274.52</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根据新金融工具准则，将原列示</w:t>
            </w: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pacing w:val="8"/>
                <w:sz w:val="18"/>
                <w:szCs w:val="18"/>
              </w:rPr>
              <w:t>于“其他流动资产”下的银行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理财产品重分类至本项目列示。 本</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4"/>
                <w:sz w:val="18"/>
                <w:szCs w:val="18"/>
              </w:rPr>
              <w:t> </w:t>
            </w:r>
            <w:r>
              <w:rPr>
                <w:rFonts w:ascii="宋体" w:hAnsi="宋体" w:cs="宋体" w:eastAsia="宋体" w:hint="default"/>
                <w:sz w:val="18"/>
                <w:szCs w:val="18"/>
              </w:rPr>
              <w:t>末</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银</w:t>
            </w:r>
            <w:r>
              <w:rPr>
                <w:rFonts w:ascii="宋体" w:hAnsi="宋体" w:cs="宋体" w:eastAsia="宋体" w:hint="default"/>
                <w:spacing w:val="-62"/>
                <w:sz w:val="18"/>
                <w:szCs w:val="18"/>
              </w:rPr>
              <w:t> </w:t>
            </w:r>
            <w:r>
              <w:rPr>
                <w:rFonts w:ascii="宋体" w:hAnsi="宋体" w:cs="宋体" w:eastAsia="宋体" w:hint="default"/>
                <w:sz w:val="18"/>
                <w:szCs w:val="18"/>
              </w:rPr>
              <w:t>行</w:t>
            </w:r>
            <w:r>
              <w:rPr>
                <w:rFonts w:ascii="宋体" w:hAnsi="宋体" w:cs="宋体" w:eastAsia="宋体" w:hint="default"/>
                <w:spacing w:val="-64"/>
                <w:sz w:val="18"/>
                <w:szCs w:val="18"/>
              </w:rPr>
              <w:t> </w:t>
            </w:r>
            <w:r>
              <w:rPr>
                <w:rFonts w:ascii="宋体" w:hAnsi="宋体" w:cs="宋体" w:eastAsia="宋体" w:hint="default"/>
                <w:sz w:val="18"/>
                <w:szCs w:val="18"/>
              </w:rPr>
              <w:t>理</w:t>
            </w:r>
            <w:r>
              <w:rPr>
                <w:rFonts w:ascii="宋体" w:hAnsi="宋体" w:cs="宋体" w:eastAsia="宋体" w:hint="default"/>
                <w:spacing w:val="-64"/>
                <w:sz w:val="18"/>
                <w:szCs w:val="18"/>
              </w:rPr>
              <w:t> </w:t>
            </w:r>
            <w:r>
              <w:rPr>
                <w:rFonts w:ascii="宋体" w:hAnsi="宋体" w:cs="宋体" w:eastAsia="宋体" w:hint="default"/>
                <w:sz w:val="18"/>
                <w:szCs w:val="18"/>
              </w:rPr>
              <w:t>财</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4"/>
                <w:sz w:val="18"/>
                <w:szCs w:val="18"/>
              </w:rPr>
              <w:t> </w:t>
            </w:r>
            <w:r>
              <w:rPr>
                <w:rFonts w:ascii="宋体" w:hAnsi="宋体" w:cs="宋体" w:eastAsia="宋体" w:hint="default"/>
                <w:sz w:val="18"/>
                <w:szCs w:val="18"/>
              </w:rPr>
              <w:t>品</w:t>
            </w:r>
            <w:r>
              <w:rPr>
                <w:rFonts w:ascii="宋体" w:hAnsi="宋体" w:cs="宋体" w:eastAsia="宋体" w:hint="default"/>
                <w:spacing w:val="-64"/>
                <w:sz w:val="18"/>
                <w:szCs w:val="18"/>
              </w:rPr>
              <w:t> </w:t>
            </w:r>
            <w:r>
              <w:rPr>
                <w:rFonts w:ascii="宋体" w:hAnsi="宋体" w:cs="宋体" w:eastAsia="宋体" w:hint="default"/>
                <w:sz w:val="18"/>
                <w:szCs w:val="18"/>
              </w:rPr>
              <w:t>余</w:t>
            </w:r>
            <w:r>
              <w:rPr>
                <w:rFonts w:ascii="宋体" w:hAnsi="宋体" w:cs="宋体" w:eastAsia="宋体" w:hint="default"/>
                <w:spacing w:val="-62"/>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宋体" w:hAnsi="宋体" w:cs="宋体" w:eastAsia="宋体" w:hint="default"/>
                <w:sz w:val="18"/>
                <w:szCs w:val="18"/>
              </w:rPr>
              <w:t>12.62</w:t>
            </w:r>
            <w:r>
              <w:rPr>
                <w:rFonts w:ascii="宋体" w:hAnsi="宋体" w:cs="宋体" w:eastAsia="宋体" w:hint="default"/>
                <w:spacing w:val="-43"/>
                <w:sz w:val="18"/>
                <w:szCs w:val="18"/>
              </w:rPr>
              <w:t> </w:t>
            </w:r>
            <w:r>
              <w:rPr>
                <w:rFonts w:ascii="宋体" w:hAnsi="宋体" w:cs="宋体" w:eastAsia="宋体" w:hint="default"/>
                <w:spacing w:val="-3"/>
                <w:sz w:val="18"/>
                <w:szCs w:val="18"/>
              </w:rPr>
              <w:t>亿元，较上年末</w:t>
            </w:r>
            <w:r>
              <w:rPr>
                <w:rFonts w:ascii="宋体" w:hAnsi="宋体" w:cs="宋体" w:eastAsia="宋体" w:hint="default"/>
                <w:spacing w:val="-47"/>
                <w:sz w:val="18"/>
                <w:szCs w:val="18"/>
              </w:rPr>
              <w:t> </w:t>
            </w:r>
            <w:r>
              <w:rPr>
                <w:rFonts w:ascii="宋体" w:hAnsi="宋体" w:cs="宋体" w:eastAsia="宋体" w:hint="default"/>
                <w:sz w:val="18"/>
                <w:szCs w:val="18"/>
              </w:rPr>
              <w:t>11.58</w:t>
            </w:r>
            <w:r>
              <w:rPr>
                <w:rFonts w:ascii="宋体" w:hAnsi="宋体" w:cs="宋体" w:eastAsia="宋体" w:hint="default"/>
                <w:spacing w:val="-46"/>
                <w:sz w:val="18"/>
                <w:szCs w:val="18"/>
              </w:rPr>
              <w:t> </w:t>
            </w:r>
            <w:r>
              <w:rPr>
                <w:rFonts w:ascii="宋体" w:hAnsi="宋体" w:cs="宋体" w:eastAsia="宋体" w:hint="default"/>
                <w:sz w:val="18"/>
                <w:szCs w:val="18"/>
              </w:rPr>
              <w:t>亿 元增加</w:t>
            </w:r>
            <w:r>
              <w:rPr>
                <w:rFonts w:ascii="宋体" w:hAnsi="宋体" w:cs="宋体" w:eastAsia="宋体" w:hint="default"/>
                <w:spacing w:val="-46"/>
                <w:sz w:val="18"/>
                <w:szCs w:val="18"/>
              </w:rPr>
              <w:t> </w:t>
            </w:r>
            <w:r>
              <w:rPr>
                <w:rFonts w:ascii="宋体" w:hAnsi="宋体" w:cs="宋体" w:eastAsia="宋体" w:hint="default"/>
                <w:sz w:val="18"/>
                <w:szCs w:val="18"/>
              </w:rPr>
              <w:t>1.04</w:t>
            </w:r>
            <w:r>
              <w:rPr>
                <w:rFonts w:ascii="宋体" w:hAnsi="宋体" w:cs="宋体" w:eastAsia="宋体" w:hint="default"/>
                <w:spacing w:val="-44"/>
                <w:sz w:val="18"/>
                <w:szCs w:val="18"/>
              </w:rPr>
              <w:t> </w:t>
            </w:r>
            <w:r>
              <w:rPr>
                <w:rFonts w:ascii="宋体" w:hAnsi="宋体" w:cs="宋体" w:eastAsia="宋体" w:hint="default"/>
                <w:spacing w:val="-4"/>
                <w:sz w:val="18"/>
                <w:szCs w:val="18"/>
              </w:rPr>
              <w:t>亿元，增幅</w:t>
            </w:r>
            <w:r>
              <w:rPr>
                <w:rFonts w:ascii="宋体" w:hAnsi="宋体" w:cs="宋体" w:eastAsia="宋体" w:hint="default"/>
                <w:spacing w:val="-46"/>
                <w:sz w:val="18"/>
                <w:szCs w:val="18"/>
              </w:rPr>
              <w:t> </w:t>
            </w:r>
            <w:r>
              <w:rPr>
                <w:rFonts w:ascii="宋体" w:hAnsi="宋体" w:cs="宋体" w:eastAsia="宋体" w:hint="default"/>
                <w:sz w:val="18"/>
                <w:szCs w:val="18"/>
              </w:rPr>
              <w:t>9.03%</w:t>
            </w:r>
            <w:r>
              <w:rPr>
                <w:rFonts w:ascii="宋体" w:hAnsi="宋体" w:cs="宋体" w:eastAsia="宋体" w:hint="default"/>
                <w:sz w:val="18"/>
                <w:szCs w:val="18"/>
              </w:rPr>
              <w:t>。</w:t>
            </w:r>
          </w:p>
        </w:tc>
      </w:tr>
      <w:tr>
        <w:trPr>
          <w:trHeight w:val="245"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应收票</w:t>
            </w:r>
            <w:r>
              <w:rPr>
                <w:rFonts w:ascii="宋体" w:hAnsi="宋体" w:cs="宋体" w:eastAsia="宋体" w:hint="default"/>
                <w:spacing w:val="-54"/>
                <w:sz w:val="18"/>
                <w:szCs w:val="18"/>
              </w:rPr>
              <w:t> </w:t>
            </w:r>
            <w:r>
              <w:rPr>
                <w:rFonts w:ascii="宋体" w:hAnsi="宋体" w:cs="宋体" w:eastAsia="宋体"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1,617,030,048.35</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12.17%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1,280,220,854.76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10.42%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26.31%</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 w:right="0"/>
              <w:jc w:val="center"/>
              <w:rPr>
                <w:rFonts w:ascii="宋体" w:hAnsi="宋体" w:cs="宋体" w:eastAsia="宋体" w:hint="default"/>
                <w:sz w:val="18"/>
                <w:szCs w:val="18"/>
              </w:rPr>
            </w:pPr>
            <w:r>
              <w:rPr>
                <w:rFonts w:ascii="宋体" w:hAnsi="宋体" w:cs="宋体" w:eastAsia="宋体" w:hint="default"/>
                <w:sz w:val="18"/>
                <w:szCs w:val="18"/>
              </w:rPr>
              <w:t>主要因教育信息化及装备业务、</w:t>
            </w:r>
          </w:p>
        </w:tc>
      </w:tr>
    </w:tbl>
    <w:p>
      <w:pPr>
        <w:spacing w:after="0" w:line="205" w:lineRule="exact"/>
        <w:jc w:val="center"/>
        <w:rPr>
          <w:rFonts w:ascii="宋体" w:hAnsi="宋体" w:cs="宋体" w:eastAsia="宋体" w:hint="default"/>
          <w:sz w:val="18"/>
          <w:szCs w:val="18"/>
        </w:rPr>
        <w:sectPr>
          <w:type w:val="continuous"/>
          <w:pgSz w:w="11910" w:h="16840"/>
          <w:pgMar w:top="1060" w:bottom="1380" w:left="76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828"/>
        <w:gridCol w:w="1817"/>
        <w:gridCol w:w="817"/>
        <w:gridCol w:w="1817"/>
        <w:gridCol w:w="816"/>
        <w:gridCol w:w="1013"/>
        <w:gridCol w:w="2677"/>
      </w:tblGrid>
      <w:tr>
        <w:trPr>
          <w:trHeight w:val="71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据及应</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817"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一般图书出版业务销售规模扩</w:t>
            </w:r>
          </w:p>
          <w:p>
            <w:pPr>
              <w:pStyle w:val="TableParagraph"/>
              <w:spacing w:line="232" w:lineRule="exact" w:before="23"/>
              <w:ind w:left="103" w:right="104"/>
              <w:jc w:val="left"/>
              <w:rPr>
                <w:rFonts w:ascii="宋体" w:hAnsi="宋体" w:cs="宋体" w:eastAsia="宋体" w:hint="default"/>
                <w:sz w:val="18"/>
                <w:szCs w:val="18"/>
              </w:rPr>
            </w:pPr>
            <w:r>
              <w:rPr>
                <w:rFonts w:ascii="宋体" w:hAnsi="宋体" w:cs="宋体" w:eastAsia="宋体" w:hint="default"/>
                <w:spacing w:val="8"/>
                <w:sz w:val="18"/>
                <w:szCs w:val="18"/>
              </w:rPr>
              <w:t>大带来应收款项余额较年初有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所增加。</w:t>
            </w:r>
          </w:p>
        </w:tc>
      </w:tr>
      <w:tr>
        <w:trPr>
          <w:trHeight w:val="943"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4"/>
                <w:sz w:val="18"/>
                <w:szCs w:val="18"/>
              </w:rPr>
              <w:t>一年内</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7" w:lineRule="auto"/>
              <w:ind w:left="103" w:right="65"/>
              <w:jc w:val="both"/>
              <w:rPr>
                <w:rFonts w:ascii="宋体" w:hAnsi="宋体" w:cs="宋体" w:eastAsia="宋体" w:hint="default"/>
                <w:sz w:val="18"/>
                <w:szCs w:val="18"/>
              </w:rPr>
            </w:pPr>
            <w:r>
              <w:rPr>
                <w:rFonts w:ascii="宋体" w:hAnsi="宋体" w:cs="宋体" w:eastAsia="宋体" w:hint="default"/>
                <w:spacing w:val="24"/>
                <w:sz w:val="18"/>
                <w:szCs w:val="18"/>
              </w:rPr>
              <w:t>到期的</w:t>
            </w:r>
            <w:r>
              <w:rPr>
                <w:rFonts w:ascii="宋体" w:hAnsi="宋体" w:cs="宋体" w:eastAsia="宋体" w:hint="default"/>
                <w:spacing w:val="-54"/>
                <w:sz w:val="18"/>
                <w:szCs w:val="18"/>
              </w:rPr>
              <w:t> </w:t>
            </w:r>
            <w:r>
              <w:rPr>
                <w:rFonts w:ascii="宋体" w:hAnsi="宋体" w:cs="宋体" w:eastAsia="宋体" w:hint="default"/>
                <w:spacing w:val="24"/>
                <w:sz w:val="18"/>
                <w:szCs w:val="18"/>
              </w:rPr>
              <w:t>非流动</w:t>
            </w:r>
            <w:r>
              <w:rPr>
                <w:rFonts w:ascii="宋体" w:hAnsi="宋体" w:cs="宋体" w:eastAsia="宋体" w:hint="default"/>
                <w:spacing w:val="-54"/>
                <w:sz w:val="18"/>
                <w:szCs w:val="18"/>
              </w:rPr>
              <w:t> </w:t>
            </w:r>
            <w:r>
              <w:rPr>
                <w:rFonts w:ascii="宋体" w:hAnsi="宋体" w:cs="宋体" w:eastAsia="宋体" w:hint="default"/>
                <w:sz w:val="18"/>
                <w:szCs w:val="18"/>
              </w:rPr>
              <w:t>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280,000,000.00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期初余额 </w:t>
            </w:r>
            <w:r>
              <w:rPr>
                <w:rFonts w:ascii="宋体" w:hAnsi="宋体" w:cs="宋体" w:eastAsia="宋体" w:hint="default"/>
                <w:sz w:val="18"/>
                <w:szCs w:val="18"/>
              </w:rPr>
              <w:t>2.8</w:t>
            </w:r>
            <w:r>
              <w:rPr>
                <w:rFonts w:ascii="宋体" w:hAnsi="宋体" w:cs="宋体" w:eastAsia="宋体" w:hint="default"/>
                <w:spacing w:val="22"/>
                <w:sz w:val="18"/>
                <w:szCs w:val="18"/>
              </w:rPr>
              <w:t> </w:t>
            </w:r>
            <w:r>
              <w:rPr>
                <w:rFonts w:ascii="宋体" w:hAnsi="宋体" w:cs="宋体" w:eastAsia="宋体" w:hint="default"/>
                <w:sz w:val="18"/>
                <w:szCs w:val="18"/>
              </w:rPr>
              <w:t>亿元的两年期银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行存款已到期收回。</w:t>
            </w:r>
          </w:p>
        </w:tc>
      </w:tr>
      <w:tr>
        <w:trPr>
          <w:trHeight w:val="1645"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其他流</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70,874,065.89</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0.53%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1,184,329,531.05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9.64%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-94.02%</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0"/>
                <w:sz w:val="18"/>
                <w:szCs w:val="18"/>
              </w:rPr>
              <w:t>主要因期初余额中包含</w:t>
            </w:r>
            <w:r>
              <w:rPr>
                <w:rFonts w:ascii="宋体" w:hAnsi="宋体" w:cs="宋体" w:eastAsia="宋体" w:hint="default"/>
                <w:spacing w:val="16"/>
                <w:sz w:val="18"/>
                <w:szCs w:val="18"/>
              </w:rPr>
              <w:t> </w:t>
            </w:r>
            <w:r>
              <w:rPr>
                <w:rFonts w:ascii="宋体" w:hAnsi="宋体" w:cs="宋体" w:eastAsia="宋体" w:hint="default"/>
                <w:sz w:val="18"/>
                <w:szCs w:val="18"/>
              </w:rPr>
              <w:t>11.58</w:t>
            </w: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pacing w:val="-5"/>
                <w:sz w:val="18"/>
                <w:szCs w:val="18"/>
              </w:rPr>
              <w:t>亿元的银行理财产品，期末将其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分类至“交易性金融资产”进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行列报。剔除该因素后，该项目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余额的增长主要因按照新收入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w:t>
            </w:r>
            <w:r>
              <w:rPr>
                <w:rFonts w:ascii="宋体" w:hAnsi="宋体" w:cs="宋体" w:eastAsia="宋体" w:hint="default"/>
                <w:spacing w:val="-64"/>
                <w:sz w:val="18"/>
                <w:szCs w:val="18"/>
              </w:rPr>
              <w:t> </w:t>
            </w:r>
            <w:r>
              <w:rPr>
                <w:rFonts w:ascii="宋体" w:hAnsi="宋体" w:cs="宋体" w:eastAsia="宋体" w:hint="default"/>
                <w:sz w:val="18"/>
                <w:szCs w:val="18"/>
              </w:rPr>
              <w:t>则</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z w:val="18"/>
                <w:szCs w:val="18"/>
              </w:rPr>
              <w:t>要</w:t>
            </w:r>
            <w:r>
              <w:rPr>
                <w:rFonts w:ascii="宋体" w:hAnsi="宋体" w:cs="宋体" w:eastAsia="宋体" w:hint="default"/>
                <w:spacing w:val="-64"/>
                <w:sz w:val="18"/>
                <w:szCs w:val="18"/>
              </w:rPr>
              <w:t> </w:t>
            </w:r>
            <w:r>
              <w:rPr>
                <w:rFonts w:ascii="宋体" w:hAnsi="宋体" w:cs="宋体" w:eastAsia="宋体" w:hint="default"/>
                <w:sz w:val="18"/>
                <w:szCs w:val="18"/>
              </w:rPr>
              <w:t>求</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4"/>
                <w:sz w:val="18"/>
                <w:szCs w:val="18"/>
              </w:rPr>
              <w:t> </w:t>
            </w:r>
            <w:r>
              <w:rPr>
                <w:rFonts w:ascii="宋体" w:hAnsi="宋体" w:cs="宋体" w:eastAsia="宋体" w:hint="default"/>
                <w:sz w:val="18"/>
                <w:szCs w:val="18"/>
              </w:rPr>
              <w:t>末</w:t>
            </w:r>
            <w:r>
              <w:rPr>
                <w:rFonts w:ascii="宋体" w:hAnsi="宋体" w:cs="宋体" w:eastAsia="宋体" w:hint="default"/>
                <w:spacing w:val="-62"/>
                <w:sz w:val="18"/>
                <w:szCs w:val="18"/>
              </w:rPr>
              <w:t> </w:t>
            </w:r>
            <w:r>
              <w:rPr>
                <w:rFonts w:ascii="宋体" w:hAnsi="宋体" w:cs="宋体" w:eastAsia="宋体" w:hint="default"/>
                <w:sz w:val="18"/>
                <w:szCs w:val="18"/>
              </w:rPr>
              <w:t>余</w:t>
            </w:r>
            <w:r>
              <w:rPr>
                <w:rFonts w:ascii="宋体" w:hAnsi="宋体" w:cs="宋体" w:eastAsia="宋体" w:hint="default"/>
                <w:spacing w:val="-64"/>
                <w:sz w:val="18"/>
                <w:szCs w:val="18"/>
              </w:rPr>
              <w:t> </w:t>
            </w:r>
            <w:r>
              <w:rPr>
                <w:rFonts w:ascii="宋体" w:hAnsi="宋体" w:cs="宋体" w:eastAsia="宋体" w:hint="default"/>
                <w:sz w:val="18"/>
                <w:szCs w:val="18"/>
              </w:rPr>
              <w:t>额</w:t>
            </w:r>
            <w:r>
              <w:rPr>
                <w:rFonts w:ascii="宋体" w:hAnsi="宋体" w:cs="宋体" w:eastAsia="宋体" w:hint="default"/>
                <w:spacing w:val="-64"/>
                <w:sz w:val="18"/>
                <w:szCs w:val="18"/>
              </w:rPr>
              <w:t> </w:t>
            </w:r>
            <w:r>
              <w:rPr>
                <w:rFonts w:ascii="宋体" w:hAnsi="宋体" w:cs="宋体" w:eastAsia="宋体" w:hint="default"/>
                <w:sz w:val="18"/>
                <w:szCs w:val="18"/>
              </w:rPr>
              <w:t>包</w:t>
            </w:r>
            <w:r>
              <w:rPr>
                <w:rFonts w:ascii="宋体" w:hAnsi="宋体" w:cs="宋体" w:eastAsia="宋体" w:hint="default"/>
                <w:spacing w:val="-62"/>
                <w:sz w:val="18"/>
                <w:szCs w:val="18"/>
              </w:rPr>
              <w:t> </w:t>
            </w:r>
            <w:r>
              <w:rPr>
                <w:rFonts w:ascii="宋体" w:hAnsi="宋体" w:cs="宋体" w:eastAsia="宋体" w:hint="default"/>
                <w:sz w:val="18"/>
                <w:szCs w:val="18"/>
              </w:rPr>
              <w:t>含</w:t>
            </w:r>
            <w:r>
              <w:rPr>
                <w:rFonts w:ascii="宋体" w:hAnsi="宋体" w:cs="宋体" w:eastAsia="宋体" w:hint="default"/>
                <w:sz w:val="18"/>
                <w:szCs w:val="18"/>
              </w:rPr>
              <w:t> </w:t>
            </w:r>
            <w:r>
              <w:rPr>
                <w:rFonts w:ascii="宋体" w:hAnsi="宋体" w:cs="宋体" w:eastAsia="宋体" w:hint="default"/>
                <w:sz w:val="18"/>
                <w:szCs w:val="18"/>
              </w:rPr>
              <w:t>3,770</w:t>
            </w:r>
            <w:r>
              <w:rPr>
                <w:rFonts w:ascii="宋体" w:hAnsi="宋体" w:cs="宋体" w:eastAsia="宋体" w:hint="default"/>
                <w:spacing w:val="-46"/>
                <w:sz w:val="18"/>
                <w:szCs w:val="18"/>
              </w:rPr>
              <w:t> </w:t>
            </w:r>
            <w:r>
              <w:rPr>
                <w:rFonts w:ascii="宋体" w:hAnsi="宋体" w:cs="宋体" w:eastAsia="宋体" w:hint="default"/>
                <w:sz w:val="18"/>
                <w:szCs w:val="18"/>
              </w:rPr>
              <w:t>万元的应收退货成本。</w:t>
            </w:r>
          </w:p>
        </w:tc>
      </w:tr>
      <w:tr>
        <w:trPr>
          <w:trHeight w:val="1644"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可供出</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03" w:right="65"/>
              <w:jc w:val="left"/>
              <w:rPr>
                <w:rFonts w:ascii="宋体" w:hAnsi="宋体" w:cs="宋体" w:eastAsia="宋体" w:hint="default"/>
                <w:sz w:val="18"/>
                <w:szCs w:val="18"/>
              </w:rPr>
            </w:pPr>
            <w:r>
              <w:rPr>
                <w:rFonts w:ascii="宋体" w:hAnsi="宋体" w:cs="宋体" w:eastAsia="宋体" w:hint="default"/>
                <w:spacing w:val="24"/>
                <w:sz w:val="18"/>
                <w:szCs w:val="18"/>
              </w:rPr>
              <w:t>售金融</w:t>
            </w:r>
            <w:r>
              <w:rPr>
                <w:rFonts w:ascii="宋体" w:hAnsi="宋体" w:cs="宋体" w:eastAsia="宋体" w:hint="default"/>
                <w:spacing w:val="-54"/>
                <w:sz w:val="18"/>
                <w:szCs w:val="18"/>
              </w:rPr>
              <w:t> </w:t>
            </w:r>
            <w:r>
              <w:rPr>
                <w:rFonts w:ascii="宋体" w:hAnsi="宋体" w:cs="宋体" w:eastAsia="宋体" w:hint="default"/>
                <w:sz w:val="18"/>
                <w:szCs w:val="18"/>
              </w:rPr>
              <w:t>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2,116,088,000.42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17.22%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根据新金融工具准则的分类要</w:t>
            </w:r>
          </w:p>
          <w:p>
            <w:pPr>
              <w:pStyle w:val="TableParagraph"/>
              <w:spacing w:line="237" w:lineRule="auto"/>
              <w:ind w:left="103" w:right="91"/>
              <w:jc w:val="both"/>
              <w:rPr>
                <w:rFonts w:ascii="宋体" w:hAnsi="宋体" w:cs="宋体" w:eastAsia="宋体" w:hint="default"/>
                <w:sz w:val="18"/>
                <w:szCs w:val="18"/>
              </w:rPr>
            </w:pPr>
            <w:r>
              <w:rPr>
                <w:rFonts w:ascii="宋体" w:hAnsi="宋体" w:cs="宋体" w:eastAsia="宋体" w:hint="default"/>
                <w:spacing w:val="-5"/>
                <w:sz w:val="18"/>
                <w:szCs w:val="18"/>
              </w:rPr>
              <w:t>求，公司基于其合同现金流量特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征及企业管理该等资产的业务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模式等，将原划分为“可供出售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金融资产”的金融资产，重分类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到“其他权益工具”和“其他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非流动金融资产”。</w:t>
            </w:r>
          </w:p>
        </w:tc>
      </w:tr>
      <w:tr>
        <w:trPr>
          <w:trHeight w:val="71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长期应</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收款</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267,742,224.79</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194,801,883.56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37.44%</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主要因公司为拓展教育装备及</w:t>
            </w:r>
          </w:p>
          <w:p>
            <w:pPr>
              <w:pStyle w:val="TableParagraph"/>
              <w:spacing w:line="240" w:lineRule="auto"/>
              <w:ind w:left="103" w:right="104"/>
              <w:jc w:val="left"/>
              <w:rPr>
                <w:rFonts w:ascii="宋体" w:hAnsi="宋体" w:cs="宋体" w:eastAsia="宋体" w:hint="default"/>
                <w:sz w:val="18"/>
                <w:szCs w:val="18"/>
              </w:rPr>
            </w:pPr>
            <w:r>
              <w:rPr>
                <w:rFonts w:ascii="宋体" w:hAnsi="宋体" w:cs="宋体" w:eastAsia="宋体" w:hint="default"/>
                <w:spacing w:val="-5"/>
                <w:sz w:val="18"/>
                <w:szCs w:val="18"/>
              </w:rPr>
              <w:t>信息化业务，采用分期收款方式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带来的货款增加所致</w:t>
            </w:r>
          </w:p>
        </w:tc>
      </w:tr>
      <w:tr>
        <w:trPr>
          <w:trHeight w:val="2345"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其他权</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03" w:right="65"/>
              <w:jc w:val="left"/>
              <w:rPr>
                <w:rFonts w:ascii="宋体" w:hAnsi="宋体" w:cs="宋体" w:eastAsia="宋体" w:hint="default"/>
                <w:sz w:val="18"/>
                <w:szCs w:val="18"/>
              </w:rPr>
            </w:pPr>
            <w:r>
              <w:rPr>
                <w:rFonts w:ascii="宋体" w:hAnsi="宋体" w:cs="宋体" w:eastAsia="宋体" w:hint="default"/>
                <w:spacing w:val="24"/>
                <w:sz w:val="18"/>
                <w:szCs w:val="18"/>
              </w:rPr>
              <w:t>益工具</w:t>
            </w:r>
            <w:r>
              <w:rPr>
                <w:rFonts w:ascii="宋体" w:hAnsi="宋体" w:cs="宋体" w:eastAsia="宋体" w:hint="default"/>
                <w:spacing w:val="-54"/>
                <w:sz w:val="18"/>
                <w:szCs w:val="18"/>
              </w:rPr>
              <w:t> </w:t>
            </w:r>
            <w:r>
              <w:rPr>
                <w:rFonts w:ascii="宋体" w:hAnsi="宋体" w:cs="宋体" w:eastAsia="宋体" w:hint="default"/>
                <w:sz w:val="18"/>
                <w:szCs w:val="18"/>
              </w:rPr>
              <w:t>投资</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1,452,054,632.09</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10.93%</w:t>
            </w:r>
          </w:p>
        </w:tc>
        <w:tc>
          <w:tcPr>
            <w:tcW w:w="1817"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系指定为以公允价值计量且其</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8"/>
                <w:sz w:val="18"/>
                <w:szCs w:val="18"/>
              </w:rPr>
              <w:t>变动计入其他综合收益的金融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资产，主要包括对皖新传媒、成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都银行等项目的投资。其期末公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允价值 </w:t>
            </w:r>
            <w:r>
              <w:rPr>
                <w:rFonts w:ascii="宋体" w:hAnsi="宋体" w:cs="宋体" w:eastAsia="宋体" w:hint="default"/>
                <w:sz w:val="18"/>
                <w:szCs w:val="18"/>
              </w:rPr>
              <w:t>14.52</w:t>
            </w:r>
            <w:r>
              <w:rPr>
                <w:rFonts w:ascii="宋体" w:hAnsi="宋体" w:cs="宋体" w:eastAsia="宋体" w:hint="default"/>
                <w:spacing w:val="22"/>
                <w:sz w:val="18"/>
                <w:szCs w:val="18"/>
              </w:rPr>
              <w:t> </w:t>
            </w:r>
            <w:r>
              <w:rPr>
                <w:rFonts w:ascii="宋体" w:hAnsi="宋体" w:cs="宋体" w:eastAsia="宋体" w:hint="default"/>
                <w:sz w:val="18"/>
                <w:szCs w:val="18"/>
              </w:rPr>
              <w:t>亿元较上年末价</w:t>
            </w:r>
            <w:r>
              <w:rPr>
                <w:rFonts w:ascii="宋体" w:hAnsi="宋体" w:cs="宋体" w:eastAsia="宋体" w:hint="default"/>
                <w:spacing w:val="2"/>
                <w:sz w:val="18"/>
                <w:szCs w:val="18"/>
              </w:rPr>
              <w:t> </w:t>
            </w:r>
            <w:r>
              <w:rPr>
                <w:rFonts w:ascii="宋体" w:hAnsi="宋体" w:cs="宋体" w:eastAsia="宋体" w:hint="default"/>
                <w:sz w:val="18"/>
                <w:szCs w:val="18"/>
              </w:rPr>
              <w:t>值</w:t>
            </w:r>
            <w:r>
              <w:rPr>
                <w:rFonts w:ascii="宋体" w:hAnsi="宋体" w:cs="宋体" w:eastAsia="宋体" w:hint="default"/>
                <w:spacing w:val="-45"/>
                <w:sz w:val="18"/>
                <w:szCs w:val="18"/>
              </w:rPr>
              <w:t> </w:t>
            </w:r>
            <w:r>
              <w:rPr>
                <w:rFonts w:ascii="宋体" w:hAnsi="宋体" w:cs="宋体" w:eastAsia="宋体" w:hint="default"/>
                <w:sz w:val="18"/>
                <w:szCs w:val="18"/>
              </w:rPr>
              <w:t>15.61</w:t>
            </w:r>
            <w:r>
              <w:rPr>
                <w:rFonts w:ascii="宋体" w:hAnsi="宋体" w:cs="宋体" w:eastAsia="宋体" w:hint="default"/>
                <w:spacing w:val="-43"/>
                <w:sz w:val="18"/>
                <w:szCs w:val="18"/>
              </w:rPr>
              <w:t> </w:t>
            </w:r>
            <w:r>
              <w:rPr>
                <w:rFonts w:ascii="宋体" w:hAnsi="宋体" w:cs="宋体" w:eastAsia="宋体" w:hint="default"/>
                <w:sz w:val="18"/>
                <w:szCs w:val="18"/>
              </w:rPr>
              <w:t>亿元减少</w:t>
            </w:r>
            <w:r>
              <w:rPr>
                <w:rFonts w:ascii="宋体" w:hAnsi="宋体" w:cs="宋体" w:eastAsia="宋体" w:hint="default"/>
                <w:spacing w:val="-47"/>
                <w:sz w:val="18"/>
                <w:szCs w:val="18"/>
              </w:rPr>
              <w:t> </w:t>
            </w:r>
            <w:r>
              <w:rPr>
                <w:rFonts w:ascii="宋体" w:hAnsi="宋体" w:cs="宋体" w:eastAsia="宋体" w:hint="default"/>
                <w:spacing w:val="-3"/>
                <w:sz w:val="18"/>
                <w:szCs w:val="18"/>
              </w:rPr>
              <w:t>6.97%</w:t>
            </w:r>
            <w:r>
              <w:rPr>
                <w:rFonts w:ascii="宋体" w:hAnsi="宋体" w:cs="宋体" w:eastAsia="宋体" w:hint="default"/>
                <w:spacing w:val="-3"/>
                <w:sz w:val="18"/>
                <w:szCs w:val="18"/>
              </w:rPr>
              <w:t>，是由</w:t>
            </w:r>
            <w:r>
              <w:rPr>
                <w:rFonts w:ascii="宋体" w:hAnsi="宋体" w:cs="宋体" w:eastAsia="宋体" w:hint="default"/>
                <w:sz w:val="18"/>
                <w:szCs w:val="18"/>
              </w:rPr>
              <w:t> </w:t>
            </w:r>
            <w:r>
              <w:rPr>
                <w:rFonts w:ascii="宋体" w:hAnsi="宋体" w:cs="宋体" w:eastAsia="宋体" w:hint="default"/>
                <w:spacing w:val="-5"/>
                <w:sz w:val="18"/>
                <w:szCs w:val="18"/>
              </w:rPr>
              <w:t>于根据新金融工具准则，本公司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将原按成本计量的对成都银行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的投资按公允价值重新计量和</w:t>
            </w: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皖新传媒股价下降的综合影响。</w:t>
            </w:r>
          </w:p>
        </w:tc>
      </w:tr>
      <w:tr>
        <w:trPr>
          <w:trHeight w:val="1877"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其他非</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2" w:lineRule="exact" w:before="23"/>
              <w:ind w:left="103" w:right="65"/>
              <w:jc w:val="left"/>
              <w:rPr>
                <w:rFonts w:ascii="宋体" w:hAnsi="宋体" w:cs="宋体" w:eastAsia="宋体" w:hint="default"/>
                <w:sz w:val="18"/>
                <w:szCs w:val="18"/>
              </w:rPr>
            </w:pPr>
            <w:r>
              <w:rPr>
                <w:rFonts w:ascii="宋体" w:hAnsi="宋体" w:cs="宋体" w:eastAsia="宋体" w:hint="default"/>
                <w:spacing w:val="24"/>
                <w:sz w:val="18"/>
                <w:szCs w:val="18"/>
              </w:rPr>
              <w:t>流动金</w:t>
            </w:r>
            <w:r>
              <w:rPr>
                <w:rFonts w:ascii="宋体" w:hAnsi="宋体" w:cs="宋体" w:eastAsia="宋体" w:hint="default"/>
                <w:spacing w:val="-54"/>
                <w:sz w:val="18"/>
                <w:szCs w:val="18"/>
              </w:rPr>
              <w:t> </w:t>
            </w:r>
            <w:r>
              <w:rPr>
                <w:rFonts w:ascii="宋体" w:hAnsi="宋体" w:cs="宋体" w:eastAsia="宋体" w:hint="default"/>
                <w:sz w:val="18"/>
                <w:szCs w:val="18"/>
              </w:rPr>
              <w:t>融资产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507,656,767.91</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3.82%</w:t>
            </w:r>
          </w:p>
        </w:tc>
        <w:tc>
          <w:tcPr>
            <w:tcW w:w="1817"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系分类为以公允价值计量且其</w:t>
            </w:r>
          </w:p>
          <w:p>
            <w:pPr>
              <w:pStyle w:val="TableParagraph"/>
              <w:spacing w:line="237" w:lineRule="auto"/>
              <w:ind w:left="103" w:right="41"/>
              <w:jc w:val="left"/>
              <w:rPr>
                <w:rFonts w:ascii="宋体" w:hAnsi="宋体" w:cs="宋体" w:eastAsia="宋体" w:hint="default"/>
                <w:sz w:val="18"/>
                <w:szCs w:val="18"/>
              </w:rPr>
            </w:pPr>
            <w:r>
              <w:rPr>
                <w:rFonts w:ascii="宋体" w:hAnsi="宋体" w:cs="宋体" w:eastAsia="宋体" w:hint="default"/>
                <w:sz w:val="18"/>
                <w:szCs w:val="18"/>
              </w:rPr>
              <w:t>变动计入当期损益的金融资产， </w:t>
            </w:r>
            <w:r>
              <w:rPr>
                <w:rFonts w:ascii="宋体" w:hAnsi="宋体" w:cs="宋体" w:eastAsia="宋体" w:hint="default"/>
                <w:spacing w:val="-5"/>
                <w:sz w:val="18"/>
                <w:szCs w:val="18"/>
              </w:rPr>
              <w:t>主要包括对中信并购基金、文轩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恒信基金、青岛金石和泰州信恒</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基金的投资，期末公允价值</w:t>
            </w:r>
            <w:r>
              <w:rPr>
                <w:rFonts w:ascii="宋体" w:hAnsi="宋体" w:cs="宋体" w:eastAsia="宋体" w:hint="default"/>
                <w:spacing w:val="-57"/>
                <w:sz w:val="18"/>
                <w:szCs w:val="18"/>
              </w:rPr>
              <w:t> </w:t>
            </w:r>
            <w:r>
              <w:rPr>
                <w:rFonts w:ascii="宋体" w:hAnsi="宋体" w:cs="宋体" w:eastAsia="宋体" w:hint="default"/>
                <w:sz w:val="18"/>
                <w:szCs w:val="18"/>
              </w:rPr>
              <w:t>5.08</w:t>
            </w: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z w:val="18"/>
                <w:szCs w:val="18"/>
              </w:rPr>
              <w:t>亿元，较上年末 </w:t>
            </w:r>
            <w:r>
              <w:rPr>
                <w:rFonts w:ascii="宋体" w:hAnsi="宋体" w:cs="宋体" w:eastAsia="宋体" w:hint="default"/>
                <w:sz w:val="18"/>
                <w:szCs w:val="18"/>
              </w:rPr>
              <w:t>5.55</w:t>
            </w:r>
            <w:r>
              <w:rPr>
                <w:rFonts w:ascii="宋体" w:hAnsi="宋体" w:cs="宋体" w:eastAsia="宋体" w:hint="default"/>
                <w:spacing w:val="-65"/>
                <w:sz w:val="18"/>
                <w:szCs w:val="18"/>
              </w:rPr>
              <w:t> </w:t>
            </w:r>
            <w:r>
              <w:rPr>
                <w:rFonts w:ascii="宋体" w:hAnsi="宋体" w:cs="宋体" w:eastAsia="宋体" w:hint="default"/>
                <w:sz w:val="18"/>
                <w:szCs w:val="18"/>
              </w:rPr>
              <w:t>亿元减少 </w:t>
            </w:r>
            <w:r>
              <w:rPr>
                <w:rFonts w:ascii="宋体" w:hAnsi="宋体" w:cs="宋体" w:eastAsia="宋体" w:hint="default"/>
                <w:sz w:val="18"/>
                <w:szCs w:val="18"/>
              </w:rPr>
              <w:t>8.56%</w:t>
            </w:r>
            <w:r>
              <w:rPr>
                <w:rFonts w:ascii="宋体" w:hAnsi="宋体" w:cs="宋体" w:eastAsia="宋体" w:hint="default"/>
                <w:sz w:val="18"/>
                <w:szCs w:val="18"/>
              </w:rPr>
              <w:t>，其价值变动计入当期公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允价值变动损失。</w:t>
            </w:r>
          </w:p>
        </w:tc>
      </w:tr>
      <w:tr>
        <w:trPr>
          <w:trHeight w:val="943"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预收款</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310,646,140.33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根据新收入准则，将预收款项调</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pacing w:val="-5"/>
                <w:sz w:val="18"/>
                <w:szCs w:val="18"/>
              </w:rPr>
              <w:t>至合同负债项目下反映。期末预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收商品款 </w:t>
            </w:r>
            <w:r>
              <w:rPr>
                <w:rFonts w:ascii="宋体" w:hAnsi="宋体" w:cs="宋体" w:eastAsia="宋体" w:hint="default"/>
                <w:sz w:val="18"/>
                <w:szCs w:val="18"/>
              </w:rPr>
              <w:t>3.26</w:t>
            </w:r>
            <w:r>
              <w:rPr>
                <w:rFonts w:ascii="宋体" w:hAnsi="宋体" w:cs="宋体" w:eastAsia="宋体" w:hint="default"/>
                <w:spacing w:val="-64"/>
                <w:sz w:val="18"/>
                <w:szCs w:val="18"/>
              </w:rPr>
              <w:t> </w:t>
            </w:r>
            <w:r>
              <w:rPr>
                <w:rFonts w:ascii="宋体" w:hAnsi="宋体" w:cs="宋体" w:eastAsia="宋体" w:hint="default"/>
                <w:sz w:val="18"/>
                <w:szCs w:val="18"/>
              </w:rPr>
              <w:t>亿元，较上年末</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3.11</w:t>
            </w:r>
            <w:r>
              <w:rPr>
                <w:rFonts w:ascii="宋体" w:hAnsi="宋体" w:cs="宋体" w:eastAsia="宋体" w:hint="default"/>
                <w:spacing w:val="-43"/>
                <w:sz w:val="18"/>
                <w:szCs w:val="18"/>
              </w:rPr>
              <w:t> </w:t>
            </w:r>
            <w:r>
              <w:rPr>
                <w:rFonts w:ascii="宋体" w:hAnsi="宋体" w:cs="宋体" w:eastAsia="宋体" w:hint="default"/>
                <w:sz w:val="18"/>
                <w:szCs w:val="18"/>
              </w:rPr>
              <w:t>亿元增长</w:t>
            </w:r>
            <w:r>
              <w:rPr>
                <w:rFonts w:ascii="宋体" w:hAnsi="宋体" w:cs="宋体" w:eastAsia="宋体" w:hint="default"/>
                <w:spacing w:val="-47"/>
                <w:sz w:val="18"/>
                <w:szCs w:val="18"/>
              </w:rPr>
              <w:t> </w:t>
            </w:r>
            <w:r>
              <w:rPr>
                <w:rFonts w:ascii="宋体" w:hAnsi="宋体" w:cs="宋体" w:eastAsia="宋体" w:hint="default"/>
                <w:sz w:val="18"/>
                <w:szCs w:val="18"/>
              </w:rPr>
              <w:t>4.91%</w:t>
            </w:r>
            <w:r>
              <w:rPr>
                <w:rFonts w:ascii="宋体" w:hAnsi="宋体" w:cs="宋体" w:eastAsia="宋体" w:hint="default"/>
                <w:sz w:val="18"/>
                <w:szCs w:val="18"/>
              </w:rPr>
              <w:t>。</w:t>
            </w:r>
          </w:p>
        </w:tc>
      </w:tr>
      <w:tr>
        <w:trPr>
          <w:trHeight w:val="1178"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合同负</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338,681,880.89</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期末余额包括预收商品款</w:t>
            </w:r>
            <w:r>
              <w:rPr>
                <w:rFonts w:ascii="宋体" w:hAnsi="宋体" w:cs="宋体" w:eastAsia="宋体" w:hint="default"/>
                <w:spacing w:val="23"/>
                <w:sz w:val="18"/>
                <w:szCs w:val="18"/>
              </w:rPr>
              <w:t> </w:t>
            </w:r>
            <w:r>
              <w:rPr>
                <w:rFonts w:ascii="宋体" w:hAnsi="宋体" w:cs="宋体" w:eastAsia="宋体" w:hint="default"/>
                <w:sz w:val="18"/>
                <w:szCs w:val="18"/>
              </w:rPr>
              <w:t>3.26</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亿元和会员卡积分 </w:t>
            </w:r>
            <w:r>
              <w:rPr>
                <w:rFonts w:ascii="宋体" w:hAnsi="宋体" w:cs="宋体" w:eastAsia="宋体" w:hint="default"/>
                <w:sz w:val="18"/>
                <w:szCs w:val="18"/>
              </w:rPr>
              <w:t>0.13</w:t>
            </w:r>
            <w:r>
              <w:rPr>
                <w:rFonts w:ascii="宋体" w:hAnsi="宋体" w:cs="宋体" w:eastAsia="宋体" w:hint="default"/>
                <w:spacing w:val="-65"/>
                <w:sz w:val="18"/>
                <w:szCs w:val="18"/>
              </w:rPr>
              <w:t> </w:t>
            </w:r>
            <w:r>
              <w:rPr>
                <w:rFonts w:ascii="宋体" w:hAnsi="宋体" w:cs="宋体" w:eastAsia="宋体" w:hint="default"/>
                <w:sz w:val="18"/>
                <w:szCs w:val="18"/>
              </w:rPr>
              <w:t>亿元，</w:t>
            </w: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pacing w:val="10"/>
                <w:sz w:val="18"/>
                <w:szCs w:val="18"/>
              </w:rPr>
              <w:t>分别较期初余额增长</w:t>
            </w:r>
            <w:r>
              <w:rPr>
                <w:rFonts w:ascii="宋体" w:hAnsi="宋体" w:cs="宋体" w:eastAsia="宋体" w:hint="default"/>
                <w:spacing w:val="24"/>
                <w:sz w:val="18"/>
                <w:szCs w:val="18"/>
              </w:rPr>
              <w:t> </w:t>
            </w:r>
            <w:r>
              <w:rPr>
                <w:rFonts w:ascii="宋体" w:hAnsi="宋体" w:cs="宋体" w:eastAsia="宋体" w:hint="default"/>
                <w:sz w:val="18"/>
                <w:szCs w:val="18"/>
              </w:rPr>
              <w:t>4.91%</w:t>
            </w:r>
            <w:r>
              <w:rPr>
                <w:rFonts w:ascii="宋体" w:hAnsi="宋体" w:cs="宋体" w:eastAsia="宋体" w:hint="default"/>
                <w:sz w:val="18"/>
                <w:szCs w:val="18"/>
              </w:rPr>
              <w:t>和 </w:t>
            </w:r>
            <w:r>
              <w:rPr>
                <w:rFonts w:ascii="宋体" w:hAnsi="宋体" w:cs="宋体" w:eastAsia="宋体" w:hint="default"/>
                <w:spacing w:val="-4"/>
                <w:sz w:val="18"/>
                <w:szCs w:val="18"/>
              </w:rPr>
              <w:t>18.38%</w:t>
            </w:r>
            <w:r>
              <w:rPr>
                <w:rFonts w:ascii="宋体" w:hAnsi="宋体" w:cs="宋体" w:eastAsia="宋体" w:hint="default"/>
                <w:spacing w:val="-4"/>
                <w:sz w:val="18"/>
                <w:szCs w:val="18"/>
              </w:rPr>
              <w:t>（上年末会员卡积分反映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在“其他流动负债”中）。</w:t>
            </w:r>
          </w:p>
        </w:tc>
      </w:tr>
      <w:tr>
        <w:trPr>
          <w:trHeight w:val="944"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其他流</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动负债</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147,256,743.30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114,861,486.00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0.93%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28.20%</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主要因按照新收入准则，确认应</w:t>
            </w: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z w:val="18"/>
                <w:szCs w:val="18"/>
              </w:rPr>
              <w:t>付退货款</w:t>
            </w:r>
            <w:r>
              <w:rPr>
                <w:rFonts w:ascii="宋体" w:hAnsi="宋体" w:cs="宋体" w:eastAsia="宋体" w:hint="default"/>
                <w:spacing w:val="-46"/>
                <w:sz w:val="18"/>
                <w:szCs w:val="18"/>
              </w:rPr>
              <w:t> </w:t>
            </w:r>
            <w:r>
              <w:rPr>
                <w:rFonts w:ascii="宋体" w:hAnsi="宋体" w:cs="宋体" w:eastAsia="宋体" w:hint="default"/>
                <w:sz w:val="18"/>
                <w:szCs w:val="18"/>
              </w:rPr>
              <w:t>4,888</w:t>
            </w:r>
            <w:r>
              <w:rPr>
                <w:rFonts w:ascii="宋体" w:hAnsi="宋体" w:cs="宋体" w:eastAsia="宋体" w:hint="default"/>
                <w:spacing w:val="-45"/>
                <w:sz w:val="18"/>
                <w:szCs w:val="18"/>
              </w:rPr>
              <w:t> </w:t>
            </w:r>
            <w:r>
              <w:rPr>
                <w:rFonts w:ascii="宋体" w:hAnsi="宋体" w:cs="宋体" w:eastAsia="宋体" w:hint="default"/>
                <w:spacing w:val="-10"/>
                <w:sz w:val="18"/>
                <w:szCs w:val="18"/>
              </w:rPr>
              <w:t>万元，在“其他</w:t>
            </w:r>
            <w:r>
              <w:rPr>
                <w:rFonts w:ascii="宋体" w:hAnsi="宋体" w:cs="宋体" w:eastAsia="宋体" w:hint="default"/>
                <w:spacing w:val="-3"/>
                <w:sz w:val="18"/>
                <w:szCs w:val="18"/>
              </w:rPr>
              <w:t> </w:t>
            </w:r>
            <w:r>
              <w:rPr>
                <w:rFonts w:ascii="宋体" w:hAnsi="宋体" w:cs="宋体" w:eastAsia="宋体" w:hint="default"/>
                <w:spacing w:val="-5"/>
                <w:sz w:val="18"/>
                <w:szCs w:val="18"/>
              </w:rPr>
              <w:t>流动负债”中反映，导致较期初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变动较大。</w:t>
            </w:r>
          </w:p>
        </w:tc>
      </w:tr>
    </w:tbl>
    <w:p>
      <w:pPr>
        <w:spacing w:after="0" w:line="237" w:lineRule="auto"/>
        <w:jc w:val="both"/>
        <w:rPr>
          <w:rFonts w:ascii="宋体" w:hAnsi="宋体" w:cs="宋体" w:eastAsia="宋体" w:hint="default"/>
          <w:sz w:val="18"/>
          <w:szCs w:val="18"/>
        </w:rPr>
        <w:sectPr>
          <w:footerReference w:type="default" r:id="rId13"/>
          <w:pgSz w:w="11910" w:h="16840"/>
          <w:pgMar w:footer="1195" w:header="880" w:top="1060" w:bottom="1380" w:left="76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Heading2"/>
        <w:tabs>
          <w:tab w:pos="565" w:val="left" w:leader="none"/>
        </w:tabs>
        <w:spacing w:line="240" w:lineRule="auto" w:before="36"/>
        <w:ind w:left="140" w:right="106"/>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spacing w:line="240" w:lineRule="auto" w:before="58"/>
        <w:ind w:left="140" w:right="106"/>
        <w:jc w:val="left"/>
      </w:pPr>
      <w:r>
        <w:rPr/>
        <w:t>□适用 √不适用</w:t>
      </w:r>
    </w:p>
    <w:p>
      <w:pPr>
        <w:spacing w:line="240" w:lineRule="auto" w:before="3"/>
        <w:rPr>
          <w:rFonts w:ascii="宋体" w:hAnsi="宋体" w:cs="宋体" w:eastAsia="宋体" w:hint="default"/>
          <w:sz w:val="25"/>
          <w:szCs w:val="25"/>
        </w:rPr>
      </w:pPr>
    </w:p>
    <w:p>
      <w:pPr>
        <w:pStyle w:val="Heading2"/>
        <w:tabs>
          <w:tab w:pos="565" w:val="left" w:leader="none"/>
        </w:tabs>
        <w:spacing w:line="240" w:lineRule="auto"/>
        <w:ind w:left="140" w:right="106"/>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56"/>
        <w:ind w:left="140" w:right="106"/>
        <w:jc w:val="left"/>
      </w:pPr>
      <w:r>
        <w:rPr/>
        <w:t>□适用 √不适用</w:t>
      </w:r>
    </w:p>
    <w:p>
      <w:pPr>
        <w:spacing w:line="240" w:lineRule="auto" w:before="3"/>
        <w:rPr>
          <w:rFonts w:ascii="宋体" w:hAnsi="宋体" w:cs="宋体" w:eastAsia="宋体" w:hint="default"/>
          <w:sz w:val="25"/>
          <w:szCs w:val="25"/>
        </w:rPr>
      </w:pPr>
    </w:p>
    <w:p>
      <w:pPr>
        <w:pStyle w:val="Heading2"/>
        <w:tabs>
          <w:tab w:pos="980" w:val="left" w:leader="none"/>
        </w:tabs>
        <w:spacing w:line="240" w:lineRule="auto"/>
        <w:ind w:left="140" w:right="106"/>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tabs>
          <w:tab w:pos="1085" w:val="left" w:leader="none"/>
        </w:tabs>
        <w:spacing w:line="272" w:lineRule="exact" w:before="86"/>
        <w:ind w:left="560" w:right="117" w:hanging="420"/>
        <w:jc w:val="left"/>
      </w:pPr>
      <w:r>
        <w:rPr/>
        <w:t>√适用</w:t>
        <w:tab/>
        <w:t>□不适用</w:t>
      </w:r>
      <w:r>
        <w:rPr>
          <w:w w:val="100"/>
        </w:rPr>
        <w:t> </w:t>
      </w:r>
      <w:r>
        <w:rPr>
          <w:spacing w:val="-2"/>
        </w:rPr>
        <w:t>行业经营性信息分析详见本报告第三节中“报告期内公司所从事的主要业务、经营模式及行业</w:t>
      </w:r>
    </w:p>
    <w:p>
      <w:pPr>
        <w:pStyle w:val="BodyText"/>
        <w:spacing w:line="240" w:lineRule="auto" w:before="109"/>
        <w:ind w:left="140" w:right="106"/>
        <w:jc w:val="left"/>
      </w:pPr>
      <w:r>
        <w:rPr/>
        <w:t>情况说明”第四节第三部分中“行业格局和趋势”部分。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2"/>
        <w:tabs>
          <w:tab w:pos="565" w:val="left" w:leader="none"/>
        </w:tabs>
        <w:spacing w:line="290" w:lineRule="auto"/>
        <w:ind w:left="140" w:right="6402"/>
        <w:jc w:val="left"/>
        <w:rPr>
          <w:b w:val="0"/>
          <w:bCs w:val="0"/>
        </w:rPr>
      </w:pPr>
      <w:r>
        <w:rPr>
          <w:spacing w:val="-1"/>
        </w:rPr>
        <w:t>出版传媒行业经营性信息分析</w:t>
      </w:r>
      <w:r>
        <w:rPr>
          <w:spacing w:val="-94"/>
        </w:rPr>
        <w:t> </w:t>
      </w:r>
      <w:r>
        <w:rPr>
          <w:spacing w:val="-94"/>
        </w:rPr>
      </w:r>
      <w:r>
        <w:rPr>
          <w:rFonts w:ascii="宋体" w:hAnsi="宋体" w:cs="宋体" w:eastAsia="宋体" w:hint="default"/>
          <w:w w:val="95"/>
        </w:rPr>
        <w:t>1.</w:t>
        <w:tab/>
      </w:r>
      <w:r>
        <w:rPr/>
        <w:t>主要业务板块概况</w:t>
      </w:r>
      <w:r>
        <w:rPr>
          <w:b w:val="0"/>
          <w:bCs w:val="0"/>
        </w:rPr>
      </w:r>
    </w:p>
    <w:p>
      <w:pPr>
        <w:pStyle w:val="BodyText"/>
        <w:spacing w:line="240" w:lineRule="auto" w:before="12"/>
        <w:ind w:left="560" w:right="106" w:hanging="420"/>
        <w:jc w:val="left"/>
      </w:pPr>
      <w:r>
        <w:rPr/>
        <w:t>√适用</w:t>
      </w:r>
      <w:r>
        <w:rPr>
          <w:spacing w:val="-2"/>
        </w:rPr>
        <w:t> </w:t>
      </w:r>
      <w:r>
        <w:rPr/>
        <w:t>□不适用</w:t>
      </w:r>
      <w:r>
        <w:rPr>
          <w:spacing w:val="-103"/>
        </w:rPr>
        <w:t> </w:t>
      </w:r>
      <w:r>
        <w:rPr>
          <w:spacing w:val="-103"/>
        </w:rPr>
      </w:r>
      <w:r>
        <w:rPr>
          <w:spacing w:val="-2"/>
        </w:rPr>
        <w:t>根据本集团的内部组织结构、管理要求及内部报告制度，本集团的经营业务划分为两个报告分</w:t>
      </w:r>
    </w:p>
    <w:p>
      <w:pPr>
        <w:pStyle w:val="BodyText"/>
        <w:spacing w:line="357" w:lineRule="auto" w:before="133"/>
        <w:ind w:left="140" w:right="106"/>
        <w:jc w:val="left"/>
      </w:pPr>
      <w:r>
        <w:rPr>
          <w:spacing w:val="-2"/>
        </w:rPr>
        <w:t>部，分别为出版分部和发行分部。这些报告分部是以公司业务种类为基础确定的。本集团的管理层</w:t>
      </w:r>
      <w:r>
        <w:rPr>
          <w:spacing w:val="-30"/>
        </w:rPr>
        <w:t> </w:t>
      </w:r>
      <w:r>
        <w:rPr>
          <w:spacing w:val="-30"/>
        </w:rPr>
      </w:r>
      <w:r>
        <w:rPr/>
        <w:t>定期评价这些报告分部的经营成果，以决定向其分配资源及评价其业绩。</w:t>
      </w:r>
      <w:r>
        <w:rPr>
          <w:w w:val="100"/>
        </w:rPr>
        <w:t> </w:t>
      </w:r>
      <w:r>
        <w:rPr/>
        <w:t>本集团各个报告分部提供的主要产品及劳务分别为：</w:t>
      </w:r>
      <w:r>
        <w:rPr>
          <w:w w:val="100"/>
        </w:rPr>
        <w:t> </w:t>
      </w:r>
      <w:r>
        <w:rPr/>
        <w:t>出版：图书、报刊、音像制品及数字产品等出版物的出版，印刷服务及物资供应；</w:t>
      </w:r>
      <w:r>
        <w:rPr>
          <w:w w:val="100"/>
        </w:rPr>
        <w:t> </w:t>
      </w:r>
      <w:r>
        <w:rPr>
          <w:spacing w:val="-7"/>
        </w:rPr>
        <w:t>发行：向学校及学生发行教材及助学类读物，提供中小学教育信息化及教育装备服务；出版物零售、</w:t>
      </w:r>
    </w:p>
    <w:p>
      <w:pPr>
        <w:pStyle w:val="BodyText"/>
        <w:spacing w:line="240" w:lineRule="auto" w:before="30"/>
        <w:ind w:left="848" w:right="106"/>
        <w:jc w:val="left"/>
      </w:pPr>
      <w:r>
        <w:rPr/>
        <w:t>分销及互联网销售业务等。</w:t>
      </w:r>
    </w:p>
    <w:p>
      <w:pPr>
        <w:spacing w:after="0" w:line="240" w:lineRule="auto"/>
        <w:jc w:val="left"/>
        <w:sectPr>
          <w:footerReference w:type="default" r:id="rId14"/>
          <w:pgSz w:w="11910" w:h="16840"/>
          <w:pgMar w:footer="1195" w:header="880" w:top="1060" w:bottom="1380" w:left="1300" w:right="1320"/>
        </w:sectPr>
      </w:pPr>
    </w:p>
    <w:p>
      <w:pPr>
        <w:spacing w:before="17"/>
        <w:ind w:left="6756" w:right="6153"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782" w:right="0" w:firstLine="0"/>
        <w:rPr>
          <w:rFonts w:ascii="宋体" w:hAnsi="宋体" w:cs="宋体" w:eastAsia="宋体" w:hint="default"/>
          <w:sz w:val="2"/>
          <w:szCs w:val="2"/>
        </w:rPr>
      </w:pPr>
      <w:r>
        <w:rPr>
          <w:rFonts w:ascii="宋体" w:hAnsi="宋体" w:cs="宋体" w:eastAsia="宋体" w:hint="default"/>
          <w:sz w:val="2"/>
          <w:szCs w:val="2"/>
        </w:rPr>
        <w:pict>
          <v:group style="width:664.9pt;height:.75pt;mso-position-horizontal-relative:char;mso-position-vertical-relative:line" coordorigin="0,0" coordsize="13298,15">
            <v:group style="position:absolute;left:7;top:7;width:13284;height:2" coordorigin="7,7" coordsize="13284,2">
              <v:shape style="position:absolute;left:7;top:7;width:13284;height:2" coordorigin="7,7" coordsize="13284,0" path="m7,7l1329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5"/>
          <w:footerReference w:type="default" r:id="rId16"/>
          <w:pgSz w:w="16840" w:h="11910" w:orient="landscape"/>
          <w:pgMar w:header="0" w:footer="0" w:top="800" w:bottom="280" w:left="980" w:right="1600"/>
        </w:sectPr>
      </w:pPr>
    </w:p>
    <w:p>
      <w:pPr>
        <w:pStyle w:val="BodyText"/>
        <w:spacing w:line="240" w:lineRule="auto" w:before="36"/>
        <w:ind w:left="818" w:right="-18"/>
        <w:jc w:val="left"/>
      </w:pPr>
      <w:r>
        <w:rPr/>
        <w:t>√适用</w:t>
      </w:r>
      <w:r>
        <w:rPr>
          <w:spacing w:val="-1"/>
        </w:rPr>
        <w:t> </w:t>
      </w:r>
      <w:r>
        <w:rPr/>
        <w:t>□不适用</w:t>
      </w:r>
    </w:p>
    <w:p>
      <w:pPr>
        <w:spacing w:line="240" w:lineRule="auto" w:before="9"/>
        <w:rPr>
          <w:rFonts w:ascii="宋体" w:hAnsi="宋体" w:cs="宋体" w:eastAsia="宋体" w:hint="default"/>
          <w:sz w:val="23"/>
          <w:szCs w:val="23"/>
        </w:rPr>
      </w:pPr>
      <w:r>
        <w:rPr/>
        <w:br w:type="column"/>
      </w:r>
      <w:r>
        <w:rPr>
          <w:rFonts w:ascii="宋体"/>
          <w:sz w:val="23"/>
        </w:rPr>
      </w:r>
    </w:p>
    <w:p>
      <w:pPr>
        <w:pStyle w:val="Heading2"/>
        <w:spacing w:line="240" w:lineRule="auto"/>
        <w:ind w:left="818" w:right="-9"/>
        <w:jc w:val="left"/>
        <w:rPr>
          <w:b w:val="0"/>
          <w:bCs w:val="0"/>
        </w:rPr>
      </w:pPr>
      <w:r>
        <w:rPr>
          <w:spacing w:val="-1"/>
        </w:rPr>
        <w:t>主要业务板块经营概况</w:t>
      </w:r>
      <w:r>
        <w:rPr>
          <w:b w:val="0"/>
          <w:bCs w:val="0"/>
          <w:spacing w:val="-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1"/>
        <w:rPr>
          <w:rFonts w:ascii="宋体" w:hAnsi="宋体" w:cs="宋体" w:eastAsia="宋体" w:hint="default"/>
          <w:b/>
          <w:bCs/>
          <w:sz w:val="22"/>
          <w:szCs w:val="22"/>
        </w:rPr>
      </w:pPr>
    </w:p>
    <w:p>
      <w:pPr>
        <w:tabs>
          <w:tab w:pos="2128" w:val="left" w:leader="none"/>
        </w:tabs>
        <w:spacing w:before="0"/>
        <w:ind w:left="818" w:right="0" w:firstLine="0"/>
        <w:jc w:val="left"/>
        <w:rPr>
          <w:rFonts w:ascii="宋体" w:hAnsi="宋体" w:cs="宋体" w:eastAsia="宋体" w:hint="default"/>
          <w:sz w:val="21"/>
          <w:szCs w:val="21"/>
        </w:rPr>
      </w:pPr>
      <w:r>
        <w:rPr>
          <w:rFonts w:ascii="宋体" w:hAnsi="宋体" w:cs="宋体" w:eastAsia="宋体" w:hint="default"/>
          <w:spacing w:val="-1"/>
          <w:sz w:val="22"/>
          <w:szCs w:val="22"/>
        </w:rPr>
        <w:t>单位：万元</w:t>
        <w:tab/>
      </w:r>
      <w:r>
        <w:rPr>
          <w:rFonts w:ascii="宋体" w:hAnsi="宋体" w:cs="宋体" w:eastAsia="宋体" w:hint="default"/>
          <w:spacing w:val="-3"/>
          <w:sz w:val="21"/>
          <w:szCs w:val="21"/>
        </w:rPr>
        <w:t>币种：人民币</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6840" w:h="11910" w:orient="landscape"/>
          <w:pgMar w:top="1060" w:bottom="1380" w:left="980" w:right="1600"/>
          <w:cols w:num="3" w:equalWidth="0">
            <w:col w:w="2395" w:space="3173"/>
            <w:col w:w="2928" w:space="2178"/>
            <w:col w:w="3586"/>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28"/>
        <w:gridCol w:w="936"/>
        <w:gridCol w:w="936"/>
        <w:gridCol w:w="703"/>
        <w:gridCol w:w="1016"/>
        <w:gridCol w:w="1015"/>
        <w:gridCol w:w="799"/>
        <w:gridCol w:w="1016"/>
        <w:gridCol w:w="1018"/>
        <w:gridCol w:w="773"/>
        <w:gridCol w:w="1018"/>
        <w:gridCol w:w="1015"/>
        <w:gridCol w:w="799"/>
        <w:gridCol w:w="617"/>
        <w:gridCol w:w="614"/>
        <w:gridCol w:w="632"/>
      </w:tblGrid>
      <w:tr>
        <w:trPr>
          <w:trHeight w:val="290" w:hRule="exact"/>
        </w:trPr>
        <w:tc>
          <w:tcPr>
            <w:tcW w:w="1128" w:type="dxa"/>
            <w:vMerge w:val="restart"/>
            <w:tcBorders>
              <w:top w:val="single" w:sz="4" w:space="0" w:color="000000"/>
              <w:left w:val="single" w:sz="4" w:space="0" w:color="000000"/>
              <w:right w:val="single" w:sz="4" w:space="0" w:color="000000"/>
            </w:tcBorders>
          </w:tcPr>
          <w:p>
            <w:pPr/>
          </w:p>
        </w:tc>
        <w:tc>
          <w:tcPr>
            <w:tcW w:w="2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0" w:right="0"/>
              <w:jc w:val="left"/>
              <w:rPr>
                <w:rFonts w:ascii="宋体" w:hAnsi="宋体" w:cs="宋体" w:eastAsia="宋体" w:hint="default"/>
                <w:sz w:val="21"/>
                <w:szCs w:val="21"/>
              </w:rPr>
            </w:pPr>
            <w:r>
              <w:rPr>
                <w:rFonts w:ascii="宋体" w:hAnsi="宋体" w:cs="宋体" w:eastAsia="宋体" w:hint="default"/>
                <w:sz w:val="21"/>
                <w:szCs w:val="21"/>
              </w:rPr>
              <w:t>销售量</w:t>
            </w:r>
            <w:r>
              <w:rPr>
                <w:rFonts w:ascii="宋体" w:hAnsi="宋体" w:cs="宋体" w:eastAsia="宋体" w:hint="default"/>
                <w:sz w:val="21"/>
                <w:szCs w:val="21"/>
              </w:rPr>
              <w:t>(</w:t>
            </w:r>
            <w:r>
              <w:rPr>
                <w:rFonts w:ascii="宋体" w:hAnsi="宋体" w:cs="宋体" w:eastAsia="宋体" w:hint="default"/>
                <w:sz w:val="21"/>
                <w:szCs w:val="21"/>
              </w:rPr>
              <w:t>万册</w:t>
            </w:r>
            <w:r>
              <w:rPr>
                <w:rFonts w:ascii="宋体" w:hAnsi="宋体" w:cs="宋体" w:eastAsia="宋体" w:hint="default"/>
                <w:sz w:val="21"/>
                <w:szCs w:val="21"/>
              </w:rPr>
              <w:t>)</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销售码洋</w:t>
            </w:r>
          </w:p>
        </w:tc>
        <w:tc>
          <w:tcPr>
            <w:tcW w:w="28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53" w:right="0"/>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z w:val="21"/>
                <w:szCs w:val="21"/>
              </w:rPr>
              <w:t>(%)</w:t>
            </w:r>
          </w:p>
        </w:tc>
      </w:tr>
      <w:tr>
        <w:trPr>
          <w:trHeight w:val="828" w:hRule="exact"/>
        </w:trPr>
        <w:tc>
          <w:tcPr>
            <w:tcW w:w="1128" w:type="dxa"/>
            <w:vMerge/>
            <w:tcBorders>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0" w:right="134" w:hanging="106"/>
              <w:jc w:val="left"/>
              <w:rPr>
                <w:rFonts w:ascii="宋体" w:hAnsi="宋体" w:cs="宋体" w:eastAsia="宋体" w:hint="default"/>
                <w:sz w:val="21"/>
                <w:szCs w:val="21"/>
              </w:rPr>
            </w:pPr>
            <w:r>
              <w:rPr>
                <w:rFonts w:ascii="宋体" w:hAnsi="宋体" w:cs="宋体" w:eastAsia="宋体" w:hint="default"/>
                <w:sz w:val="21"/>
                <w:szCs w:val="21"/>
              </w:rPr>
              <w:t>增长</w:t>
            </w:r>
            <w:r>
              <w:rPr>
                <w:rFonts w:ascii="宋体" w:hAnsi="宋体" w:cs="宋体" w:eastAsia="宋体" w:hint="default"/>
                <w:spacing w:val="-103"/>
                <w:sz w:val="21"/>
                <w:szCs w:val="21"/>
              </w:rPr>
              <w:t> </w:t>
            </w:r>
            <w:r>
              <w:rPr>
                <w:rFonts w:ascii="宋体" w:hAnsi="宋体" w:cs="宋体" w:eastAsia="宋体" w:hint="default"/>
                <w:sz w:val="21"/>
                <w:szCs w:val="21"/>
              </w:rPr>
              <w:t>率</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去年</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8" w:right="180" w:hanging="104"/>
              <w:jc w:val="left"/>
              <w:rPr>
                <w:rFonts w:ascii="宋体" w:hAnsi="宋体" w:cs="宋体" w:eastAsia="宋体" w:hint="default"/>
                <w:sz w:val="21"/>
                <w:szCs w:val="21"/>
              </w:rPr>
            </w:pPr>
            <w:r>
              <w:rPr>
                <w:rFonts w:ascii="宋体" w:hAnsi="宋体" w:cs="宋体" w:eastAsia="宋体" w:hint="default"/>
                <w:sz w:val="21"/>
                <w:szCs w:val="21"/>
              </w:rPr>
              <w:t>增长</w:t>
            </w:r>
            <w:r>
              <w:rPr>
                <w:rFonts w:ascii="宋体" w:hAnsi="宋体" w:cs="宋体" w:eastAsia="宋体" w:hint="default"/>
                <w:spacing w:val="-103"/>
                <w:sz w:val="21"/>
                <w:szCs w:val="21"/>
              </w:rPr>
              <w:t> </w:t>
            </w:r>
            <w:r>
              <w:rPr>
                <w:rFonts w:ascii="宋体" w:hAnsi="宋体" w:cs="宋体" w:eastAsia="宋体" w:hint="default"/>
                <w:sz w:val="21"/>
                <w:szCs w:val="21"/>
              </w:rPr>
              <w:t>率</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去年</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6" w:right="168" w:hanging="106"/>
              <w:jc w:val="left"/>
              <w:rPr>
                <w:rFonts w:ascii="宋体" w:hAnsi="宋体" w:cs="宋体" w:eastAsia="宋体" w:hint="default"/>
                <w:sz w:val="21"/>
                <w:szCs w:val="21"/>
              </w:rPr>
            </w:pPr>
            <w:r>
              <w:rPr>
                <w:rFonts w:ascii="宋体" w:hAnsi="宋体" w:cs="宋体" w:eastAsia="宋体" w:hint="default"/>
                <w:sz w:val="21"/>
                <w:szCs w:val="21"/>
              </w:rPr>
              <w:t>增长</w:t>
            </w:r>
            <w:r>
              <w:rPr>
                <w:rFonts w:ascii="宋体" w:hAnsi="宋体" w:cs="宋体" w:eastAsia="宋体" w:hint="default"/>
                <w:spacing w:val="-103"/>
                <w:sz w:val="21"/>
                <w:szCs w:val="21"/>
              </w:rPr>
              <w:t> </w:t>
            </w:r>
            <w:r>
              <w:rPr>
                <w:rFonts w:ascii="宋体" w:hAnsi="宋体" w:cs="宋体" w:eastAsia="宋体" w:hint="default"/>
                <w:sz w:val="21"/>
                <w:szCs w:val="21"/>
              </w:rPr>
              <w:t>率</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去年</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8" w:right="180" w:hanging="104"/>
              <w:jc w:val="left"/>
              <w:rPr>
                <w:rFonts w:ascii="宋体" w:hAnsi="宋体" w:cs="宋体" w:eastAsia="宋体" w:hint="default"/>
                <w:sz w:val="21"/>
                <w:szCs w:val="21"/>
              </w:rPr>
            </w:pPr>
            <w:r>
              <w:rPr>
                <w:rFonts w:ascii="宋体" w:hAnsi="宋体" w:cs="宋体" w:eastAsia="宋体" w:hint="default"/>
                <w:sz w:val="21"/>
                <w:szCs w:val="21"/>
              </w:rPr>
              <w:t>增长</w:t>
            </w:r>
            <w:r>
              <w:rPr>
                <w:rFonts w:ascii="宋体" w:hAnsi="宋体" w:cs="宋体" w:eastAsia="宋体" w:hint="default"/>
                <w:spacing w:val="-103"/>
                <w:sz w:val="21"/>
                <w:szCs w:val="21"/>
              </w:rPr>
              <w:t> </w:t>
            </w:r>
            <w:r>
              <w:rPr>
                <w:rFonts w:ascii="宋体" w:hAnsi="宋体" w:cs="宋体" w:eastAsia="宋体" w:hint="default"/>
                <w:sz w:val="21"/>
                <w:szCs w:val="21"/>
              </w:rPr>
              <w:t>率</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6" w:right="197"/>
              <w:jc w:val="left"/>
              <w:rPr>
                <w:rFonts w:ascii="宋体" w:hAnsi="宋体" w:cs="宋体" w:eastAsia="宋体" w:hint="default"/>
                <w:sz w:val="21"/>
                <w:szCs w:val="21"/>
              </w:rPr>
            </w:pPr>
            <w:r>
              <w:rPr>
                <w:rFonts w:ascii="宋体" w:hAnsi="宋体" w:cs="宋体" w:eastAsia="宋体" w:hint="default"/>
                <w:sz w:val="21"/>
                <w:szCs w:val="21"/>
              </w:rPr>
              <w:t>去</w:t>
            </w:r>
            <w:r>
              <w:rPr>
                <w:rFonts w:ascii="宋体" w:hAnsi="宋体" w:cs="宋体" w:eastAsia="宋体" w:hint="default"/>
                <w:w w:val="100"/>
                <w:sz w:val="21"/>
                <w:szCs w:val="21"/>
              </w:rPr>
              <w:t> </w:t>
            </w:r>
            <w:r>
              <w:rPr>
                <w:rFonts w:ascii="宋体" w:hAnsi="宋体" w:cs="宋体" w:eastAsia="宋体" w:hint="default"/>
                <w:sz w:val="21"/>
                <w:szCs w:val="21"/>
              </w:rPr>
              <w:t>年</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4" w:right="197"/>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w w:val="100"/>
                <w:sz w:val="21"/>
                <w:szCs w:val="21"/>
              </w:rPr>
              <w:t>增</w:t>
            </w:r>
          </w:p>
          <w:p>
            <w:pPr>
              <w:pStyle w:val="TableParagraph"/>
              <w:spacing w:line="272" w:lineRule="exact" w:before="27"/>
              <w:ind w:left="204" w:right="204"/>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率</w:t>
            </w:r>
          </w:p>
        </w:tc>
      </w:tr>
      <w:tr>
        <w:trPr>
          <w:trHeight w:val="555"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w:t>
            </w: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自编教材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教辅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10,972.03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12,500.68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13.93%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105,048.45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122,059.69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16.19%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54,369.55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62,084.09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14.19%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2"/>
                <w:sz w:val="16"/>
              </w:rPr>
              <w:t>30,600.32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35,085.36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4" w:right="0"/>
              <w:jc w:val="center"/>
              <w:rPr>
                <w:rFonts w:ascii="宋体" w:hAnsi="宋体" w:cs="宋体" w:eastAsia="宋体" w:hint="default"/>
                <w:sz w:val="16"/>
                <w:szCs w:val="16"/>
              </w:rPr>
            </w:pPr>
            <w:r>
              <w:rPr>
                <w:rFonts w:ascii="宋体"/>
                <w:sz w:val="16"/>
              </w:rPr>
              <w:t>14.66%</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43.72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43.49</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-0.23</w:t>
            </w:r>
          </w:p>
        </w:tc>
      </w:tr>
      <w:tr>
        <w:trPr>
          <w:trHeight w:val="55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租型教材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教辅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12,170.81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13,387.26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9.99%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96,178.71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103,995.89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8.13%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55,570.74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64,606.80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16.26%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2"/>
                <w:sz w:val="16"/>
              </w:rPr>
              <w:t>39,421.17</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45,815.76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4" w:right="0"/>
              <w:jc w:val="center"/>
              <w:rPr>
                <w:rFonts w:ascii="宋体" w:hAnsi="宋体" w:cs="宋体" w:eastAsia="宋体" w:hint="default"/>
                <w:sz w:val="16"/>
                <w:szCs w:val="16"/>
              </w:rPr>
            </w:pPr>
            <w:r>
              <w:rPr>
                <w:rFonts w:ascii="宋体"/>
                <w:sz w:val="16"/>
              </w:rPr>
              <w:t>16.22%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29.06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29.09</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0.02</w:t>
            </w: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一般图书</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9" w:right="0"/>
              <w:jc w:val="center"/>
              <w:rPr>
                <w:rFonts w:ascii="宋体" w:hAnsi="宋体" w:cs="宋体" w:eastAsia="宋体" w:hint="default"/>
                <w:sz w:val="16"/>
                <w:szCs w:val="16"/>
              </w:rPr>
            </w:pPr>
            <w:r>
              <w:rPr>
                <w:rFonts w:ascii="宋体"/>
                <w:sz w:val="16"/>
              </w:rPr>
              <w:t>6,190.02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7,416.36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19.81%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156,056.49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220,212.38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41.11%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57,635.54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78,634.32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36.43%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2"/>
                <w:sz w:val="16"/>
              </w:rPr>
              <w:t>38,982.76</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52,516.67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4" w:right="0"/>
              <w:jc w:val="center"/>
              <w:rPr>
                <w:rFonts w:ascii="宋体" w:hAnsi="宋体" w:cs="宋体" w:eastAsia="宋体" w:hint="default"/>
                <w:sz w:val="16"/>
                <w:szCs w:val="16"/>
              </w:rPr>
            </w:pPr>
            <w:r>
              <w:rPr>
                <w:rFonts w:ascii="宋体"/>
                <w:sz w:val="16"/>
              </w:rPr>
              <w:t>34.72%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32.36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33.21</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0.85</w:t>
            </w:r>
          </w:p>
        </w:tc>
      </w:tr>
      <w:tr>
        <w:trPr>
          <w:trHeight w:val="55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代印教材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教辅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9" w:right="0"/>
              <w:jc w:val="center"/>
              <w:rPr>
                <w:rFonts w:ascii="宋体" w:hAnsi="宋体" w:cs="宋体" w:eastAsia="宋体" w:hint="default"/>
                <w:sz w:val="16"/>
                <w:szCs w:val="16"/>
              </w:rPr>
            </w:pPr>
            <w:r>
              <w:rPr>
                <w:rFonts w:ascii="宋体"/>
                <w:sz w:val="16"/>
              </w:rPr>
              <w:t>1,600.71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1,914.47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19.60%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11,290.82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80" w:right="0"/>
              <w:jc w:val="center"/>
              <w:rPr>
                <w:rFonts w:ascii="宋体" w:hAnsi="宋体" w:cs="宋体" w:eastAsia="宋体" w:hint="default"/>
                <w:sz w:val="16"/>
                <w:szCs w:val="16"/>
              </w:rPr>
            </w:pPr>
            <w:r>
              <w:rPr>
                <w:rFonts w:ascii="宋体"/>
                <w:sz w:val="16"/>
              </w:rPr>
              <w:t>11,968.29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6.00%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7,349.20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7,889.84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7.36%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6,179.53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6,812.10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4" w:right="0"/>
              <w:jc w:val="center"/>
              <w:rPr>
                <w:rFonts w:ascii="宋体" w:hAnsi="宋体" w:cs="宋体" w:eastAsia="宋体" w:hint="default"/>
                <w:sz w:val="16"/>
                <w:szCs w:val="16"/>
              </w:rPr>
            </w:pPr>
            <w:r>
              <w:rPr>
                <w:rFonts w:ascii="宋体"/>
                <w:sz w:val="16"/>
              </w:rPr>
              <w:t>10.24%</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15.92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13.66</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-2.26</w:t>
            </w:r>
          </w:p>
        </w:tc>
      </w:tr>
      <w:tr>
        <w:trPr>
          <w:trHeight w:val="284" w:hRule="exact"/>
        </w:trPr>
        <w:tc>
          <w:tcPr>
            <w:tcW w:w="112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务：</w:t>
            </w: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教材教辅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40,341.49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42,984.30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6.55%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389,409.74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419,234.47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7.66%</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369,037.83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401,537.88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8.81%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2"/>
                <w:sz w:val="16"/>
              </w:rPr>
              <w:t>226,374.93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241,752.55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83" w:right="0"/>
              <w:jc w:val="center"/>
              <w:rPr>
                <w:rFonts w:ascii="宋体" w:hAnsi="宋体" w:cs="宋体" w:eastAsia="宋体" w:hint="default"/>
                <w:sz w:val="16"/>
                <w:szCs w:val="16"/>
              </w:rPr>
            </w:pPr>
            <w:r>
              <w:rPr>
                <w:rFonts w:ascii="宋体"/>
                <w:sz w:val="16"/>
              </w:rPr>
              <w:t>6.79%</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38.66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39.79</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1.13</w:t>
            </w: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一般图书</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10,221.22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9,652.84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-5.56%</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338,211.79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358,231.48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5.92%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215,065.08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225,114.69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4.67%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2"/>
                <w:sz w:val="16"/>
              </w:rPr>
              <w:t>179,616.78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183,415.31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83" w:right="0"/>
              <w:jc w:val="center"/>
              <w:rPr>
                <w:rFonts w:ascii="宋体" w:hAnsi="宋体" w:cs="宋体" w:eastAsia="宋体" w:hint="default"/>
                <w:sz w:val="16"/>
                <w:szCs w:val="16"/>
              </w:rPr>
            </w:pPr>
            <w:r>
              <w:rPr>
                <w:rFonts w:ascii="宋体"/>
                <w:sz w:val="16"/>
              </w:rPr>
              <w:t>2.11%</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16.48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18.52</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2.04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63"/>
        <w:ind w:left="6756" w:right="6136" w:firstLine="0"/>
        <w:jc w:val="center"/>
        <w:rPr>
          <w:rFonts w:ascii="Calibri" w:hAnsi="Calibri" w:cs="Calibri" w:eastAsia="Calibri" w:hint="default"/>
          <w:sz w:val="18"/>
          <w:szCs w:val="18"/>
        </w:rPr>
      </w:pPr>
      <w:r>
        <w:rPr>
          <w:rFonts w:ascii="Calibri"/>
          <w:b/>
          <w:sz w:val="18"/>
        </w:rPr>
        <w:t>22 </w:t>
      </w:r>
      <w:r>
        <w:rPr>
          <w:rFonts w:ascii="Calibri"/>
          <w:sz w:val="18"/>
        </w:rPr>
        <w:t>/</w:t>
      </w:r>
      <w:r>
        <w:rPr>
          <w:rFonts w:ascii="Calibri"/>
          <w:spacing w:val="-4"/>
          <w:sz w:val="18"/>
        </w:rPr>
        <w:t> </w:t>
      </w:r>
      <w:r>
        <w:rPr>
          <w:rFonts w:ascii="Calibri"/>
          <w:b/>
          <w:sz w:val="18"/>
        </w:rPr>
        <w:t>196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60" w:bottom="1380" w:left="980" w:right="16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18"/>
          <w:szCs w:val="18"/>
        </w:rPr>
      </w:pPr>
    </w:p>
    <w:p>
      <w:pPr>
        <w:spacing w:after="0" w:line="240" w:lineRule="auto"/>
        <w:rPr>
          <w:rFonts w:ascii="Calibri" w:hAnsi="Calibri" w:cs="Calibri" w:eastAsia="Calibri" w:hint="default"/>
          <w:sz w:val="18"/>
          <w:szCs w:val="18"/>
        </w:rPr>
        <w:sectPr>
          <w:footerReference w:type="default" r:id="rId17"/>
          <w:pgSz w:w="11910" w:h="16840"/>
          <w:pgMar w:footer="1195" w:header="0" w:top="1060" w:bottom="1380" w:left="1220" w:right="1220"/>
          <w:pgNumType w:start="23"/>
        </w:sectPr>
      </w:pPr>
    </w:p>
    <w:p>
      <w:pPr>
        <w:pStyle w:val="Heading2"/>
        <w:tabs>
          <w:tab w:pos="645" w:val="left" w:leader="none"/>
        </w:tabs>
        <w:spacing w:line="290" w:lineRule="auto" w:before="36"/>
        <w:ind w:right="0"/>
        <w:jc w:val="left"/>
        <w:rPr>
          <w:b w:val="0"/>
          <w:bCs w:val="0"/>
        </w:rPr>
      </w:pPr>
      <w:r>
        <w:rPr>
          <w:rFonts w:ascii="宋体" w:hAnsi="宋体" w:cs="宋体" w:eastAsia="宋体" w:hint="default"/>
          <w:w w:val="95"/>
        </w:rPr>
        <w:t>2.</w:t>
        <w:tab/>
      </w:r>
      <w:r>
        <w:rPr/>
        <w:t>各业务板块经营信息</w:t>
      </w:r>
      <w:r>
        <w:rPr>
          <w:spacing w:val="-103"/>
        </w:rPr>
        <w:t> </w:t>
      </w:r>
      <w:r>
        <w:rPr>
          <w:rFonts w:ascii="宋体" w:hAnsi="宋体" w:cs="宋体" w:eastAsia="宋体" w:hint="default"/>
        </w:rPr>
        <w:t>(1).</w:t>
      </w:r>
      <w:r>
        <w:rPr/>
        <w:t>出版业务</w:t>
      </w:r>
      <w:r>
        <w:rPr>
          <w:b w:val="0"/>
          <w:bCs w:val="0"/>
        </w:rPr>
      </w:r>
    </w:p>
    <w:p>
      <w:pPr>
        <w:pStyle w:val="BodyText"/>
        <w:spacing w:line="240" w:lineRule="auto" w:before="14"/>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ind w:right="-17"/>
        <w:jc w:val="left"/>
        <w:rPr>
          <w:b w:val="0"/>
          <w:bCs w:val="0"/>
        </w:rPr>
      </w:pPr>
      <w:r>
        <w:rPr/>
        <w:t>主要成本费用分析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tabs>
          <w:tab w:pos="1483"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060" w:bottom="1380" w:left="1220" w:right="1220"/>
          <w:cols w:num="3" w:equalWidth="0">
            <w:col w:w="2547" w:space="1124"/>
            <w:col w:w="1911" w:space="924"/>
            <w:col w:w="2964"/>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41"/>
        <w:gridCol w:w="1277"/>
        <w:gridCol w:w="1277"/>
        <w:gridCol w:w="1256"/>
        <w:gridCol w:w="1301"/>
        <w:gridCol w:w="1277"/>
        <w:gridCol w:w="1010"/>
      </w:tblGrid>
      <w:tr>
        <w:trPr>
          <w:trHeight w:val="322" w:hRule="exact"/>
        </w:trPr>
        <w:tc>
          <w:tcPr>
            <w:tcW w:w="1841" w:type="dxa"/>
            <w:vMerge w:val="restart"/>
            <w:tcBorders>
              <w:top w:val="single" w:sz="4" w:space="0" w:color="000000"/>
              <w:left w:val="single" w:sz="4" w:space="0" w:color="000000"/>
              <w:right w:val="single" w:sz="4" w:space="0" w:color="000000"/>
            </w:tcBorders>
          </w:tcPr>
          <w:p>
            <w:pPr/>
          </w:p>
        </w:tc>
        <w:tc>
          <w:tcPr>
            <w:tcW w:w="3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教材教辅出版</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59" w:right="0"/>
              <w:jc w:val="left"/>
              <w:rPr>
                <w:rFonts w:ascii="宋体" w:hAnsi="宋体" w:cs="宋体" w:eastAsia="宋体" w:hint="default"/>
                <w:sz w:val="21"/>
                <w:szCs w:val="21"/>
              </w:rPr>
            </w:pPr>
            <w:r>
              <w:rPr>
                <w:rFonts w:ascii="宋体" w:hAnsi="宋体" w:cs="宋体" w:eastAsia="宋体" w:hint="default"/>
                <w:sz w:val="21"/>
                <w:szCs w:val="21"/>
              </w:rPr>
              <w:t>一般图书出版</w:t>
            </w:r>
          </w:p>
        </w:tc>
      </w:tr>
      <w:tr>
        <w:trPr>
          <w:trHeight w:val="554" w:hRule="exact"/>
        </w:trPr>
        <w:tc>
          <w:tcPr>
            <w:tcW w:w="1841"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去年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3"/>
                <w:sz w:val="21"/>
                <w:szCs w:val="21"/>
              </w:rPr>
              <w:t>增长率（</w:t>
            </w:r>
            <w:r>
              <w:rPr>
                <w:rFonts w:ascii="宋体" w:hAnsi="宋体" w:cs="宋体" w:eastAsia="宋体" w:hint="default"/>
                <w:spacing w:val="-3"/>
                <w:sz w:val="21"/>
                <w:szCs w:val="21"/>
              </w:rPr>
              <w:t>%</w:t>
            </w:r>
            <w:r>
              <w:rPr>
                <w:rFonts w:ascii="宋体" w:hAnsi="宋体" w:cs="宋体" w:eastAsia="宋体" w:hint="default"/>
                <w:spacing w:val="-3"/>
                <w:sz w:val="21"/>
                <w:szCs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增长率</w:t>
            </w:r>
          </w:p>
          <w:p>
            <w:pPr>
              <w:pStyle w:val="TableParagraph"/>
              <w:spacing w:line="274"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教材教辅租型费用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7,160.22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7,926.72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2,961.82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2,894.03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稿酬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2,645.29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3,611.70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36.53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6,711.15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sz w:val="21"/>
              </w:rPr>
              <w:t>13,867.10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106.63</w:t>
            </w:r>
          </w:p>
        </w:tc>
      </w:tr>
      <w:tr>
        <w:trPr>
          <w:trHeight w:val="310"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印刷成本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19,800.71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23,196.05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20,892.83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sz w:val="21"/>
              </w:rPr>
              <w:t>26,874.37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28.63</w:t>
            </w:r>
          </w:p>
        </w:tc>
      </w:tr>
      <w:tr>
        <w:trPr>
          <w:trHeight w:val="28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纸张材料费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34,716.30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47,865.86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37.88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4,182.34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2" w:right="0"/>
              <w:jc w:val="center"/>
              <w:rPr>
                <w:rFonts w:ascii="宋体" w:hAnsi="宋体" w:cs="宋体" w:eastAsia="宋体" w:hint="default"/>
                <w:sz w:val="21"/>
                <w:szCs w:val="21"/>
              </w:rPr>
            </w:pPr>
            <w:r>
              <w:rPr>
                <w:rFonts w:ascii="宋体"/>
                <w:sz w:val="21"/>
              </w:rPr>
              <w:t>7,802.93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86.57</w:t>
            </w:r>
          </w:p>
        </w:tc>
      </w:tr>
      <w:tr>
        <w:trPr>
          <w:trHeight w:val="286"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编录经费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724.30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741.51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1,962.96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2" w:right="0"/>
              <w:jc w:val="center"/>
              <w:rPr>
                <w:rFonts w:ascii="宋体" w:hAnsi="宋体" w:cs="宋体" w:eastAsia="宋体" w:hint="default"/>
                <w:sz w:val="21"/>
                <w:szCs w:val="21"/>
              </w:rPr>
            </w:pPr>
            <w:r>
              <w:rPr>
                <w:rFonts w:ascii="宋体"/>
                <w:sz w:val="21"/>
              </w:rPr>
              <w:t>2,158.93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9.98</w:t>
            </w:r>
          </w:p>
        </w:tc>
      </w:tr>
      <w:tr>
        <w:trPr>
          <w:trHeight w:val="28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3,130.03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1,477.35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-52.80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1,384.40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2" w:right="0"/>
              <w:jc w:val="center"/>
              <w:rPr>
                <w:rFonts w:ascii="宋体" w:hAnsi="宋体" w:cs="宋体" w:eastAsia="宋体" w:hint="default"/>
                <w:sz w:val="21"/>
                <w:szCs w:val="21"/>
              </w:rPr>
            </w:pPr>
            <w:r>
              <w:rPr>
                <w:rFonts w:ascii="宋体"/>
                <w:sz w:val="21"/>
              </w:rPr>
              <w:t>1,813.35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30.99</w:t>
            </w:r>
          </w:p>
        </w:tc>
      </w:tr>
    </w:tbl>
    <w:p>
      <w:pPr>
        <w:spacing w:line="240" w:lineRule="auto" w:before="5"/>
        <w:rPr>
          <w:rFonts w:ascii="宋体" w:hAnsi="宋体" w:cs="宋体" w:eastAsia="宋体" w:hint="default"/>
          <w:sz w:val="15"/>
          <w:szCs w:val="15"/>
        </w:rPr>
      </w:pPr>
    </w:p>
    <w:p>
      <w:pPr>
        <w:spacing w:line="357" w:lineRule="auto" w:before="37"/>
        <w:ind w:left="220" w:right="222" w:firstLine="400"/>
        <w:jc w:val="both"/>
        <w:rPr>
          <w:rFonts w:ascii="宋体" w:hAnsi="宋体" w:cs="宋体" w:eastAsia="宋体" w:hint="default"/>
          <w:sz w:val="20"/>
          <w:szCs w:val="20"/>
        </w:rPr>
      </w:pPr>
      <w:r>
        <w:rPr>
          <w:rFonts w:ascii="宋体" w:hAnsi="宋体" w:cs="宋体" w:eastAsia="宋体" w:hint="default"/>
          <w:sz w:val="20"/>
          <w:szCs w:val="20"/>
        </w:rPr>
        <w:t>注：印刷装订环节，一般图书的生产模式包括不包工包料和包工包料两种情况，其中不包工包料模</w:t>
      </w:r>
      <w:r>
        <w:rPr>
          <w:rFonts w:ascii="宋体" w:hAnsi="宋体" w:cs="宋体" w:eastAsia="宋体" w:hint="default"/>
          <w:w w:val="99"/>
          <w:sz w:val="20"/>
          <w:szCs w:val="20"/>
        </w:rPr>
        <w:t> </w:t>
      </w:r>
      <w:r>
        <w:rPr>
          <w:rFonts w:ascii="宋体" w:hAnsi="宋体" w:cs="宋体" w:eastAsia="宋体" w:hint="default"/>
          <w:spacing w:val="-4"/>
          <w:w w:val="99"/>
          <w:sz w:val="20"/>
          <w:szCs w:val="20"/>
        </w:rPr>
        <w:t>式的结算价格仅为印制费；包工包料模式下由印刷单位负责纸张采购，结算价格包括印制费和纸张成本。</w:t>
      </w:r>
      <w:r>
        <w:rPr>
          <w:rFonts w:ascii="宋体" w:hAnsi="宋体" w:cs="宋体" w:eastAsia="宋体" w:hint="default"/>
          <w:spacing w:val="-62"/>
          <w:w w:val="99"/>
          <w:sz w:val="20"/>
          <w:szCs w:val="20"/>
        </w:rPr>
        <w:t> </w:t>
      </w:r>
      <w:r>
        <w:rPr>
          <w:rFonts w:ascii="宋体" w:hAnsi="宋体" w:cs="宋体" w:eastAsia="宋体" w:hint="default"/>
          <w:spacing w:val="-62"/>
          <w:w w:val="99"/>
          <w:sz w:val="20"/>
          <w:szCs w:val="20"/>
        </w:rPr>
      </w:r>
      <w:r>
        <w:rPr>
          <w:rFonts w:ascii="宋体" w:hAnsi="宋体" w:cs="宋体" w:eastAsia="宋体" w:hint="default"/>
          <w:sz w:val="20"/>
          <w:szCs w:val="20"/>
        </w:rPr>
        <w:t>此处印刷成本中包括了印工费和纸张材料费。</w:t>
      </w:r>
    </w:p>
    <w:p>
      <w:pPr>
        <w:pStyle w:val="Heading2"/>
        <w:spacing w:line="273" w:lineRule="exact" w:before="27"/>
        <w:ind w:right="205"/>
        <w:jc w:val="left"/>
        <w:rPr>
          <w:b w:val="0"/>
          <w:bCs w:val="0"/>
        </w:rPr>
      </w:pPr>
      <w:r>
        <w:rPr/>
        <w:t>教材教辅出版业务</w:t>
      </w:r>
      <w:r>
        <w:rPr>
          <w:b w:val="0"/>
          <w:bCs w:val="0"/>
        </w:rPr>
      </w:r>
    </w:p>
    <w:p>
      <w:pPr>
        <w:pStyle w:val="BodyText"/>
        <w:spacing w:line="240" w:lineRule="auto"/>
        <w:ind w:left="640" w:right="205" w:hanging="420"/>
        <w:jc w:val="left"/>
      </w:pPr>
      <w:r>
        <w:rPr/>
        <w:t>√适用</w:t>
      </w:r>
      <w:r>
        <w:rPr>
          <w:spacing w:val="-2"/>
        </w:rPr>
        <w:t> </w:t>
      </w:r>
      <w:r>
        <w:rPr/>
        <w:t>□不适用</w:t>
      </w:r>
      <w:r>
        <w:rPr>
          <w:spacing w:val="-103"/>
        </w:rPr>
        <w:t> </w:t>
      </w:r>
      <w:r>
        <w:rPr>
          <w:spacing w:val="-103"/>
        </w:rPr>
      </w:r>
      <w:r>
        <w:rPr>
          <w:spacing w:val="-2"/>
        </w:rPr>
        <w:t>本公司旗下四川教育出版社已取得国家新闻出版广电总局颁发的图书出版许可证（新出图证</w:t>
      </w:r>
    </w:p>
    <w:p>
      <w:pPr>
        <w:pStyle w:val="BodyText"/>
        <w:spacing w:line="355" w:lineRule="auto" w:before="133"/>
        <w:ind w:right="205"/>
        <w:jc w:val="left"/>
      </w:pPr>
      <w:r>
        <w:rPr/>
        <w:t>（川）字</w:t>
      </w:r>
      <w:r>
        <w:rPr>
          <w:spacing w:val="-53"/>
        </w:rPr>
        <w:t> </w:t>
      </w:r>
      <w:r>
        <w:rPr>
          <w:rFonts w:ascii="宋体" w:hAnsi="宋体" w:cs="宋体" w:eastAsia="宋体" w:hint="default"/>
        </w:rPr>
        <w:t>004</w:t>
      </w:r>
      <w:r>
        <w:rPr>
          <w:rFonts w:ascii="宋体" w:hAnsi="宋体" w:cs="宋体" w:eastAsia="宋体" w:hint="default"/>
          <w:spacing w:val="-55"/>
        </w:rPr>
        <w:t> </w:t>
      </w:r>
      <w:r>
        <w:rPr/>
        <w:t>号），有效期为</w:t>
      </w:r>
      <w:r>
        <w:rPr>
          <w:spacing w:val="-52"/>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r>
        <w:rPr>
          <w:spacing w:val="-55"/>
        </w:rPr>
        <w:t> </w:t>
      </w:r>
      <w:r>
        <w:rPr>
          <w:rFonts w:ascii="宋体" w:hAnsi="宋体" w:cs="宋体" w:eastAsia="宋体" w:hint="default"/>
        </w:rPr>
        <w:t>2021</w:t>
      </w:r>
      <w:r>
        <w:rPr>
          <w:rFonts w:ascii="宋体" w:hAnsi="宋体" w:cs="宋体" w:eastAsia="宋体" w:hint="default"/>
          <w:spacing w:val="-52"/>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日。本公司出版的教材教辅主要</w:t>
      </w:r>
      <w:r>
        <w:rPr>
          <w:w w:val="100"/>
        </w:rPr>
        <w:t> </w:t>
      </w:r>
      <w:r>
        <w:rPr/>
        <w:t>在四川省内销售。</w:t>
      </w:r>
    </w:p>
    <w:p>
      <w:pPr>
        <w:pStyle w:val="BodyText"/>
        <w:spacing w:line="357" w:lineRule="auto" w:before="32"/>
        <w:ind w:right="107" w:firstLine="420"/>
        <w:jc w:val="left"/>
      </w:pPr>
      <w:r>
        <w:rPr/>
        <w:t>在教材教辅出版方面，本公司加强产品开发，打造具有核心竞争力的教育产品，新开发《成都</w:t>
      </w:r>
      <w:r>
        <w:rPr>
          <w:w w:val="100"/>
        </w:rPr>
        <w:t> </w:t>
      </w:r>
      <w:r>
        <w:rPr/>
        <w:t>市境外研学旅行手册》（小学版、中学版）等地方教材、《大数据时代的极课教育创新研究纪实》</w:t>
      </w:r>
      <w:r>
        <w:rPr>
          <w:spacing w:val="-8"/>
        </w:rPr>
        <w:t> </w:t>
      </w:r>
      <w:r>
        <w:rPr>
          <w:spacing w:val="-8"/>
        </w:rPr>
      </w:r>
      <w:r>
        <w:rPr/>
        <w:t>等教育理论研究图书、《以课程改革为核心的素质教育》等教育实践研究图书、《小学生必背古诗</w:t>
      </w:r>
      <w:r>
        <w:rPr>
          <w:w w:val="100"/>
        </w:rPr>
        <w:t> </w:t>
      </w:r>
      <w:r>
        <w:rPr/>
        <w:t>词</w:t>
      </w:r>
      <w:r>
        <w:rPr>
          <w:spacing w:val="-57"/>
        </w:rPr>
        <w:t> </w:t>
      </w:r>
      <w:r>
        <w:rPr>
          <w:rFonts w:ascii="宋体" w:hAnsi="宋体" w:cs="宋体" w:eastAsia="宋体" w:hint="default"/>
        </w:rPr>
        <w:t>75+80</w:t>
      </w:r>
      <w:r>
        <w:rPr>
          <w:rFonts w:ascii="宋体" w:hAnsi="宋体" w:cs="宋体" w:eastAsia="宋体" w:hint="default"/>
          <w:spacing w:val="-57"/>
        </w:rPr>
        <w:t> </w:t>
      </w:r>
      <w:r>
        <w:rPr/>
        <w:t>首》等学生课外读物。同时，利用技术为教育赋能，推动媒体融合向纵深发展，如开发高</w:t>
      </w:r>
      <w:r>
        <w:rPr>
          <w:w w:val="100"/>
        </w:rPr>
        <w:t> </w:t>
      </w:r>
      <w:r>
        <w:rPr/>
        <w:t>中</w:t>
      </w:r>
      <w:r>
        <w:rPr>
          <w:spacing w:val="-33"/>
        </w:rPr>
        <w:t> </w:t>
      </w:r>
      <w:r>
        <w:rPr>
          <w:rFonts w:ascii="宋体" w:hAnsi="宋体" w:cs="宋体" w:eastAsia="宋体" w:hint="default"/>
          <w:spacing w:val="-3"/>
        </w:rPr>
        <w:t>AI</w:t>
      </w:r>
      <w:r>
        <w:rPr>
          <w:spacing w:val="-3"/>
        </w:rPr>
        <w:t>（人工智能）融媒教辅、小学英语数字教材暨线上服务平台，为读者提供个性化服务。“基于</w:t>
      </w:r>
      <w:r>
        <w:rPr>
          <w:spacing w:val="-60"/>
        </w:rPr>
        <w:t> </w:t>
      </w:r>
      <w:r>
        <w:rPr>
          <w:spacing w:val="-60"/>
        </w:rPr>
      </w:r>
      <w:r>
        <w:rPr>
          <w:rFonts w:ascii="宋体" w:hAnsi="宋体" w:cs="宋体" w:eastAsia="宋体" w:hint="default"/>
        </w:rPr>
        <w:t>AR</w:t>
      </w:r>
      <w:r>
        <w:rPr>
          <w:rFonts w:ascii="宋体" w:hAnsi="宋体" w:cs="宋体" w:eastAsia="宋体" w:hint="default"/>
          <w:spacing w:val="-34"/>
        </w:rPr>
        <w:t> </w:t>
      </w:r>
      <w:r>
        <w:rPr>
          <w:spacing w:val="-8"/>
        </w:rPr>
        <w:t>技术的学科教材教辅整体解决方案”亮相北京图书订货会、深圳文博会、北京数博会、西博会等，</w:t>
      </w:r>
      <w:r>
        <w:rPr>
          <w:spacing w:val="-59"/>
        </w:rPr>
        <w:t> </w:t>
      </w:r>
      <w:r>
        <w:rPr>
          <w:spacing w:val="-59"/>
        </w:rPr>
      </w:r>
      <w:r>
        <w:rPr>
          <w:spacing w:val="-2"/>
        </w:rPr>
        <w:t>获得多方赞誉，被誉为“</w:t>
      </w:r>
      <w:r>
        <w:rPr>
          <w:rFonts w:ascii="宋体" w:hAnsi="宋体" w:cs="宋体" w:eastAsia="宋体" w:hint="default"/>
          <w:spacing w:val="-2"/>
        </w:rPr>
        <w:t>AR</w:t>
      </w:r>
      <w:r>
        <w:rPr>
          <w:rFonts w:ascii="宋体" w:hAnsi="宋体" w:cs="宋体" w:eastAsia="宋体" w:hint="default"/>
        </w:rPr>
        <w:t> </w:t>
      </w:r>
      <w:r>
        <w:rPr>
          <w:spacing w:val="-2"/>
        </w:rPr>
        <w:t>技术与教育出版融合的经典案例”。</w:t>
      </w:r>
    </w:p>
    <w:p>
      <w:pPr>
        <w:pStyle w:val="BodyText"/>
        <w:spacing w:line="355" w:lineRule="auto" w:before="30"/>
        <w:ind w:right="213" w:firstLine="420"/>
        <w:jc w:val="both"/>
      </w:pPr>
      <w:r>
        <w:rPr>
          <w:spacing w:val="-3"/>
        </w:rPr>
        <w:t>报告期内，出版业务中教材教辅销售码洋</w:t>
      </w:r>
      <w:r>
        <w:rPr>
          <w:spacing w:val="-44"/>
        </w:rPr>
        <w:t> </w:t>
      </w:r>
      <w:r>
        <w:rPr>
          <w:rFonts w:ascii="宋体" w:hAnsi="宋体" w:cs="宋体" w:eastAsia="宋体" w:hint="default"/>
        </w:rPr>
        <w:t>238,023.87</w:t>
      </w:r>
      <w:r>
        <w:rPr>
          <w:rFonts w:ascii="宋体" w:hAnsi="宋体" w:cs="宋体" w:eastAsia="宋体" w:hint="default"/>
          <w:spacing w:val="-44"/>
        </w:rPr>
        <w:t> </w:t>
      </w:r>
      <w:r>
        <w:rPr>
          <w:spacing w:val="-5"/>
        </w:rPr>
        <w:t>万元，销售收入</w:t>
      </w:r>
      <w:r>
        <w:rPr>
          <w:spacing w:val="18"/>
        </w:rPr>
        <w:t> </w:t>
      </w:r>
      <w:r>
        <w:rPr>
          <w:rFonts w:ascii="宋体" w:hAnsi="宋体" w:cs="宋体" w:eastAsia="宋体" w:hint="default"/>
        </w:rPr>
        <w:t>134,580.73</w:t>
      </w:r>
      <w:r>
        <w:rPr>
          <w:rFonts w:ascii="宋体" w:hAnsi="宋体" w:cs="宋体" w:eastAsia="宋体" w:hint="default"/>
          <w:spacing w:val="-47"/>
        </w:rPr>
        <w:t> </w:t>
      </w:r>
      <w:r>
        <w:rPr>
          <w:spacing w:val="-5"/>
        </w:rPr>
        <w:t>万元，同比</w:t>
      </w:r>
      <w:r>
        <w:rPr>
          <w:w w:val="100"/>
        </w:rPr>
        <w:t> </w:t>
      </w:r>
      <w:r>
        <w:rPr/>
        <w:t>增长</w:t>
      </w:r>
      <w:r>
        <w:rPr>
          <w:spacing w:val="-38"/>
        </w:rPr>
        <w:t> </w:t>
      </w:r>
      <w:r>
        <w:rPr>
          <w:rFonts w:ascii="宋体" w:hAnsi="宋体" w:cs="宋体" w:eastAsia="宋体" w:hint="default"/>
        </w:rPr>
        <w:t>14.74%</w:t>
      </w:r>
      <w:r>
        <w:rPr/>
        <w:t>；成本为</w:t>
      </w:r>
      <w:r>
        <w:rPr>
          <w:spacing w:val="-38"/>
        </w:rPr>
        <w:t> </w:t>
      </w:r>
      <w:r>
        <w:rPr>
          <w:rFonts w:ascii="宋体" w:hAnsi="宋体" w:cs="宋体" w:eastAsia="宋体" w:hint="default"/>
        </w:rPr>
        <w:t>87,713.22</w:t>
      </w:r>
      <w:r>
        <w:rPr>
          <w:rFonts w:ascii="宋体" w:hAnsi="宋体" w:cs="宋体" w:eastAsia="宋体" w:hint="default"/>
          <w:spacing w:val="-4"/>
        </w:rPr>
        <w:t> </w:t>
      </w:r>
      <w:r>
        <w:rPr/>
        <w:t>万元，同比增长</w:t>
      </w:r>
      <w:r>
        <w:rPr>
          <w:spacing w:val="-38"/>
        </w:rPr>
        <w:t> </w:t>
      </w:r>
      <w:r>
        <w:rPr>
          <w:rFonts w:ascii="宋体" w:hAnsi="宋体" w:cs="宋体" w:eastAsia="宋体" w:hint="default"/>
        </w:rPr>
        <w:t>15.11%</w:t>
      </w:r>
      <w:r>
        <w:rPr/>
        <w:t>；毛利率为</w:t>
      </w:r>
      <w:r>
        <w:rPr>
          <w:spacing w:val="-38"/>
        </w:rPr>
        <w:t> </w:t>
      </w:r>
      <w:r>
        <w:rPr>
          <w:rFonts w:ascii="宋体" w:hAnsi="宋体" w:cs="宋体" w:eastAsia="宋体" w:hint="default"/>
        </w:rPr>
        <w:t>34.82%</w:t>
      </w:r>
      <w:r>
        <w:rPr/>
        <w:t>，同比减少</w:t>
      </w:r>
      <w:r>
        <w:rPr>
          <w:spacing w:val="-38"/>
        </w:rPr>
        <w:t> </w:t>
      </w:r>
      <w:r>
        <w:rPr>
          <w:rFonts w:ascii="宋体" w:hAnsi="宋体" w:cs="宋体" w:eastAsia="宋体" w:hint="default"/>
        </w:rPr>
        <w:t>0.21</w:t>
      </w:r>
      <w:r>
        <w:rPr>
          <w:rFonts w:ascii="宋体" w:hAnsi="宋体" w:cs="宋体" w:eastAsia="宋体" w:hint="default"/>
          <w:spacing w:val="-40"/>
        </w:rPr>
        <w:t> </w:t>
      </w:r>
      <w:r>
        <w:rPr/>
        <w:t>个百</w:t>
      </w:r>
      <w:r>
        <w:rPr>
          <w:w w:val="100"/>
        </w:rPr>
        <w:t> </w:t>
      </w:r>
      <w:r>
        <w:rPr/>
        <w:t>分点。</w:t>
      </w:r>
    </w:p>
    <w:p>
      <w:pPr>
        <w:pStyle w:val="Heading2"/>
        <w:spacing w:line="273" w:lineRule="exact" w:before="34"/>
        <w:ind w:right="205"/>
        <w:jc w:val="left"/>
        <w:rPr>
          <w:b w:val="0"/>
          <w:bCs w:val="0"/>
        </w:rPr>
      </w:pPr>
      <w:r>
        <w:rPr/>
        <w:t>一般图书出版业务</w:t>
      </w:r>
      <w:r>
        <w:rPr>
          <w:b w:val="0"/>
          <w:bCs w:val="0"/>
        </w:rPr>
      </w:r>
    </w:p>
    <w:p>
      <w:pPr>
        <w:pStyle w:val="BodyText"/>
        <w:spacing w:line="272" w:lineRule="exact"/>
        <w:ind w:right="205"/>
        <w:jc w:val="left"/>
      </w:pPr>
      <w:r>
        <w:rPr/>
        <w:t>√适用 □不适用</w:t>
      </w:r>
    </w:p>
    <w:p>
      <w:pPr>
        <w:pStyle w:val="BodyText"/>
        <w:spacing w:line="274" w:lineRule="exact"/>
        <w:ind w:left="640" w:right="107"/>
        <w:jc w:val="left"/>
      </w:pPr>
      <w:r>
        <w:rPr>
          <w:rFonts w:ascii="宋体" w:hAnsi="宋体" w:cs="宋体" w:eastAsia="宋体" w:hint="default"/>
        </w:rPr>
        <w:t>2018 </w:t>
      </w:r>
      <w:r>
        <w:rPr/>
        <w:t>年</w:t>
      </w:r>
      <w:r>
        <w:rPr>
          <w:rFonts w:ascii="宋体" w:hAnsi="宋体" w:cs="宋体" w:eastAsia="宋体" w:hint="default"/>
        </w:rPr>
        <w:t>,</w:t>
      </w:r>
      <w:r>
        <w:rPr/>
        <w:t>本公司按照</w:t>
      </w:r>
      <w:r>
        <w:rPr>
          <w:spacing w:val="-62"/>
        </w:rPr>
        <w:t> </w:t>
      </w:r>
      <w:r>
        <w:rPr>
          <w:spacing w:val="-8"/>
        </w:rPr>
        <w:t>“三精出版”理念，初步取得控品种、增效益的转型成效。根据开卷数据，</w:t>
      </w:r>
    </w:p>
    <w:p>
      <w:pPr>
        <w:pStyle w:val="BodyText"/>
        <w:spacing w:line="240" w:lineRule="auto" w:before="133"/>
        <w:ind w:right="205"/>
        <w:jc w:val="left"/>
      </w:pPr>
      <w:r>
        <w:rPr>
          <w:rFonts w:ascii="宋体" w:hAnsi="宋体" w:cs="宋体" w:eastAsia="宋体" w:hint="default"/>
        </w:rPr>
        <w:t>2018</w:t>
      </w:r>
      <w:r>
        <w:rPr>
          <w:rFonts w:ascii="宋体" w:hAnsi="宋体" w:cs="宋体" w:eastAsia="宋体" w:hint="default"/>
          <w:spacing w:val="-56"/>
        </w:rPr>
        <w:t> </w:t>
      </w:r>
      <w:r>
        <w:rPr/>
        <w:t>年新书品种</w:t>
      </w:r>
      <w:r>
        <w:rPr>
          <w:spacing w:val="-54"/>
        </w:rPr>
        <w:t> </w:t>
      </w:r>
      <w:r>
        <w:rPr>
          <w:rFonts w:ascii="宋体" w:hAnsi="宋体" w:cs="宋体" w:eastAsia="宋体" w:hint="default"/>
        </w:rPr>
        <w:t>3267</w:t>
      </w:r>
      <w:r>
        <w:rPr>
          <w:rFonts w:ascii="宋体" w:hAnsi="宋体" w:cs="宋体" w:eastAsia="宋体" w:hint="default"/>
          <w:spacing w:val="-54"/>
        </w:rPr>
        <w:t> </w:t>
      </w:r>
      <w:r>
        <w:rPr/>
        <w:t>种，同比增长</w:t>
      </w:r>
      <w:r>
        <w:rPr>
          <w:spacing w:val="-53"/>
        </w:rPr>
        <w:t> </w:t>
      </w:r>
      <w:r>
        <w:rPr>
          <w:rFonts w:ascii="宋体" w:hAnsi="宋体" w:cs="宋体" w:eastAsia="宋体" w:hint="default"/>
        </w:rPr>
        <w:t>20%</w:t>
      </w:r>
      <w:r>
        <w:rPr/>
        <w:t>，较</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25%</w:t>
      </w:r>
      <w:r>
        <w:rPr/>
        <w:t>的增长有所放缓，但销售码洋增长率却从</w:t>
      </w:r>
    </w:p>
    <w:p>
      <w:pPr>
        <w:spacing w:after="0" w:line="240" w:lineRule="auto"/>
        <w:jc w:val="left"/>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6"/>
        <w:ind w:left="565" w:right="117" w:hanging="425"/>
        <w:jc w:val="left"/>
      </w:pPr>
      <w:r>
        <w:rPr>
          <w:rFonts w:ascii="宋体" w:hAnsi="宋体" w:cs="宋体" w:eastAsia="宋体" w:hint="default"/>
        </w:rPr>
        <w:t>2017</w:t>
      </w:r>
      <w:r>
        <w:rPr>
          <w:rFonts w:ascii="宋体" w:hAnsi="宋体" w:cs="宋体" w:eastAsia="宋体" w:hint="default"/>
          <w:spacing w:val="-55"/>
        </w:rPr>
        <w:t> </w:t>
      </w:r>
      <w:r>
        <w:rPr/>
        <w:t>年的</w:t>
      </w:r>
      <w:r>
        <w:rPr>
          <w:spacing w:val="-53"/>
        </w:rPr>
        <w:t> </w:t>
      </w:r>
      <w:r>
        <w:rPr>
          <w:rFonts w:ascii="宋体" w:hAnsi="宋体" w:cs="宋体" w:eastAsia="宋体" w:hint="default"/>
        </w:rPr>
        <w:t>48%</w:t>
      </w:r>
      <w:r>
        <w:rPr/>
        <w:t>上升到</w:t>
      </w:r>
      <w:r>
        <w:rPr>
          <w:spacing w:val="-53"/>
        </w:rPr>
        <w:t> </w:t>
      </w:r>
      <w:r>
        <w:rPr>
          <w:rFonts w:ascii="宋体" w:hAnsi="宋体" w:cs="宋体" w:eastAsia="宋体" w:hint="default"/>
        </w:rPr>
        <w:t>128%</w:t>
      </w:r>
      <w:r>
        <w:rPr/>
        <w:t>。</w:t>
      </w:r>
      <w:r>
        <w:rPr>
          <w:w w:val="100"/>
        </w:rPr>
        <w:t> </w:t>
      </w:r>
      <w:r>
        <w:rPr>
          <w:spacing w:val="-2"/>
        </w:rPr>
        <w:t>在市场销售方面，</w:t>
      </w:r>
      <w:r>
        <w:rPr>
          <w:rFonts w:ascii="宋体" w:hAnsi="宋体" w:cs="宋体" w:eastAsia="宋体" w:hint="default"/>
          <w:spacing w:val="-2"/>
        </w:rPr>
        <w:t>2018</w:t>
      </w:r>
      <w:r>
        <w:rPr>
          <w:spacing w:val="-2"/>
        </w:rPr>
        <w:t>年本公司年监控销售量</w:t>
      </w:r>
      <w:r>
        <w:rPr>
          <w:rFonts w:ascii="宋体" w:hAnsi="宋体" w:cs="宋体" w:eastAsia="宋体" w:hint="default"/>
          <w:spacing w:val="-2"/>
        </w:rPr>
        <w:t>10</w:t>
      </w:r>
      <w:r>
        <w:rPr>
          <w:spacing w:val="-2"/>
        </w:rPr>
        <w:t>万册以上的图书</w:t>
      </w:r>
      <w:r>
        <w:rPr>
          <w:rFonts w:ascii="宋体" w:hAnsi="宋体" w:cs="宋体" w:eastAsia="宋体" w:hint="default"/>
          <w:spacing w:val="-2"/>
        </w:rPr>
        <w:t>64</w:t>
      </w:r>
      <w:r>
        <w:rPr>
          <w:spacing w:val="-2"/>
        </w:rPr>
        <w:t>种，有</w:t>
      </w:r>
      <w:r>
        <w:rPr>
          <w:rFonts w:ascii="宋体" w:hAnsi="宋体" w:cs="宋体" w:eastAsia="宋体" w:hint="default"/>
          <w:spacing w:val="-2"/>
        </w:rPr>
        <w:t>43</w:t>
      </w:r>
      <w:r>
        <w:rPr>
          <w:spacing w:val="-2"/>
        </w:rPr>
        <w:t>个品种进入全国畅</w:t>
      </w:r>
    </w:p>
    <w:p>
      <w:pPr>
        <w:pStyle w:val="BodyText"/>
        <w:spacing w:line="355" w:lineRule="auto" w:before="32"/>
        <w:ind w:left="140" w:right="213"/>
        <w:jc w:val="both"/>
      </w:pPr>
      <w:r>
        <w:rPr>
          <w:spacing w:val="-2"/>
        </w:rPr>
        <w:t>销榜</w:t>
      </w:r>
      <w:r>
        <w:rPr>
          <w:rFonts w:ascii="宋体" w:hAnsi="宋体" w:cs="宋体" w:eastAsia="宋体" w:hint="default"/>
          <w:spacing w:val="-2"/>
        </w:rPr>
        <w:t>TOP500</w:t>
      </w:r>
      <w:r>
        <w:rPr>
          <w:spacing w:val="-2"/>
        </w:rPr>
        <w:t>，比</w:t>
      </w:r>
      <w:r>
        <w:rPr>
          <w:rFonts w:ascii="宋体" w:hAnsi="宋体" w:cs="宋体" w:eastAsia="宋体" w:hint="default"/>
          <w:spacing w:val="-2"/>
        </w:rPr>
        <w:t>2017</w:t>
      </w:r>
      <w:r>
        <w:rPr>
          <w:spacing w:val="-2"/>
        </w:rPr>
        <w:t>年增加了</w:t>
      </w:r>
      <w:r>
        <w:rPr>
          <w:rFonts w:ascii="宋体" w:hAnsi="宋体" w:cs="宋体" w:eastAsia="宋体" w:hint="default"/>
          <w:spacing w:val="-2"/>
        </w:rPr>
        <w:t>11</w:t>
      </w:r>
      <w:r>
        <w:rPr>
          <w:spacing w:val="-2"/>
        </w:rPr>
        <w:t>种，有市场影响力的图书不断增多。其中少儿社的“米小圈系列”</w:t>
      </w:r>
      <w:r>
        <w:rPr>
          <w:spacing w:val="-22"/>
        </w:rPr>
        <w:t> </w:t>
      </w:r>
      <w:r>
        <w:rPr>
          <w:spacing w:val="-22"/>
        </w:rPr>
      </w:r>
      <w:r>
        <w:rPr/>
        <w:t>截止</w:t>
      </w:r>
      <w:r>
        <w:rPr>
          <w:rFonts w:ascii="宋体" w:hAnsi="宋体" w:cs="宋体" w:eastAsia="宋体" w:hint="default"/>
        </w:rPr>
        <w:t>2018</w:t>
      </w:r>
      <w:r>
        <w:rPr/>
        <w:t>年末净发货册数</w:t>
      </w:r>
      <w:r>
        <w:rPr>
          <w:rFonts w:ascii="宋体" w:hAnsi="宋体" w:cs="宋体" w:eastAsia="宋体" w:hint="default"/>
        </w:rPr>
        <w:t>5,064</w:t>
      </w:r>
      <w:r>
        <w:rPr/>
        <w:t>万册，天地社“汪汪队系列”累计净发货</w:t>
      </w:r>
      <w:r>
        <w:rPr>
          <w:rFonts w:ascii="宋体" w:hAnsi="宋体" w:cs="宋体" w:eastAsia="宋体" w:hint="default"/>
        </w:rPr>
        <w:t>820</w:t>
      </w:r>
      <w:r>
        <w:rPr/>
        <w:t>万册。</w:t>
      </w:r>
    </w:p>
    <w:p>
      <w:pPr>
        <w:pStyle w:val="BodyText"/>
        <w:spacing w:line="357" w:lineRule="auto" w:before="34"/>
        <w:ind w:left="140" w:right="211" w:firstLine="420"/>
        <w:jc w:val="right"/>
      </w:pPr>
      <w:r>
        <w:rPr>
          <w:rFonts w:ascii="宋体" w:hAnsi="宋体" w:cs="宋体" w:eastAsia="宋体" w:hint="default"/>
          <w:spacing w:val="-2"/>
        </w:rPr>
        <w:t>2018</w:t>
      </w:r>
      <w:r>
        <w:rPr>
          <w:spacing w:val="-2"/>
        </w:rPr>
        <w:t>年，文轩出版成果颇丰。《社会主义核心价值观与当代中国发展丛书》《羌族影像志——</w:t>
      </w:r>
      <w:r>
        <w:rPr>
          <w:w w:val="100"/>
        </w:rPr>
        <w:t> </w:t>
      </w:r>
      <w:r>
        <w:rPr>
          <w:spacing w:val="-2"/>
        </w:rPr>
        <w:t>从叠溪大地震到汶川大地震》等多个项目入选</w:t>
      </w:r>
      <w:r>
        <w:rPr>
          <w:rFonts w:ascii="宋体" w:hAnsi="宋体" w:cs="宋体" w:eastAsia="宋体" w:hint="default"/>
          <w:spacing w:val="-2"/>
        </w:rPr>
        <w:t>2018</w:t>
      </w:r>
      <w:r>
        <w:rPr>
          <w:spacing w:val="-2"/>
        </w:rPr>
        <w:t>国家出版基金主题出版项目，《羌族石刻文献集</w:t>
      </w:r>
      <w:r>
        <w:rPr>
          <w:spacing w:val="-45"/>
        </w:rPr>
        <w:t> </w:t>
      </w:r>
      <w:r>
        <w:rPr>
          <w:spacing w:val="-45"/>
        </w:rPr>
      </w:r>
      <w:r>
        <w:rPr>
          <w:spacing w:val="-2"/>
        </w:rPr>
        <w:t>成》《大明一统志》《三苏选集》等图书入选国家古籍整理出版资助项目，《青藏高原考古》等项</w:t>
      </w:r>
      <w:r>
        <w:rPr>
          <w:spacing w:val="-59"/>
        </w:rPr>
        <w:t> </w:t>
      </w:r>
      <w:r>
        <w:rPr>
          <w:spacing w:val="-59"/>
        </w:rPr>
      </w:r>
      <w:r>
        <w:rPr>
          <w:spacing w:val="-7"/>
          <w:w w:val="100"/>
        </w:rPr>
        <w:t>目列入“十三五”国家重点图书出版物出版规划，《蛟龙逐梦》荣获第七届徐迟报告文学奖提名奖。</w:t>
      </w:r>
      <w:r>
        <w:rPr>
          <w:spacing w:val="-98"/>
          <w:w w:val="100"/>
        </w:rPr>
        <w:t> </w:t>
      </w:r>
      <w:r>
        <w:rPr>
          <w:spacing w:val="-98"/>
          <w:w w:val="100"/>
        </w:rPr>
      </w:r>
      <w:r>
        <w:rPr>
          <w:spacing w:val="-2"/>
        </w:rPr>
        <w:t>公司在内容、渠道、</w:t>
      </w:r>
      <w:r>
        <w:rPr>
          <w:rFonts w:ascii="宋体" w:hAnsi="宋体" w:cs="宋体" w:eastAsia="宋体" w:hint="default"/>
          <w:spacing w:val="-2"/>
        </w:rPr>
        <w:t>IP</w:t>
      </w:r>
      <w:r>
        <w:rPr>
          <w:spacing w:val="-2"/>
        </w:rPr>
        <w:t>、机制等多个维度开展了一系列出版融合的探索。</w:t>
      </w:r>
      <w:r>
        <w:rPr>
          <w:rFonts w:ascii="宋体" w:hAnsi="宋体" w:cs="宋体" w:eastAsia="宋体" w:hint="default"/>
          <w:spacing w:val="-2"/>
        </w:rPr>
        <w:t>2018</w:t>
      </w:r>
      <w:r>
        <w:rPr>
          <w:spacing w:val="-2"/>
        </w:rPr>
        <w:t>年，为抢抓优质</w:t>
      </w:r>
    </w:p>
    <w:p>
      <w:pPr>
        <w:pStyle w:val="BodyText"/>
        <w:spacing w:line="324" w:lineRule="auto" w:before="32"/>
        <w:ind w:left="140" w:right="117"/>
        <w:jc w:val="left"/>
      </w:pPr>
      <w:r>
        <w:rPr>
          <w:spacing w:val="-2"/>
        </w:rPr>
        <w:t>医学内容资源，与四川大学华西医院达成战略合作协议，共同推出《健康中国</w:t>
      </w:r>
      <w:r>
        <w:rPr>
          <w:rFonts w:ascii="Calibri" w:hAnsi="Calibri" w:cs="Calibri" w:eastAsia="Calibri" w:hint="default"/>
          <w:spacing w:val="-2"/>
        </w:rPr>
        <w:t>•</w:t>
      </w:r>
      <w:r>
        <w:rPr>
          <w:spacing w:val="-2"/>
        </w:rPr>
        <w:t>华西医学大系》等</w:t>
      </w:r>
      <w:r>
        <w:rPr>
          <w:spacing w:val="-26"/>
        </w:rPr>
        <w:t> </w:t>
      </w:r>
      <w:r>
        <w:rPr>
          <w:spacing w:val="-26"/>
        </w:rPr>
      </w:r>
      <w:r>
        <w:rPr/>
        <w:t>高品质医学出版物。</w:t>
      </w:r>
    </w:p>
    <w:p>
      <w:pPr>
        <w:pStyle w:val="BodyText"/>
        <w:spacing w:line="357" w:lineRule="auto" w:before="59"/>
        <w:ind w:left="140" w:right="117" w:firstLine="424"/>
        <w:jc w:val="left"/>
      </w:pPr>
      <w:r>
        <w:rPr>
          <w:spacing w:val="-5"/>
        </w:rPr>
        <w:t>凭借良好的品牌影响力和号召力，本公司与国内众多优秀作者签约合作，如全国知名作家阿来、</w:t>
      </w:r>
      <w:r>
        <w:rPr>
          <w:w w:val="100"/>
        </w:rPr>
        <w:t> </w:t>
      </w:r>
      <w:r>
        <w:rPr/>
        <w:t>王蒙、马识途、何建明、池莉、梅毅、徐则臣等；著名儿童文学作家北猫、孙幼军、郑春华、沈石</w:t>
      </w:r>
      <w:r>
        <w:rPr>
          <w:w w:val="100"/>
        </w:rPr>
        <w:t> </w:t>
      </w:r>
      <w:r>
        <w:rPr/>
        <w:t>溪、李牧雨等；热门</w:t>
      </w:r>
      <w:r>
        <w:rPr>
          <w:rFonts w:ascii="宋体" w:hAnsi="宋体" w:cs="宋体" w:eastAsia="宋体" w:hint="default"/>
        </w:rPr>
        <w:t>IP</w:t>
      </w:r>
      <w:r>
        <w:rPr/>
        <w:t>网络作家墨香铜臭、唐家三少等；著名艺术家何多苓、徐匡、罗中立等；著</w:t>
      </w:r>
      <w:r>
        <w:rPr>
          <w:w w:val="100"/>
        </w:rPr>
        <w:t> </w:t>
      </w:r>
      <w:r>
        <w:rPr/>
        <w:t>名科幻作家刘慈欣、王晋康等；知名学术作者孙华、赵丽明、冯达文、谭继和、曾枣庄等。本公司</w:t>
      </w:r>
      <w:r>
        <w:rPr>
          <w:w w:val="100"/>
        </w:rPr>
        <w:t> </w:t>
      </w:r>
      <w:r>
        <w:rPr>
          <w:spacing w:val="-3"/>
        </w:rPr>
        <w:t>引进版权图书的出版也获得成功，如</w:t>
      </w:r>
      <w:r>
        <w:rPr>
          <w:rFonts w:ascii="宋体" w:hAnsi="宋体" w:cs="宋体" w:eastAsia="宋体" w:hint="default"/>
          <w:spacing w:val="-3"/>
        </w:rPr>
        <w:t>2018</w:t>
      </w:r>
      <w:r>
        <w:rPr>
          <w:spacing w:val="-3"/>
        </w:rPr>
        <w:t>年末欧美市场的第一畅销书</w:t>
      </w:r>
      <w:r>
        <w:rPr>
          <w:rFonts w:ascii="Calibri" w:hAnsi="Calibri" w:cs="Calibri" w:eastAsia="Calibri" w:hint="default"/>
          <w:spacing w:val="-3"/>
        </w:rPr>
        <w:t>——</w:t>
      </w:r>
      <w:r>
        <w:rPr>
          <w:spacing w:val="-3"/>
        </w:rPr>
        <w:t>米歇尔</w:t>
      </w:r>
      <w:r>
        <w:rPr>
          <w:rFonts w:ascii="Calibri" w:hAnsi="Calibri" w:cs="Calibri" w:eastAsia="Calibri" w:hint="default"/>
          <w:spacing w:val="-3"/>
        </w:rPr>
        <w:t>•</w:t>
      </w:r>
      <w:r>
        <w:rPr>
          <w:spacing w:val="-3"/>
        </w:rPr>
        <w:t>奥巴马的自传作品</w:t>
      </w:r>
    </w:p>
    <w:p>
      <w:pPr>
        <w:pStyle w:val="BodyText"/>
        <w:spacing w:line="283" w:lineRule="exact"/>
        <w:ind w:left="140" w:right="0"/>
        <w:jc w:val="both"/>
      </w:pPr>
      <w:r>
        <w:rPr/>
        <w:t>《成为》的成功出版，罗伯特</w:t>
      </w:r>
      <w:r>
        <w:rPr>
          <w:rFonts w:ascii="Calibri" w:hAnsi="Calibri" w:cs="Calibri" w:eastAsia="Calibri" w:hint="default"/>
        </w:rPr>
        <w:t>·</w:t>
      </w:r>
      <w:r>
        <w:rPr/>
        <w:t>清崎的</w:t>
      </w:r>
      <w:r>
        <w:rPr>
          <w:rFonts w:ascii="Calibri" w:hAnsi="Calibri" w:cs="Calibri" w:eastAsia="Calibri" w:hint="default"/>
        </w:rPr>
        <w:t>“</w:t>
      </w:r>
      <w:r>
        <w:rPr/>
        <w:t>富爸爸穷爸爸</w:t>
      </w:r>
      <w:r>
        <w:rPr>
          <w:rFonts w:ascii="Calibri" w:hAnsi="Calibri" w:cs="Calibri" w:eastAsia="Calibri" w:hint="default"/>
        </w:rPr>
        <w:t>”</w:t>
      </w:r>
      <w:r>
        <w:rPr/>
        <w:t>系列</w:t>
      </w:r>
      <w:r>
        <w:rPr>
          <w:rFonts w:ascii="宋体" w:hAnsi="宋体" w:cs="宋体" w:eastAsia="宋体" w:hint="default"/>
        </w:rPr>
        <w:t>20</w:t>
      </w:r>
      <w:r>
        <w:rPr/>
        <w:t>年纪念版的畅销风行。本公司还与美国</w:t>
      </w:r>
    </w:p>
    <w:p>
      <w:pPr>
        <w:pStyle w:val="BodyText"/>
        <w:spacing w:line="357" w:lineRule="auto" w:before="106"/>
        <w:ind w:left="140" w:right="211"/>
        <w:jc w:val="both"/>
      </w:pPr>
      <w:r>
        <w:rPr>
          <w:spacing w:val="-4"/>
        </w:rPr>
        <w:t>的尼克儿童频道、孩之宝公司、迪士尼公司、</w:t>
      </w:r>
      <w:r>
        <w:rPr>
          <w:rFonts w:ascii="宋体" w:hAnsi="宋体" w:cs="宋体" w:eastAsia="宋体" w:hint="default"/>
          <w:spacing w:val="-4"/>
        </w:rPr>
        <w:t>IDW</w:t>
      </w:r>
      <w:r>
        <w:rPr>
          <w:spacing w:val="-4"/>
        </w:rPr>
        <w:t>公司、</w:t>
      </w:r>
      <w:r>
        <w:rPr>
          <w:rFonts w:ascii="宋体" w:hAnsi="宋体" w:cs="宋体" w:eastAsia="宋体" w:hint="default"/>
          <w:spacing w:val="-4"/>
        </w:rPr>
        <w:t>DC</w:t>
      </w:r>
      <w:r>
        <w:rPr>
          <w:spacing w:val="-4"/>
        </w:rPr>
        <w:t>公司，英国</w:t>
      </w:r>
      <w:r>
        <w:rPr>
          <w:rFonts w:ascii="宋体" w:hAnsi="宋体" w:cs="宋体" w:eastAsia="宋体" w:hint="default"/>
          <w:spacing w:val="-4"/>
        </w:rPr>
        <w:t>DK</w:t>
      </w:r>
      <w:r>
        <w:rPr>
          <w:spacing w:val="-4"/>
        </w:rPr>
        <w:t>出版公司、华强方特</w:t>
      </w:r>
      <w:r>
        <w:rPr>
          <w:rFonts w:ascii="宋体" w:hAnsi="宋体" w:cs="宋体" w:eastAsia="宋体" w:hint="default"/>
          <w:spacing w:val="-4"/>
        </w:rPr>
        <w:t>(</w:t>
      </w:r>
      <w:r>
        <w:rPr>
          <w:spacing w:val="-4"/>
        </w:rPr>
        <w:t>深圳</w:t>
      </w:r>
      <w:r>
        <w:rPr>
          <w:rFonts w:ascii="宋体" w:hAnsi="宋体" w:cs="宋体" w:eastAsia="宋体" w:hint="default"/>
          <w:spacing w:val="-4"/>
        </w:rPr>
        <w:t>)</w:t>
      </w:r>
      <w:r>
        <w:rPr>
          <w:rFonts w:ascii="宋体" w:hAnsi="宋体" w:cs="宋体" w:eastAsia="宋体" w:hint="default"/>
          <w:spacing w:val="-36"/>
        </w:rPr>
        <w:t> </w:t>
      </w:r>
      <w:r>
        <w:rPr>
          <w:spacing w:val="-2"/>
        </w:rPr>
        <w:t>动漫有限公司、台湾英文汉声出版股份有限公司等国内外优质出版资源机构保持长期友好的合作伙</w:t>
      </w:r>
      <w:r>
        <w:rPr>
          <w:spacing w:val="-30"/>
        </w:rPr>
        <w:t> </w:t>
      </w:r>
      <w:r>
        <w:rPr>
          <w:spacing w:val="-30"/>
        </w:rPr>
      </w:r>
      <w:r>
        <w:rPr>
          <w:spacing w:val="-2"/>
        </w:rPr>
        <w:t>伴关系，是目前全球知名</w:t>
      </w:r>
      <w:r>
        <w:rPr>
          <w:rFonts w:ascii="宋体" w:hAnsi="宋体" w:cs="宋体" w:eastAsia="宋体" w:hint="default"/>
          <w:spacing w:val="-2"/>
        </w:rPr>
        <w:t>IP</w:t>
      </w:r>
      <w:r>
        <w:rPr>
          <w:spacing w:val="-2"/>
        </w:rPr>
        <w:t>如《汪汪队》《钢铁侠》《蜘蛛侠》《复仇者联盟》等图书在中国的主</w:t>
      </w:r>
      <w:r>
        <w:rPr>
          <w:spacing w:val="-33"/>
        </w:rPr>
        <w:t> </w:t>
      </w:r>
      <w:r>
        <w:rPr>
          <w:spacing w:val="-33"/>
        </w:rPr>
      </w:r>
      <w:r>
        <w:rPr/>
        <w:t>要出版合作机构。</w:t>
      </w:r>
    </w:p>
    <w:p>
      <w:pPr>
        <w:pStyle w:val="BodyText"/>
        <w:spacing w:line="357" w:lineRule="auto" w:before="30"/>
        <w:ind w:left="140" w:right="210" w:firstLine="424"/>
        <w:jc w:val="both"/>
      </w:pPr>
      <w:r>
        <w:rPr/>
        <w:t>报告期内，出版业务中一般图书销售码洋</w:t>
      </w:r>
      <w:r>
        <w:rPr>
          <w:spacing w:val="-32"/>
        </w:rPr>
        <w:t> </w:t>
      </w:r>
      <w:r>
        <w:rPr>
          <w:rFonts w:ascii="宋体" w:hAnsi="宋体" w:cs="宋体" w:eastAsia="宋体" w:hint="default"/>
        </w:rPr>
        <w:t>220,212.38</w:t>
      </w:r>
      <w:r>
        <w:rPr>
          <w:rFonts w:ascii="宋体" w:hAnsi="宋体" w:cs="宋体" w:eastAsia="宋体" w:hint="default"/>
          <w:spacing w:val="-29"/>
        </w:rPr>
        <w:t> </w:t>
      </w:r>
      <w:r>
        <w:rPr/>
        <w:t>万元，销售收入</w:t>
      </w:r>
      <w:r>
        <w:rPr>
          <w:spacing w:val="-30"/>
        </w:rPr>
        <w:t> </w:t>
      </w:r>
      <w:r>
        <w:rPr>
          <w:rFonts w:ascii="宋体" w:hAnsi="宋体" w:cs="宋体" w:eastAsia="宋体" w:hint="default"/>
        </w:rPr>
        <w:t>78,634.32</w:t>
      </w:r>
      <w:r>
        <w:rPr>
          <w:rFonts w:ascii="宋体" w:hAnsi="宋体" w:cs="宋体" w:eastAsia="宋体" w:hint="default"/>
          <w:spacing w:val="-29"/>
        </w:rPr>
        <w:t> </w:t>
      </w:r>
      <w:r>
        <w:rPr/>
        <w:t>万元，同比</w:t>
      </w:r>
      <w:r>
        <w:rPr>
          <w:w w:val="100"/>
        </w:rPr>
        <w:t> </w:t>
      </w:r>
      <w:r>
        <w:rPr/>
        <w:t>增长</w:t>
      </w:r>
      <w:r>
        <w:rPr>
          <w:spacing w:val="-46"/>
        </w:rPr>
        <w:t> </w:t>
      </w:r>
      <w:r>
        <w:rPr>
          <w:rFonts w:ascii="宋体" w:hAnsi="宋体" w:cs="宋体" w:eastAsia="宋体" w:hint="default"/>
          <w:spacing w:val="-3"/>
        </w:rPr>
        <w:t>36.43%</w:t>
      </w:r>
      <w:r>
        <w:rPr>
          <w:spacing w:val="-3"/>
        </w:rPr>
        <w:t>；成本为</w:t>
      </w:r>
      <w:r>
        <w:rPr>
          <w:spacing w:val="-46"/>
        </w:rPr>
        <w:t> </w:t>
      </w:r>
      <w:r>
        <w:rPr>
          <w:rFonts w:ascii="宋体" w:hAnsi="宋体" w:cs="宋体" w:eastAsia="宋体" w:hint="default"/>
        </w:rPr>
        <w:t>52,516.67</w:t>
      </w:r>
      <w:r>
        <w:rPr>
          <w:rFonts w:ascii="宋体" w:hAnsi="宋体" w:cs="宋体" w:eastAsia="宋体" w:hint="default"/>
          <w:spacing w:val="-48"/>
        </w:rPr>
        <w:t> </w:t>
      </w:r>
      <w:r>
        <w:rPr>
          <w:spacing w:val="-4"/>
        </w:rPr>
        <w:t>万元，同比增长</w:t>
      </w:r>
      <w:r>
        <w:rPr>
          <w:spacing w:val="-46"/>
        </w:rPr>
        <w:t> </w:t>
      </w:r>
      <w:r>
        <w:rPr>
          <w:rFonts w:ascii="宋体" w:hAnsi="宋体" w:cs="宋体" w:eastAsia="宋体" w:hint="default"/>
          <w:spacing w:val="-3"/>
        </w:rPr>
        <w:t>34.72%</w:t>
      </w:r>
      <w:r>
        <w:rPr>
          <w:spacing w:val="-3"/>
        </w:rPr>
        <w:t>；毛利率为</w:t>
      </w:r>
      <w:r>
        <w:rPr>
          <w:spacing w:val="-46"/>
        </w:rPr>
        <w:t> </w:t>
      </w:r>
      <w:r>
        <w:rPr>
          <w:rFonts w:ascii="宋体" w:hAnsi="宋体" w:cs="宋体" w:eastAsia="宋体" w:hint="default"/>
          <w:spacing w:val="-3"/>
        </w:rPr>
        <w:t>33.21%</w:t>
      </w:r>
      <w:r>
        <w:rPr>
          <w:spacing w:val="-3"/>
        </w:rPr>
        <w:t>，同比增长</w:t>
      </w:r>
      <w:r>
        <w:rPr>
          <w:spacing w:val="-45"/>
        </w:rPr>
        <w:t> </w:t>
      </w:r>
      <w:r>
        <w:rPr>
          <w:rFonts w:ascii="宋体" w:hAnsi="宋体" w:cs="宋体" w:eastAsia="宋体" w:hint="default"/>
        </w:rPr>
        <w:t>0.85</w:t>
      </w:r>
      <w:r>
        <w:rPr>
          <w:rFonts w:ascii="宋体" w:hAnsi="宋体" w:cs="宋体" w:eastAsia="宋体" w:hint="default"/>
          <w:spacing w:val="-46"/>
        </w:rPr>
        <w:t> </w:t>
      </w:r>
      <w:r>
        <w:rPr/>
        <w:t>个百分</w:t>
      </w:r>
      <w:r>
        <w:rPr>
          <w:spacing w:val="-101"/>
        </w:rPr>
        <w:t> </w:t>
      </w:r>
      <w:r>
        <w:rPr>
          <w:spacing w:val="-101"/>
        </w:rPr>
      </w:r>
      <w:r>
        <w:rPr/>
        <w:t>点。</w:t>
      </w:r>
    </w:p>
    <w:p>
      <w:pPr>
        <w:pStyle w:val="BodyText"/>
        <w:spacing w:line="240" w:lineRule="auto" w:before="30"/>
        <w:ind w:left="565" w:right="117"/>
        <w:jc w:val="left"/>
      </w:pPr>
      <w:r>
        <w:rPr>
          <w:w w:val="100"/>
        </w:rPr>
        <w:t>收</w:t>
      </w:r>
      <w:r>
        <w:rPr>
          <w:spacing w:val="-3"/>
          <w:w w:val="100"/>
        </w:rPr>
        <w:t>入</w:t>
      </w:r>
      <w:r>
        <w:rPr>
          <w:w w:val="100"/>
        </w:rPr>
        <w:t>确</w:t>
      </w:r>
      <w:r>
        <w:rPr>
          <w:spacing w:val="-3"/>
          <w:w w:val="100"/>
        </w:rPr>
        <w:t>认</w:t>
      </w:r>
      <w:r>
        <w:rPr>
          <w:w w:val="100"/>
        </w:rPr>
        <w:t>原</w:t>
      </w:r>
      <w:r>
        <w:rPr>
          <w:spacing w:val="-3"/>
          <w:w w:val="100"/>
        </w:rPr>
        <w:t>则</w:t>
      </w:r>
      <w:r>
        <w:rPr>
          <w:w w:val="100"/>
        </w:rPr>
        <w:t>详</w:t>
      </w:r>
      <w:r>
        <w:rPr>
          <w:spacing w:val="-3"/>
          <w:w w:val="100"/>
        </w:rPr>
        <w:t>见</w:t>
      </w:r>
      <w:r>
        <w:rPr>
          <w:w w:val="100"/>
        </w:rPr>
        <w:t>第</w:t>
      </w:r>
      <w:r>
        <w:rPr>
          <w:spacing w:val="-3"/>
          <w:w w:val="100"/>
        </w:rPr>
        <w:t>十一</w:t>
      </w:r>
      <w:r>
        <w:rPr>
          <w:w w:val="100"/>
        </w:rPr>
        <w:t>节财</w:t>
      </w:r>
      <w:r>
        <w:rPr>
          <w:spacing w:val="-3"/>
          <w:w w:val="100"/>
        </w:rPr>
        <w:t>务</w:t>
      </w:r>
      <w:r>
        <w:rPr>
          <w:w w:val="100"/>
        </w:rPr>
        <w:t>报</w:t>
      </w:r>
      <w:r>
        <w:rPr>
          <w:spacing w:val="-3"/>
          <w:w w:val="100"/>
        </w:rPr>
        <w:t>告</w:t>
      </w:r>
      <w:r>
        <w:rPr>
          <w:w w:val="100"/>
        </w:rPr>
        <w:t>“</w:t>
      </w:r>
      <w:r>
        <w:rPr>
          <w:spacing w:val="-3"/>
          <w:w w:val="100"/>
        </w:rPr>
        <w:t>附</w:t>
      </w:r>
      <w:r>
        <w:rPr>
          <w:w w:val="100"/>
        </w:rPr>
        <w:t>注</w:t>
      </w:r>
      <w:r>
        <w:rPr>
          <w:spacing w:val="-3"/>
          <w:w w:val="100"/>
        </w:rPr>
        <w:t>五</w:t>
      </w:r>
      <w:r>
        <w:rPr>
          <w:w w:val="100"/>
        </w:rPr>
        <w:t>、</w:t>
      </w:r>
      <w:r>
        <w:rPr>
          <w:spacing w:val="-3"/>
          <w:w w:val="100"/>
        </w:rPr>
        <w:t>重</w:t>
      </w:r>
      <w:r>
        <w:rPr>
          <w:w w:val="100"/>
        </w:rPr>
        <w:t>要会</w:t>
      </w:r>
      <w:r>
        <w:rPr>
          <w:spacing w:val="-3"/>
          <w:w w:val="100"/>
        </w:rPr>
        <w:t>计</w:t>
      </w:r>
      <w:r>
        <w:rPr>
          <w:w w:val="100"/>
        </w:rPr>
        <w:t>政</w:t>
      </w:r>
      <w:r>
        <w:rPr>
          <w:spacing w:val="-3"/>
          <w:w w:val="100"/>
        </w:rPr>
        <w:t>策</w:t>
      </w:r>
      <w:r>
        <w:rPr>
          <w:w w:val="100"/>
        </w:rPr>
        <w:t>及</w:t>
      </w:r>
      <w:r>
        <w:rPr>
          <w:spacing w:val="-3"/>
          <w:w w:val="100"/>
        </w:rPr>
        <w:t>会</w:t>
      </w:r>
      <w:r>
        <w:rPr>
          <w:w w:val="100"/>
        </w:rPr>
        <w:t>计</w:t>
      </w:r>
      <w:r>
        <w:rPr>
          <w:spacing w:val="-3"/>
          <w:w w:val="100"/>
        </w:rPr>
        <w:t>估</w:t>
      </w:r>
      <w:r>
        <w:rPr>
          <w:spacing w:val="-1"/>
          <w:w w:val="100"/>
        </w:rPr>
        <w:t>计</w:t>
      </w:r>
      <w:r>
        <w:rPr>
          <w:spacing w:val="-3"/>
          <w:w w:val="100"/>
        </w:rPr>
        <w:t>—</w:t>
      </w:r>
      <w:r>
        <w:rPr>
          <w:w w:val="100"/>
        </w:rPr>
        <w:t>—</w:t>
      </w:r>
      <w:r>
        <w:rPr>
          <w:rFonts w:ascii="宋体" w:hAnsi="宋体" w:cs="宋体" w:eastAsia="宋体" w:hint="default"/>
          <w:w w:val="100"/>
        </w:rPr>
        <w:t>28</w:t>
      </w:r>
      <w:r>
        <w:rPr>
          <w:rFonts w:ascii="宋体" w:hAnsi="宋体" w:cs="宋体" w:eastAsia="宋体" w:hint="default"/>
          <w:spacing w:val="-3"/>
          <w:w w:val="100"/>
        </w:rPr>
        <w:t>.</w:t>
      </w:r>
      <w:r>
        <w:rPr>
          <w:w w:val="100"/>
        </w:rPr>
        <w:t>收入</w:t>
      </w:r>
      <w:r>
        <w:rPr>
          <w:spacing w:val="-108"/>
          <w:w w:val="100"/>
        </w:rPr>
        <w:t>”</w:t>
      </w:r>
      <w:r>
        <w:rPr>
          <w:w w:val="100"/>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90" w:lineRule="auto"/>
        <w:ind w:left="140" w:right="7539"/>
        <w:jc w:val="left"/>
        <w:rPr>
          <w:b w:val="0"/>
          <w:bCs w:val="0"/>
        </w:rPr>
      </w:pPr>
      <w:r>
        <w:rPr>
          <w:rFonts w:ascii="宋体" w:hAnsi="宋体" w:cs="宋体" w:eastAsia="宋体" w:hint="default"/>
        </w:rPr>
        <w:t>(2).</w:t>
      </w:r>
      <w:r>
        <w:rPr/>
        <w:t>发行业务</w:t>
      </w:r>
      <w:r>
        <w:rPr>
          <w:spacing w:val="-104"/>
        </w:rPr>
        <w:t> </w:t>
      </w:r>
      <w:r>
        <w:rPr/>
        <w:t>教材教辅发行业务</w:t>
      </w:r>
      <w:r>
        <w:rPr>
          <w:b w:val="0"/>
          <w:bCs w:val="0"/>
        </w:rPr>
      </w:r>
    </w:p>
    <w:p>
      <w:pPr>
        <w:pStyle w:val="BodyText"/>
        <w:spacing w:line="228" w:lineRule="exact"/>
        <w:ind w:left="140" w:right="117"/>
        <w:jc w:val="left"/>
      </w:pPr>
      <w:r>
        <w:rPr/>
        <w:t>√适用 □不适用</w:t>
      </w:r>
    </w:p>
    <w:p>
      <w:pPr>
        <w:pStyle w:val="BodyText"/>
        <w:spacing w:line="357" w:lineRule="auto"/>
        <w:ind w:left="140" w:right="211" w:firstLine="420"/>
        <w:jc w:val="both"/>
      </w:pPr>
      <w:r>
        <w:rPr/>
        <w:t>四川省对义务教育阶段中小学生教材供应实行政府单一来源采购政策。从 </w:t>
      </w:r>
      <w:r>
        <w:rPr>
          <w:rFonts w:ascii="宋体" w:hAnsi="宋体" w:cs="宋体" w:eastAsia="宋体" w:hint="default"/>
        </w:rPr>
        <w:t>2008</w:t>
      </w:r>
      <w:r>
        <w:rPr>
          <w:rFonts w:ascii="宋体" w:hAnsi="宋体" w:cs="宋体" w:eastAsia="宋体" w:hint="default"/>
          <w:spacing w:val="-12"/>
        </w:rPr>
        <w:t> </w:t>
      </w:r>
      <w:r>
        <w:rPr/>
        <w:t>年以来，新华</w:t>
      </w:r>
      <w:r>
        <w:rPr>
          <w:w w:val="100"/>
        </w:rPr>
        <w:t> </w:t>
      </w:r>
      <w:r>
        <w:rPr>
          <w:spacing w:val="-2"/>
        </w:rPr>
        <w:t>文轩作为单一来源采购的供货方，就单一来源采购具体事宜每年和省教育厅签订“城乡义务教育阶</w:t>
      </w:r>
      <w:r>
        <w:rPr>
          <w:spacing w:val="-30"/>
        </w:rPr>
        <w:t> </w:t>
      </w:r>
      <w:r>
        <w:rPr>
          <w:spacing w:val="-30"/>
        </w:rPr>
      </w:r>
      <w:r>
        <w:rPr/>
        <w:t>段学生免费教科书采购合同书”。</w:t>
      </w:r>
      <w:r>
        <w:rPr>
          <w:rFonts w:ascii="宋体" w:hAnsi="宋体" w:cs="宋体" w:eastAsia="宋体" w:hint="default"/>
        </w:rPr>
        <w:t>2018</w:t>
      </w:r>
      <w:r>
        <w:rPr>
          <w:rFonts w:ascii="宋体" w:hAnsi="宋体" w:cs="宋体" w:eastAsia="宋体" w:hint="default"/>
          <w:spacing w:val="-57"/>
        </w:rPr>
        <w:t> </w:t>
      </w:r>
      <w:r>
        <w:rPr/>
        <w:t>年，本公司与省教育厅签订“四川省</w:t>
      </w:r>
      <w:r>
        <w:rPr>
          <w:spacing w:val="-57"/>
        </w:rPr>
        <w:t> </w:t>
      </w:r>
      <w:r>
        <w:rPr>
          <w:rFonts w:ascii="宋体" w:hAnsi="宋体" w:cs="宋体" w:eastAsia="宋体" w:hint="default"/>
        </w:rPr>
        <w:t>2018</w:t>
      </w:r>
      <w:r>
        <w:rPr/>
        <w:t>—</w:t>
      </w:r>
      <w:r>
        <w:rPr>
          <w:rFonts w:ascii="宋体" w:hAnsi="宋体" w:cs="宋体" w:eastAsia="宋体" w:hint="default"/>
        </w:rPr>
        <w:t>2019</w:t>
      </w:r>
      <w:r>
        <w:rPr>
          <w:rFonts w:ascii="宋体" w:hAnsi="宋体" w:cs="宋体" w:eastAsia="宋体" w:hint="default"/>
          <w:spacing w:val="-55"/>
        </w:rPr>
        <w:t> </w:t>
      </w:r>
      <w:r>
        <w:rPr/>
        <w:t>学年城乡</w:t>
      </w:r>
      <w:r>
        <w:rPr>
          <w:w w:val="100"/>
        </w:rPr>
        <w:t> </w:t>
      </w:r>
      <w:r>
        <w:rPr/>
        <w:t>义务教育阶段学生免费教科书采购合同”。</w:t>
      </w:r>
    </w:p>
    <w:p>
      <w:pPr>
        <w:spacing w:after="0" w:line="357" w:lineRule="auto"/>
        <w:jc w:val="both"/>
        <w:sectPr>
          <w:pgSz w:w="11910" w:h="16840"/>
          <w:pgMar w:header="0" w:footer="1195" w:top="1060" w:bottom="1380" w:left="13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6"/>
        <w:ind w:left="140" w:right="113" w:firstLine="420"/>
        <w:jc w:val="both"/>
      </w:pPr>
      <w:r>
        <w:rPr>
          <w:spacing w:val="-2"/>
        </w:rPr>
        <w:t>销售模式：先由各市县教材分公司和“三州”新华书店收集当地教材教辅需求并由公司总部教</w:t>
      </w:r>
      <w:r>
        <w:rPr>
          <w:w w:val="100"/>
        </w:rPr>
        <w:t> </w:t>
      </w:r>
      <w:r>
        <w:rPr>
          <w:spacing w:val="-2"/>
        </w:rPr>
        <w:t>育服务事业部汇总需求后，统一安排印制和对外采购，分发给各市县教材分公司和“三州”新华书</w:t>
      </w:r>
      <w:r>
        <w:rPr>
          <w:spacing w:val="-34"/>
        </w:rPr>
        <w:t> </w:t>
      </w:r>
      <w:r>
        <w:rPr>
          <w:spacing w:val="-34"/>
        </w:rPr>
      </w:r>
      <w:r>
        <w:rPr/>
        <w:t>店，再由其提供给学校和学生。</w:t>
      </w:r>
    </w:p>
    <w:p>
      <w:pPr>
        <w:pStyle w:val="BodyText"/>
        <w:spacing w:line="357" w:lineRule="auto" w:before="32"/>
        <w:ind w:left="140" w:right="113" w:firstLine="420"/>
        <w:jc w:val="both"/>
      </w:pPr>
      <w:r>
        <w:rPr>
          <w:rFonts w:ascii="宋体" w:hAnsi="宋体" w:cs="宋体" w:eastAsia="宋体" w:hint="default"/>
          <w:spacing w:val="-1"/>
          <w:w w:val="100"/>
        </w:rPr>
        <w:t>2018</w:t>
      </w:r>
      <w:r>
        <w:rPr>
          <w:rFonts w:ascii="宋体" w:hAnsi="宋体" w:cs="宋体" w:eastAsia="宋体" w:hint="default"/>
          <w:spacing w:val="-53"/>
          <w:w w:val="100"/>
        </w:rPr>
        <w:t> </w:t>
      </w:r>
      <w:r>
        <w:rPr>
          <w:spacing w:val="-2"/>
          <w:w w:val="100"/>
        </w:rPr>
        <w:t>年教材教辅销售量</w:t>
      </w:r>
      <w:r>
        <w:rPr>
          <w:spacing w:val="-50"/>
          <w:w w:val="100"/>
        </w:rPr>
        <w:t> </w:t>
      </w:r>
      <w:r>
        <w:rPr>
          <w:rFonts w:ascii="宋体" w:hAnsi="宋体" w:cs="宋体" w:eastAsia="宋体" w:hint="default"/>
          <w:spacing w:val="-2"/>
          <w:w w:val="100"/>
        </w:rPr>
        <w:t>42,984.30</w:t>
      </w:r>
      <w:r>
        <w:rPr>
          <w:rFonts w:ascii="宋体" w:hAnsi="宋体" w:cs="宋体" w:eastAsia="宋体" w:hint="default"/>
          <w:spacing w:val="-51"/>
          <w:w w:val="100"/>
        </w:rPr>
        <w:t> </w:t>
      </w:r>
      <w:r>
        <w:rPr>
          <w:spacing w:val="-13"/>
          <w:w w:val="100"/>
        </w:rPr>
        <w:t>万册，销售码洋</w:t>
      </w:r>
      <w:r>
        <w:rPr>
          <w:spacing w:val="-51"/>
          <w:w w:val="100"/>
        </w:rPr>
        <w:t> </w:t>
      </w:r>
      <w:r>
        <w:rPr>
          <w:rFonts w:ascii="宋体" w:hAnsi="宋体" w:cs="宋体" w:eastAsia="宋体" w:hint="default"/>
          <w:spacing w:val="-1"/>
          <w:w w:val="100"/>
        </w:rPr>
        <w:t>419,234.47</w:t>
      </w:r>
      <w:r>
        <w:rPr>
          <w:rFonts w:ascii="宋体" w:hAnsi="宋体" w:cs="宋体" w:eastAsia="宋体" w:hint="default"/>
          <w:spacing w:val="2"/>
          <w:w w:val="100"/>
        </w:rPr>
        <w:t> </w:t>
      </w:r>
      <w:r>
        <w:rPr>
          <w:spacing w:val="-13"/>
          <w:w w:val="100"/>
        </w:rPr>
        <w:t>万元，销售收入</w:t>
      </w:r>
      <w:r>
        <w:rPr>
          <w:spacing w:val="-52"/>
          <w:w w:val="100"/>
        </w:rPr>
        <w:t> </w:t>
      </w:r>
      <w:r>
        <w:rPr>
          <w:rFonts w:ascii="宋体" w:hAnsi="宋体" w:cs="宋体" w:eastAsia="宋体" w:hint="default"/>
          <w:spacing w:val="-1"/>
          <w:w w:val="100"/>
        </w:rPr>
        <w:t>401,537.88</w:t>
      </w:r>
      <w:r>
        <w:rPr>
          <w:rFonts w:ascii="宋体" w:hAnsi="宋体" w:cs="宋体" w:eastAsia="宋体" w:hint="default"/>
          <w:spacing w:val="3"/>
          <w:w w:val="100"/>
        </w:rPr>
        <w:t> </w:t>
      </w:r>
      <w:r>
        <w:rPr>
          <w:w w:val="100"/>
        </w:rPr>
        <w:t>万 </w:t>
      </w:r>
      <w:r>
        <w:rPr/>
        <w:t>元，同比增长</w:t>
      </w:r>
      <w:r>
        <w:rPr>
          <w:spacing w:val="-55"/>
        </w:rPr>
        <w:t> </w:t>
      </w:r>
      <w:r>
        <w:rPr>
          <w:rFonts w:ascii="宋体" w:hAnsi="宋体" w:cs="宋体" w:eastAsia="宋体" w:hint="default"/>
        </w:rPr>
        <w:t>8.81%</w:t>
      </w:r>
      <w:r>
        <w:rPr/>
        <w:t>；毛利率</w:t>
      </w:r>
      <w:r>
        <w:rPr>
          <w:spacing w:val="-54"/>
        </w:rPr>
        <w:t> </w:t>
      </w:r>
      <w:r>
        <w:rPr>
          <w:rFonts w:ascii="宋体" w:hAnsi="宋体" w:cs="宋体" w:eastAsia="宋体" w:hint="default"/>
        </w:rPr>
        <w:t>39.79%</w:t>
      </w:r>
      <w:r>
        <w:rPr/>
        <w:t>，同比增长</w:t>
      </w:r>
      <w:r>
        <w:rPr>
          <w:spacing w:val="-55"/>
        </w:rPr>
        <w:t> </w:t>
      </w:r>
      <w:r>
        <w:rPr>
          <w:rFonts w:ascii="宋体" w:hAnsi="宋体" w:cs="宋体" w:eastAsia="宋体" w:hint="default"/>
        </w:rPr>
        <w:t>1.13</w:t>
      </w:r>
      <w:r>
        <w:rPr>
          <w:rFonts w:ascii="宋体" w:hAnsi="宋体" w:cs="宋体" w:eastAsia="宋体" w:hint="default"/>
          <w:spacing w:val="-54"/>
        </w:rPr>
        <w:t> </w:t>
      </w:r>
      <w:r>
        <w:rPr/>
        <w:t>个百分点。</w:t>
      </w:r>
    </w:p>
    <w:p>
      <w:pPr>
        <w:pStyle w:val="BodyText"/>
        <w:spacing w:line="240" w:lineRule="auto" w:before="30"/>
        <w:ind w:left="560" w:right="106"/>
        <w:jc w:val="left"/>
      </w:pPr>
      <w:r>
        <w:rPr/>
        <w:t>收入确认原则详见第十一节财务报告“附注五、重要会计政策及会计估计——</w:t>
      </w:r>
      <w:r>
        <w:rPr>
          <w:rFonts w:ascii="宋体" w:hAnsi="宋体" w:cs="宋体" w:eastAsia="宋体" w:hint="default"/>
        </w:rPr>
        <w:t>28.</w:t>
      </w:r>
      <w:r>
        <w:rPr/>
        <w:t>收入”。</w:t>
      </w:r>
    </w:p>
    <w:p>
      <w:pPr>
        <w:spacing w:line="240" w:lineRule="auto" w:before="11"/>
        <w:rPr>
          <w:rFonts w:ascii="宋体" w:hAnsi="宋体" w:cs="宋体" w:eastAsia="宋体" w:hint="default"/>
          <w:sz w:val="29"/>
          <w:szCs w:val="29"/>
        </w:rPr>
      </w:pPr>
    </w:p>
    <w:p>
      <w:pPr>
        <w:pStyle w:val="Heading2"/>
        <w:spacing w:line="273" w:lineRule="exact"/>
        <w:ind w:left="140" w:right="106"/>
        <w:jc w:val="left"/>
        <w:rPr>
          <w:b w:val="0"/>
          <w:bCs w:val="0"/>
        </w:rPr>
      </w:pPr>
      <w:r>
        <w:rPr/>
        <w:t>一般图书发行业务</w:t>
      </w:r>
      <w:r>
        <w:rPr>
          <w:b w:val="0"/>
          <w:bCs w:val="0"/>
        </w:rPr>
      </w:r>
    </w:p>
    <w:p>
      <w:pPr>
        <w:pStyle w:val="BodyText"/>
        <w:spacing w:line="240" w:lineRule="auto"/>
        <w:ind w:left="560" w:right="106" w:hanging="420"/>
        <w:jc w:val="left"/>
      </w:pPr>
      <w:r>
        <w:rPr/>
        <w:t>√适用</w:t>
      </w:r>
      <w:r>
        <w:rPr>
          <w:spacing w:val="-2"/>
        </w:rPr>
        <w:t> </w:t>
      </w:r>
      <w:r>
        <w:rPr/>
        <w:t>□不适用</w:t>
      </w:r>
      <w:r>
        <w:rPr>
          <w:spacing w:val="-103"/>
        </w:rPr>
        <w:t> </w:t>
      </w:r>
      <w:r>
        <w:rPr>
          <w:spacing w:val="-103"/>
        </w:rPr>
      </w:r>
      <w:r>
        <w:rPr>
          <w:spacing w:val="-2"/>
        </w:rPr>
        <w:t>随着技术的日益革新，整个大众图书市场环境已经发生变化，新媒体电商、社交电商成为新的</w:t>
      </w:r>
    </w:p>
    <w:p>
      <w:pPr>
        <w:pStyle w:val="BodyText"/>
        <w:spacing w:line="355" w:lineRule="auto" w:before="133"/>
        <w:ind w:left="140" w:right="106"/>
        <w:jc w:val="left"/>
      </w:pPr>
      <w:r>
        <w:rPr>
          <w:spacing w:val="-2"/>
        </w:rPr>
        <w:t>增长点。面对这些机遇和挑战，本公司加强多业态场景的构建，完善多渠道的销售模式，更好地满</w:t>
      </w:r>
      <w:r>
        <w:rPr>
          <w:spacing w:val="-34"/>
        </w:rPr>
        <w:t> </w:t>
      </w:r>
      <w:r>
        <w:rPr>
          <w:spacing w:val="-34"/>
        </w:rPr>
      </w:r>
      <w:r>
        <w:rPr/>
        <w:t>足消费者的需求。</w:t>
      </w:r>
    </w:p>
    <w:p>
      <w:pPr>
        <w:pStyle w:val="BodyText"/>
        <w:spacing w:line="357" w:lineRule="auto" w:before="32"/>
        <w:ind w:left="140" w:right="111" w:firstLine="420"/>
        <w:jc w:val="both"/>
      </w:pPr>
      <w:r>
        <w:rPr>
          <w:spacing w:val="3"/>
        </w:rPr>
        <w:t>报告期内，公司一般图书销售量为 </w:t>
      </w:r>
      <w:r>
        <w:rPr>
          <w:rFonts w:ascii="宋体" w:hAnsi="宋体" w:cs="宋体" w:eastAsia="宋体" w:hint="default"/>
        </w:rPr>
        <w:t>9,652.84 </w:t>
      </w:r>
      <w:r>
        <w:rPr>
          <w:spacing w:val="3"/>
        </w:rPr>
        <w:t>万册，销售码洋 </w:t>
      </w:r>
      <w:r>
        <w:rPr>
          <w:rFonts w:ascii="宋体" w:hAnsi="宋体" w:cs="宋体" w:eastAsia="宋体" w:hint="default"/>
        </w:rPr>
        <w:t>358,231.48</w:t>
      </w:r>
      <w:r>
        <w:rPr>
          <w:rFonts w:ascii="宋体" w:hAnsi="宋体" w:cs="宋体" w:eastAsia="宋体" w:hint="default"/>
          <w:spacing w:val="87"/>
        </w:rPr>
        <w:t> </w:t>
      </w:r>
      <w:r>
        <w:rPr>
          <w:spacing w:val="3"/>
        </w:rPr>
        <w:t>万元，销售收入</w:t>
      </w:r>
      <w:r>
        <w:rPr>
          <w:w w:val="100"/>
        </w:rPr>
        <w:t> </w:t>
      </w:r>
      <w:r>
        <w:rPr>
          <w:rFonts w:ascii="宋体" w:hAnsi="宋体" w:cs="宋体" w:eastAsia="宋体" w:hint="default"/>
        </w:rPr>
        <w:t>225,114.69</w:t>
      </w:r>
      <w:r>
        <w:rPr>
          <w:rFonts w:ascii="宋体" w:hAnsi="宋体" w:cs="宋体" w:eastAsia="宋体" w:hint="default"/>
          <w:spacing w:val="-45"/>
        </w:rPr>
        <w:t> </w:t>
      </w:r>
      <w:r>
        <w:rPr>
          <w:spacing w:val="-8"/>
        </w:rPr>
        <w:t>万元，同比增长</w:t>
      </w:r>
      <w:r>
        <w:rPr>
          <w:spacing w:val="-44"/>
        </w:rPr>
        <w:t> </w:t>
      </w:r>
      <w:r>
        <w:rPr>
          <w:rFonts w:ascii="宋体" w:hAnsi="宋体" w:cs="宋体" w:eastAsia="宋体" w:hint="default"/>
          <w:spacing w:val="-6"/>
        </w:rPr>
        <w:t>4.67%</w:t>
      </w:r>
      <w:r>
        <w:rPr>
          <w:spacing w:val="-6"/>
        </w:rPr>
        <w:t>；营业成本</w:t>
      </w:r>
      <w:r>
        <w:rPr>
          <w:spacing w:val="-47"/>
        </w:rPr>
        <w:t> </w:t>
      </w:r>
      <w:r>
        <w:rPr>
          <w:rFonts w:ascii="宋体" w:hAnsi="宋体" w:cs="宋体" w:eastAsia="宋体" w:hint="default"/>
        </w:rPr>
        <w:t>183,415.31</w:t>
      </w:r>
      <w:r>
        <w:rPr>
          <w:rFonts w:ascii="宋体" w:hAnsi="宋体" w:cs="宋体" w:eastAsia="宋体" w:hint="default"/>
          <w:spacing w:val="-47"/>
        </w:rPr>
        <w:t> </w:t>
      </w:r>
      <w:r>
        <w:rPr>
          <w:spacing w:val="-8"/>
        </w:rPr>
        <w:t>万元，同比增长</w:t>
      </w:r>
      <w:r>
        <w:rPr>
          <w:spacing w:val="-45"/>
        </w:rPr>
        <w:t> </w:t>
      </w:r>
      <w:r>
        <w:rPr>
          <w:rFonts w:ascii="宋体" w:hAnsi="宋体" w:cs="宋体" w:eastAsia="宋体" w:hint="default"/>
          <w:spacing w:val="-6"/>
        </w:rPr>
        <w:t>2.11%</w:t>
      </w:r>
      <w:r>
        <w:rPr>
          <w:spacing w:val="-6"/>
        </w:rPr>
        <w:t>；毛利率</w:t>
      </w:r>
      <w:r>
        <w:rPr>
          <w:spacing w:val="14"/>
        </w:rPr>
        <w:t> </w:t>
      </w:r>
      <w:r>
        <w:rPr>
          <w:rFonts w:ascii="宋体" w:hAnsi="宋体" w:cs="宋体" w:eastAsia="宋体" w:hint="default"/>
        </w:rPr>
        <w:t>18.52%</w:t>
      </w:r>
      <w:r>
        <w:rPr/>
        <w:t>，</w:t>
      </w:r>
      <w:r>
        <w:rPr>
          <w:spacing w:val="-102"/>
        </w:rPr>
        <w:t> </w:t>
      </w:r>
      <w:r>
        <w:rPr/>
        <w:t>同比增长</w:t>
      </w:r>
      <w:r>
        <w:rPr>
          <w:spacing w:val="-53"/>
        </w:rPr>
        <w:t> </w:t>
      </w:r>
      <w:r>
        <w:rPr>
          <w:rFonts w:ascii="宋体" w:hAnsi="宋体" w:cs="宋体" w:eastAsia="宋体" w:hint="default"/>
        </w:rPr>
        <w:t>2.04</w:t>
      </w:r>
      <w:r>
        <w:rPr>
          <w:rFonts w:ascii="宋体" w:hAnsi="宋体" w:cs="宋体" w:eastAsia="宋体" w:hint="default"/>
          <w:spacing w:val="-55"/>
        </w:rPr>
        <w:t> </w:t>
      </w:r>
      <w:r>
        <w:rPr/>
        <w:t>个百分点。</w:t>
      </w:r>
    </w:p>
    <w:p>
      <w:pPr>
        <w:pStyle w:val="BodyText"/>
        <w:spacing w:line="357" w:lineRule="auto" w:before="30"/>
        <w:ind w:left="140" w:right="113" w:firstLine="420"/>
        <w:jc w:val="both"/>
      </w:pPr>
      <w:r>
        <w:rPr>
          <w:rFonts w:ascii="宋体" w:hAnsi="宋体" w:cs="宋体" w:eastAsia="宋体" w:hint="default"/>
          <w:w w:val="100"/>
        </w:rPr>
        <w:t>2018</w:t>
      </w:r>
      <w:r>
        <w:rPr>
          <w:rFonts w:ascii="宋体" w:hAnsi="宋体" w:cs="宋体" w:eastAsia="宋体" w:hint="default"/>
          <w:spacing w:val="-31"/>
          <w:w w:val="100"/>
        </w:rPr>
        <w:t> </w:t>
      </w:r>
      <w:r>
        <w:rPr>
          <w:spacing w:val="-9"/>
          <w:w w:val="100"/>
        </w:rPr>
        <w:t>年，全国互联网图书销售增速放缓，本公司适应市场环境变化，提升渠道管理和营销能力。</w:t>
      </w:r>
      <w:r>
        <w:rPr>
          <w:w w:val="100"/>
        </w:rPr>
        <w:t> </w:t>
      </w:r>
      <w:r>
        <w:rPr>
          <w:spacing w:val="-2"/>
        </w:rPr>
        <w:t>一方面，公司调整网店经营结构，加强品类管理，提高商品经营水平，其中少儿类图书销售收入较</w:t>
      </w:r>
      <w:r>
        <w:rPr>
          <w:spacing w:val="-34"/>
        </w:rPr>
        <w:t> </w:t>
      </w:r>
      <w:r>
        <w:rPr>
          <w:spacing w:val="-34"/>
        </w:rPr>
      </w:r>
      <w:r>
        <w:rPr/>
        <w:t>上年增长 </w:t>
      </w:r>
      <w:r>
        <w:rPr>
          <w:rFonts w:ascii="宋体" w:hAnsi="宋体" w:cs="宋体" w:eastAsia="宋体" w:hint="default"/>
        </w:rPr>
        <w:t>18%</w:t>
      </w:r>
      <w:r>
        <w:rPr/>
        <w:t>、艺术类图书销售收入较上年增长</w:t>
      </w:r>
      <w:r>
        <w:rPr>
          <w:spacing w:val="-16"/>
        </w:rPr>
        <w:t> </w:t>
      </w:r>
      <w:r>
        <w:rPr>
          <w:rFonts w:ascii="宋体" w:hAnsi="宋体" w:cs="宋体" w:eastAsia="宋体" w:hint="default"/>
        </w:rPr>
        <w:t>19%</w:t>
      </w:r>
      <w:r>
        <w:rPr/>
        <w:t>；另一方面，公司进一步深挖用户需求，优化</w:t>
      </w:r>
      <w:r>
        <w:rPr>
          <w:w w:val="100"/>
        </w:rPr>
        <w:t> </w:t>
      </w:r>
      <w:r>
        <w:rPr>
          <w:spacing w:val="-2"/>
        </w:rPr>
        <w:t>营销方式，把握促销节奏，实现客户平均订单码洋较上年提升</w:t>
      </w:r>
      <w:r>
        <w:rPr>
          <w:spacing w:val="2"/>
        </w:rPr>
        <w:t> </w:t>
      </w:r>
      <w:r>
        <w:rPr>
          <w:rFonts w:ascii="宋体" w:hAnsi="宋体" w:cs="宋体" w:eastAsia="宋体" w:hint="default"/>
          <w:spacing w:val="-1"/>
        </w:rPr>
        <w:t>23%</w:t>
      </w:r>
      <w:r>
        <w:rPr>
          <w:spacing w:val="-1"/>
        </w:rPr>
        <w:t>。</w:t>
      </w:r>
    </w:p>
    <w:p>
      <w:pPr>
        <w:pStyle w:val="BodyText"/>
        <w:spacing w:line="240" w:lineRule="auto" w:before="30"/>
        <w:ind w:left="560" w:right="0"/>
        <w:jc w:val="left"/>
      </w:pPr>
      <w:r>
        <w:rPr>
          <w:spacing w:val="3"/>
        </w:rPr>
        <w:t>本年度，本公司互联网销售实现收入 </w:t>
      </w:r>
      <w:r>
        <w:rPr>
          <w:rFonts w:ascii="宋体" w:hAnsi="宋体" w:cs="宋体" w:eastAsia="宋体" w:hint="default"/>
        </w:rPr>
        <w:t>126,652.70</w:t>
      </w:r>
      <w:r>
        <w:rPr>
          <w:rFonts w:ascii="宋体" w:hAnsi="宋体" w:cs="宋体" w:eastAsia="宋体" w:hint="default"/>
          <w:spacing w:val="94"/>
        </w:rPr>
        <w:t> </w:t>
      </w:r>
      <w:r>
        <w:rPr>
          <w:spacing w:val="2"/>
        </w:rPr>
        <w:t>万元，其中通过第三方电商平台实现销售</w:t>
      </w:r>
    </w:p>
    <w:p>
      <w:pPr>
        <w:pStyle w:val="BodyText"/>
        <w:spacing w:line="240" w:lineRule="auto" w:before="133"/>
        <w:ind w:left="140" w:right="106"/>
        <w:jc w:val="left"/>
      </w:pPr>
      <w:r>
        <w:rPr>
          <w:rFonts w:ascii="宋体" w:hAnsi="宋体" w:cs="宋体" w:eastAsia="宋体" w:hint="default"/>
        </w:rPr>
        <w:t>91,338</w:t>
      </w:r>
      <w:r>
        <w:rPr>
          <w:rFonts w:ascii="宋体" w:hAnsi="宋体" w:cs="宋体" w:eastAsia="宋体" w:hint="default"/>
          <w:spacing w:val="-57"/>
        </w:rPr>
        <w:t> </w:t>
      </w:r>
      <w:r>
        <w:rPr/>
        <w:t>万元，占互联网销售总收入的</w:t>
      </w:r>
      <w:r>
        <w:rPr>
          <w:spacing w:val="-57"/>
        </w:rPr>
        <w:t> </w:t>
      </w:r>
      <w:r>
        <w:rPr>
          <w:rFonts w:ascii="宋体" w:hAnsi="宋体" w:cs="宋体" w:eastAsia="宋体" w:hint="default"/>
        </w:rPr>
        <w:t>72.12%</w:t>
      </w:r>
      <w:r>
        <w:rPr/>
        <w:t>。</w:t>
      </w:r>
    </w:p>
    <w:p>
      <w:pPr>
        <w:spacing w:line="240" w:lineRule="auto" w:before="0"/>
        <w:rPr>
          <w:rFonts w:ascii="宋体" w:hAnsi="宋体" w:cs="宋体" w:eastAsia="宋体" w:hint="default"/>
          <w:sz w:val="20"/>
          <w:szCs w:val="20"/>
        </w:rPr>
      </w:pPr>
    </w:p>
    <w:p>
      <w:pPr>
        <w:pStyle w:val="Heading2"/>
        <w:spacing w:line="273" w:lineRule="exact" w:before="145"/>
        <w:ind w:left="140" w:right="106"/>
        <w:jc w:val="left"/>
        <w:rPr>
          <w:b w:val="0"/>
          <w:bCs w:val="0"/>
        </w:rPr>
      </w:pPr>
      <w:r>
        <w:rPr/>
        <w:t>销售网点相关情况</w:t>
      </w:r>
      <w:r>
        <w:rPr>
          <w:b w:val="0"/>
          <w:bCs w:val="0"/>
        </w:rPr>
      </w:r>
    </w:p>
    <w:p>
      <w:pPr>
        <w:pStyle w:val="BodyText"/>
        <w:spacing w:line="272" w:lineRule="exact"/>
        <w:ind w:left="140" w:right="106"/>
        <w:jc w:val="left"/>
      </w:pPr>
      <w:r>
        <w:rPr/>
        <w:t>√适用 □不适用</w:t>
      </w:r>
    </w:p>
    <w:p>
      <w:pPr>
        <w:pStyle w:val="BodyText"/>
        <w:spacing w:line="357" w:lineRule="auto"/>
        <w:ind w:left="140" w:right="111" w:firstLine="420"/>
        <w:jc w:val="both"/>
      </w:pPr>
      <w:r>
        <w:rPr/>
        <w:t>本公司旗下实体书店已形成了“新华文轩”“轩客会”“文轩</w:t>
      </w:r>
      <w:r>
        <w:rPr>
          <w:spacing w:val="-58"/>
        </w:rPr>
        <w:t> </w:t>
      </w:r>
      <w:r>
        <w:rPr>
          <w:rFonts w:ascii="宋体" w:hAnsi="宋体" w:cs="宋体" w:eastAsia="宋体" w:hint="default"/>
        </w:rPr>
        <w:t>BOOKS</w:t>
      </w:r>
      <w:r>
        <w:rPr/>
        <w:t>”“</w:t>
      </w:r>
      <w:r>
        <w:rPr>
          <w:rFonts w:ascii="宋体" w:hAnsi="宋体" w:cs="宋体" w:eastAsia="宋体" w:hint="default"/>
        </w:rPr>
        <w:t>Kids</w:t>
      </w:r>
      <w:r>
        <w:rPr>
          <w:rFonts w:ascii="宋体" w:hAnsi="宋体" w:cs="宋体" w:eastAsia="宋体" w:hint="default"/>
          <w:spacing w:val="-58"/>
        </w:rPr>
        <w:t> </w:t>
      </w:r>
      <w:r>
        <w:rPr>
          <w:rFonts w:ascii="宋体" w:hAnsi="宋体" w:cs="宋体" w:eastAsia="宋体" w:hint="default"/>
        </w:rPr>
        <w:t>winshare</w:t>
      </w:r>
      <w:r>
        <w:rPr/>
        <w:t>”“读</w:t>
      </w:r>
      <w:r>
        <w:rPr>
          <w:w w:val="100"/>
        </w:rPr>
        <w:t> </w:t>
      </w:r>
      <w:r>
        <w:rPr>
          <w:spacing w:val="-2"/>
        </w:rPr>
        <w:t>读书吧”“文轩云图”多品牌经营格局，构成了从市到县、从购物中心到城市社区的垂直纵深的阅</w:t>
      </w:r>
      <w:r>
        <w:rPr>
          <w:spacing w:val="-34"/>
        </w:rPr>
        <w:t> </w:t>
      </w:r>
      <w:r>
        <w:rPr>
          <w:spacing w:val="-34"/>
        </w:rPr>
      </w:r>
      <w:r>
        <w:rPr/>
        <w:t>读服务网络体系。在四川省内（不含三州）建有直营门店</w:t>
      </w:r>
      <w:r>
        <w:rPr>
          <w:spacing w:val="-54"/>
        </w:rPr>
        <w:t> </w:t>
      </w:r>
      <w:r>
        <w:rPr>
          <w:rFonts w:ascii="宋体" w:hAnsi="宋体" w:cs="宋体" w:eastAsia="宋体" w:hint="default"/>
        </w:rPr>
        <w:t>167</w:t>
      </w:r>
      <w:r>
        <w:rPr>
          <w:rFonts w:ascii="宋体" w:hAnsi="宋体" w:cs="宋体" w:eastAsia="宋体" w:hint="default"/>
          <w:spacing w:val="-56"/>
        </w:rPr>
        <w:t> </w:t>
      </w:r>
      <w:r>
        <w:rPr/>
        <w:t>家，总面积</w:t>
      </w:r>
      <w:r>
        <w:rPr>
          <w:spacing w:val="-54"/>
        </w:rPr>
        <w:t> </w:t>
      </w:r>
      <w:r>
        <w:rPr>
          <w:rFonts w:ascii="宋体" w:hAnsi="宋体" w:cs="宋体" w:eastAsia="宋体" w:hint="default"/>
        </w:rPr>
        <w:t>14</w:t>
      </w:r>
      <w:r>
        <w:rPr>
          <w:rFonts w:ascii="宋体" w:hAnsi="宋体" w:cs="宋体" w:eastAsia="宋体" w:hint="default"/>
          <w:spacing w:val="-56"/>
        </w:rPr>
        <w:t> </w:t>
      </w:r>
      <w:r>
        <w:rPr/>
        <w:t>万余平米；智能书店</w:t>
      </w:r>
    </w:p>
    <w:p>
      <w:pPr>
        <w:pStyle w:val="BodyText"/>
        <w:spacing w:line="240" w:lineRule="auto" w:before="30"/>
        <w:ind w:left="140" w:right="106"/>
        <w:jc w:val="left"/>
      </w:pPr>
      <w:r>
        <w:rPr>
          <w:rFonts w:ascii="宋体" w:hAnsi="宋体" w:cs="宋体" w:eastAsia="宋体" w:hint="default"/>
        </w:rPr>
        <w:t>200</w:t>
      </w:r>
      <w:r>
        <w:rPr>
          <w:rFonts w:ascii="宋体" w:hAnsi="宋体" w:cs="宋体" w:eastAsia="宋体" w:hint="default"/>
          <w:spacing w:val="-51"/>
        </w:rPr>
        <w:t> </w:t>
      </w:r>
      <w:r>
        <w:rPr/>
        <w:t>余家。</w:t>
      </w:r>
    </w:p>
    <w:p>
      <w:pPr>
        <w:pStyle w:val="BodyText"/>
        <w:spacing w:line="240" w:lineRule="auto" w:before="135"/>
        <w:ind w:left="560"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98"/>
        </w:rPr>
        <w:t> </w:t>
      </w:r>
      <w:r>
        <w:rPr/>
        <w:t>年新开乐山沫若书城、资阳万达店、轩客会绵阳凯德广场、双流万达、锦华万达、</w:t>
      </w:r>
      <w:r>
        <w:rPr>
          <w:rFonts w:ascii="宋体" w:hAnsi="宋体" w:cs="宋体" w:eastAsia="宋体" w:hint="default"/>
        </w:rPr>
        <w:t>Kids</w:t>
      </w:r>
    </w:p>
    <w:p>
      <w:pPr>
        <w:pStyle w:val="BodyText"/>
        <w:spacing w:line="240" w:lineRule="auto" w:before="133"/>
        <w:ind w:left="140" w:right="0"/>
        <w:jc w:val="left"/>
      </w:pPr>
      <w:r>
        <w:rPr>
          <w:rFonts w:ascii="宋体" w:hAnsi="宋体" w:cs="宋体" w:eastAsia="宋体" w:hint="default"/>
        </w:rPr>
        <w:t>winshare</w:t>
      </w:r>
      <w:r>
        <w:rPr>
          <w:rFonts w:ascii="宋体" w:hAnsi="宋体" w:cs="宋体" w:eastAsia="宋体" w:hint="default"/>
          <w:spacing w:val="-47"/>
        </w:rPr>
        <w:t> </w:t>
      </w:r>
      <w:r>
        <w:rPr/>
        <w:t>儿童书店环球中心店等</w:t>
      </w:r>
      <w:r>
        <w:rPr>
          <w:spacing w:val="-44"/>
        </w:rPr>
        <w:t> </w:t>
      </w:r>
      <w:r>
        <w:rPr>
          <w:rFonts w:ascii="宋体" w:hAnsi="宋体" w:cs="宋体" w:eastAsia="宋体" w:hint="default"/>
        </w:rPr>
        <w:t>11</w:t>
      </w:r>
      <w:r>
        <w:rPr>
          <w:rFonts w:ascii="宋体" w:hAnsi="宋体" w:cs="宋体" w:eastAsia="宋体" w:hint="default"/>
          <w:spacing w:val="-46"/>
        </w:rPr>
        <w:t> </w:t>
      </w:r>
      <w:r>
        <w:rPr/>
        <w:t>家网点，迁址内江万达店、绵阳三台书城等</w:t>
      </w:r>
      <w:r>
        <w:rPr>
          <w:spacing w:val="-44"/>
        </w:rPr>
        <w:t> </w:t>
      </w:r>
      <w:r>
        <w:rPr>
          <w:rFonts w:ascii="宋体" w:hAnsi="宋体" w:cs="宋体" w:eastAsia="宋体" w:hint="default"/>
        </w:rPr>
        <w:t>3</w:t>
      </w:r>
      <w:r>
        <w:rPr>
          <w:rFonts w:ascii="宋体" w:hAnsi="宋体" w:cs="宋体" w:eastAsia="宋体" w:hint="default"/>
          <w:spacing w:val="-43"/>
        </w:rPr>
        <w:t> </w:t>
      </w:r>
      <w:r>
        <w:rPr/>
        <w:t>家网点，原址改</w:t>
      </w:r>
    </w:p>
    <w:p>
      <w:pPr>
        <w:pStyle w:val="BodyText"/>
        <w:spacing w:line="240" w:lineRule="auto" w:before="133"/>
        <w:ind w:left="140" w:right="106"/>
        <w:jc w:val="left"/>
      </w:pPr>
      <w:r>
        <w:rPr/>
        <w:t>造泸州购书中心等</w:t>
      </w:r>
      <w:r>
        <w:rPr>
          <w:spacing w:val="-52"/>
        </w:rPr>
        <w:t> </w:t>
      </w:r>
      <w:r>
        <w:rPr>
          <w:rFonts w:ascii="宋体" w:hAnsi="宋体" w:cs="宋体" w:eastAsia="宋体" w:hint="default"/>
        </w:rPr>
        <w:t>9</w:t>
      </w:r>
      <w:r>
        <w:rPr>
          <w:rFonts w:ascii="宋体" w:hAnsi="宋体" w:cs="宋体" w:eastAsia="宋体" w:hint="default"/>
          <w:spacing w:val="-54"/>
        </w:rPr>
        <w:t> </w:t>
      </w:r>
      <w:r>
        <w:rPr/>
        <w:t>家网点。</w:t>
      </w:r>
    </w:p>
    <w:p>
      <w:pPr>
        <w:pStyle w:val="BodyText"/>
        <w:spacing w:line="340" w:lineRule="auto" w:before="133"/>
        <w:ind w:left="140" w:right="113" w:firstLine="420"/>
        <w:jc w:val="both"/>
      </w:pPr>
      <w:r>
        <w:rPr/>
        <w:t>在网点面积分布上，</w:t>
      </w:r>
      <w:r>
        <w:rPr>
          <w:rFonts w:ascii="宋体" w:hAnsi="宋体" w:cs="宋体" w:eastAsia="宋体" w:hint="default"/>
        </w:rPr>
        <w:t>300</w:t>
      </w:r>
      <w:r>
        <w:rPr>
          <w:rFonts w:ascii="宋体" w:hAnsi="宋体" w:cs="宋体" w:eastAsia="宋体" w:hint="default"/>
          <w:spacing w:val="-57"/>
        </w:rPr>
        <w:t> </w:t>
      </w:r>
      <w:r>
        <w:rPr/>
        <w:t>平米以下中小门店数量占比达</w:t>
      </w:r>
      <w:r>
        <w:rPr>
          <w:spacing w:val="-55"/>
        </w:rPr>
        <w:t> </w:t>
      </w:r>
      <w:r>
        <w:rPr>
          <w:rFonts w:ascii="宋体" w:hAnsi="宋体" w:cs="宋体" w:eastAsia="宋体" w:hint="default"/>
        </w:rPr>
        <w:t>40%</w:t>
      </w:r>
      <w:r>
        <w:rPr/>
        <w:t>，营业面积占比为</w:t>
      </w:r>
      <w:r>
        <w:rPr>
          <w:spacing w:val="-55"/>
        </w:rPr>
        <w:t> </w:t>
      </w:r>
      <w:r>
        <w:rPr>
          <w:rFonts w:ascii="宋体" w:hAnsi="宋体" w:cs="宋体" w:eastAsia="宋体" w:hint="default"/>
        </w:rPr>
        <w:t>9%</w:t>
      </w:r>
      <w:r>
        <w:rPr/>
        <w:t>；</w:t>
      </w:r>
      <w:r>
        <w:rPr>
          <w:rFonts w:ascii="宋体" w:hAnsi="宋体" w:cs="宋体" w:eastAsia="宋体" w:hint="default"/>
        </w:rPr>
        <w:t>3000</w:t>
      </w:r>
      <w:r>
        <w:rPr>
          <w:rFonts w:ascii="宋体" w:hAnsi="宋体" w:cs="宋体" w:eastAsia="宋体" w:hint="default"/>
          <w:spacing w:val="-57"/>
        </w:rPr>
        <w:t> </w:t>
      </w:r>
      <w:r>
        <w:rPr/>
        <w:t>平米以</w:t>
      </w:r>
      <w:r>
        <w:rPr>
          <w:w w:val="100"/>
        </w:rPr>
        <w:t> </w:t>
      </w:r>
      <w:r>
        <w:rPr/>
        <w:t>上的书城网点数占比</w:t>
      </w:r>
      <w:r>
        <w:rPr>
          <w:spacing w:val="-41"/>
        </w:rPr>
        <w:t> </w:t>
      </w:r>
      <w:r>
        <w:rPr>
          <w:rFonts w:ascii="宋体" w:hAnsi="宋体" w:cs="宋体" w:eastAsia="宋体" w:hint="default"/>
          <w:spacing w:val="-9"/>
        </w:rPr>
        <w:t>6%</w:t>
      </w:r>
      <w:r>
        <w:rPr>
          <w:spacing w:val="-9"/>
        </w:rPr>
        <w:t>，营业面积占比</w:t>
      </w:r>
      <w:r>
        <w:rPr>
          <w:spacing w:val="-40"/>
        </w:rPr>
        <w:t> </w:t>
      </w:r>
      <w:r>
        <w:rPr>
          <w:rFonts w:ascii="宋体" w:hAnsi="宋体" w:cs="宋体" w:eastAsia="宋体" w:hint="default"/>
          <w:spacing w:val="-7"/>
        </w:rPr>
        <w:t>42%</w:t>
      </w:r>
      <w:r>
        <w:rPr>
          <w:spacing w:val="-7"/>
        </w:rPr>
        <w:t>。网点物业权属主要分自有和租赁，营业面积分别占</w:t>
      </w:r>
      <w:r>
        <w:rPr>
          <w:spacing w:val="-40"/>
        </w:rPr>
        <w:t> </w:t>
      </w:r>
      <w:r>
        <w:rPr>
          <w:rFonts w:ascii="Calibri" w:hAnsi="Calibri" w:cs="Calibri" w:eastAsia="Calibri" w:hint="default"/>
        </w:rPr>
        <w:t>43%</w:t>
      </w:r>
      <w:r>
        <w:rPr>
          <w:rFonts w:ascii="Calibri" w:hAnsi="Calibri" w:cs="Calibri" w:eastAsia="Calibri" w:hint="default"/>
          <w:spacing w:val="-43"/>
        </w:rPr>
        <w:t> </w:t>
      </w:r>
      <w:r>
        <w:rPr>
          <w:rFonts w:ascii="Calibri" w:hAnsi="Calibri" w:cs="Calibri" w:eastAsia="Calibri" w:hint="default"/>
          <w:spacing w:val="-43"/>
        </w:rPr>
      </w:r>
      <w:r>
        <w:rPr/>
        <w:t>和</w:t>
      </w:r>
      <w:r>
        <w:rPr>
          <w:spacing w:val="-57"/>
        </w:rPr>
        <w:t> </w:t>
      </w:r>
      <w:r>
        <w:rPr>
          <w:rFonts w:ascii="Calibri" w:hAnsi="Calibri" w:cs="Calibri" w:eastAsia="Calibri" w:hint="default"/>
        </w:rPr>
        <w:t>57%</w:t>
      </w:r>
      <w:r>
        <w:rPr/>
        <w:t>，另有少量门店为政府免费提供。租用网点的月平均租金水平为</w:t>
      </w:r>
      <w:r>
        <w:rPr>
          <w:spacing w:val="-57"/>
        </w:rPr>
        <w:t> </w:t>
      </w:r>
      <w:r>
        <w:rPr>
          <w:rFonts w:ascii="Calibri" w:hAnsi="Calibri" w:cs="Calibri" w:eastAsia="Calibri" w:hint="default"/>
        </w:rPr>
        <w:t>83.2 </w:t>
      </w:r>
      <w:r>
        <w:rPr/>
        <w:t>元</w:t>
      </w:r>
      <w:r>
        <w:rPr>
          <w:rFonts w:ascii="Calibri" w:hAnsi="Calibri" w:cs="Calibri" w:eastAsia="Calibri" w:hint="default"/>
        </w:rPr>
        <w:t>/</w:t>
      </w:r>
      <w:r>
        <w:rPr/>
        <w:t>㎡。</w:t>
      </w:r>
    </w:p>
    <w:p>
      <w:pPr>
        <w:spacing w:after="0" w:line="340" w:lineRule="auto"/>
        <w:jc w:val="both"/>
        <w:sectPr>
          <w:pgSz w:w="11910" w:h="16840"/>
          <w:pgMar w:header="0" w:footer="1195" w:top="106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90" w:lineRule="auto" w:before="36"/>
        <w:ind w:right="7538"/>
        <w:jc w:val="left"/>
        <w:rPr>
          <w:b w:val="0"/>
          <w:bCs w:val="0"/>
        </w:rPr>
      </w:pPr>
      <w:r>
        <w:rPr>
          <w:rFonts w:ascii="宋体" w:hAnsi="宋体" w:cs="宋体" w:eastAsia="宋体" w:hint="default"/>
        </w:rPr>
        <w:t>(3).</w:t>
      </w:r>
      <w:r>
        <w:rPr/>
        <w:t>新闻传媒业务</w:t>
      </w:r>
      <w:r>
        <w:rPr>
          <w:spacing w:val="-103"/>
        </w:rPr>
        <w:t> </w:t>
      </w:r>
      <w:r>
        <w:rPr/>
        <w:t>报刊业务</w:t>
      </w:r>
      <w:r>
        <w:rPr>
          <w:b w:val="0"/>
          <w:bCs w:val="0"/>
        </w:rPr>
      </w:r>
    </w:p>
    <w:p>
      <w:pPr>
        <w:pStyle w:val="BodyText"/>
        <w:spacing w:line="226" w:lineRule="exact"/>
        <w:ind w:right="205"/>
        <w:jc w:val="left"/>
      </w:pPr>
      <w:r>
        <w:rPr/>
        <w:t>√适用 □不适用</w:t>
      </w:r>
    </w:p>
    <w:p>
      <w:pPr>
        <w:pStyle w:val="BodyText"/>
        <w:spacing w:line="355" w:lineRule="auto"/>
        <w:ind w:left="419" w:right="214" w:firstLine="419"/>
        <w:jc w:val="both"/>
      </w:pPr>
      <w:r>
        <w:rPr>
          <w:spacing w:val="-4"/>
        </w:rPr>
        <w:t>文轩旗下拥有</w:t>
      </w:r>
      <w:r>
        <w:rPr>
          <w:rFonts w:ascii="宋体" w:hAnsi="宋体" w:cs="宋体" w:eastAsia="宋体" w:hint="default"/>
          <w:spacing w:val="-4"/>
        </w:rPr>
        <w:t>2</w:t>
      </w:r>
      <w:r>
        <w:rPr>
          <w:spacing w:val="-4"/>
        </w:rPr>
        <w:t>报</w:t>
      </w:r>
      <w:r>
        <w:rPr>
          <w:rFonts w:ascii="宋体" w:hAnsi="宋体" w:cs="宋体" w:eastAsia="宋体" w:hint="default"/>
          <w:spacing w:val="-4"/>
        </w:rPr>
        <w:t>11</w:t>
      </w:r>
      <w:r>
        <w:rPr>
          <w:spacing w:val="-4"/>
        </w:rPr>
        <w:t>刊，共</w:t>
      </w:r>
      <w:r>
        <w:rPr>
          <w:rFonts w:ascii="宋体" w:hAnsi="宋体" w:cs="宋体" w:eastAsia="宋体" w:hint="default"/>
          <w:spacing w:val="-4"/>
        </w:rPr>
        <w:t>13</w:t>
      </w:r>
      <w:r>
        <w:rPr>
          <w:spacing w:val="-4"/>
        </w:rPr>
        <w:t>个报刊品牌，涉及文化、少儿、科普、时尚等类别，受众群体覆</w:t>
      </w:r>
      <w:r>
        <w:rPr>
          <w:w w:val="100"/>
        </w:rPr>
        <w:t> </w:t>
      </w:r>
      <w:r>
        <w:rPr>
          <w:spacing w:val="-2"/>
        </w:rPr>
        <w:t>盖了从婴幼儿到中老年的各个年龄阶层，其中《读者报》和《红领巾》每期发行量保持在</w:t>
      </w:r>
      <w:r>
        <w:rPr>
          <w:rFonts w:ascii="宋体" w:hAnsi="宋体" w:cs="宋体" w:eastAsia="宋体" w:hint="default"/>
          <w:spacing w:val="-2"/>
        </w:rPr>
        <w:t>10</w:t>
      </w:r>
      <w:r>
        <w:rPr>
          <w:spacing w:val="-2"/>
        </w:rPr>
        <w:t>万册</w:t>
      </w:r>
      <w:r>
        <w:rPr>
          <w:spacing w:val="-23"/>
        </w:rPr>
        <w:t> </w:t>
      </w:r>
      <w:r>
        <w:rPr>
          <w:spacing w:val="-2"/>
        </w:rPr>
        <w:t>以上，新刊《米小圈》首期发行量超过</w:t>
      </w:r>
      <w:r>
        <w:rPr>
          <w:rFonts w:ascii="宋体" w:hAnsi="宋体" w:cs="宋体" w:eastAsia="宋体" w:hint="default"/>
          <w:spacing w:val="-2"/>
        </w:rPr>
        <w:t>8</w:t>
      </w:r>
      <w:r>
        <w:rPr>
          <w:spacing w:val="-2"/>
        </w:rPr>
        <w:t>万册。以“传统发行</w:t>
      </w:r>
      <w:r>
        <w:rPr>
          <w:rFonts w:ascii="宋体" w:hAnsi="宋体" w:cs="宋体" w:eastAsia="宋体" w:hint="default"/>
          <w:spacing w:val="-2"/>
        </w:rPr>
        <w:t>+</w:t>
      </w:r>
      <w:r>
        <w:rPr>
          <w:spacing w:val="-2"/>
        </w:rPr>
        <w:t>新媒体平台”为主要经营模式，实</w:t>
      </w:r>
      <w:r>
        <w:rPr>
          <w:spacing w:val="-34"/>
        </w:rPr>
        <w:t> </w:t>
      </w:r>
      <w:r>
        <w:rPr>
          <w:spacing w:val="-34"/>
        </w:rPr>
      </w:r>
      <w:r>
        <w:rPr/>
        <w:t>现传统媒体与新媒体融合发展。</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60" w:bottom="1380" w:left="1220" w:right="1220"/>
        </w:sectPr>
      </w:pPr>
    </w:p>
    <w:p>
      <w:pPr>
        <w:spacing w:line="240" w:lineRule="auto" w:before="6"/>
        <w:rPr>
          <w:rFonts w:ascii="宋体" w:hAnsi="宋体" w:cs="宋体" w:eastAsia="宋体" w:hint="default"/>
          <w:sz w:val="23"/>
          <w:szCs w:val="23"/>
        </w:rPr>
      </w:pPr>
    </w:p>
    <w:p>
      <w:pPr>
        <w:pStyle w:val="BodyText"/>
        <w:spacing w:line="240" w:lineRule="auto"/>
        <w:ind w:right="-18"/>
        <w:jc w:val="left"/>
      </w:pPr>
      <w:r>
        <w:rPr/>
        <w:t>√适用 □不适用</w:t>
      </w:r>
    </w:p>
    <w:p>
      <w:pPr>
        <w:pStyle w:val="Heading2"/>
        <w:spacing w:line="240" w:lineRule="auto" w:before="36"/>
        <w:ind w:right="-18"/>
        <w:jc w:val="left"/>
        <w:rPr>
          <w:b w:val="0"/>
          <w:bCs w:val="0"/>
        </w:rPr>
      </w:pPr>
      <w:r>
        <w:rPr>
          <w:b w:val="0"/>
          <w:bCs w:val="0"/>
        </w:rPr>
        <w:br w:type="column"/>
      </w:r>
      <w:r>
        <w:rPr/>
        <w:t>主要报刊情况</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1"/>
        <w:rPr>
          <w:rFonts w:ascii="宋体" w:hAnsi="宋体" w:cs="宋体" w:eastAsia="宋体" w:hint="default"/>
          <w:b/>
          <w:bCs/>
          <w:sz w:val="22"/>
          <w:szCs w:val="22"/>
        </w:rPr>
      </w:pPr>
    </w:p>
    <w:p>
      <w:pPr>
        <w:tabs>
          <w:tab w:pos="1531" w:val="left" w:leader="none"/>
        </w:tabs>
        <w:spacing w:before="0"/>
        <w:ind w:left="220" w:right="0" w:firstLine="0"/>
        <w:jc w:val="left"/>
        <w:rPr>
          <w:rFonts w:ascii="宋体" w:hAnsi="宋体" w:cs="宋体" w:eastAsia="宋体" w:hint="default"/>
          <w:sz w:val="21"/>
          <w:szCs w:val="21"/>
        </w:rPr>
      </w:pPr>
      <w:r>
        <w:rPr>
          <w:rFonts w:ascii="宋体" w:hAnsi="宋体" w:cs="宋体" w:eastAsia="宋体" w:hint="default"/>
          <w:spacing w:val="-1"/>
          <w:sz w:val="22"/>
          <w:szCs w:val="22"/>
        </w:rPr>
        <w:t>单位：万元</w:t>
        <w:tab/>
      </w:r>
      <w:r>
        <w:rPr>
          <w:rFonts w:ascii="宋体" w:hAnsi="宋体" w:cs="宋体" w:eastAsia="宋体" w:hint="default"/>
          <w:spacing w:val="-3"/>
          <w:sz w:val="21"/>
          <w:szCs w:val="21"/>
        </w:rPr>
        <w:t>币种：人民币</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60" w:bottom="1380" w:left="1220" w:right="1220"/>
          <w:cols w:num="3" w:equalWidth="0">
            <w:col w:w="1798" w:space="2084"/>
            <w:col w:w="1488" w:space="1087"/>
            <w:col w:w="3013"/>
          </w:cols>
        </w:sectPr>
      </w:pPr>
    </w:p>
    <w:p>
      <w:pPr>
        <w:spacing w:line="240" w:lineRule="auto" w:before="10"/>
        <w:rPr>
          <w:rFonts w:ascii="宋体" w:hAnsi="宋体" w:cs="宋体" w:eastAsia="宋体" w:hint="default"/>
          <w:sz w:val="2"/>
          <w:szCs w:val="2"/>
        </w:rPr>
      </w:pPr>
    </w:p>
    <w:tbl>
      <w:tblPr>
        <w:tblW w:w="0" w:type="auto"/>
        <w:jc w:val="left"/>
        <w:tblInd w:w="333" w:type="dxa"/>
        <w:tblLayout w:type="fixed"/>
        <w:tblCellMar>
          <w:top w:w="0" w:type="dxa"/>
          <w:left w:w="0" w:type="dxa"/>
          <w:bottom w:w="0" w:type="dxa"/>
          <w:right w:w="0" w:type="dxa"/>
        </w:tblCellMar>
        <w:tblLook w:val="01E0"/>
      </w:tblPr>
      <w:tblGrid>
        <w:gridCol w:w="1135"/>
        <w:gridCol w:w="1642"/>
        <w:gridCol w:w="1373"/>
        <w:gridCol w:w="948"/>
        <w:gridCol w:w="845"/>
        <w:gridCol w:w="756"/>
        <w:gridCol w:w="961"/>
        <w:gridCol w:w="1130"/>
      </w:tblGrid>
      <w:tr>
        <w:trPr>
          <w:trHeight w:val="281" w:hRule="exact"/>
        </w:trPr>
        <w:tc>
          <w:tcPr>
            <w:tcW w:w="1135" w:type="dxa"/>
            <w:vMerge w:val="restart"/>
            <w:tcBorders>
              <w:top w:val="single" w:sz="4" w:space="0" w:color="000000"/>
              <w:left w:val="single" w:sz="4" w:space="0" w:color="000000"/>
              <w:right w:val="single" w:sz="4" w:space="0" w:color="000000"/>
            </w:tcBorders>
          </w:tcPr>
          <w:p>
            <w:pPr>
              <w:pStyle w:val="TableParagraph"/>
              <w:spacing w:line="272" w:lineRule="exact" w:before="130"/>
              <w:ind w:left="352" w:right="139" w:hanging="212"/>
              <w:jc w:val="left"/>
              <w:rPr>
                <w:rFonts w:ascii="宋体" w:hAnsi="宋体" w:cs="宋体" w:eastAsia="宋体" w:hint="default"/>
                <w:sz w:val="21"/>
                <w:szCs w:val="21"/>
              </w:rPr>
            </w:pPr>
            <w:r>
              <w:rPr>
                <w:rFonts w:ascii="宋体" w:hAnsi="宋体" w:cs="宋体" w:eastAsia="宋体" w:hint="default"/>
                <w:sz w:val="21"/>
                <w:szCs w:val="21"/>
              </w:rPr>
              <w:t>主要报刊</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64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报刊类别</w:t>
            </w:r>
          </w:p>
        </w:tc>
        <w:tc>
          <w:tcPr>
            <w:tcW w:w="137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期刊号</w:t>
            </w:r>
          </w:p>
        </w:tc>
        <w:tc>
          <w:tcPr>
            <w:tcW w:w="948" w:type="dxa"/>
            <w:vMerge w:val="restart"/>
            <w:tcBorders>
              <w:top w:val="single" w:sz="4" w:space="0" w:color="000000"/>
              <w:left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主要发</w:t>
            </w:r>
          </w:p>
          <w:p>
            <w:pPr>
              <w:pStyle w:val="TableParagraph"/>
              <w:spacing w:line="240" w:lineRule="auto"/>
              <w:ind w:left="256" w:right="257"/>
              <w:jc w:val="center"/>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区域</w:t>
            </w:r>
          </w:p>
        </w:tc>
        <w:tc>
          <w:tcPr>
            <w:tcW w:w="845" w:type="dxa"/>
            <w:vMerge w:val="restart"/>
            <w:tcBorders>
              <w:top w:val="single" w:sz="4" w:space="0" w:color="000000"/>
              <w:left w:val="single" w:sz="4" w:space="0" w:color="000000"/>
              <w:right w:val="single" w:sz="4" w:space="0" w:color="000000"/>
            </w:tcBorders>
          </w:tcPr>
          <w:p>
            <w:pPr>
              <w:pStyle w:val="TableParagraph"/>
              <w:spacing w:line="272" w:lineRule="exact" w:before="130"/>
              <w:ind w:left="309" w:right="98" w:hanging="209"/>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756" w:type="dxa"/>
            <w:vMerge w:val="restart"/>
            <w:tcBorders>
              <w:top w:val="single" w:sz="4" w:space="0" w:color="000000"/>
              <w:left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市场</w:t>
            </w:r>
          </w:p>
          <w:p>
            <w:pPr>
              <w:pStyle w:val="TableParagraph"/>
              <w:spacing w:line="240" w:lineRule="auto"/>
              <w:ind w:left="107" w:right="108" w:firstLine="52"/>
              <w:jc w:val="left"/>
              <w:rPr>
                <w:rFonts w:ascii="宋体" w:hAnsi="宋体" w:cs="宋体" w:eastAsia="宋体" w:hint="default"/>
                <w:sz w:val="21"/>
                <w:szCs w:val="21"/>
              </w:rPr>
            </w:pPr>
            <w:r>
              <w:rPr>
                <w:rFonts w:ascii="宋体" w:hAnsi="宋体" w:cs="宋体" w:eastAsia="宋体" w:hint="default"/>
                <w:sz w:val="21"/>
                <w:szCs w:val="21"/>
              </w:rPr>
              <w:t>占有</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c>
          <w:tcPr>
            <w:tcW w:w="2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发行量</w:t>
            </w:r>
            <w:r>
              <w:rPr>
                <w:rFonts w:ascii="宋体" w:hAnsi="宋体" w:cs="宋体" w:eastAsia="宋体" w:hint="default"/>
                <w:sz w:val="21"/>
                <w:szCs w:val="21"/>
              </w:rPr>
              <w:t>(</w:t>
            </w:r>
            <w:r>
              <w:rPr>
                <w:rFonts w:ascii="宋体" w:hAnsi="宋体" w:cs="宋体" w:eastAsia="宋体" w:hint="default"/>
                <w:sz w:val="21"/>
                <w:szCs w:val="21"/>
              </w:rPr>
              <w:t>万份</w:t>
            </w:r>
            <w:r>
              <w:rPr>
                <w:rFonts w:ascii="宋体" w:hAnsi="宋体" w:cs="宋体" w:eastAsia="宋体" w:hint="default"/>
                <w:sz w:val="21"/>
                <w:szCs w:val="21"/>
              </w:rPr>
              <w:t>)</w:t>
            </w:r>
          </w:p>
        </w:tc>
      </w:tr>
      <w:tr>
        <w:trPr>
          <w:trHeight w:val="545" w:hRule="exact"/>
        </w:trPr>
        <w:tc>
          <w:tcPr>
            <w:tcW w:w="1135"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948"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66" w:right="0"/>
              <w:jc w:val="left"/>
              <w:rPr>
                <w:rFonts w:ascii="宋体" w:hAnsi="宋体" w:cs="宋体" w:eastAsia="宋体" w:hint="default"/>
                <w:sz w:val="21"/>
                <w:szCs w:val="21"/>
              </w:rPr>
            </w:pPr>
            <w:r>
              <w:rPr>
                <w:rFonts w:ascii="宋体" w:hAnsi="宋体" w:cs="宋体" w:eastAsia="宋体" w:hint="default"/>
                <w:sz w:val="21"/>
                <w:szCs w:val="21"/>
              </w:rPr>
              <w:t>订阅</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50" w:right="0"/>
              <w:jc w:val="left"/>
              <w:rPr>
                <w:rFonts w:ascii="宋体" w:hAnsi="宋体" w:cs="宋体" w:eastAsia="宋体" w:hint="default"/>
                <w:sz w:val="21"/>
                <w:szCs w:val="21"/>
              </w:rPr>
            </w:pPr>
            <w:r>
              <w:rPr>
                <w:rFonts w:ascii="宋体" w:hAnsi="宋体" w:cs="宋体" w:eastAsia="宋体" w:hint="default"/>
                <w:sz w:val="21"/>
                <w:szCs w:val="21"/>
              </w:rPr>
              <w:t>零售</w:t>
            </w: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读者报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生活类报纸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CN51-0045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817.17</w:t>
            </w:r>
          </w:p>
        </w:tc>
        <w:tc>
          <w:tcPr>
            <w:tcW w:w="7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8.15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262.47</w:t>
            </w: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红领巾</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青少年期刊</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CN51-1090/Z</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799.57</w:t>
            </w:r>
          </w:p>
        </w:tc>
        <w:tc>
          <w:tcPr>
            <w:tcW w:w="7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138.38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少年时代</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青少年期刊</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CN51-1475/C</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650.98</w:t>
            </w:r>
          </w:p>
        </w:tc>
        <w:tc>
          <w:tcPr>
            <w:tcW w:w="7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时代英语</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青少年期刊</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CN51-1615/H</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554.47</w:t>
            </w:r>
          </w:p>
        </w:tc>
        <w:tc>
          <w:tcPr>
            <w:tcW w:w="7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65.53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17.96</w:t>
            </w: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龙门阵</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文学期刊</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CN51-1042/K</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253.20</w:t>
            </w:r>
          </w:p>
        </w:tc>
        <w:tc>
          <w:tcPr>
            <w:tcW w:w="7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22.73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4.89</w:t>
            </w:r>
          </w:p>
        </w:tc>
      </w:tr>
      <w:tr>
        <w:trPr>
          <w:trHeight w:val="28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米小圈</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青少年期刊</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CN51-1786/C</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112.81</w:t>
            </w:r>
          </w:p>
        </w:tc>
        <w:tc>
          <w:tcPr>
            <w:tcW w:w="7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41.53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220" w:right="1220"/>
        </w:sectPr>
      </w:pPr>
    </w:p>
    <w:p>
      <w:pPr>
        <w:spacing w:line="240" w:lineRule="auto" w:before="9"/>
        <w:rPr>
          <w:rFonts w:ascii="宋体" w:hAnsi="宋体" w:cs="宋体" w:eastAsia="宋体" w:hint="default"/>
          <w:sz w:val="23"/>
          <w:szCs w:val="23"/>
        </w:rPr>
      </w:pPr>
    </w:p>
    <w:p>
      <w:pPr>
        <w:pStyle w:val="BodyText"/>
        <w:spacing w:line="240" w:lineRule="auto"/>
        <w:ind w:right="-18"/>
        <w:jc w:val="left"/>
      </w:pPr>
      <w:r>
        <w:rPr/>
        <w:t>√适用 □不适用</w:t>
      </w:r>
    </w:p>
    <w:p>
      <w:pPr>
        <w:pStyle w:val="Heading2"/>
        <w:spacing w:line="240" w:lineRule="auto" w:before="36"/>
        <w:ind w:right="-5"/>
        <w:jc w:val="left"/>
        <w:rPr>
          <w:b w:val="0"/>
          <w:bCs w:val="0"/>
        </w:rPr>
      </w:pPr>
      <w:r>
        <w:rPr>
          <w:b w:val="0"/>
          <w:bCs w:val="0"/>
          <w:spacing w:val="-1"/>
        </w:rPr>
        <w:br w:type="column"/>
      </w:r>
      <w:r>
        <w:rPr>
          <w:spacing w:val="-1"/>
        </w:rPr>
        <w:t>报刊出版发行的收入和成本构成</w:t>
      </w:r>
      <w:r>
        <w:rPr>
          <w:b w:val="0"/>
          <w:bCs w:val="0"/>
          <w:spacing w:val="-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1"/>
        <w:rPr>
          <w:rFonts w:ascii="宋体" w:hAnsi="宋体" w:cs="宋体" w:eastAsia="宋体" w:hint="default"/>
          <w:b/>
          <w:bCs/>
          <w:sz w:val="22"/>
          <w:szCs w:val="22"/>
        </w:rPr>
      </w:pPr>
    </w:p>
    <w:p>
      <w:pPr>
        <w:tabs>
          <w:tab w:pos="1531" w:val="left" w:leader="none"/>
        </w:tabs>
        <w:spacing w:before="0"/>
        <w:ind w:left="220" w:right="0" w:firstLine="0"/>
        <w:jc w:val="left"/>
        <w:rPr>
          <w:rFonts w:ascii="宋体" w:hAnsi="宋体" w:cs="宋体" w:eastAsia="宋体" w:hint="default"/>
          <w:sz w:val="21"/>
          <w:szCs w:val="21"/>
        </w:rPr>
      </w:pPr>
      <w:r>
        <w:rPr>
          <w:rFonts w:ascii="宋体" w:hAnsi="宋体" w:cs="宋体" w:eastAsia="宋体" w:hint="default"/>
          <w:spacing w:val="-1"/>
          <w:sz w:val="22"/>
          <w:szCs w:val="22"/>
        </w:rPr>
        <w:t>单位：万元</w:t>
        <w:tab/>
      </w:r>
      <w:r>
        <w:rPr>
          <w:rFonts w:ascii="宋体" w:hAnsi="宋体" w:cs="宋体" w:eastAsia="宋体" w:hint="default"/>
          <w:spacing w:val="-3"/>
          <w:sz w:val="21"/>
          <w:szCs w:val="21"/>
        </w:rPr>
        <w:t>币种：人民币</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60" w:bottom="1380" w:left="1220" w:right="1220"/>
          <w:cols w:num="3" w:equalWidth="0">
            <w:col w:w="1798" w:space="1239"/>
            <w:col w:w="3173" w:space="247"/>
            <w:col w:w="3013"/>
          </w:cols>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582"/>
        <w:gridCol w:w="1287"/>
        <w:gridCol w:w="1286"/>
        <w:gridCol w:w="1260"/>
        <w:gridCol w:w="1258"/>
        <w:gridCol w:w="1273"/>
        <w:gridCol w:w="1298"/>
      </w:tblGrid>
      <w:tr>
        <w:trPr>
          <w:trHeight w:val="283" w:hRule="exact"/>
        </w:trPr>
        <w:tc>
          <w:tcPr>
            <w:tcW w:w="1582" w:type="dxa"/>
            <w:vMerge w:val="restart"/>
            <w:tcBorders>
              <w:top w:val="single" w:sz="4" w:space="0" w:color="000000"/>
              <w:left w:val="single" w:sz="4" w:space="0" w:color="000000"/>
              <w:right w:val="single" w:sz="4" w:space="0" w:color="000000"/>
            </w:tcBorders>
          </w:tcPr>
          <w:p>
            <w:pPr/>
          </w:p>
        </w:tc>
        <w:tc>
          <w:tcPr>
            <w:tcW w:w="38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报纸</w:t>
            </w:r>
          </w:p>
        </w:tc>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期刊</w:t>
            </w:r>
          </w:p>
        </w:tc>
      </w:tr>
      <w:tr>
        <w:trPr>
          <w:trHeight w:val="283" w:hRule="exact"/>
        </w:trPr>
        <w:tc>
          <w:tcPr>
            <w:tcW w:w="1582" w:type="dxa"/>
            <w:vMerge/>
            <w:tcBorders>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增长率（</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去年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hAnsi="宋体" w:cs="宋体" w:eastAsia="宋体" w:hint="default"/>
                <w:spacing w:val="-1"/>
                <w:sz w:val="21"/>
                <w:szCs w:val="21"/>
              </w:rPr>
              <w:t>增长率（</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发行收入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526.54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463.43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2,073.26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2,674.59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29.00</w:t>
            </w:r>
          </w:p>
        </w:tc>
      </w:tr>
      <w:tr>
        <w:trPr>
          <w:trHeight w:val="28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广告收入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446.11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522.00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17.01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136.51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109.53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-19.76</w:t>
            </w: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印刷成本</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385.97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333.61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-13.57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861.49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1,180.97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37.08</w:t>
            </w:r>
          </w:p>
        </w:tc>
      </w:tr>
      <w:tr>
        <w:trPr>
          <w:trHeight w:val="28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发行成本</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29.86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41.16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70.80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72.03</w:t>
            </w: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其他成本</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54.30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41.46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-23.65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93.83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110.30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17.55</w:t>
            </w:r>
          </w:p>
        </w:tc>
      </w:tr>
      <w:tr>
        <w:trPr>
          <w:trHeight w:val="55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51.67%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10.27</w:t>
            </w:r>
          </w:p>
          <w:p>
            <w:pPr>
              <w:pStyle w:val="TableParagraph"/>
              <w:spacing w:line="274" w:lineRule="exact"/>
              <w:ind w:left="206" w:right="0"/>
              <w:jc w:val="center"/>
              <w:rPr>
                <w:rFonts w:ascii="宋体" w:hAnsi="宋体" w:cs="宋体" w:eastAsia="宋体" w:hint="default"/>
                <w:sz w:val="21"/>
                <w:szCs w:val="21"/>
              </w:rPr>
            </w:pPr>
            <w:r>
              <w:rPr>
                <w:rFonts w:ascii="宋体" w:hAnsi="宋体" w:cs="宋体" w:eastAsia="宋体" w:hint="default"/>
                <w:sz w:val="21"/>
                <w:szCs w:val="21"/>
              </w:rPr>
              <w:t>个百分点</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54.91%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51.08%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3.83</w:t>
            </w:r>
          </w:p>
          <w:p>
            <w:pPr>
              <w:pStyle w:val="TableParagraph"/>
              <w:spacing w:line="274" w:lineRule="exact"/>
              <w:ind w:left="345"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3"/>
        <w:rPr>
          <w:rFonts w:ascii="宋体" w:hAnsi="宋体" w:cs="宋体" w:eastAsia="宋体" w:hint="default"/>
          <w:sz w:val="14"/>
          <w:szCs w:val="14"/>
        </w:rPr>
      </w:pPr>
    </w:p>
    <w:p>
      <w:pPr>
        <w:pStyle w:val="Heading2"/>
        <w:spacing w:line="274" w:lineRule="exact" w:before="36"/>
        <w:ind w:right="205"/>
        <w:jc w:val="left"/>
        <w:rPr>
          <w:b w:val="0"/>
          <w:bCs w:val="0"/>
        </w:rPr>
      </w:pPr>
      <w:r>
        <w:rPr/>
        <w:t>广告业务</w:t>
      </w:r>
      <w:r>
        <w:rPr>
          <w:b w:val="0"/>
          <w:bCs w:val="0"/>
        </w:rPr>
      </w:r>
    </w:p>
    <w:p>
      <w:pPr>
        <w:pStyle w:val="BodyText"/>
        <w:spacing w:line="274" w:lineRule="exact"/>
        <w:ind w:right="20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(4).</w:t>
      </w:r>
      <w:r>
        <w:rPr/>
        <w:t>其他业务</w:t>
      </w:r>
      <w:r>
        <w:rPr>
          <w:b w:val="0"/>
          <w:bCs w:val="0"/>
        </w:rPr>
      </w:r>
    </w:p>
    <w:p>
      <w:pPr>
        <w:pStyle w:val="BodyText"/>
        <w:spacing w:line="240" w:lineRule="auto" w:before="56"/>
        <w:ind w:right="205"/>
        <w:jc w:val="left"/>
      </w:pPr>
      <w:r>
        <w:rPr/>
        <w:t>□适用 √不适用</w:t>
      </w:r>
    </w:p>
    <w:p>
      <w:pPr>
        <w:spacing w:after="0" w:line="240" w:lineRule="auto"/>
        <w:jc w:val="left"/>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tabs>
          <w:tab w:pos="1185" w:val="left" w:leader="none"/>
        </w:tabs>
        <w:spacing w:line="240" w:lineRule="auto" w:before="36"/>
        <w:ind w:left="760" w:right="800"/>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56"/>
        <w:ind w:left="760" w:right="800"/>
        <w:jc w:val="left"/>
      </w:pPr>
      <w:r>
        <w:rPr/>
        <w:t>□适用 √不适用</w:t>
      </w:r>
    </w:p>
    <w:p>
      <w:pPr>
        <w:spacing w:line="240" w:lineRule="auto" w:before="3"/>
        <w:rPr>
          <w:rFonts w:ascii="宋体" w:hAnsi="宋体" w:cs="宋体" w:eastAsia="宋体" w:hint="default"/>
          <w:sz w:val="25"/>
          <w:szCs w:val="25"/>
        </w:rPr>
      </w:pPr>
    </w:p>
    <w:p>
      <w:pPr>
        <w:pStyle w:val="Heading2"/>
        <w:tabs>
          <w:tab w:pos="1600" w:val="left" w:leader="none"/>
        </w:tabs>
        <w:spacing w:line="240" w:lineRule="auto"/>
        <w:ind w:left="760" w:right="80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2"/>
        <w:spacing w:line="240" w:lineRule="auto" w:before="58"/>
        <w:ind w:left="760" w:right="80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4" w:lineRule="exact" w:before="56"/>
        <w:ind w:left="760" w:right="800"/>
        <w:jc w:val="left"/>
      </w:pPr>
      <w:r>
        <w:rPr/>
        <w:t>√适用 □不适用</w:t>
      </w:r>
    </w:p>
    <w:p>
      <w:pPr>
        <w:pStyle w:val="BodyText"/>
        <w:spacing w:line="355" w:lineRule="auto"/>
        <w:ind w:left="760" w:right="800" w:firstLine="420"/>
        <w:jc w:val="left"/>
      </w:pPr>
      <w:r>
        <w:rPr/>
        <w:t>报告期，本公司新增对外投资总额为</w:t>
      </w:r>
      <w:r>
        <w:rPr>
          <w:spacing w:val="-55"/>
        </w:rPr>
        <w:t> </w:t>
      </w:r>
      <w:r>
        <w:rPr>
          <w:rFonts w:ascii="宋体" w:hAnsi="宋体" w:cs="宋体" w:eastAsia="宋体" w:hint="default"/>
        </w:rPr>
        <w:t>1,640</w:t>
      </w:r>
      <w:r>
        <w:rPr>
          <w:rFonts w:ascii="宋体" w:hAnsi="宋体" w:cs="宋体" w:eastAsia="宋体" w:hint="default"/>
          <w:spacing w:val="-55"/>
        </w:rPr>
        <w:t> </w:t>
      </w:r>
      <w:r>
        <w:rPr/>
        <w:t>万元，较上年同期减少</w:t>
      </w:r>
      <w:r>
        <w:rPr>
          <w:spacing w:val="-55"/>
        </w:rPr>
        <w:t> </w:t>
      </w:r>
      <w:r>
        <w:rPr>
          <w:rFonts w:ascii="宋体" w:hAnsi="宋体" w:cs="宋体" w:eastAsia="宋体" w:hint="default"/>
        </w:rPr>
        <w:t>3,770</w:t>
      </w:r>
      <w:r>
        <w:rPr>
          <w:rFonts w:ascii="宋体" w:hAnsi="宋体" w:cs="宋体" w:eastAsia="宋体" w:hint="default"/>
          <w:spacing w:val="-55"/>
        </w:rPr>
        <w:t> </w:t>
      </w:r>
      <w:r>
        <w:rPr/>
        <w:t>万元，减少</w:t>
      </w:r>
      <w:r>
        <w:rPr>
          <w:spacing w:val="-54"/>
        </w:rPr>
        <w:t> </w:t>
      </w:r>
      <w:r>
        <w:rPr>
          <w:rFonts w:ascii="宋体" w:hAnsi="宋体" w:cs="宋体" w:eastAsia="宋体" w:hint="default"/>
        </w:rPr>
        <w:t>70%</w:t>
      </w:r>
      <w:r>
        <w:rPr/>
        <w:t>。本</w:t>
      </w:r>
      <w:r>
        <w:rPr>
          <w:spacing w:val="-3"/>
          <w:w w:val="100"/>
        </w:rPr>
        <w:t> </w:t>
      </w:r>
      <w:r>
        <w:rPr/>
        <w:t>年新增投资项目主要包括：</w:t>
      </w:r>
    </w:p>
    <w:p>
      <w:pPr>
        <w:spacing w:line="240" w:lineRule="auto" w:before="1"/>
        <w:rPr>
          <w:rFonts w:ascii="宋体" w:hAnsi="宋体" w:cs="宋体" w:eastAsia="宋体" w:hint="default"/>
          <w:sz w:val="5"/>
          <w:szCs w:val="5"/>
        </w:rPr>
      </w:pPr>
    </w:p>
    <w:tbl>
      <w:tblPr>
        <w:tblW w:w="0" w:type="auto"/>
        <w:jc w:val="left"/>
        <w:tblInd w:w="750" w:type="dxa"/>
        <w:tblLayout w:type="fixed"/>
        <w:tblCellMar>
          <w:top w:w="0" w:type="dxa"/>
          <w:left w:w="0" w:type="dxa"/>
          <w:bottom w:w="0" w:type="dxa"/>
          <w:right w:w="0" w:type="dxa"/>
        </w:tblCellMar>
        <w:tblLook w:val="01E0"/>
      </w:tblPr>
      <w:tblGrid>
        <w:gridCol w:w="2415"/>
        <w:gridCol w:w="2552"/>
        <w:gridCol w:w="1985"/>
        <w:gridCol w:w="2269"/>
      </w:tblGrid>
      <w:tr>
        <w:trPr>
          <w:trHeight w:val="925"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主要经营活动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10" w:right="144" w:hanging="264"/>
              <w:jc w:val="left"/>
              <w:rPr>
                <w:rFonts w:ascii="宋体" w:hAnsi="宋体" w:cs="宋体" w:eastAsia="宋体" w:hint="default"/>
                <w:sz w:val="21"/>
                <w:szCs w:val="21"/>
              </w:rPr>
            </w:pPr>
            <w:r>
              <w:rPr>
                <w:rFonts w:ascii="宋体" w:hAnsi="宋体" w:cs="宋体" w:eastAsia="宋体" w:hint="default"/>
                <w:sz w:val="21"/>
                <w:szCs w:val="21"/>
              </w:rPr>
              <w:t>占被投资公司权益</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宋体" w:hAnsi="宋体" w:cs="宋体" w:eastAsia="宋体" w:hint="default"/>
                <w:sz w:val="21"/>
                <w:szCs w:val="21"/>
              </w:rPr>
              <w:t>%</w:t>
            </w:r>
            <w:r>
              <w:rPr>
                <w:rFonts w:ascii="宋体" w:hAnsi="宋体" w:cs="宋体" w:eastAsia="宋体" w:hint="default"/>
                <w:sz w:val="21"/>
                <w:szCs w:val="21"/>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2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9"/>
              <w:ind w:left="103" w:right="197"/>
              <w:jc w:val="left"/>
              <w:rPr>
                <w:rFonts w:ascii="宋体" w:hAnsi="宋体" w:cs="宋体" w:eastAsia="宋体" w:hint="default"/>
                <w:sz w:val="21"/>
                <w:szCs w:val="21"/>
              </w:rPr>
            </w:pPr>
            <w:r>
              <w:rPr>
                <w:rFonts w:ascii="宋体" w:hAnsi="宋体" w:cs="宋体" w:eastAsia="宋体" w:hint="default"/>
                <w:spacing w:val="-2"/>
                <w:sz w:val="21"/>
                <w:szCs w:val="21"/>
              </w:rPr>
              <w:t>西藏文轩创业投资基金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合伙企业（有限合伙）</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center"/>
              <w:rPr>
                <w:rFonts w:ascii="宋体" w:hAnsi="宋体" w:cs="宋体" w:eastAsia="宋体" w:hint="default"/>
                <w:sz w:val="21"/>
                <w:szCs w:val="21"/>
              </w:rPr>
            </w:pPr>
            <w:r>
              <w:rPr>
                <w:rFonts w:ascii="宋体" w:hAnsi="宋体" w:cs="宋体" w:eastAsia="宋体" w:hint="default"/>
                <w:sz w:val="21"/>
                <w:szCs w:val="21"/>
              </w:rPr>
              <w:t>投资管理及相关咨询服务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sz w:val="21"/>
              </w:rPr>
              <w:t>56.34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本年投资</w:t>
            </w:r>
            <w:r>
              <w:rPr>
                <w:rFonts w:ascii="宋体" w:hAnsi="宋体" w:cs="宋体" w:eastAsia="宋体" w:hint="default"/>
                <w:spacing w:val="-52"/>
                <w:sz w:val="21"/>
                <w:szCs w:val="21"/>
              </w:rPr>
              <w:t> </w:t>
            </w:r>
            <w:r>
              <w:rPr>
                <w:rFonts w:ascii="宋体" w:hAnsi="宋体" w:cs="宋体" w:eastAsia="宋体" w:hint="default"/>
                <w:sz w:val="21"/>
                <w:szCs w:val="21"/>
              </w:rPr>
              <w:t>170</w:t>
            </w:r>
            <w:r>
              <w:rPr>
                <w:rFonts w:ascii="宋体" w:hAnsi="宋体" w:cs="宋体" w:eastAsia="宋体" w:hint="default"/>
                <w:spacing w:val="-5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648"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1"/>
              <w:ind w:left="103" w:right="197"/>
              <w:jc w:val="left"/>
              <w:rPr>
                <w:rFonts w:ascii="宋体" w:hAnsi="宋体" w:cs="宋体" w:eastAsia="宋体" w:hint="default"/>
                <w:sz w:val="21"/>
                <w:szCs w:val="21"/>
              </w:rPr>
            </w:pPr>
            <w:r>
              <w:rPr>
                <w:rFonts w:ascii="宋体" w:hAnsi="宋体" w:cs="宋体" w:eastAsia="宋体" w:hint="default"/>
                <w:spacing w:val="-2"/>
                <w:sz w:val="21"/>
                <w:szCs w:val="21"/>
              </w:rPr>
              <w:t>凉山新华文轩教育科技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center"/>
              <w:rPr>
                <w:rFonts w:ascii="宋体" w:hAnsi="宋体" w:cs="宋体" w:eastAsia="宋体" w:hint="default"/>
                <w:sz w:val="21"/>
                <w:szCs w:val="21"/>
              </w:rPr>
            </w:pPr>
            <w:r>
              <w:rPr>
                <w:rFonts w:ascii="宋体" w:hAnsi="宋体" w:cs="宋体" w:eastAsia="宋体" w:hint="default"/>
                <w:sz w:val="21"/>
                <w:szCs w:val="21"/>
              </w:rPr>
              <w:t>软件开发、电子设备销售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21"/>
                <w:szCs w:val="21"/>
              </w:rPr>
            </w:pPr>
            <w:r>
              <w:rPr>
                <w:rFonts w:ascii="宋体"/>
                <w:sz w:val="21"/>
              </w:rPr>
              <w:t>49.00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1"/>
                <w:szCs w:val="21"/>
              </w:rPr>
            </w:pPr>
            <w:r>
              <w:rPr>
                <w:rFonts w:ascii="宋体" w:hAnsi="宋体" w:cs="宋体" w:eastAsia="宋体" w:hint="default"/>
                <w:sz w:val="21"/>
                <w:szCs w:val="21"/>
              </w:rPr>
              <w:t>本年投资</w:t>
            </w:r>
            <w:r>
              <w:rPr>
                <w:rFonts w:ascii="宋体" w:hAnsi="宋体" w:cs="宋体" w:eastAsia="宋体" w:hint="default"/>
                <w:spacing w:val="-51"/>
                <w:sz w:val="21"/>
                <w:szCs w:val="21"/>
              </w:rPr>
              <w:t> </w:t>
            </w:r>
            <w:r>
              <w:rPr>
                <w:rFonts w:ascii="宋体" w:hAnsi="宋体" w:cs="宋体" w:eastAsia="宋体" w:hint="default"/>
                <w:sz w:val="21"/>
                <w:szCs w:val="21"/>
              </w:rPr>
              <w:t>1,470</w:t>
            </w:r>
            <w:r>
              <w:rPr>
                <w:rFonts w:ascii="宋体" w:hAnsi="宋体" w:cs="宋体" w:eastAsia="宋体" w:hint="default"/>
                <w:spacing w:val="-53"/>
                <w:sz w:val="21"/>
                <w:szCs w:val="21"/>
              </w:rPr>
              <w:t> </w:t>
            </w:r>
            <w:r>
              <w:rPr>
                <w:rFonts w:ascii="宋体" w:hAnsi="宋体" w:cs="宋体" w:eastAsia="宋体" w:hint="default"/>
                <w:sz w:val="21"/>
                <w:szCs w:val="21"/>
              </w:rPr>
              <w:t>万元</w:t>
            </w:r>
          </w:p>
        </w:tc>
      </w:tr>
    </w:tbl>
    <w:p>
      <w:pPr>
        <w:spacing w:line="240" w:lineRule="auto" w:before="2"/>
        <w:rPr>
          <w:rFonts w:ascii="宋体" w:hAnsi="宋体" w:cs="宋体" w:eastAsia="宋体" w:hint="default"/>
          <w:sz w:val="20"/>
          <w:szCs w:val="20"/>
        </w:rPr>
      </w:pPr>
    </w:p>
    <w:p>
      <w:pPr>
        <w:pStyle w:val="Heading2"/>
        <w:spacing w:line="240" w:lineRule="auto" w:before="36"/>
        <w:ind w:left="760" w:right="80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56"/>
        <w:ind w:left="760" w:right="80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760" w:right="80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8"/>
        <w:ind w:left="760" w:right="80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060" w:bottom="1380" w:left="680" w:right="680"/>
        </w:sectPr>
      </w:pPr>
    </w:p>
    <w:p>
      <w:pPr>
        <w:pStyle w:val="Heading2"/>
        <w:spacing w:line="240" w:lineRule="auto" w:before="36"/>
        <w:ind w:left="760" w:right="-17"/>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6"/>
        <w:ind w:left="760"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812" w:val="left" w:leader="none"/>
        </w:tabs>
        <w:spacing w:line="240" w:lineRule="auto"/>
        <w:ind w:left="760" w:right="0"/>
        <w:jc w:val="left"/>
      </w:pPr>
      <w:r>
        <w:rPr>
          <w:spacing w:val="-1"/>
        </w:rPr>
        <w:t>单位：元</w:t>
        <w:tab/>
        <w:t>币种：人民币</w:t>
      </w:r>
    </w:p>
    <w:p>
      <w:pPr>
        <w:spacing w:after="0" w:line="240" w:lineRule="auto"/>
        <w:jc w:val="left"/>
        <w:sectPr>
          <w:type w:val="continuous"/>
          <w:pgSz w:w="11910" w:h="16840"/>
          <w:pgMar w:top="1060" w:bottom="1380" w:left="680" w:right="680"/>
          <w:cols w:num="2" w:equalWidth="0">
            <w:col w:w="3711" w:space="3005"/>
            <w:col w:w="3834"/>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14"/>
        <w:gridCol w:w="1985"/>
        <w:gridCol w:w="1829"/>
        <w:gridCol w:w="1844"/>
        <w:gridCol w:w="1728"/>
      </w:tblGrid>
      <w:tr>
        <w:trPr>
          <w:trHeight w:val="478"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4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9" w:right="0"/>
              <w:jc w:val="left"/>
              <w:rPr>
                <w:rFonts w:ascii="宋体" w:hAnsi="宋体" w:cs="宋体" w:eastAsia="宋体" w:hint="default"/>
                <w:sz w:val="18"/>
                <w:szCs w:val="18"/>
              </w:rPr>
            </w:pPr>
            <w:r>
              <w:rPr>
                <w:rFonts w:ascii="宋体" w:hAnsi="宋体" w:cs="宋体" w:eastAsia="宋体" w:hint="default"/>
                <w:sz w:val="18"/>
                <w:szCs w:val="18"/>
              </w:rPr>
              <w:t>期初公允价值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2"/>
              <w:jc w:val="left"/>
              <w:rPr>
                <w:rFonts w:ascii="宋体" w:hAnsi="宋体" w:cs="宋体" w:eastAsia="宋体" w:hint="default"/>
                <w:sz w:val="18"/>
                <w:szCs w:val="18"/>
              </w:rPr>
            </w:pPr>
            <w:r>
              <w:rPr>
                <w:rFonts w:ascii="宋体" w:hAnsi="宋体" w:cs="宋体" w:eastAsia="宋体" w:hint="default"/>
                <w:sz w:val="18"/>
                <w:szCs w:val="18"/>
              </w:rPr>
              <w:t>本期计入公允价值变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动损益的金</w:t>
            </w:r>
            <w:r>
              <w:rPr>
                <w:rFonts w:ascii="宋体" w:hAnsi="宋体" w:cs="宋体" w:eastAsia="宋体" w:hint="default"/>
                <w:spacing w:val="-85"/>
                <w:sz w:val="18"/>
                <w:szCs w:val="18"/>
              </w:rPr>
              <w:t>额</w:t>
            </w:r>
            <w:r>
              <w:rPr>
                <w:rFonts w:ascii="宋体" w:hAnsi="宋体" w:cs="宋体" w:eastAsia="宋体" w:hint="default"/>
                <w:sz w:val="18"/>
                <w:szCs w:val="18"/>
              </w:rPr>
              <w:t>（税前）</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36"/>
              <w:jc w:val="left"/>
              <w:rPr>
                <w:rFonts w:ascii="宋体" w:hAnsi="宋体" w:cs="宋体" w:eastAsia="宋体" w:hint="default"/>
                <w:sz w:val="18"/>
                <w:szCs w:val="18"/>
              </w:rPr>
            </w:pPr>
            <w:r>
              <w:rPr>
                <w:rFonts w:ascii="宋体" w:hAnsi="宋体" w:cs="宋体" w:eastAsia="宋体" w:hint="default"/>
                <w:sz w:val="18"/>
                <w:szCs w:val="18"/>
              </w:rPr>
              <w:t>本期计入其他综合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收益的金额（税前）</w:t>
            </w:r>
          </w:p>
        </w:tc>
      </w:tr>
      <w:tr>
        <w:trPr>
          <w:trHeight w:val="47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股上市公司股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641,274.52</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28,233.14</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-127,441.08</w:t>
            </w:r>
            <w:r>
              <w:rPr>
                <w:rFonts w:ascii="宋体"/>
                <w:sz w:val="20"/>
              </w:rPr>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w:t>
            </w:r>
            <w:r>
              <w:rPr>
                <w:rFonts w:ascii="宋体" w:hAnsi="宋体" w:cs="宋体" w:eastAsia="宋体" w:hint="default"/>
                <w:sz w:val="18"/>
                <w:szCs w:val="18"/>
              </w:rPr>
              <w:t>银行理财产品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1,261,790,000.00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1,157,800,000.00</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股上市公司</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w:t>
            </w:r>
            <w:r>
              <w:rPr>
                <w:rFonts w:ascii="宋体" w:hAnsi="宋体" w:cs="宋体" w:eastAsia="宋体" w:hint="default"/>
                <w:sz w:val="18"/>
                <w:szCs w:val="18"/>
              </w:rPr>
              <w:t>皖新传媒</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0"/>
                <w:szCs w:val="20"/>
              </w:rPr>
            </w:pPr>
            <w:r>
              <w:rPr>
                <w:rFonts w:ascii="宋体"/>
                <w:w w:val="95"/>
                <w:sz w:val="20"/>
              </w:rPr>
              <w:t>832,595,200.00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0"/>
                <w:szCs w:val="20"/>
              </w:rPr>
            </w:pPr>
            <w:r>
              <w:rPr>
                <w:rFonts w:ascii="宋体"/>
                <w:w w:val="95"/>
                <w:sz w:val="20"/>
              </w:rPr>
              <w:t>1,318,691,200.00</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0"/>
                <w:szCs w:val="20"/>
              </w:rPr>
            </w:pPr>
            <w:r>
              <w:rPr>
                <w:rFonts w:ascii="宋体"/>
                <w:w w:val="95"/>
                <w:sz w:val="20"/>
              </w:rPr>
              <w:t>-486,096,000.00</w:t>
            </w:r>
            <w:r>
              <w:rPr>
                <w:rFonts w:ascii="宋体"/>
                <w:sz w:val="20"/>
              </w:rPr>
            </w:r>
          </w:p>
        </w:tc>
      </w:tr>
      <w:tr>
        <w:trPr>
          <w:trHeight w:val="478"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股上市公司</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w:t>
            </w:r>
            <w:r>
              <w:rPr>
                <w:rFonts w:ascii="宋体" w:hAnsi="宋体" w:cs="宋体" w:eastAsia="宋体" w:hint="default"/>
                <w:sz w:val="18"/>
                <w:szCs w:val="18"/>
              </w:rPr>
              <w:t>哈工智能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20"/>
                <w:szCs w:val="20"/>
              </w:rPr>
            </w:pPr>
            <w:r>
              <w:rPr>
                <w:rFonts w:ascii="宋体"/>
                <w:w w:val="95"/>
                <w:sz w:val="20"/>
              </w:rPr>
              <w:t>844,038.28</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20"/>
                <w:szCs w:val="20"/>
              </w:rPr>
            </w:pPr>
            <w:r>
              <w:rPr>
                <w:rFonts w:ascii="宋体"/>
                <w:w w:val="95"/>
                <w:sz w:val="20"/>
              </w:rPr>
              <w:t>1,979,726.73</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20"/>
                <w:szCs w:val="20"/>
              </w:rPr>
            </w:pPr>
            <w:r>
              <w:rPr>
                <w:rFonts w:ascii="宋体"/>
                <w:w w:val="95"/>
                <w:sz w:val="20"/>
              </w:rPr>
              <w:t>-1,135,688.45</w:t>
            </w:r>
            <w:r>
              <w:rPr>
                <w:rFonts w:ascii="宋体"/>
                <w:sz w:val="20"/>
              </w:rPr>
            </w:r>
          </w:p>
        </w:tc>
      </w:tr>
      <w:tr>
        <w:trPr>
          <w:trHeight w:val="478"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成都银行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20"/>
                <w:szCs w:val="20"/>
              </w:rPr>
            </w:pPr>
            <w:r>
              <w:rPr>
                <w:rFonts w:ascii="宋体"/>
                <w:w w:val="95"/>
                <w:sz w:val="20"/>
              </w:rPr>
              <w:t>618,240,000.00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20"/>
                <w:szCs w:val="20"/>
              </w:rPr>
            </w:pPr>
            <w:r>
              <w:rPr>
                <w:rFonts w:ascii="宋体"/>
                <w:w w:val="95"/>
                <w:sz w:val="20"/>
              </w:rPr>
              <w:t>520,056,000.00</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20"/>
                <w:szCs w:val="20"/>
              </w:rPr>
            </w:pPr>
            <w:r>
              <w:rPr>
                <w:rFonts w:ascii="宋体"/>
                <w:w w:val="95"/>
                <w:sz w:val="20"/>
              </w:rPr>
              <w:t>98,184,000.00</w:t>
            </w:r>
            <w:r>
              <w:rPr>
                <w:rFonts w:ascii="宋体"/>
                <w:sz w:val="20"/>
              </w:rPr>
            </w:r>
          </w:p>
        </w:tc>
      </w:tr>
      <w:tr>
        <w:trPr>
          <w:trHeight w:val="478"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宋体" w:hAnsi="宋体" w:cs="宋体" w:eastAsia="宋体" w:hint="default"/>
                <w:sz w:val="18"/>
                <w:szCs w:val="18"/>
              </w:rPr>
              <w:t>-</w:t>
            </w: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375,393.81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228,815.33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6"/>
              <w:ind w:left="103" w:right="218"/>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中信并购投 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20"/>
                <w:szCs w:val="20"/>
              </w:rPr>
            </w:pPr>
            <w:r>
              <w:rPr>
                <w:rFonts w:ascii="宋体"/>
                <w:w w:val="95"/>
                <w:sz w:val="20"/>
              </w:rPr>
              <w:t>94,837,468.07</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宋体" w:hAnsi="宋体" w:cs="宋体" w:eastAsia="宋体" w:hint="default"/>
                <w:sz w:val="20"/>
                <w:szCs w:val="20"/>
              </w:rPr>
            </w:pPr>
            <w:r>
              <w:rPr>
                <w:rFonts w:ascii="宋体"/>
                <w:w w:val="95"/>
                <w:sz w:val="20"/>
              </w:rPr>
              <w:t>96,885,632.80</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宋体" w:hAnsi="宋体" w:cs="宋体" w:eastAsia="宋体" w:hint="default"/>
                <w:sz w:val="20"/>
                <w:szCs w:val="20"/>
              </w:rPr>
            </w:pPr>
            <w:r>
              <w:rPr>
                <w:rFonts w:ascii="宋体"/>
                <w:w w:val="95"/>
                <w:sz w:val="20"/>
              </w:rPr>
              <w:t>7,429,734.19</w:t>
            </w:r>
            <w:r>
              <w:rPr>
                <w:rFonts w:ascii="宋体"/>
                <w:sz w:val="20"/>
              </w:rPr>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852"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58"/>
              <w:jc w:val="both"/>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文轩恒信</w:t>
            </w:r>
            <w:r>
              <w:rPr>
                <w:rFonts w:ascii="Times New Roman" w:hAnsi="Times New Roman" w:cs="Times New Roman" w:eastAsia="Times New Roman" w:hint="default"/>
                <w:sz w:val="18"/>
                <w:szCs w:val="18"/>
              </w:rPr>
              <w:t>(</w:t>
            </w:r>
            <w:r>
              <w:rPr>
                <w:rFonts w:ascii="宋体" w:hAnsi="宋体" w:cs="宋体" w:eastAsia="宋体" w:hint="default"/>
                <w:sz w:val="18"/>
                <w:szCs w:val="18"/>
              </w:rPr>
              <w:t>深 圳</w:t>
            </w:r>
            <w:r>
              <w:rPr>
                <w:rFonts w:ascii="Times New Roman" w:hAnsi="Times New Roman" w:cs="Times New Roman" w:eastAsia="Times New Roman" w:hint="default"/>
                <w:sz w:val="18"/>
                <w:szCs w:val="18"/>
              </w:rPr>
              <w:t>)</w:t>
            </w:r>
            <w:r>
              <w:rPr>
                <w:rFonts w:ascii="宋体" w:hAnsi="宋体" w:cs="宋体" w:eastAsia="宋体" w:hint="default"/>
                <w:sz w:val="18"/>
                <w:szCs w:val="18"/>
              </w:rPr>
              <w:t>股权投资基金合伙企业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w w:val="95"/>
                <w:sz w:val="20"/>
              </w:rPr>
              <w:t>248,097,708.00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20"/>
                <w:szCs w:val="20"/>
              </w:rPr>
            </w:pPr>
            <w:r>
              <w:rPr>
                <w:rFonts w:ascii="宋体"/>
                <w:w w:val="95"/>
                <w:sz w:val="20"/>
              </w:rPr>
              <w:t>269,424,584.74</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20"/>
                <w:szCs w:val="20"/>
              </w:rPr>
            </w:pPr>
            <w:r>
              <w:rPr>
                <w:rFonts w:ascii="宋体"/>
                <w:w w:val="95"/>
                <w:sz w:val="20"/>
              </w:rPr>
              <w:t>-21,326,876.74</w:t>
            </w:r>
            <w:r>
              <w:rPr>
                <w:rFonts w:ascii="宋体"/>
                <w:sz w:val="20"/>
              </w:rPr>
            </w:r>
          </w:p>
        </w:tc>
        <w:tc>
          <w:tcPr>
            <w:tcW w:w="17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68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914"/>
        <w:gridCol w:w="1985"/>
        <w:gridCol w:w="1829"/>
        <w:gridCol w:w="1844"/>
        <w:gridCol w:w="1728"/>
      </w:tblGrid>
      <w:tr>
        <w:trPr>
          <w:trHeight w:val="638"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6"/>
              <w:ind w:left="103" w:right="218"/>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青岛金石智 信投资中心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20"/>
                <w:szCs w:val="20"/>
              </w:rPr>
            </w:pPr>
            <w:r>
              <w:rPr>
                <w:rFonts w:ascii="宋体"/>
                <w:w w:val="95"/>
                <w:sz w:val="20"/>
              </w:rPr>
              <w:t>148,790,378.40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宋体" w:hAnsi="宋体" w:cs="宋体" w:eastAsia="宋体" w:hint="default"/>
                <w:sz w:val="20"/>
                <w:szCs w:val="20"/>
              </w:rPr>
            </w:pPr>
            <w:r>
              <w:rPr>
                <w:rFonts w:ascii="宋体"/>
                <w:w w:val="95"/>
                <w:sz w:val="20"/>
              </w:rPr>
              <w:t>153,252,074.60</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宋体" w:hAnsi="宋体" w:cs="宋体" w:eastAsia="宋体" w:hint="default"/>
                <w:sz w:val="20"/>
                <w:szCs w:val="20"/>
              </w:rPr>
            </w:pPr>
            <w:r>
              <w:rPr>
                <w:rFonts w:ascii="宋体"/>
                <w:w w:val="95"/>
                <w:sz w:val="20"/>
              </w:rPr>
              <w:t>-4,461,696.20</w:t>
            </w:r>
            <w:r>
              <w:rPr>
                <w:rFonts w:ascii="宋体"/>
                <w:sz w:val="20"/>
              </w:rPr>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103" w:right="218"/>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泰州信恒众 润投资基金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0"/>
                <w:szCs w:val="20"/>
              </w:rPr>
            </w:pPr>
            <w:r>
              <w:rPr>
                <w:rFonts w:ascii="宋体"/>
                <w:w w:val="95"/>
                <w:sz w:val="20"/>
              </w:rPr>
              <w:t>15,931,213.44</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20"/>
                <w:szCs w:val="20"/>
              </w:rPr>
            </w:pPr>
            <w:r>
              <w:rPr>
                <w:rFonts w:ascii="宋体"/>
                <w:w w:val="95"/>
                <w:sz w:val="20"/>
              </w:rPr>
              <w:t>35,625,966.22</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20"/>
                <w:szCs w:val="20"/>
              </w:rPr>
            </w:pPr>
            <w:r>
              <w:rPr>
                <w:rFonts w:ascii="宋体"/>
                <w:w w:val="95"/>
                <w:sz w:val="20"/>
              </w:rPr>
              <w:t>-19,694,752.78</w:t>
            </w:r>
            <w:r>
              <w:rPr>
                <w:rFonts w:ascii="宋体"/>
                <w:sz w:val="20"/>
              </w:rPr>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b/>
                <w:w w:val="95"/>
                <w:sz w:val="20"/>
              </w:rPr>
              <w:t>3,222,142,674.52</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b/>
                <w:w w:val="95"/>
                <w:sz w:val="20"/>
              </w:rPr>
              <w:t>3,553,972,233.56</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b/>
                <w:w w:val="95"/>
                <w:sz w:val="20"/>
              </w:rPr>
              <w:t>-38,181,032.61</w:t>
            </w:r>
            <w:r>
              <w:rPr>
                <w:rFonts w:ascii="宋体"/>
                <w:sz w:val="20"/>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b/>
                <w:sz w:val="20"/>
              </w:rPr>
              <w:t>-389,047,688.45</w:t>
            </w:r>
            <w:r>
              <w:rPr>
                <w:rFonts w:ascii="宋体"/>
                <w:sz w:val="20"/>
              </w:rPr>
            </w:r>
          </w:p>
        </w:tc>
      </w:tr>
    </w:tbl>
    <w:p>
      <w:pPr>
        <w:spacing w:line="240" w:lineRule="auto" w:before="5"/>
        <w:rPr>
          <w:rFonts w:ascii="宋体" w:hAnsi="宋体" w:cs="宋体" w:eastAsia="宋体" w:hint="default"/>
          <w:sz w:val="15"/>
          <w:szCs w:val="15"/>
        </w:rPr>
      </w:pPr>
    </w:p>
    <w:p>
      <w:pPr>
        <w:pStyle w:val="BodyText"/>
        <w:spacing w:line="240" w:lineRule="auto" w:before="36"/>
        <w:ind w:left="760" w:right="800"/>
        <w:jc w:val="left"/>
      </w:pPr>
      <w:r>
        <w:rPr/>
        <w:t>注：成都银行期初余额系根据其</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w:t>
      </w:r>
      <w:r>
        <w:rPr>
          <w:spacing w:val="-55"/>
        </w:rPr>
        <w:t> </w:t>
      </w:r>
      <w:r>
        <w:rPr>
          <w:rFonts w:ascii="宋体" w:hAnsi="宋体" w:cs="宋体" w:eastAsia="宋体" w:hint="default"/>
        </w:rPr>
        <w:t>A</w:t>
      </w:r>
      <w:r>
        <w:rPr>
          <w:rFonts w:ascii="宋体" w:hAnsi="宋体" w:cs="宋体" w:eastAsia="宋体" w:hint="default"/>
          <w:spacing w:val="-53"/>
        </w:rPr>
        <w:t> </w:t>
      </w:r>
      <w:r>
        <w:rPr/>
        <w:t>股发行价计算的公允价值。</w:t>
      </w:r>
    </w:p>
    <w:p>
      <w:pPr>
        <w:spacing w:line="240" w:lineRule="auto" w:before="3"/>
        <w:rPr>
          <w:rFonts w:ascii="宋体" w:hAnsi="宋体" w:cs="宋体" w:eastAsia="宋体" w:hint="default"/>
          <w:sz w:val="25"/>
          <w:szCs w:val="25"/>
        </w:rPr>
      </w:pPr>
    </w:p>
    <w:p>
      <w:pPr>
        <w:pStyle w:val="Heading2"/>
        <w:tabs>
          <w:tab w:pos="1600" w:val="left" w:leader="none"/>
        </w:tabs>
        <w:spacing w:line="240" w:lineRule="auto"/>
        <w:ind w:left="760" w:right="800"/>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spacing w:line="240" w:lineRule="auto" w:before="58"/>
        <w:ind w:left="760" w:right="80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060" w:bottom="1380" w:left="680" w:right="680"/>
        </w:sectPr>
      </w:pPr>
    </w:p>
    <w:p>
      <w:pPr>
        <w:pStyle w:val="Heading2"/>
        <w:tabs>
          <w:tab w:pos="1600" w:val="left" w:leader="none"/>
        </w:tabs>
        <w:spacing w:line="240" w:lineRule="auto" w:before="36"/>
        <w:ind w:left="760" w:right="-9"/>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spacing w:val="-1"/>
        </w:rPr>
        <w:t>主要控股参股公司分析</w:t>
      </w:r>
      <w:r>
        <w:rPr>
          <w:b w:val="0"/>
          <w:bCs w:val="0"/>
          <w:spacing w:val="-1"/>
        </w:rPr>
      </w:r>
    </w:p>
    <w:p>
      <w:pPr>
        <w:pStyle w:val="BodyText"/>
        <w:spacing w:line="240" w:lineRule="auto" w:before="56"/>
        <w:ind w:left="760" w:right="-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23" w:val="left" w:leader="none"/>
        </w:tabs>
        <w:spacing w:line="240" w:lineRule="auto"/>
        <w:ind w:left="760" w:right="0"/>
        <w:jc w:val="left"/>
      </w:pPr>
      <w:r>
        <w:rPr>
          <w:spacing w:val="-1"/>
        </w:rPr>
        <w:t>单位：万元</w:t>
        <w:tab/>
      </w:r>
      <w:r>
        <w:rPr>
          <w:spacing w:val="-2"/>
        </w:rPr>
        <w:t>币种：人民币</w:t>
      </w:r>
    </w:p>
    <w:p>
      <w:pPr>
        <w:spacing w:after="0" w:line="240" w:lineRule="auto"/>
        <w:jc w:val="left"/>
        <w:sectPr>
          <w:type w:val="continuous"/>
          <w:pgSz w:w="11910" w:h="16840"/>
          <w:pgMar w:top="1060" w:bottom="1380" w:left="680" w:right="680"/>
          <w:cols w:num="2" w:equalWidth="0">
            <w:col w:w="3711" w:space="2794"/>
            <w:col w:w="4045"/>
          </w:cols>
        </w:sectPr>
      </w:pPr>
    </w:p>
    <w:p>
      <w:pPr>
        <w:spacing w:line="240" w:lineRule="auto" w:before="4"/>
        <w:rPr>
          <w:rFonts w:ascii="宋体" w:hAnsi="宋体" w:cs="宋体" w:eastAsia="宋体" w:hint="default"/>
          <w:sz w:val="2"/>
          <w:szCs w:val="2"/>
        </w:rPr>
      </w:pPr>
    </w:p>
    <w:tbl>
      <w:tblPr>
        <w:tblW w:w="0" w:type="auto"/>
        <w:jc w:val="left"/>
        <w:tblInd w:w="472" w:type="dxa"/>
        <w:tblLayout w:type="fixed"/>
        <w:tblCellMar>
          <w:top w:w="0" w:type="dxa"/>
          <w:left w:w="0" w:type="dxa"/>
          <w:bottom w:w="0" w:type="dxa"/>
          <w:right w:w="0" w:type="dxa"/>
        </w:tblCellMar>
        <w:tblLook w:val="01E0"/>
      </w:tblPr>
      <w:tblGrid>
        <w:gridCol w:w="1702"/>
        <w:gridCol w:w="1561"/>
        <w:gridCol w:w="850"/>
        <w:gridCol w:w="1131"/>
        <w:gridCol w:w="1135"/>
        <w:gridCol w:w="991"/>
        <w:gridCol w:w="1138"/>
        <w:gridCol w:w="1087"/>
      </w:tblGrid>
      <w:tr>
        <w:trPr>
          <w:trHeight w:val="245"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92"/>
              <w:ind w:left="305" w:right="0"/>
              <w:jc w:val="left"/>
              <w:rPr>
                <w:rFonts w:ascii="宋体" w:hAnsi="宋体" w:cs="宋体" w:eastAsia="宋体" w:hint="default"/>
                <w:sz w:val="18"/>
                <w:szCs w:val="18"/>
              </w:rPr>
            </w:pPr>
            <w:r>
              <w:rPr>
                <w:rFonts w:ascii="宋体" w:hAnsi="宋体" w:cs="宋体" w:eastAsia="宋体" w:hint="default"/>
                <w:sz w:val="18"/>
                <w:szCs w:val="18"/>
              </w:rPr>
              <w:t>附属公司全称</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92"/>
              <w:ind w:left="4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50" w:type="dxa"/>
            <w:vMerge w:val="restart"/>
            <w:tcBorders>
              <w:top w:val="single" w:sz="4" w:space="0" w:color="000000"/>
              <w:left w:val="single" w:sz="4" w:space="0" w:color="000000"/>
              <w:right w:val="single" w:sz="4" w:space="0" w:color="000000"/>
            </w:tcBorders>
          </w:tcPr>
          <w:p>
            <w:pPr>
              <w:pStyle w:val="TableParagraph"/>
              <w:spacing w:line="232" w:lineRule="exact" w:before="1"/>
              <w:ind w:left="283" w:right="59" w:hanging="224"/>
              <w:jc w:val="left"/>
              <w:rPr>
                <w:rFonts w:ascii="宋体" w:hAnsi="宋体" w:cs="宋体" w:eastAsia="宋体" w:hint="default"/>
                <w:sz w:val="18"/>
                <w:szCs w:val="18"/>
              </w:rPr>
            </w:pPr>
            <w:r>
              <w:rPr>
                <w:rFonts w:ascii="宋体" w:hAnsi="宋体" w:cs="宋体" w:eastAsia="宋体" w:hint="default"/>
                <w:sz w:val="18"/>
                <w:szCs w:val="18"/>
              </w:rPr>
              <w:t>持股比例 </w:t>
            </w:r>
            <w:r>
              <w:rPr>
                <w:rFonts w:ascii="宋体" w:hAnsi="宋体" w:cs="宋体" w:eastAsia="宋体" w:hint="default"/>
                <w:sz w:val="18"/>
                <w:szCs w:val="18"/>
              </w:rPr>
              <w:t>(%)</w:t>
            </w:r>
          </w:p>
        </w:tc>
        <w:tc>
          <w:tcPr>
            <w:tcW w:w="1131" w:type="dxa"/>
            <w:vMerge w:val="restart"/>
            <w:tcBorders>
              <w:top w:val="single" w:sz="4" w:space="0" w:color="000000"/>
              <w:left w:val="single" w:sz="4" w:space="0" w:color="000000"/>
              <w:right w:val="single" w:sz="4" w:space="0" w:color="000000"/>
            </w:tcBorders>
          </w:tcPr>
          <w:p>
            <w:pPr>
              <w:pStyle w:val="TableParagraph"/>
              <w:spacing w:line="240" w:lineRule="auto" w:before="92"/>
              <w:ind w:left="1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42" w:hRule="exact"/>
        </w:trPr>
        <w:tc>
          <w:tcPr>
            <w:tcW w:w="1702"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3"/>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四川教育出版社有限</w:t>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出版物及相关出版</w:t>
            </w: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物出版及批发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sz w:val="18"/>
              </w:rPr>
              <w:t>100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 w:right="0"/>
              <w:jc w:val="center"/>
              <w:rPr>
                <w:rFonts w:ascii="宋体" w:hAnsi="宋体" w:cs="宋体" w:eastAsia="宋体" w:hint="default"/>
                <w:sz w:val="18"/>
                <w:szCs w:val="18"/>
              </w:rPr>
            </w:pPr>
            <w:r>
              <w:rPr>
                <w:rFonts w:ascii="宋体"/>
                <w:sz w:val="18"/>
              </w:rPr>
              <w:t>1,000.00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spacing w:val="-1"/>
                <w:sz w:val="18"/>
              </w:rPr>
              <w:t>72,135.33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spacing w:val="-1"/>
                <w:sz w:val="18"/>
              </w:rPr>
              <w:t>27,642.05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5"/>
              <w:jc w:val="right"/>
              <w:rPr>
                <w:rFonts w:ascii="宋体" w:hAnsi="宋体" w:cs="宋体" w:eastAsia="宋体" w:hint="default"/>
                <w:sz w:val="18"/>
                <w:szCs w:val="18"/>
              </w:rPr>
            </w:pPr>
            <w:r>
              <w:rPr>
                <w:rFonts w:ascii="宋体"/>
                <w:spacing w:val="-1"/>
                <w:sz w:val="18"/>
              </w:rPr>
              <w:t>106,923.18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63,513.98</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四川出版印刷有限公</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出版物及相关出版</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物出版及批发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sz w:val="18"/>
              </w:rPr>
              <w:t>100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 w:right="0"/>
              <w:jc w:val="center"/>
              <w:rPr>
                <w:rFonts w:ascii="宋体" w:hAnsi="宋体" w:cs="宋体" w:eastAsia="宋体" w:hint="default"/>
                <w:sz w:val="18"/>
                <w:szCs w:val="18"/>
              </w:rPr>
            </w:pPr>
            <w:r>
              <w:rPr>
                <w:rFonts w:ascii="宋体"/>
                <w:sz w:val="18"/>
              </w:rPr>
              <w:t>5,000.00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spacing w:val="-1"/>
                <w:sz w:val="18"/>
              </w:rPr>
              <w:t>28,145.23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spacing w:val="-1"/>
                <w:sz w:val="18"/>
              </w:rPr>
              <w:t>7,681.01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spacing w:val="-1"/>
                <w:sz w:val="18"/>
              </w:rPr>
              <w:t>73,707.16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58,794.94</w:t>
            </w: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四川天地出版社有限</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公司（合并）</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出版物及相关出版</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物出版及批发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4"/>
              <w:jc w:val="right"/>
              <w:rPr>
                <w:rFonts w:ascii="宋体" w:hAnsi="宋体" w:cs="宋体" w:eastAsia="宋体" w:hint="default"/>
                <w:sz w:val="18"/>
                <w:szCs w:val="18"/>
              </w:rPr>
            </w:pPr>
            <w:r>
              <w:rPr>
                <w:rFonts w:ascii="宋体"/>
                <w:sz w:val="18"/>
              </w:rPr>
              <w:t>100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6" w:right="0"/>
              <w:jc w:val="center"/>
              <w:rPr>
                <w:rFonts w:ascii="宋体" w:hAnsi="宋体" w:cs="宋体" w:eastAsia="宋体" w:hint="default"/>
                <w:sz w:val="18"/>
                <w:szCs w:val="18"/>
              </w:rPr>
            </w:pPr>
            <w:r>
              <w:rPr>
                <w:rFonts w:ascii="宋体"/>
                <w:sz w:val="18"/>
              </w:rPr>
              <w:t>13,063.47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4"/>
              <w:jc w:val="right"/>
              <w:rPr>
                <w:rFonts w:ascii="宋体" w:hAnsi="宋体" w:cs="宋体" w:eastAsia="宋体" w:hint="default"/>
                <w:sz w:val="18"/>
                <w:szCs w:val="18"/>
              </w:rPr>
            </w:pPr>
            <w:r>
              <w:rPr>
                <w:rFonts w:ascii="宋体"/>
                <w:spacing w:val="-1"/>
                <w:sz w:val="18"/>
              </w:rPr>
              <w:t>26,210.95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1"/>
              <w:jc w:val="right"/>
              <w:rPr>
                <w:rFonts w:ascii="宋体" w:hAnsi="宋体" w:cs="宋体" w:eastAsia="宋体" w:hint="default"/>
                <w:sz w:val="18"/>
                <w:szCs w:val="18"/>
              </w:rPr>
            </w:pPr>
            <w:r>
              <w:rPr>
                <w:rFonts w:ascii="宋体"/>
                <w:spacing w:val="-1"/>
                <w:sz w:val="18"/>
              </w:rPr>
              <w:t>6,030.37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4"/>
              <w:jc w:val="right"/>
              <w:rPr>
                <w:rFonts w:ascii="宋体" w:hAnsi="宋体" w:cs="宋体" w:eastAsia="宋体" w:hint="default"/>
                <w:sz w:val="18"/>
                <w:szCs w:val="18"/>
              </w:rPr>
            </w:pPr>
            <w:r>
              <w:rPr>
                <w:rFonts w:ascii="宋体"/>
                <w:spacing w:val="-1"/>
                <w:sz w:val="18"/>
              </w:rPr>
              <w:t>37,488.64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
              <w:jc w:val="center"/>
              <w:rPr>
                <w:rFonts w:ascii="宋体" w:hAnsi="宋体" w:cs="宋体" w:eastAsia="宋体" w:hint="default"/>
                <w:sz w:val="18"/>
                <w:szCs w:val="18"/>
              </w:rPr>
            </w:pPr>
            <w:r>
              <w:rPr>
                <w:rFonts w:ascii="宋体"/>
                <w:sz w:val="18"/>
              </w:rPr>
              <w:t>21,937.61</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四川少年儿童出版社</w:t>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出版物及相关出版</w:t>
            </w: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物出版及批发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sz w:val="18"/>
              </w:rPr>
              <w:t>100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 w:right="0"/>
              <w:jc w:val="center"/>
              <w:rPr>
                <w:rFonts w:ascii="宋体" w:hAnsi="宋体" w:cs="宋体" w:eastAsia="宋体" w:hint="default"/>
                <w:sz w:val="18"/>
                <w:szCs w:val="18"/>
              </w:rPr>
            </w:pPr>
            <w:r>
              <w:rPr>
                <w:rFonts w:ascii="宋体"/>
                <w:sz w:val="18"/>
              </w:rPr>
              <w:t>11,000.00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spacing w:val="-1"/>
                <w:sz w:val="18"/>
              </w:rPr>
              <w:t>30,765.29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spacing w:val="-1"/>
                <w:sz w:val="18"/>
              </w:rPr>
              <w:t>7,439.25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spacing w:val="-1"/>
                <w:sz w:val="18"/>
              </w:rPr>
              <w:t>50,395.21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36,452.28</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四川省印刷物资有限</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left"/>
              <w:rPr>
                <w:rFonts w:ascii="宋体" w:hAnsi="宋体" w:cs="宋体" w:eastAsia="宋体" w:hint="default"/>
                <w:sz w:val="18"/>
                <w:szCs w:val="18"/>
              </w:rPr>
            </w:pPr>
            <w:r>
              <w:rPr>
                <w:rFonts w:ascii="宋体" w:hAnsi="宋体" w:cs="宋体" w:eastAsia="宋体" w:hint="default"/>
                <w:sz w:val="18"/>
                <w:szCs w:val="18"/>
              </w:rPr>
              <w:t>提供印刷相关物资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sz w:val="18"/>
              </w:rPr>
              <w:t>100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 w:right="0"/>
              <w:jc w:val="center"/>
              <w:rPr>
                <w:rFonts w:ascii="宋体" w:hAnsi="宋体" w:cs="宋体" w:eastAsia="宋体" w:hint="default"/>
                <w:sz w:val="18"/>
                <w:szCs w:val="18"/>
              </w:rPr>
            </w:pPr>
            <w:r>
              <w:rPr>
                <w:rFonts w:ascii="宋体"/>
                <w:sz w:val="18"/>
              </w:rPr>
              <w:t>3,000.00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spacing w:val="-1"/>
                <w:sz w:val="18"/>
              </w:rPr>
              <w:t>57,393.91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sz w:val="18"/>
              </w:rPr>
              <w:t>-209.69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spacing w:val="-1"/>
                <w:sz w:val="18"/>
              </w:rPr>
              <w:t>39,992.45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4" w:right="0"/>
              <w:jc w:val="center"/>
              <w:rPr>
                <w:rFonts w:ascii="宋体" w:hAnsi="宋体" w:cs="宋体" w:eastAsia="宋体" w:hint="default"/>
                <w:sz w:val="18"/>
                <w:szCs w:val="18"/>
              </w:rPr>
            </w:pPr>
            <w:r>
              <w:rPr>
                <w:rFonts w:ascii="宋体"/>
                <w:sz w:val="18"/>
              </w:rPr>
              <w:t>3,824.86</w:t>
            </w: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四川文轩教育科技有</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2"/>
              <w:jc w:val="center"/>
              <w:rPr>
                <w:rFonts w:ascii="宋体" w:hAnsi="宋体" w:cs="宋体" w:eastAsia="宋体" w:hint="default"/>
                <w:sz w:val="18"/>
                <w:szCs w:val="18"/>
              </w:rPr>
            </w:pPr>
            <w:r>
              <w:rPr>
                <w:rFonts w:ascii="宋体" w:hAnsi="宋体" w:cs="宋体" w:eastAsia="宋体" w:hint="default"/>
                <w:spacing w:val="-8"/>
                <w:sz w:val="18"/>
                <w:szCs w:val="18"/>
              </w:rPr>
              <w:t>软件开发、电子设备</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4"/>
              <w:jc w:val="right"/>
              <w:rPr>
                <w:rFonts w:ascii="宋体" w:hAnsi="宋体" w:cs="宋体" w:eastAsia="宋体" w:hint="default"/>
                <w:sz w:val="18"/>
                <w:szCs w:val="18"/>
              </w:rPr>
            </w:pPr>
            <w:r>
              <w:rPr>
                <w:rFonts w:ascii="宋体"/>
                <w:sz w:val="18"/>
              </w:rPr>
              <w:t>100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6" w:right="0"/>
              <w:jc w:val="center"/>
              <w:rPr>
                <w:rFonts w:ascii="宋体" w:hAnsi="宋体" w:cs="宋体" w:eastAsia="宋体" w:hint="default"/>
                <w:sz w:val="18"/>
                <w:szCs w:val="18"/>
              </w:rPr>
            </w:pPr>
            <w:r>
              <w:rPr>
                <w:rFonts w:ascii="宋体"/>
                <w:sz w:val="18"/>
              </w:rPr>
              <w:t>33,000.00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4"/>
              <w:jc w:val="right"/>
              <w:rPr>
                <w:rFonts w:ascii="宋体" w:hAnsi="宋体" w:cs="宋体" w:eastAsia="宋体" w:hint="default"/>
                <w:sz w:val="18"/>
                <w:szCs w:val="18"/>
              </w:rPr>
            </w:pPr>
            <w:r>
              <w:rPr>
                <w:rFonts w:ascii="宋体"/>
                <w:spacing w:val="-1"/>
                <w:sz w:val="18"/>
              </w:rPr>
              <w:t>47,223.52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1"/>
              <w:jc w:val="right"/>
              <w:rPr>
                <w:rFonts w:ascii="宋体" w:hAnsi="宋体" w:cs="宋体" w:eastAsia="宋体" w:hint="default"/>
                <w:sz w:val="18"/>
                <w:szCs w:val="18"/>
              </w:rPr>
            </w:pPr>
            <w:r>
              <w:rPr>
                <w:rFonts w:ascii="宋体"/>
                <w:spacing w:val="-1"/>
                <w:sz w:val="18"/>
              </w:rPr>
              <w:t>390.76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4"/>
              <w:jc w:val="right"/>
              <w:rPr>
                <w:rFonts w:ascii="宋体" w:hAnsi="宋体" w:cs="宋体" w:eastAsia="宋体" w:hint="default"/>
                <w:sz w:val="18"/>
                <w:szCs w:val="18"/>
              </w:rPr>
            </w:pPr>
            <w:r>
              <w:rPr>
                <w:rFonts w:ascii="宋体"/>
                <w:spacing w:val="-1"/>
                <w:sz w:val="18"/>
              </w:rPr>
              <w:t>88,448.33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
              <w:jc w:val="center"/>
              <w:rPr>
                <w:rFonts w:ascii="宋体" w:hAnsi="宋体" w:cs="宋体" w:eastAsia="宋体" w:hint="default"/>
                <w:sz w:val="18"/>
                <w:szCs w:val="18"/>
              </w:rPr>
            </w:pPr>
            <w:r>
              <w:rPr>
                <w:rFonts w:ascii="宋体"/>
                <w:sz w:val="18"/>
              </w:rPr>
              <w:t>33,940.58</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四川文轩在线电子商</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left"/>
              <w:rPr>
                <w:rFonts w:ascii="宋体" w:hAnsi="宋体" w:cs="宋体" w:eastAsia="宋体" w:hint="default"/>
                <w:sz w:val="18"/>
                <w:szCs w:val="18"/>
              </w:rPr>
            </w:pPr>
            <w:r>
              <w:rPr>
                <w:rFonts w:ascii="宋体" w:hAnsi="宋体" w:cs="宋体" w:eastAsia="宋体" w:hint="default"/>
                <w:sz w:val="18"/>
                <w:szCs w:val="18"/>
              </w:rPr>
              <w:t>网络销售各类产品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sz w:val="18"/>
              </w:rPr>
              <w:t>75</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 w:right="0"/>
              <w:jc w:val="center"/>
              <w:rPr>
                <w:rFonts w:ascii="宋体" w:hAnsi="宋体" w:cs="宋体" w:eastAsia="宋体" w:hint="default"/>
                <w:sz w:val="18"/>
                <w:szCs w:val="18"/>
              </w:rPr>
            </w:pPr>
            <w:r>
              <w:rPr>
                <w:rFonts w:ascii="宋体"/>
                <w:sz w:val="18"/>
              </w:rPr>
              <w:t>6,000.00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spacing w:val="-1"/>
                <w:sz w:val="18"/>
              </w:rPr>
              <w:t>162,634.61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spacing w:val="-1"/>
                <w:sz w:val="18"/>
              </w:rPr>
              <w:t>162.65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5"/>
              <w:jc w:val="right"/>
              <w:rPr>
                <w:rFonts w:ascii="宋体" w:hAnsi="宋体" w:cs="宋体" w:eastAsia="宋体" w:hint="default"/>
                <w:sz w:val="18"/>
                <w:szCs w:val="18"/>
              </w:rPr>
            </w:pPr>
            <w:r>
              <w:rPr>
                <w:rFonts w:ascii="宋体"/>
                <w:spacing w:val="-1"/>
                <w:sz w:val="18"/>
              </w:rPr>
              <w:t>144,687.49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-8,151.79</w:t>
            </w:r>
          </w:p>
        </w:tc>
      </w:tr>
    </w:tbl>
    <w:p>
      <w:pPr>
        <w:spacing w:line="240" w:lineRule="auto" w:before="2"/>
        <w:rPr>
          <w:rFonts w:ascii="宋体" w:hAnsi="宋体" w:cs="宋体" w:eastAsia="宋体" w:hint="default"/>
          <w:sz w:val="20"/>
          <w:szCs w:val="20"/>
        </w:rPr>
      </w:pPr>
    </w:p>
    <w:p>
      <w:pPr>
        <w:pStyle w:val="Heading2"/>
        <w:tabs>
          <w:tab w:pos="1600" w:val="left" w:leader="none"/>
        </w:tabs>
        <w:spacing w:line="240" w:lineRule="auto" w:before="36"/>
        <w:ind w:left="760" w:right="800"/>
        <w:jc w:val="left"/>
        <w:rPr>
          <w:b w:val="0"/>
          <w:bCs w:val="0"/>
        </w:rPr>
      </w:pPr>
      <w:r>
        <w:rPr>
          <w:rFonts w:ascii="宋体" w:hAnsi="宋体" w:cs="宋体" w:eastAsia="宋体" w:hint="default"/>
          <w:w w:val="95"/>
        </w:rPr>
        <w:t>(</w:t>
      </w:r>
      <w:r>
        <w:rPr>
          <w:w w:val="95"/>
        </w:rPr>
        <w:t>八</w:t>
      </w:r>
      <w:r>
        <w:rPr>
          <w:rFonts w:ascii="宋体" w:hAnsi="宋体" w:cs="宋体" w:eastAsia="宋体" w:hint="default"/>
          <w:w w:val="95"/>
        </w:rPr>
        <w:t>)</w:t>
        <w:tab/>
      </w:r>
      <w:r>
        <w:rPr/>
        <w:t>公司控制的结构化主体情况</w:t>
      </w:r>
      <w:r>
        <w:rPr>
          <w:b w:val="0"/>
          <w:bCs w:val="0"/>
        </w:rPr>
      </w:r>
    </w:p>
    <w:p>
      <w:pPr>
        <w:pStyle w:val="BodyText"/>
        <w:spacing w:line="240" w:lineRule="auto" w:before="56"/>
        <w:ind w:left="760" w:right="800"/>
        <w:jc w:val="left"/>
      </w:pPr>
      <w:r>
        <w:rPr/>
        <w:t>□适用 √不适用</w:t>
      </w:r>
    </w:p>
    <w:p>
      <w:pPr>
        <w:spacing w:line="240" w:lineRule="auto" w:before="3"/>
        <w:rPr>
          <w:rFonts w:ascii="宋体" w:hAnsi="宋体" w:cs="宋体" w:eastAsia="宋体" w:hint="default"/>
          <w:sz w:val="25"/>
          <w:szCs w:val="25"/>
        </w:rPr>
      </w:pPr>
    </w:p>
    <w:p>
      <w:pPr>
        <w:pStyle w:val="Heading2"/>
        <w:tabs>
          <w:tab w:pos="1600" w:val="left" w:leader="none"/>
        </w:tabs>
        <w:spacing w:line="290" w:lineRule="auto"/>
        <w:ind w:left="760" w:right="5987"/>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w w:val="95"/>
        </w:rPr>
        <w:t>(</w:t>
      </w:r>
      <w:r>
        <w:rPr>
          <w:w w:val="95"/>
        </w:rPr>
        <w:t>一</w:t>
      </w:r>
      <w:r>
        <w:rPr>
          <w:rFonts w:ascii="宋体" w:hAnsi="宋体" w:cs="宋体" w:eastAsia="宋体" w:hint="default"/>
          <w:w w:val="95"/>
        </w:rPr>
        <w:t>)</w:t>
        <w:tab/>
      </w:r>
      <w:r>
        <w:rPr/>
        <w:t>行业格局和趋势</w:t>
      </w:r>
      <w:r>
        <w:rPr>
          <w:b w:val="0"/>
          <w:bCs w:val="0"/>
        </w:rPr>
      </w:r>
    </w:p>
    <w:p>
      <w:pPr>
        <w:pStyle w:val="BodyText"/>
        <w:spacing w:line="240" w:lineRule="auto" w:before="12"/>
        <w:ind w:left="1180" w:right="800" w:hanging="420"/>
        <w:jc w:val="left"/>
      </w:pPr>
      <w:r>
        <w:rPr/>
        <w:t>√适用</w:t>
      </w:r>
      <w:r>
        <w:rPr>
          <w:spacing w:val="-2"/>
        </w:rPr>
        <w:t> </w:t>
      </w:r>
      <w:r>
        <w:rPr/>
        <w:t>□不适用</w:t>
      </w:r>
      <w:r>
        <w:rPr>
          <w:spacing w:val="-103"/>
        </w:rPr>
        <w:t> </w:t>
      </w:r>
      <w:r>
        <w:rPr>
          <w:spacing w:val="-103"/>
        </w:rPr>
      </w:r>
      <w:r>
        <w:rPr>
          <w:rFonts w:ascii="宋体" w:hAnsi="宋体" w:cs="宋体" w:eastAsia="宋体" w:hint="default"/>
          <w:spacing w:val="-2"/>
        </w:rPr>
        <w:t>1</w:t>
      </w:r>
      <w:r>
        <w:rPr>
          <w:spacing w:val="-2"/>
        </w:rPr>
        <w:t>、国家政策支持力度继续加大。近年来，国家对出版传媒业高度关注，中央和地方陆续发布</w:t>
      </w:r>
    </w:p>
    <w:p>
      <w:pPr>
        <w:pStyle w:val="BodyText"/>
        <w:spacing w:line="355" w:lineRule="auto" w:before="133"/>
        <w:ind w:left="760" w:right="0"/>
        <w:jc w:val="left"/>
      </w:pPr>
      <w:r>
        <w:rPr>
          <w:spacing w:val="-5"/>
          <w:w w:val="100"/>
        </w:rPr>
        <w:t>了《关于延续宣传文化增值税优惠政策的通知》（财税〔</w:t>
      </w:r>
      <w:r>
        <w:rPr>
          <w:rFonts w:ascii="宋体" w:hAnsi="宋体" w:cs="宋体" w:eastAsia="宋体" w:hint="default"/>
          <w:spacing w:val="-5"/>
          <w:w w:val="100"/>
        </w:rPr>
        <w:t>2018</w:t>
      </w:r>
      <w:r>
        <w:rPr>
          <w:spacing w:val="-5"/>
          <w:w w:val="100"/>
        </w:rPr>
        <w:t>〕</w:t>
      </w:r>
      <w:r>
        <w:rPr>
          <w:rFonts w:ascii="宋体" w:hAnsi="宋体" w:cs="宋体" w:eastAsia="宋体" w:hint="default"/>
          <w:spacing w:val="-5"/>
          <w:w w:val="100"/>
        </w:rPr>
        <w:t>53</w:t>
      </w:r>
      <w:r>
        <w:rPr>
          <w:rFonts w:ascii="宋体" w:hAnsi="宋体" w:cs="宋体" w:eastAsia="宋体" w:hint="default"/>
          <w:spacing w:val="-51"/>
          <w:w w:val="100"/>
        </w:rPr>
        <w:t> </w:t>
      </w:r>
      <w:r>
        <w:rPr>
          <w:spacing w:val="-16"/>
          <w:w w:val="100"/>
        </w:rPr>
        <w:t>号）、《国务院办公厅关于印发文</w:t>
      </w:r>
      <w:r>
        <w:rPr>
          <w:spacing w:val="-87"/>
          <w:w w:val="100"/>
        </w:rPr>
        <w:t> </w:t>
      </w:r>
      <w:r>
        <w:rPr>
          <w:spacing w:val="-87"/>
          <w:w w:val="100"/>
        </w:rPr>
      </w:r>
      <w:r>
        <w:rPr>
          <w:spacing w:val="-4"/>
          <w:w w:val="100"/>
        </w:rPr>
        <w:t>化体制改革中经营性文化事业单位转制为企业和进一步支持文化企业发展两个规定的通知》（国办</w:t>
      </w:r>
      <w:r>
        <w:rPr>
          <w:spacing w:val="-96"/>
          <w:w w:val="100"/>
        </w:rPr>
        <w:t> </w:t>
      </w:r>
      <w:r>
        <w:rPr>
          <w:spacing w:val="-96"/>
          <w:w w:val="100"/>
        </w:rPr>
      </w:r>
      <w:r>
        <w:rPr>
          <w:spacing w:val="-1"/>
          <w:w w:val="100"/>
        </w:rPr>
        <w:t>发〔</w:t>
      </w:r>
      <w:r>
        <w:rPr>
          <w:rFonts w:ascii="宋体" w:hAnsi="宋体" w:cs="宋体" w:eastAsia="宋体" w:hint="default"/>
          <w:spacing w:val="-1"/>
          <w:w w:val="100"/>
        </w:rPr>
        <w:t>2018</w:t>
      </w:r>
      <w:r>
        <w:rPr>
          <w:spacing w:val="-1"/>
          <w:w w:val="100"/>
        </w:rPr>
        <w:t>〕</w:t>
      </w:r>
      <w:r>
        <w:rPr>
          <w:rFonts w:ascii="宋体" w:hAnsi="宋体" w:cs="宋体" w:eastAsia="宋体" w:hint="default"/>
          <w:spacing w:val="-1"/>
          <w:w w:val="100"/>
        </w:rPr>
        <w:t>124</w:t>
      </w:r>
      <w:r>
        <w:rPr>
          <w:rFonts w:ascii="宋体" w:hAnsi="宋体" w:cs="宋体" w:eastAsia="宋体" w:hint="default"/>
          <w:spacing w:val="-55"/>
          <w:w w:val="100"/>
        </w:rPr>
        <w:t> </w:t>
      </w:r>
      <w:r>
        <w:rPr>
          <w:spacing w:val="-7"/>
          <w:w w:val="100"/>
        </w:rPr>
        <w:t>号）、《关于加强和改进出版工作的意见》等利好政策，明确指出要从财政税收、投</w:t>
      </w:r>
      <w:r>
        <w:rPr>
          <w:spacing w:val="-104"/>
          <w:w w:val="100"/>
        </w:rPr>
        <w:t> </w:t>
      </w:r>
      <w:r>
        <w:rPr>
          <w:spacing w:val="-104"/>
          <w:w w:val="100"/>
        </w:rPr>
      </w:r>
      <w:r>
        <w:rPr/>
        <w:t>资和融资、资产和土地处置等多个方面进一步促进文化企业发展，为行业发展提供了更多的机遇。</w:t>
      </w:r>
    </w:p>
    <w:p>
      <w:pPr>
        <w:pStyle w:val="BodyText"/>
        <w:spacing w:line="357" w:lineRule="auto" w:before="34"/>
        <w:ind w:left="760" w:right="747" w:firstLine="420"/>
        <w:jc w:val="left"/>
      </w:pPr>
      <w:r>
        <w:rPr>
          <w:rFonts w:ascii="宋体" w:hAnsi="宋体" w:cs="宋体" w:eastAsia="宋体" w:hint="default"/>
        </w:rPr>
        <w:t>2</w:t>
      </w:r>
      <w:r>
        <w:rPr/>
        <w:t>、行业高质量发展持续推进。习近平总书记在全国宣传思想工作会议重要讲话中强调“推动</w:t>
      </w:r>
      <w:r>
        <w:rPr>
          <w:w w:val="100"/>
        </w:rPr>
        <w:t> </w:t>
      </w:r>
      <w:r>
        <w:rPr>
          <w:spacing w:val="-4"/>
          <w:w w:val="100"/>
        </w:rPr>
        <w:t>文化产业高质量发展”，进一步明确了文化产业发展的目标任务和主要着力点。</w:t>
      </w:r>
      <w:r>
        <w:rPr>
          <w:rFonts w:ascii="宋体" w:hAnsi="宋体" w:cs="宋体" w:eastAsia="宋体" w:hint="default"/>
          <w:spacing w:val="-4"/>
          <w:w w:val="100"/>
        </w:rPr>
        <w:t>2019</w:t>
      </w:r>
      <w:r>
        <w:rPr>
          <w:rFonts w:ascii="宋体" w:hAnsi="宋体" w:cs="宋体" w:eastAsia="宋体" w:hint="default"/>
          <w:spacing w:val="-6"/>
          <w:w w:val="100"/>
        </w:rPr>
        <w:t> </w:t>
      </w:r>
      <w:r>
        <w:rPr>
          <w:spacing w:val="-1"/>
          <w:w w:val="100"/>
        </w:rPr>
        <w:t>年是中华人民</w:t>
      </w:r>
    </w:p>
    <w:p>
      <w:pPr>
        <w:spacing w:after="0" w:line="357" w:lineRule="auto"/>
        <w:jc w:val="left"/>
        <w:sectPr>
          <w:type w:val="continuous"/>
          <w:pgSz w:w="11910" w:h="16840"/>
          <w:pgMar w:top="1060" w:bottom="1380" w:left="680" w:right="6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6"/>
        <w:ind w:left="140" w:right="111"/>
        <w:jc w:val="both"/>
      </w:pPr>
      <w:r>
        <w:rPr/>
        <w:t>共和国建国 </w:t>
      </w:r>
      <w:r>
        <w:rPr>
          <w:rFonts w:ascii="宋体" w:hAnsi="宋体" w:cs="宋体" w:eastAsia="宋体" w:hint="default"/>
        </w:rPr>
        <w:t>70</w:t>
      </w:r>
      <w:r>
        <w:rPr>
          <w:rFonts w:ascii="宋体" w:hAnsi="宋体" w:cs="宋体" w:eastAsia="宋体" w:hint="default"/>
          <w:spacing w:val="-12"/>
        </w:rPr>
        <w:t> </w:t>
      </w:r>
      <w:r>
        <w:rPr/>
        <w:t>周年，也是新闻出版业转隶中宣部新的管理体制正式运行的第一年，出版行业将加</w:t>
      </w:r>
      <w:r>
        <w:rPr>
          <w:w w:val="100"/>
        </w:rPr>
        <w:t> </w:t>
      </w:r>
      <w:r>
        <w:rPr>
          <w:spacing w:val="-2"/>
        </w:rPr>
        <w:t>快深化供给侧结构性改革，不断提高原创能力，着力打造多样化、高品位的文化精品，深入推进出</w:t>
      </w:r>
      <w:r>
        <w:rPr>
          <w:spacing w:val="-31"/>
        </w:rPr>
        <w:t> </w:t>
      </w:r>
      <w:r>
        <w:rPr>
          <w:spacing w:val="-31"/>
        </w:rPr>
      </w:r>
      <w:r>
        <w:rPr/>
        <w:t>版行业高质量发展。</w:t>
      </w:r>
    </w:p>
    <w:p>
      <w:pPr>
        <w:pStyle w:val="BodyText"/>
        <w:spacing w:line="357" w:lineRule="auto" w:before="32"/>
        <w:ind w:left="140" w:right="111" w:firstLine="420"/>
        <w:jc w:val="both"/>
      </w:pPr>
      <w:r>
        <w:rPr>
          <w:rFonts w:ascii="宋体" w:hAnsi="宋体" w:cs="宋体" w:eastAsia="宋体" w:hint="default"/>
        </w:rPr>
        <w:t>3</w:t>
      </w:r>
      <w:r>
        <w:rPr/>
        <w:t>、行业与科技走向深度融合。当前大数据分析、</w:t>
      </w:r>
      <w:r>
        <w:rPr>
          <w:rFonts w:ascii="宋体" w:hAnsi="宋体" w:cs="宋体" w:eastAsia="宋体" w:hint="default"/>
        </w:rPr>
        <w:t>VR</w:t>
      </w:r>
      <w:r>
        <w:rPr/>
        <w:t>、</w:t>
      </w:r>
      <w:r>
        <w:rPr>
          <w:rFonts w:ascii="宋体" w:hAnsi="宋体" w:cs="宋体" w:eastAsia="宋体" w:hint="default"/>
        </w:rPr>
        <w:t>AR</w:t>
      </w:r>
      <w:r>
        <w:rPr>
          <w:rFonts w:ascii="宋体" w:hAnsi="宋体" w:cs="宋体" w:eastAsia="宋体" w:hint="default"/>
          <w:spacing w:val="-11"/>
        </w:rPr>
        <w:t> </w:t>
      </w:r>
      <w:r>
        <w:rPr/>
        <w:t>等新兴技术在出版领域的逐步应用，</w:t>
      </w:r>
      <w:r>
        <w:rPr>
          <w:w w:val="100"/>
        </w:rPr>
        <w:t> </w:t>
      </w:r>
      <w:r>
        <w:rPr>
          <w:spacing w:val="-2"/>
        </w:rPr>
        <w:t>将赋予数字出版转型升级强大的产业活力，推动数字阅读与传统阅读的深度融合发展，实现内容多</w:t>
      </w:r>
      <w:r>
        <w:rPr>
          <w:spacing w:val="-30"/>
        </w:rPr>
        <w:t> </w:t>
      </w:r>
      <w:r>
        <w:rPr>
          <w:spacing w:val="-30"/>
        </w:rPr>
      </w:r>
      <w:r>
        <w:rPr/>
        <w:t>形态、多路径的有效性转化与传播。尤其是即将到来的万物互联</w:t>
      </w:r>
      <w:r>
        <w:rPr>
          <w:spacing w:val="-57"/>
        </w:rPr>
        <w:t> </w:t>
      </w:r>
      <w:r>
        <w:rPr>
          <w:rFonts w:ascii="宋体" w:hAnsi="宋体" w:cs="宋体" w:eastAsia="宋体" w:hint="default"/>
        </w:rPr>
        <w:t>5G</w:t>
      </w:r>
      <w:r>
        <w:rPr>
          <w:rFonts w:ascii="宋体" w:hAnsi="宋体" w:cs="宋体" w:eastAsia="宋体" w:hint="default"/>
          <w:spacing w:val="-58"/>
        </w:rPr>
        <w:t> </w:t>
      </w:r>
      <w:r>
        <w:rPr/>
        <w:t>时代</w:t>
      </w:r>
      <w:r>
        <w:rPr>
          <w:rFonts w:ascii="宋体" w:hAnsi="宋体" w:cs="宋体" w:eastAsia="宋体" w:hint="default"/>
        </w:rPr>
        <w:t>,</w:t>
      </w:r>
      <w:r>
        <w:rPr/>
        <w:t>将会加速推进文化产业变</w:t>
      </w:r>
      <w:r>
        <w:rPr>
          <w:w w:val="100"/>
        </w:rPr>
        <w:t> </w:t>
      </w:r>
      <w:r>
        <w:rPr/>
        <w:t>革，不断催生文化产业的新业态、新模式，带来新一轮产业发展红利。</w:t>
      </w:r>
    </w:p>
    <w:p>
      <w:pPr>
        <w:pStyle w:val="BodyText"/>
        <w:spacing w:line="357" w:lineRule="auto" w:before="30"/>
        <w:ind w:left="140" w:right="121" w:firstLine="420"/>
        <w:jc w:val="both"/>
      </w:pPr>
      <w:r>
        <w:rPr>
          <w:rFonts w:ascii="宋体" w:hAnsi="宋体" w:cs="宋体" w:eastAsia="宋体" w:hint="default"/>
        </w:rPr>
        <w:t>4</w:t>
      </w:r>
      <w:r>
        <w:rPr/>
        <w:t>、品牌经营将成为发展新趋势。品牌具有强大的影响力、号召力，在出版发行市场竞争日益</w:t>
      </w:r>
      <w:r>
        <w:rPr>
          <w:w w:val="100"/>
        </w:rPr>
        <w:t> </w:t>
      </w:r>
      <w:r>
        <w:rPr/>
        <w:t>激烈的背景下，越来越多的出版发行企业将品牌建设和品牌经营作为企业未来发展的重点方向。</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2"/>
        <w:spacing w:line="240" w:lineRule="auto"/>
        <w:ind w:left="140"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2"/>
        </w:rPr>
        <w:t> </w:t>
      </w:r>
      <w:r>
        <w:rPr/>
        <w:t>公司发展战略</w:t>
      </w:r>
      <w:r>
        <w:rPr>
          <w:b w:val="0"/>
          <w:bCs w:val="0"/>
        </w:rPr>
      </w:r>
    </w:p>
    <w:p>
      <w:pPr>
        <w:pStyle w:val="BodyText"/>
        <w:spacing w:line="240" w:lineRule="auto" w:before="56"/>
        <w:ind w:left="560" w:right="106" w:hanging="420"/>
        <w:jc w:val="left"/>
      </w:pPr>
      <w:r>
        <w:rPr/>
        <w:t>√适用</w:t>
      </w:r>
      <w:r>
        <w:rPr>
          <w:spacing w:val="-2"/>
        </w:rPr>
        <w:t> </w:t>
      </w:r>
      <w:r>
        <w:rPr/>
        <w:t>□不适用</w:t>
      </w:r>
      <w:r>
        <w:rPr>
          <w:spacing w:val="-103"/>
        </w:rPr>
        <w:t> </w:t>
      </w:r>
      <w:r>
        <w:rPr>
          <w:spacing w:val="-103"/>
        </w:rPr>
      </w:r>
      <w:r>
        <w:rPr>
          <w:spacing w:val="-4"/>
        </w:rPr>
        <w:t>本公司立足出版传媒业本质，把握国际文化产业发展趋势，以“互联网</w:t>
      </w:r>
      <w:r>
        <w:rPr>
          <w:rFonts w:ascii="宋体" w:hAnsi="宋体" w:cs="宋体" w:eastAsia="宋体" w:hint="default"/>
          <w:spacing w:val="-4"/>
        </w:rPr>
        <w:t>+</w:t>
      </w:r>
      <w:r>
        <w:rPr>
          <w:spacing w:val="-4"/>
        </w:rPr>
        <w:t>资本”为转型驱动力，</w:t>
      </w:r>
    </w:p>
    <w:p>
      <w:pPr>
        <w:pStyle w:val="BodyText"/>
        <w:spacing w:line="355" w:lineRule="auto" w:before="133"/>
        <w:ind w:left="140" w:right="111"/>
        <w:jc w:val="both"/>
      </w:pPr>
      <w:r>
        <w:rPr>
          <w:spacing w:val="-2"/>
        </w:rPr>
        <w:t>围绕大文化消费服务，通过全品类经营、全客群服务、全渠道覆盖，深耕内容资源开发产品线，完</w:t>
      </w:r>
      <w:r>
        <w:rPr>
          <w:spacing w:val="-34"/>
        </w:rPr>
        <w:t> </w:t>
      </w:r>
      <w:r>
        <w:rPr>
          <w:spacing w:val="-34"/>
        </w:rPr>
      </w:r>
      <w:r>
        <w:rPr>
          <w:spacing w:val="-2"/>
        </w:rPr>
        <w:t>善教育综合服务产业链，构筑大文化消费生态圈，打造中国最具创新成长性的出版传媒企业，成为</w:t>
      </w:r>
      <w:r>
        <w:rPr>
          <w:spacing w:val="-29"/>
        </w:rPr>
        <w:t> </w:t>
      </w:r>
      <w:r>
        <w:rPr>
          <w:spacing w:val="-29"/>
        </w:rPr>
      </w:r>
      <w:r>
        <w:rPr/>
        <w:t>具有国际影响力的综合性文化服务集团。</w:t>
      </w:r>
    </w:p>
    <w:p>
      <w:pPr>
        <w:spacing w:line="240" w:lineRule="auto" w:before="13"/>
        <w:rPr>
          <w:rFonts w:ascii="宋体" w:hAnsi="宋体" w:cs="宋体" w:eastAsia="宋体" w:hint="default"/>
          <w:sz w:val="27"/>
          <w:szCs w:val="27"/>
        </w:rPr>
      </w:pPr>
    </w:p>
    <w:p>
      <w:pPr>
        <w:pStyle w:val="Heading2"/>
        <w:spacing w:line="240" w:lineRule="auto"/>
        <w:ind w:left="140"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1"/>
        </w:rPr>
        <w:t> </w:t>
      </w:r>
      <w:r>
        <w:rPr/>
        <w:t>经营计划</w:t>
      </w:r>
      <w:r>
        <w:rPr>
          <w:b w:val="0"/>
          <w:bCs w:val="0"/>
        </w:rPr>
      </w:r>
    </w:p>
    <w:p>
      <w:pPr>
        <w:pStyle w:val="BodyText"/>
        <w:spacing w:line="272" w:lineRule="exact" w:before="86"/>
        <w:ind w:left="512" w:right="106" w:hanging="372"/>
        <w:jc w:val="left"/>
      </w:pPr>
      <w:r>
        <w:rPr/>
        <w:t>√适用</w:t>
      </w:r>
      <w:r>
        <w:rPr>
          <w:spacing w:val="-2"/>
        </w:rPr>
        <w:t> </w:t>
      </w:r>
      <w:r>
        <w:rPr/>
        <w:t>□不适用</w:t>
      </w:r>
      <w:r>
        <w:rPr>
          <w:spacing w:val="-103"/>
        </w:rPr>
        <w:t> </w:t>
      </w:r>
      <w:r>
        <w:rPr>
          <w:spacing w:val="-103"/>
        </w:rPr>
      </w:r>
      <w:r>
        <w:rPr>
          <w:rFonts w:ascii="宋体" w:hAnsi="宋体" w:cs="宋体" w:eastAsia="宋体" w:hint="default"/>
          <w:spacing w:val="-3"/>
        </w:rPr>
        <w:t>1</w:t>
      </w:r>
      <w:r>
        <w:rPr>
          <w:spacing w:val="-3"/>
        </w:rPr>
        <w:t>、以“三精出版”为理念，推动出版发展从规模数量型向质量效益型转变，提升单品效益，加</w:t>
      </w:r>
    </w:p>
    <w:p>
      <w:pPr>
        <w:pStyle w:val="BodyText"/>
        <w:spacing w:line="357" w:lineRule="auto" w:before="108"/>
        <w:ind w:left="560" w:right="106" w:hanging="420"/>
        <w:jc w:val="left"/>
      </w:pPr>
      <w:r>
        <w:rPr/>
        <w:t>强出版品牌建设，实现文轩出版高质量发展。</w:t>
      </w:r>
      <w:r>
        <w:rPr>
          <w:w w:val="100"/>
        </w:rPr>
        <w:t> </w:t>
      </w:r>
      <w:r>
        <w:rPr>
          <w:rFonts w:ascii="宋体" w:hAnsi="宋体" w:cs="宋体" w:eastAsia="宋体" w:hint="default"/>
          <w:spacing w:val="-2"/>
        </w:rPr>
        <w:t>2</w:t>
      </w:r>
      <w:r>
        <w:rPr>
          <w:spacing w:val="-2"/>
        </w:rPr>
        <w:t>、以用户需求为导向，创新引领发展，深入推进“教育服务</w:t>
      </w:r>
      <w:r>
        <w:rPr>
          <w:rFonts w:ascii="宋体" w:hAnsi="宋体" w:cs="宋体" w:eastAsia="宋体" w:hint="default"/>
          <w:spacing w:val="-2"/>
        </w:rPr>
        <w:t>+</w:t>
      </w:r>
      <w:r>
        <w:rPr>
          <w:spacing w:val="-2"/>
        </w:rPr>
        <w:t>互联网”行动计划，实现教育服</w:t>
      </w:r>
    </w:p>
    <w:p>
      <w:pPr>
        <w:pStyle w:val="BodyText"/>
        <w:spacing w:line="355" w:lineRule="auto" w:before="30"/>
        <w:ind w:left="140" w:right="111"/>
        <w:jc w:val="both"/>
      </w:pPr>
      <w:r>
        <w:rPr>
          <w:spacing w:val="-2"/>
        </w:rPr>
        <w:t>务业务的深度转型和高效发展。逐步构建教育产品和服务的互联网销售渠道，做好教材教辅出版发</w:t>
      </w:r>
      <w:r>
        <w:rPr>
          <w:spacing w:val="-30"/>
        </w:rPr>
        <w:t> </w:t>
      </w:r>
      <w:r>
        <w:rPr>
          <w:spacing w:val="-30"/>
        </w:rPr>
      </w:r>
      <w:r>
        <w:rPr/>
        <w:t>行业务，进一步拓展教育信息化及装备业务，积极推进研学教育、教师培训等创新业务发展。</w:t>
      </w:r>
    </w:p>
    <w:p>
      <w:pPr>
        <w:pStyle w:val="BodyText"/>
        <w:spacing w:line="357" w:lineRule="auto" w:before="32"/>
        <w:ind w:left="140" w:right="111" w:firstLine="420"/>
        <w:jc w:val="both"/>
      </w:pPr>
      <w:r>
        <w:rPr>
          <w:rFonts w:ascii="宋体" w:hAnsi="宋体" w:cs="宋体" w:eastAsia="宋体" w:hint="default"/>
          <w:spacing w:val="-4"/>
        </w:rPr>
        <w:t>3</w:t>
      </w:r>
      <w:r>
        <w:rPr>
          <w:spacing w:val="-4"/>
        </w:rPr>
        <w:t>、持续提升互联网渠道销售能力和服务水平，优化与上游供应商和下游销售渠道的合作机制，</w:t>
      </w:r>
      <w:r>
        <w:rPr>
          <w:w w:val="100"/>
        </w:rPr>
        <w:t> </w:t>
      </w:r>
      <w:r>
        <w:rPr/>
        <w:t>实现销售规模和盈利能力的提升。</w:t>
      </w:r>
    </w:p>
    <w:p>
      <w:pPr>
        <w:pStyle w:val="BodyText"/>
        <w:spacing w:line="355" w:lineRule="auto" w:before="32"/>
        <w:ind w:left="140" w:right="111" w:firstLine="424"/>
        <w:jc w:val="both"/>
      </w:pPr>
      <w:r>
        <w:rPr>
          <w:rFonts w:ascii="宋体" w:hAnsi="宋体" w:cs="宋体" w:eastAsia="宋体" w:hint="default"/>
        </w:rPr>
        <w:t>4</w:t>
      </w:r>
      <w:r>
        <w:rPr/>
        <w:t>、继续推进实体书店网络体系升级改造和拓展建设、农村发行网点建设、智能书店建设，深</w:t>
      </w:r>
      <w:r>
        <w:rPr>
          <w:w w:val="100"/>
        </w:rPr>
        <w:t> </w:t>
      </w:r>
      <w:r>
        <w:rPr>
          <w:spacing w:val="-2"/>
        </w:rPr>
        <w:t>入实施“多品牌建设、多模式发展、多团队运营”发展战略，提升专业阅读服务能力和大文化消费</w:t>
      </w:r>
      <w:r>
        <w:rPr>
          <w:spacing w:val="-31"/>
        </w:rPr>
        <w:t> </w:t>
      </w:r>
      <w:r>
        <w:rPr>
          <w:spacing w:val="-31"/>
        </w:rPr>
      </w:r>
      <w:r>
        <w:rPr/>
        <w:t>服务能力。</w:t>
      </w:r>
    </w:p>
    <w:p>
      <w:pPr>
        <w:pStyle w:val="BodyText"/>
        <w:spacing w:line="357" w:lineRule="auto" w:before="32"/>
        <w:ind w:left="140" w:right="115" w:firstLine="424"/>
        <w:jc w:val="both"/>
      </w:pPr>
      <w:r>
        <w:rPr>
          <w:rFonts w:ascii="宋体" w:hAnsi="宋体" w:cs="宋体" w:eastAsia="宋体" w:hint="default"/>
        </w:rPr>
        <w:t>5</w:t>
      </w:r>
      <w:r>
        <w:rPr/>
        <w:t>、持续提升物流、信息与生产印制平台等供应链服务能力，为出版业务和渠道业务的高速发</w:t>
      </w:r>
      <w:r>
        <w:rPr>
          <w:w w:val="100"/>
        </w:rPr>
        <w:t> </w:t>
      </w:r>
      <w:r>
        <w:rPr/>
        <w:t>展提供有力支撑；进一步完善第三方物流经营体系，聚焦重点行业，稳步开展第三方物流业务。</w:t>
      </w:r>
    </w:p>
    <w:p>
      <w:pPr>
        <w:pStyle w:val="BodyText"/>
        <w:spacing w:line="357" w:lineRule="auto" w:before="59"/>
        <w:ind w:left="140" w:right="106" w:firstLine="427"/>
        <w:jc w:val="left"/>
      </w:pPr>
      <w:r>
        <w:rPr>
          <w:rFonts w:ascii="宋体" w:hAnsi="宋体" w:cs="宋体" w:eastAsia="宋体" w:hint="default"/>
          <w:spacing w:val="-3"/>
        </w:rPr>
        <w:t>6</w:t>
      </w:r>
      <w:r>
        <w:rPr>
          <w:spacing w:val="-3"/>
        </w:rPr>
        <w:t>、充分利用资本经营平台整合社会优质资源，助力主业发展；持续打造基金群，培育优势文</w:t>
      </w:r>
      <w:r>
        <w:rPr>
          <w:w w:val="100"/>
        </w:rPr>
        <w:t> </w:t>
      </w:r>
      <w:r>
        <w:rPr/>
        <w:t>化产业项目，推进实业经营与资本经营协同发展。</w:t>
      </w:r>
    </w:p>
    <w:p>
      <w:pPr>
        <w:spacing w:after="0" w:line="357" w:lineRule="auto"/>
        <w:jc w:val="left"/>
        <w:sectPr>
          <w:pgSz w:w="11910" w:h="16840"/>
          <w:pgMar w:header="0" w:footer="1195" w:top="1060" w:bottom="1380" w:left="1300" w:right="13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357" w:lineRule="auto" w:before="36"/>
        <w:ind w:left="140" w:right="106" w:firstLine="427"/>
        <w:jc w:val="left"/>
      </w:pPr>
      <w:r>
        <w:rPr>
          <w:rFonts w:ascii="宋体" w:hAnsi="宋体" w:cs="宋体" w:eastAsia="宋体" w:hint="default"/>
          <w:spacing w:val="-3"/>
        </w:rPr>
        <w:t>7</w:t>
      </w:r>
      <w:r>
        <w:rPr>
          <w:spacing w:val="-3"/>
        </w:rPr>
        <w:t>、继续探索传统媒体和新媒体的融合发展的新模式，围绕主业延伸产业链，积极推进传统媒</w:t>
      </w:r>
      <w:r>
        <w:rPr>
          <w:w w:val="100"/>
        </w:rPr>
        <w:t> </w:t>
      </w:r>
      <w:r>
        <w:rPr/>
        <w:t>体的转型升级，为实现提升和扩大文轩品牌的影响力奠定更加坚实的基础。</w:t>
      </w:r>
    </w:p>
    <w:p>
      <w:pPr>
        <w:spacing w:line="240" w:lineRule="auto" w:before="11"/>
        <w:rPr>
          <w:rFonts w:ascii="宋体" w:hAnsi="宋体" w:cs="宋体" w:eastAsia="宋体" w:hint="default"/>
          <w:sz w:val="27"/>
          <w:szCs w:val="27"/>
        </w:rPr>
      </w:pPr>
    </w:p>
    <w:p>
      <w:pPr>
        <w:pStyle w:val="Heading2"/>
        <w:spacing w:line="240" w:lineRule="auto"/>
        <w:ind w:left="140"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可能面对的风险</w:t>
      </w:r>
      <w:r>
        <w:rPr>
          <w:b w:val="0"/>
          <w:bCs w:val="0"/>
        </w:rPr>
      </w:r>
    </w:p>
    <w:p>
      <w:pPr>
        <w:pStyle w:val="BodyText"/>
        <w:spacing w:line="274" w:lineRule="exact" w:before="56"/>
        <w:ind w:left="140" w:right="0"/>
        <w:jc w:val="both"/>
      </w:pPr>
      <w:r>
        <w:rPr/>
        <w:t>√适用 □不适用</w:t>
      </w:r>
    </w:p>
    <w:p>
      <w:pPr>
        <w:pStyle w:val="BodyText"/>
        <w:spacing w:line="355" w:lineRule="auto"/>
        <w:ind w:left="140" w:right="115" w:firstLine="422"/>
        <w:jc w:val="both"/>
      </w:pPr>
      <w:r>
        <w:rPr>
          <w:spacing w:val="-5"/>
        </w:rPr>
        <w:t>由于大数据、</w:t>
      </w:r>
      <w:r>
        <w:rPr>
          <w:rFonts w:ascii="宋体" w:hAnsi="宋体" w:cs="宋体" w:eastAsia="宋体" w:hint="default"/>
          <w:spacing w:val="-5"/>
        </w:rPr>
        <w:t>VR</w:t>
      </w:r>
      <w:r>
        <w:rPr>
          <w:spacing w:val="-5"/>
        </w:rPr>
        <w:t>、</w:t>
      </w:r>
      <w:r>
        <w:rPr>
          <w:rFonts w:ascii="宋体" w:hAnsi="宋体" w:cs="宋体" w:eastAsia="宋体" w:hint="default"/>
          <w:spacing w:val="-5"/>
        </w:rPr>
        <w:t>AR</w:t>
      </w:r>
      <w:r>
        <w:rPr>
          <w:rFonts w:ascii="宋体" w:hAnsi="宋体" w:cs="宋体" w:eastAsia="宋体" w:hint="default"/>
          <w:spacing w:val="3"/>
        </w:rPr>
        <w:t> </w:t>
      </w:r>
      <w:r>
        <w:rPr>
          <w:spacing w:val="-3"/>
        </w:rPr>
        <w:t>等技术的不断创新发展并为出版业持续赋能，公司在探索运用新兴技术推</w:t>
      </w:r>
      <w:r>
        <w:rPr>
          <w:w w:val="100"/>
        </w:rPr>
        <w:t> </w:t>
      </w:r>
      <w:r>
        <w:rPr/>
        <w:t>动出版与科技融合的过程中，存在收益不及预期等风险。</w:t>
      </w:r>
    </w:p>
    <w:p>
      <w:pPr>
        <w:pStyle w:val="BodyText"/>
        <w:spacing w:line="357" w:lineRule="auto" w:before="32"/>
        <w:ind w:left="140" w:right="113" w:firstLine="422"/>
        <w:jc w:val="both"/>
      </w:pPr>
      <w:r>
        <w:rPr>
          <w:spacing w:val="-2"/>
        </w:rPr>
        <w:t>为加快发展，公司制定了稳健的经营目标和完善的经营计划，并构建了严格的目标预算考核管</w:t>
      </w:r>
      <w:r>
        <w:rPr>
          <w:w w:val="100"/>
        </w:rPr>
        <w:t> </w:t>
      </w:r>
      <w:r>
        <w:rPr>
          <w:spacing w:val="-7"/>
        </w:rPr>
        <w:t>理体系以确保经营目标的实现。但由于外部市场存在不确定性，以及经营管理水平、人才团队建设、</w:t>
      </w:r>
      <w:r>
        <w:rPr>
          <w:spacing w:val="-20"/>
        </w:rPr>
        <w:t> </w:t>
      </w:r>
      <w:r>
        <w:rPr>
          <w:spacing w:val="-20"/>
        </w:rPr>
      </w:r>
      <w:r>
        <w:rPr/>
        <w:t>资源投入等方面存在的不足，在目标执行过程中可能出现不达预期的风险。</w:t>
      </w:r>
    </w:p>
    <w:p>
      <w:pPr>
        <w:spacing w:line="240" w:lineRule="auto" w:before="11"/>
        <w:rPr>
          <w:rFonts w:ascii="宋体" w:hAnsi="宋体" w:cs="宋体" w:eastAsia="宋体" w:hint="default"/>
          <w:sz w:val="27"/>
          <w:szCs w:val="27"/>
        </w:rPr>
      </w:pPr>
    </w:p>
    <w:p>
      <w:pPr>
        <w:pStyle w:val="Heading2"/>
        <w:spacing w:line="240" w:lineRule="auto"/>
        <w:ind w:left="140"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0"/>
        </w:rPr>
        <w:t> </w:t>
      </w:r>
      <w:r>
        <w:rPr/>
        <w:t>其他</w:t>
      </w:r>
      <w:r>
        <w:rPr>
          <w:b w:val="0"/>
          <w:bCs w:val="0"/>
        </w:rPr>
      </w:r>
    </w:p>
    <w:p>
      <w:pPr>
        <w:pStyle w:val="BodyText"/>
        <w:spacing w:line="240" w:lineRule="auto" w:before="58"/>
        <w:ind w:left="140"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ind w:left="140"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6"/>
        <w:ind w:left="140" w:right="0"/>
        <w:jc w:val="both"/>
      </w:pPr>
      <w:r>
        <w:rPr/>
        <w:t>□适用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1"/>
        <w:tabs>
          <w:tab w:pos="1279" w:val="left" w:leader="none"/>
        </w:tabs>
        <w:spacing w:line="240" w:lineRule="auto"/>
        <w:ind w:left="19"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40" w:right="0"/>
        <w:jc w:val="both"/>
        <w:rPr>
          <w:b w:val="0"/>
          <w:bCs w:val="0"/>
        </w:rPr>
      </w:pPr>
      <w:r>
        <w:rPr/>
        <w:t>一、普通股利润分配或资本公积金转增预案</w:t>
      </w:r>
      <w:r>
        <w:rPr>
          <w:b w:val="0"/>
          <w:bCs w:val="0"/>
        </w:rPr>
      </w:r>
    </w:p>
    <w:p>
      <w:pPr>
        <w:pStyle w:val="Heading2"/>
        <w:spacing w:line="240" w:lineRule="auto" w:before="56"/>
        <w:ind w:left="140"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982" w:val="left" w:leader="none"/>
        </w:tabs>
        <w:spacing w:line="272" w:lineRule="exact" w:before="59"/>
        <w:ind w:left="560" w:right="117" w:hanging="420"/>
        <w:jc w:val="left"/>
      </w:pPr>
      <w:r>
        <w:rPr/>
        <w:t>√适用</w:t>
        <w:tab/>
        <w:t>□不适用</w:t>
      </w:r>
      <w:r>
        <w:rPr>
          <w:w w:val="100"/>
        </w:rPr>
        <w:t> </w:t>
      </w:r>
      <w:r>
        <w:rPr>
          <w:spacing w:val="-2"/>
        </w:rPr>
        <w:t>根据本公司的《公司章程》，公司实行连续、稳定的利润分配政策，分配政策及具体股利分配</w:t>
      </w:r>
    </w:p>
    <w:p>
      <w:pPr>
        <w:pStyle w:val="BodyText"/>
        <w:spacing w:line="357" w:lineRule="auto" w:before="110"/>
        <w:ind w:left="140" w:right="111"/>
        <w:jc w:val="both"/>
      </w:pPr>
      <w:r>
        <w:rPr>
          <w:spacing w:val="-2"/>
        </w:rPr>
        <w:t>方案由董事会制定及审议通过后报经股东大会批准。董事会在制定利润分配政策和具体股利分配方</w:t>
      </w:r>
      <w:r>
        <w:rPr>
          <w:spacing w:val="-30"/>
        </w:rPr>
        <w:t> </w:t>
      </w:r>
      <w:r>
        <w:rPr>
          <w:spacing w:val="-30"/>
        </w:rPr>
      </w:r>
      <w:r>
        <w:rPr/>
        <w:t>案时应充分听取独立董事和监事会的意见。</w:t>
      </w:r>
      <w:r>
        <w:rPr>
          <w:rFonts w:ascii="宋体" w:hAnsi="宋体" w:cs="宋体" w:eastAsia="宋体" w:hint="default"/>
        </w:rPr>
        <w:t>1</w:t>
      </w:r>
      <w:r>
        <w:rPr/>
        <w:t>、除特殊情况外，公司在当年盈利且累计未分配利润</w:t>
      </w:r>
      <w:r>
        <w:rPr>
          <w:spacing w:val="-6"/>
        </w:rPr>
        <w:t> </w:t>
      </w:r>
      <w:r>
        <w:rPr>
          <w:spacing w:val="-6"/>
        </w:rPr>
      </w:r>
      <w:r>
        <w:rPr>
          <w:spacing w:val="-2"/>
        </w:rPr>
        <w:t>为正的情况下，优先采取现金方式分配股利。在符合法律法规和监管规定的前提下，公司每年以现</w:t>
      </w:r>
      <w:r>
        <w:rPr>
          <w:spacing w:val="-30"/>
        </w:rPr>
        <w:t> </w:t>
      </w:r>
      <w:r>
        <w:rPr>
          <w:spacing w:val="-30"/>
        </w:rPr>
      </w:r>
      <w:r>
        <w:rPr>
          <w:spacing w:val="-2"/>
          <w:w w:val="100"/>
        </w:rPr>
        <w:t>金形式分配的利润不少于当年实现的可供分配利润的</w:t>
      </w:r>
      <w:r>
        <w:rPr>
          <w:spacing w:val="-44"/>
          <w:w w:val="100"/>
        </w:rPr>
        <w:t> </w:t>
      </w:r>
      <w:r>
        <w:rPr>
          <w:rFonts w:ascii="宋体" w:hAnsi="宋体" w:cs="宋体" w:eastAsia="宋体" w:hint="default"/>
          <w:w w:val="100"/>
        </w:rPr>
        <w:t>30%</w:t>
      </w:r>
      <w:r>
        <w:rPr>
          <w:w w:val="100"/>
        </w:rPr>
        <w:t>。</w:t>
      </w:r>
      <w:r>
        <w:rPr>
          <w:spacing w:val="-81"/>
          <w:w w:val="100"/>
        </w:rPr>
        <w:t> </w:t>
      </w:r>
      <w:r>
        <w:rPr>
          <w:rFonts w:ascii="宋体" w:hAnsi="宋体" w:cs="宋体" w:eastAsia="宋体" w:hint="default"/>
          <w:spacing w:val="-6"/>
          <w:w w:val="100"/>
        </w:rPr>
        <w:t>2</w:t>
      </w:r>
      <w:r>
        <w:rPr>
          <w:spacing w:val="-6"/>
          <w:w w:val="100"/>
        </w:rPr>
        <w:t>、在公司无特殊情况进行利润分配时，</w:t>
      </w:r>
      <w:r>
        <w:rPr>
          <w:spacing w:val="-102"/>
          <w:w w:val="100"/>
        </w:rPr>
        <w:t> </w:t>
      </w:r>
      <w:r>
        <w:rPr>
          <w:spacing w:val="-102"/>
          <w:w w:val="100"/>
        </w:rPr>
      </w:r>
      <w:r>
        <w:rPr/>
        <w:t>现金分红在当次利润分配中所占比例最低应达到</w:t>
      </w:r>
      <w:r>
        <w:rPr>
          <w:spacing w:val="-33"/>
        </w:rPr>
        <w:t> </w:t>
      </w:r>
      <w:r>
        <w:rPr>
          <w:rFonts w:ascii="宋体" w:hAnsi="宋体" w:cs="宋体" w:eastAsia="宋体" w:hint="default"/>
          <w:spacing w:val="-4"/>
        </w:rPr>
        <w:t>80%</w:t>
      </w:r>
      <w:r>
        <w:rPr>
          <w:spacing w:val="-4"/>
        </w:rPr>
        <w:t>。</w:t>
      </w:r>
      <w:r>
        <w:rPr>
          <w:rFonts w:ascii="宋体" w:hAnsi="宋体" w:cs="宋体" w:eastAsia="宋体" w:hint="default"/>
          <w:spacing w:val="-4"/>
        </w:rPr>
        <w:t>3</w:t>
      </w:r>
      <w:r>
        <w:rPr>
          <w:spacing w:val="-4"/>
        </w:rPr>
        <w:t>、在公司有特殊情况进行利润分配时，现金</w:t>
      </w:r>
      <w:r>
        <w:rPr>
          <w:spacing w:val="-96"/>
        </w:rPr>
        <w:t> </w:t>
      </w:r>
      <w:r>
        <w:rPr>
          <w:spacing w:val="-96"/>
        </w:rPr>
      </w:r>
      <w:r>
        <w:rPr/>
        <w:t>分红在当次利润分配中所占比例最低应达到</w:t>
      </w:r>
      <w:r>
        <w:rPr>
          <w:spacing w:val="-56"/>
        </w:rPr>
        <w:t> </w:t>
      </w:r>
      <w:r>
        <w:rPr>
          <w:rFonts w:ascii="宋体" w:hAnsi="宋体" w:cs="宋体" w:eastAsia="宋体" w:hint="default"/>
        </w:rPr>
        <w:t>40%</w:t>
      </w:r>
      <w:r>
        <w:rPr/>
        <w:t>。</w:t>
      </w:r>
    </w:p>
    <w:p>
      <w:pPr>
        <w:pStyle w:val="BodyText"/>
        <w:spacing w:line="240" w:lineRule="auto" w:before="30"/>
        <w:ind w:left="560" w:right="0"/>
        <w:jc w:val="left"/>
      </w:pPr>
      <w:r>
        <w:rPr/>
        <w:t>经审计，本公司</w:t>
      </w:r>
      <w:r>
        <w:rPr>
          <w:spacing w:val="-45"/>
        </w:rPr>
        <w:t> </w:t>
      </w:r>
      <w:r>
        <w:rPr>
          <w:rFonts w:ascii="宋体" w:hAnsi="宋体" w:cs="宋体" w:eastAsia="宋体" w:hint="default"/>
        </w:rPr>
        <w:t>2018</w:t>
      </w:r>
      <w:r>
        <w:rPr>
          <w:rFonts w:ascii="宋体" w:hAnsi="宋体" w:cs="宋体" w:eastAsia="宋体" w:hint="default"/>
          <w:spacing w:val="-44"/>
        </w:rPr>
        <w:t> </w:t>
      </w:r>
      <w:r>
        <w:rPr/>
        <w:t>年度归属于上市公司股东的净利润为</w:t>
      </w:r>
      <w:r>
        <w:rPr>
          <w:spacing w:val="-45"/>
        </w:rPr>
        <w:t> </w:t>
      </w:r>
      <w:r>
        <w:rPr>
          <w:rFonts w:ascii="宋体" w:hAnsi="宋体" w:cs="宋体" w:eastAsia="宋体" w:hint="default"/>
        </w:rPr>
        <w:t>93,218.48</w:t>
      </w:r>
      <w:r>
        <w:rPr>
          <w:rFonts w:ascii="宋体" w:hAnsi="宋体" w:cs="宋体" w:eastAsia="宋体" w:hint="default"/>
          <w:spacing w:val="-45"/>
        </w:rPr>
        <w:t> </w:t>
      </w:r>
      <w:r>
        <w:rPr/>
        <w:t>万元。</w:t>
      </w:r>
      <w:r>
        <w:rPr>
          <w:rFonts w:ascii="宋体" w:hAnsi="宋体" w:cs="宋体" w:eastAsia="宋体" w:hint="default"/>
        </w:rPr>
        <w:t>2018</w:t>
      </w:r>
      <w:r>
        <w:rPr>
          <w:rFonts w:ascii="宋体" w:hAnsi="宋体" w:cs="宋体" w:eastAsia="宋体" w:hint="default"/>
          <w:spacing w:val="-45"/>
        </w:rPr>
        <w:t> </w:t>
      </w:r>
      <w:r>
        <w:rPr/>
        <w:t>年利润分配</w:t>
      </w:r>
    </w:p>
    <w:p>
      <w:pPr>
        <w:pStyle w:val="BodyText"/>
        <w:spacing w:line="240" w:lineRule="auto" w:before="133"/>
        <w:ind w:left="140" w:right="0"/>
        <w:jc w:val="both"/>
      </w:pPr>
      <w:r>
        <w:rPr/>
        <w:t>预案：拟以总股本</w:t>
      </w:r>
      <w:r>
        <w:rPr>
          <w:spacing w:val="-58"/>
        </w:rPr>
        <w:t> </w:t>
      </w:r>
      <w:r>
        <w:rPr>
          <w:rFonts w:ascii="宋体" w:hAnsi="宋体" w:cs="宋体" w:eastAsia="宋体" w:hint="default"/>
        </w:rPr>
        <w:t>123,384.1</w:t>
      </w:r>
      <w:r>
        <w:rPr>
          <w:rFonts w:ascii="宋体" w:hAnsi="宋体" w:cs="宋体" w:eastAsia="宋体" w:hint="default"/>
          <w:spacing w:val="-55"/>
        </w:rPr>
        <w:t> </w:t>
      </w:r>
      <w:r>
        <w:rPr/>
        <w:t>万股为基数，向股东每</w:t>
      </w:r>
      <w:r>
        <w:rPr>
          <w:spacing w:val="-56"/>
        </w:rPr>
        <w:t> </w:t>
      </w:r>
      <w:r>
        <w:rPr>
          <w:rFonts w:ascii="宋体" w:hAnsi="宋体" w:cs="宋体" w:eastAsia="宋体" w:hint="default"/>
        </w:rPr>
        <w:t>10</w:t>
      </w:r>
      <w:r>
        <w:rPr>
          <w:rFonts w:ascii="宋体" w:hAnsi="宋体" w:cs="宋体" w:eastAsia="宋体" w:hint="default"/>
          <w:spacing w:val="-58"/>
        </w:rPr>
        <w:t> </w:t>
      </w:r>
      <w:r>
        <w:rPr/>
        <w:t>股派发现金股利</w:t>
      </w:r>
      <w:r>
        <w:rPr>
          <w:spacing w:val="-56"/>
        </w:rPr>
        <w:t> </w:t>
      </w:r>
      <w:r>
        <w:rPr>
          <w:rFonts w:ascii="宋体" w:hAnsi="宋体" w:cs="宋体" w:eastAsia="宋体" w:hint="default"/>
        </w:rPr>
        <w:t>3.00</w:t>
      </w:r>
      <w:r>
        <w:rPr>
          <w:rFonts w:ascii="宋体" w:hAnsi="宋体" w:cs="宋体" w:eastAsia="宋体" w:hint="default"/>
          <w:spacing w:val="-56"/>
        </w:rPr>
        <w:t> </w:t>
      </w:r>
      <w:r>
        <w:rPr/>
        <w:t>元（含税），共计支</w:t>
      </w:r>
    </w:p>
    <w:p>
      <w:pPr>
        <w:pStyle w:val="BodyText"/>
        <w:spacing w:line="240" w:lineRule="auto" w:before="133"/>
        <w:ind w:left="140" w:right="0"/>
        <w:jc w:val="both"/>
      </w:pPr>
      <w:r>
        <w:rPr/>
        <w:t>付现金股利</w:t>
      </w:r>
      <w:r>
        <w:rPr>
          <w:spacing w:val="-53"/>
        </w:rPr>
        <w:t> </w:t>
      </w:r>
      <w:r>
        <w:rPr>
          <w:rFonts w:ascii="宋体" w:hAnsi="宋体" w:cs="宋体" w:eastAsia="宋体" w:hint="default"/>
        </w:rPr>
        <w:t>37,015.23</w:t>
      </w:r>
      <w:r>
        <w:rPr>
          <w:rFonts w:ascii="宋体" w:hAnsi="宋体" w:cs="宋体" w:eastAsia="宋体" w:hint="default"/>
          <w:spacing w:val="-53"/>
        </w:rPr>
        <w:t> </w:t>
      </w:r>
      <w:r>
        <w:rPr/>
        <w:t>万元。</w:t>
      </w:r>
    </w:p>
    <w:p>
      <w:pPr>
        <w:spacing w:after="0" w:line="240" w:lineRule="auto"/>
        <w:jc w:val="both"/>
        <w:sectPr>
          <w:footerReference w:type="default" r:id="rId18"/>
          <w:pgSz w:w="11910" w:h="16840"/>
          <w:pgMar w:footer="1195" w:header="0" w:top="1060" w:bottom="1380" w:left="130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6"/>
        <w:ind w:left="960" w:right="0" w:firstLine="420"/>
        <w:jc w:val="left"/>
      </w:pPr>
      <w:r>
        <w:rPr/>
        <w:t>上述利润分配预案尚需经本公司 </w:t>
      </w:r>
      <w:r>
        <w:rPr>
          <w:rFonts w:ascii="宋体" w:hAnsi="宋体" w:cs="宋体" w:eastAsia="宋体" w:hint="default"/>
        </w:rPr>
        <w:t>2018</w:t>
      </w:r>
      <w:r>
        <w:rPr>
          <w:rFonts w:ascii="宋体" w:hAnsi="宋体" w:cs="宋体" w:eastAsia="宋体" w:hint="default"/>
          <w:spacing w:val="-8"/>
        </w:rPr>
        <w:t> </w:t>
      </w:r>
      <w:r>
        <w:rPr/>
        <w:t>年度股东周年大会审议通过后方可实施。公司独立董事</w:t>
      </w:r>
      <w:r>
        <w:rPr>
          <w:w w:val="100"/>
        </w:rPr>
        <w:t> </w:t>
      </w:r>
      <w:r>
        <w:rPr/>
        <w:t>认为，上述利润分配方案符合公司实际情况，符合中国证监会及上市地交易所的相关规定和要求，</w:t>
      </w:r>
      <w:r>
        <w:rPr>
          <w:spacing w:val="-8"/>
        </w:rPr>
        <w:t> </w:t>
      </w:r>
      <w:r>
        <w:rPr>
          <w:spacing w:val="-8"/>
        </w:rPr>
      </w:r>
      <w:r>
        <w:rPr/>
        <w:t>有利于公司持续发展，同意公司利润分配方案。</w:t>
      </w:r>
    </w:p>
    <w:p>
      <w:pPr>
        <w:spacing w:line="240" w:lineRule="auto" w:before="13"/>
        <w:rPr>
          <w:rFonts w:ascii="宋体" w:hAnsi="宋体" w:cs="宋体" w:eastAsia="宋体" w:hint="default"/>
          <w:sz w:val="27"/>
          <w:szCs w:val="27"/>
        </w:rPr>
      </w:pPr>
    </w:p>
    <w:p>
      <w:pPr>
        <w:pStyle w:val="Heading2"/>
        <w:spacing w:line="240" w:lineRule="auto"/>
        <w:ind w:left="96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29"/>
        <w:ind w:left="0" w:right="513"/>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847" w:type="dxa"/>
        <w:tblLayout w:type="fixed"/>
        <w:tblCellMar>
          <w:top w:w="0" w:type="dxa"/>
          <w:left w:w="0" w:type="dxa"/>
          <w:bottom w:w="0" w:type="dxa"/>
          <w:right w:w="0" w:type="dxa"/>
        </w:tblCellMar>
        <w:tblLook w:val="01E0"/>
      </w:tblPr>
      <w:tblGrid>
        <w:gridCol w:w="960"/>
        <w:gridCol w:w="1159"/>
        <w:gridCol w:w="1129"/>
        <w:gridCol w:w="1162"/>
        <w:gridCol w:w="1688"/>
        <w:gridCol w:w="1685"/>
        <w:gridCol w:w="1462"/>
      </w:tblGrid>
      <w:tr>
        <w:trPr>
          <w:trHeight w:val="164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63" w:right="26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pacing w:val="-3"/>
                <w:sz w:val="21"/>
                <w:szCs w:val="21"/>
              </w:rPr>
              <w:t>股送</w:t>
            </w:r>
            <w:r>
              <w:rPr>
                <w:rFonts w:ascii="宋体" w:hAnsi="宋体" w:cs="宋体" w:eastAsia="宋体" w:hint="default"/>
                <w:spacing w:val="-3"/>
                <w:w w:val="100"/>
                <w:sz w:val="21"/>
                <w:szCs w:val="21"/>
              </w:rPr>
              <w:t> </w:t>
            </w:r>
            <w:r>
              <w:rPr>
                <w:rFonts w:ascii="宋体" w:hAnsi="宋体" w:cs="宋体" w:eastAsia="宋体" w:hint="default"/>
                <w:sz w:val="21"/>
                <w:szCs w:val="21"/>
              </w:rPr>
              <w:t>红股数</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101" w:hanging="36"/>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pacing w:val="-3"/>
                <w:sz w:val="21"/>
                <w:szCs w:val="21"/>
              </w:rPr>
              <w:t>股派</w:t>
            </w:r>
            <w:r>
              <w:rPr>
                <w:rFonts w:ascii="宋体" w:hAnsi="宋体" w:cs="宋体" w:eastAsia="宋体" w:hint="default"/>
                <w:spacing w:val="-3"/>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2" w:lineRule="exact"/>
              <w:ind w:left="139"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z w:val="21"/>
                <w:szCs w:val="21"/>
              </w:rPr>
              <w:t>增数（股）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99" w:right="197"/>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370,152,300.00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932,184,804.06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39.71</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370,152,300.00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923,844,500.04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40.07</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370,152,300.00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647,462,291.44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114.34</w:t>
            </w:r>
          </w:p>
        </w:tc>
      </w:tr>
    </w:tbl>
    <w:p>
      <w:pPr>
        <w:spacing w:line="240" w:lineRule="auto" w:before="12"/>
        <w:rPr>
          <w:rFonts w:ascii="宋体" w:hAnsi="宋体" w:cs="宋体" w:eastAsia="宋体" w:hint="default"/>
          <w:sz w:val="19"/>
          <w:szCs w:val="19"/>
        </w:rPr>
      </w:pPr>
    </w:p>
    <w:p>
      <w:pPr>
        <w:pStyle w:val="Heading2"/>
        <w:spacing w:line="240" w:lineRule="auto" w:before="36"/>
        <w:ind w:left="960"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left="960" w:right="0"/>
        <w:jc w:val="left"/>
      </w:pPr>
      <w:r>
        <w:rPr/>
        <w:t>□适用 √不适用</w:t>
      </w:r>
    </w:p>
    <w:p>
      <w:pPr>
        <w:pStyle w:val="Heading2"/>
        <w:spacing w:line="274" w:lineRule="exact" w:before="82"/>
        <w:ind w:left="1380" w:right="4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4"/>
        </w:rPr>
        <w:t> </w:t>
      </w:r>
      <w:r>
        <w:rPr/>
        <w:t>报告期内盈利且母公司可供普通股股东分配利润为正，但未提出普通股现金利润分配方案预案</w:t>
      </w:r>
      <w:r>
        <w:rPr>
          <w:w w:val="100"/>
        </w:rPr>
        <w:t> </w:t>
      </w:r>
      <w:r>
        <w:rPr/>
        <w:t>的，公司应当详细披露原因以及未分配利润的用途和使用计划</w:t>
      </w:r>
      <w:r>
        <w:rPr>
          <w:b w:val="0"/>
          <w:bCs w:val="0"/>
        </w:rPr>
      </w:r>
    </w:p>
    <w:p>
      <w:pPr>
        <w:spacing w:line="290" w:lineRule="auto" w:before="31"/>
        <w:ind w:left="960" w:right="74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2"/>
        <w:tabs>
          <w:tab w:pos="1526" w:val="left" w:leader="none"/>
        </w:tabs>
        <w:spacing w:line="274" w:lineRule="exact" w:before="38"/>
        <w:ind w:left="1526" w:right="521"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w:t>
      </w:r>
      <w:r>
        <w:rPr>
          <w:spacing w:val="-83"/>
        </w:rPr>
        <w:t> </w:t>
      </w:r>
      <w:r>
        <w:rPr>
          <w:spacing w:val="-83"/>
        </w:rPr>
      </w:r>
      <w:r>
        <w:rPr/>
        <w:t>内的承诺事项</w:t>
      </w:r>
      <w:r>
        <w:rPr>
          <w:b w:val="0"/>
          <w:bCs w:val="0"/>
        </w:rPr>
      </w:r>
    </w:p>
    <w:p>
      <w:pPr>
        <w:pStyle w:val="BodyText"/>
        <w:tabs>
          <w:tab w:pos="1802" w:val="left" w:leader="none"/>
        </w:tabs>
        <w:spacing w:line="240" w:lineRule="auto" w:before="31"/>
        <w:ind w:left="960" w:right="0"/>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08"/>
        <w:gridCol w:w="720"/>
        <w:gridCol w:w="1159"/>
        <w:gridCol w:w="2751"/>
        <w:gridCol w:w="1159"/>
        <w:gridCol w:w="866"/>
        <w:gridCol w:w="725"/>
        <w:gridCol w:w="725"/>
        <w:gridCol w:w="866"/>
      </w:tblGrid>
      <w:tr>
        <w:trPr>
          <w:trHeight w:val="260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7" w:right="0"/>
              <w:jc w:val="left"/>
              <w:rPr>
                <w:rFonts w:ascii="宋体" w:hAnsi="宋体" w:cs="宋体" w:eastAsia="宋体" w:hint="default"/>
                <w:sz w:val="20"/>
                <w:szCs w:val="20"/>
              </w:rPr>
            </w:pPr>
            <w:r>
              <w:rPr>
                <w:rFonts w:ascii="宋体" w:hAnsi="宋体" w:cs="宋体" w:eastAsia="宋体" w:hint="default"/>
                <w:sz w:val="20"/>
                <w:szCs w:val="20"/>
              </w:rPr>
              <w:t>承诺背景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60" w:lineRule="exact"/>
              <w:ind w:left="155" w:right="155"/>
              <w:jc w:val="left"/>
              <w:rPr>
                <w:rFonts w:ascii="宋体" w:hAnsi="宋体" w:cs="宋体" w:eastAsia="宋体" w:hint="default"/>
                <w:sz w:val="20"/>
                <w:szCs w:val="20"/>
              </w:rPr>
            </w:pPr>
            <w:r>
              <w:rPr>
                <w:rFonts w:ascii="宋体" w:hAnsi="宋体" w:cs="宋体" w:eastAsia="宋体" w:hint="default"/>
                <w:sz w:val="20"/>
                <w:szCs w:val="20"/>
              </w:rPr>
              <w:t>承诺</w:t>
            </w:r>
            <w:r>
              <w:rPr>
                <w:rFonts w:ascii="宋体" w:hAnsi="宋体" w:cs="宋体" w:eastAsia="宋体" w:hint="default"/>
                <w:w w:val="99"/>
                <w:sz w:val="20"/>
                <w:szCs w:val="20"/>
              </w:rPr>
              <w:t> </w:t>
            </w:r>
            <w:r>
              <w:rPr>
                <w:rFonts w:ascii="宋体" w:hAnsi="宋体" w:cs="宋体" w:eastAsia="宋体" w:hint="default"/>
                <w:sz w:val="20"/>
                <w:szCs w:val="20"/>
              </w:rPr>
              <w:t>类型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73" w:right="0"/>
              <w:jc w:val="left"/>
              <w:rPr>
                <w:rFonts w:ascii="宋体" w:hAnsi="宋体" w:cs="宋体" w:eastAsia="宋体" w:hint="default"/>
                <w:sz w:val="20"/>
                <w:szCs w:val="20"/>
              </w:rPr>
            </w:pPr>
            <w:r>
              <w:rPr>
                <w:rFonts w:ascii="宋体" w:hAnsi="宋体" w:cs="宋体" w:eastAsia="宋体" w:hint="default"/>
                <w:sz w:val="20"/>
                <w:szCs w:val="20"/>
              </w:rPr>
              <w:t>承诺方</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60" w:lineRule="exact"/>
              <w:ind w:left="1167" w:right="1174"/>
              <w:jc w:val="center"/>
              <w:rPr>
                <w:rFonts w:ascii="宋体" w:hAnsi="宋体" w:cs="宋体" w:eastAsia="宋体" w:hint="default"/>
                <w:sz w:val="20"/>
                <w:szCs w:val="20"/>
              </w:rPr>
            </w:pPr>
            <w:r>
              <w:rPr>
                <w:rFonts w:ascii="宋体" w:hAnsi="宋体" w:cs="宋体" w:eastAsia="宋体" w:hint="default"/>
                <w:sz w:val="20"/>
                <w:szCs w:val="20"/>
              </w:rPr>
              <w:t>承诺</w:t>
            </w:r>
            <w:r>
              <w:rPr>
                <w:rFonts w:ascii="宋体" w:hAnsi="宋体" w:cs="宋体" w:eastAsia="宋体" w:hint="default"/>
                <w:w w:val="99"/>
                <w:sz w:val="20"/>
                <w:szCs w:val="20"/>
              </w:rPr>
              <w:t> </w:t>
            </w:r>
            <w:r>
              <w:rPr>
                <w:rFonts w:ascii="宋体" w:hAnsi="宋体" w:cs="宋体" w:eastAsia="宋体" w:hint="default"/>
                <w:sz w:val="20"/>
                <w:szCs w:val="20"/>
              </w:rPr>
              <w:t>内容</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60" w:lineRule="exact"/>
              <w:ind w:left="273" w:right="175" w:hanging="99"/>
              <w:jc w:val="left"/>
              <w:rPr>
                <w:rFonts w:ascii="宋体" w:hAnsi="宋体" w:cs="宋体" w:eastAsia="宋体" w:hint="default"/>
                <w:sz w:val="20"/>
                <w:szCs w:val="20"/>
              </w:rPr>
            </w:pPr>
            <w:r>
              <w:rPr>
                <w:rFonts w:ascii="宋体" w:hAnsi="宋体" w:cs="宋体" w:eastAsia="宋体" w:hint="default"/>
                <w:sz w:val="20"/>
                <w:szCs w:val="20"/>
              </w:rPr>
              <w:t>承诺时间</w:t>
            </w:r>
            <w:r>
              <w:rPr>
                <w:rFonts w:ascii="宋体" w:hAnsi="宋体" w:cs="宋体" w:eastAsia="宋体" w:hint="default"/>
                <w:w w:val="99"/>
                <w:sz w:val="20"/>
                <w:szCs w:val="20"/>
              </w:rPr>
              <w:t> </w:t>
            </w:r>
            <w:r>
              <w:rPr>
                <w:rFonts w:ascii="宋体" w:hAnsi="宋体" w:cs="宋体" w:eastAsia="宋体" w:hint="default"/>
                <w:sz w:val="20"/>
                <w:szCs w:val="20"/>
              </w:rPr>
              <w:t>及期限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60" w:lineRule="exact"/>
              <w:ind w:left="129" w:right="127"/>
              <w:jc w:val="center"/>
              <w:rPr>
                <w:rFonts w:ascii="宋体" w:hAnsi="宋体" w:cs="宋体" w:eastAsia="宋体" w:hint="default"/>
                <w:sz w:val="20"/>
                <w:szCs w:val="20"/>
              </w:rPr>
            </w:pPr>
            <w:r>
              <w:rPr>
                <w:rFonts w:ascii="宋体" w:hAnsi="宋体" w:cs="宋体" w:eastAsia="宋体" w:hint="default"/>
                <w:sz w:val="20"/>
                <w:szCs w:val="20"/>
              </w:rPr>
              <w:t>是否有</w:t>
            </w:r>
            <w:r>
              <w:rPr>
                <w:rFonts w:ascii="宋体" w:hAnsi="宋体" w:cs="宋体" w:eastAsia="宋体" w:hint="default"/>
                <w:w w:val="99"/>
                <w:sz w:val="20"/>
                <w:szCs w:val="20"/>
              </w:rPr>
              <w:t> </w:t>
            </w:r>
            <w:r>
              <w:rPr>
                <w:rFonts w:ascii="宋体" w:hAnsi="宋体" w:cs="宋体" w:eastAsia="宋体" w:hint="default"/>
                <w:sz w:val="20"/>
                <w:szCs w:val="20"/>
              </w:rPr>
              <w:t>履行期</w:t>
            </w:r>
            <w:r>
              <w:rPr>
                <w:rFonts w:ascii="宋体" w:hAnsi="宋体" w:cs="宋体" w:eastAsia="宋体" w:hint="default"/>
                <w:w w:val="99"/>
                <w:sz w:val="20"/>
                <w:szCs w:val="20"/>
              </w:rPr>
              <w:t> </w:t>
            </w:r>
            <w:r>
              <w:rPr>
                <w:rFonts w:ascii="宋体" w:hAnsi="宋体" w:cs="宋体" w:eastAsia="宋体" w:hint="default"/>
                <w:sz w:val="20"/>
                <w:szCs w:val="20"/>
              </w:rPr>
              <w:t>限</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60" w:lineRule="exact"/>
              <w:ind w:left="155" w:right="159"/>
              <w:jc w:val="both"/>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w w:val="99"/>
                <w:sz w:val="20"/>
                <w:szCs w:val="20"/>
              </w:rPr>
              <w:t> </w:t>
            </w:r>
            <w:r>
              <w:rPr>
                <w:rFonts w:ascii="宋体" w:hAnsi="宋体" w:cs="宋体" w:eastAsia="宋体" w:hint="default"/>
                <w:sz w:val="20"/>
                <w:szCs w:val="20"/>
              </w:rPr>
              <w:t>及时</w:t>
            </w:r>
            <w:r>
              <w:rPr>
                <w:rFonts w:ascii="宋体" w:hAnsi="宋体" w:cs="宋体" w:eastAsia="宋体" w:hint="default"/>
                <w:w w:val="99"/>
                <w:sz w:val="20"/>
                <w:szCs w:val="20"/>
              </w:rPr>
              <w:t> </w:t>
            </w:r>
            <w:r>
              <w:rPr>
                <w:rFonts w:ascii="宋体" w:hAnsi="宋体" w:cs="宋体" w:eastAsia="宋体" w:hint="default"/>
                <w:sz w:val="20"/>
                <w:szCs w:val="20"/>
              </w:rPr>
              <w:t>严格</w:t>
            </w:r>
            <w:r>
              <w:rPr>
                <w:rFonts w:ascii="宋体" w:hAnsi="宋体" w:cs="宋体" w:eastAsia="宋体" w:hint="default"/>
                <w:w w:val="99"/>
                <w:sz w:val="20"/>
                <w:szCs w:val="20"/>
              </w:rPr>
              <w:t> </w:t>
            </w:r>
            <w:r>
              <w:rPr>
                <w:rFonts w:ascii="宋体" w:hAnsi="宋体" w:cs="宋体" w:eastAsia="宋体" w:hint="default"/>
                <w:sz w:val="20"/>
                <w:szCs w:val="20"/>
              </w:rPr>
              <w:t>履行</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5" w:right="0"/>
              <w:jc w:val="both"/>
              <w:rPr>
                <w:rFonts w:ascii="宋体" w:hAnsi="宋体" w:cs="宋体" w:eastAsia="宋体" w:hint="default"/>
                <w:sz w:val="20"/>
                <w:szCs w:val="20"/>
              </w:rPr>
            </w:pPr>
            <w:r>
              <w:rPr>
                <w:rFonts w:ascii="宋体" w:hAnsi="宋体" w:cs="宋体" w:eastAsia="宋体" w:hint="default"/>
                <w:sz w:val="20"/>
                <w:szCs w:val="20"/>
              </w:rPr>
              <w:t>如未</w:t>
            </w:r>
          </w:p>
          <w:p>
            <w:pPr>
              <w:pStyle w:val="TableParagraph"/>
              <w:spacing w:line="237" w:lineRule="auto" w:before="1"/>
              <w:ind w:left="155" w:right="158"/>
              <w:jc w:val="both"/>
              <w:rPr>
                <w:rFonts w:ascii="宋体" w:hAnsi="宋体" w:cs="宋体" w:eastAsia="宋体" w:hint="default"/>
                <w:sz w:val="20"/>
                <w:szCs w:val="20"/>
              </w:rPr>
            </w:pPr>
            <w:r>
              <w:rPr>
                <w:rFonts w:ascii="宋体" w:hAnsi="宋体" w:cs="宋体" w:eastAsia="宋体" w:hint="default"/>
                <w:sz w:val="20"/>
                <w:szCs w:val="20"/>
              </w:rPr>
              <w:t>能及</w:t>
            </w:r>
            <w:r>
              <w:rPr>
                <w:rFonts w:ascii="宋体" w:hAnsi="宋体" w:cs="宋体" w:eastAsia="宋体" w:hint="default"/>
                <w:w w:val="99"/>
                <w:sz w:val="20"/>
                <w:szCs w:val="20"/>
              </w:rPr>
              <w:t> </w:t>
            </w:r>
            <w:r>
              <w:rPr>
                <w:rFonts w:ascii="宋体" w:hAnsi="宋体" w:cs="宋体" w:eastAsia="宋体" w:hint="default"/>
                <w:sz w:val="20"/>
                <w:szCs w:val="20"/>
              </w:rPr>
              <w:t>时履</w:t>
            </w:r>
            <w:r>
              <w:rPr>
                <w:rFonts w:ascii="宋体" w:hAnsi="宋体" w:cs="宋体" w:eastAsia="宋体" w:hint="default"/>
                <w:w w:val="99"/>
                <w:sz w:val="20"/>
                <w:szCs w:val="20"/>
              </w:rPr>
              <w:t> </w:t>
            </w:r>
            <w:r>
              <w:rPr>
                <w:rFonts w:ascii="宋体" w:hAnsi="宋体" w:cs="宋体" w:eastAsia="宋体" w:hint="default"/>
                <w:sz w:val="20"/>
                <w:szCs w:val="20"/>
              </w:rPr>
              <w:t>行应</w:t>
            </w:r>
            <w:r>
              <w:rPr>
                <w:rFonts w:ascii="宋体" w:hAnsi="宋体" w:cs="宋体" w:eastAsia="宋体" w:hint="default"/>
                <w:w w:val="99"/>
                <w:sz w:val="20"/>
                <w:szCs w:val="20"/>
              </w:rPr>
              <w:t> </w:t>
            </w:r>
            <w:r>
              <w:rPr>
                <w:rFonts w:ascii="宋体" w:hAnsi="宋体" w:cs="宋体" w:eastAsia="宋体" w:hint="default"/>
                <w:sz w:val="20"/>
                <w:szCs w:val="20"/>
              </w:rPr>
              <w:t>说明</w:t>
            </w:r>
            <w:r>
              <w:rPr>
                <w:rFonts w:ascii="宋体" w:hAnsi="宋体" w:cs="宋体" w:eastAsia="宋体" w:hint="default"/>
                <w:w w:val="99"/>
                <w:sz w:val="20"/>
                <w:szCs w:val="20"/>
              </w:rPr>
              <w:t> </w:t>
            </w:r>
            <w:r>
              <w:rPr>
                <w:rFonts w:ascii="宋体" w:hAnsi="宋体" w:cs="宋体" w:eastAsia="宋体" w:hint="default"/>
                <w:sz w:val="20"/>
                <w:szCs w:val="20"/>
              </w:rPr>
              <w:t>未完</w:t>
            </w:r>
            <w:r>
              <w:rPr>
                <w:rFonts w:ascii="宋体" w:hAnsi="宋体" w:cs="宋体" w:eastAsia="宋体" w:hint="default"/>
                <w:w w:val="99"/>
                <w:sz w:val="20"/>
                <w:szCs w:val="20"/>
              </w:rPr>
              <w:t> </w:t>
            </w:r>
            <w:r>
              <w:rPr>
                <w:rFonts w:ascii="宋体" w:hAnsi="宋体" w:cs="宋体" w:eastAsia="宋体" w:hint="default"/>
                <w:sz w:val="20"/>
                <w:szCs w:val="20"/>
              </w:rPr>
              <w:t>成履</w:t>
            </w:r>
            <w:r>
              <w:rPr>
                <w:rFonts w:ascii="宋体" w:hAnsi="宋体" w:cs="宋体" w:eastAsia="宋体" w:hint="default"/>
                <w:w w:val="99"/>
                <w:sz w:val="20"/>
                <w:szCs w:val="20"/>
              </w:rPr>
              <w:t> </w:t>
            </w:r>
            <w:r>
              <w:rPr>
                <w:rFonts w:ascii="宋体" w:hAnsi="宋体" w:cs="宋体" w:eastAsia="宋体" w:hint="default"/>
                <w:sz w:val="20"/>
                <w:szCs w:val="20"/>
              </w:rPr>
              <w:t>行的</w:t>
            </w:r>
            <w:r>
              <w:rPr>
                <w:rFonts w:ascii="宋体" w:hAnsi="宋体" w:cs="宋体" w:eastAsia="宋体" w:hint="default"/>
                <w:w w:val="99"/>
                <w:sz w:val="20"/>
                <w:szCs w:val="20"/>
              </w:rPr>
              <w:t> </w:t>
            </w:r>
            <w:r>
              <w:rPr>
                <w:rFonts w:ascii="宋体" w:hAnsi="宋体" w:cs="宋体" w:eastAsia="宋体" w:hint="default"/>
                <w:sz w:val="20"/>
                <w:szCs w:val="20"/>
              </w:rPr>
              <w:t>具体</w:t>
            </w:r>
            <w:r>
              <w:rPr>
                <w:rFonts w:ascii="宋体" w:hAnsi="宋体" w:cs="宋体" w:eastAsia="宋体" w:hint="default"/>
                <w:w w:val="99"/>
                <w:sz w:val="20"/>
                <w:szCs w:val="20"/>
              </w:rPr>
              <w:t> </w:t>
            </w:r>
            <w:r>
              <w:rPr>
                <w:rFonts w:ascii="宋体" w:hAnsi="宋体" w:cs="宋体" w:eastAsia="宋体" w:hint="default"/>
                <w:sz w:val="20"/>
                <w:szCs w:val="20"/>
              </w:rPr>
              <w:t>原因</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37" w:lineRule="auto"/>
              <w:ind w:left="129" w:right="127"/>
              <w:jc w:val="both"/>
              <w:rPr>
                <w:rFonts w:ascii="宋体" w:hAnsi="宋体" w:cs="宋体" w:eastAsia="宋体" w:hint="default"/>
                <w:sz w:val="20"/>
                <w:szCs w:val="20"/>
              </w:rPr>
            </w:pPr>
            <w:r>
              <w:rPr>
                <w:rFonts w:ascii="宋体" w:hAnsi="宋体" w:cs="宋体" w:eastAsia="宋体" w:hint="default"/>
                <w:sz w:val="20"/>
                <w:szCs w:val="20"/>
              </w:rPr>
              <w:t>如未能</w:t>
            </w:r>
            <w:r>
              <w:rPr>
                <w:rFonts w:ascii="宋体" w:hAnsi="宋体" w:cs="宋体" w:eastAsia="宋体" w:hint="default"/>
                <w:w w:val="99"/>
                <w:sz w:val="20"/>
                <w:szCs w:val="20"/>
              </w:rPr>
              <w:t> </w:t>
            </w:r>
            <w:r>
              <w:rPr>
                <w:rFonts w:ascii="宋体" w:hAnsi="宋体" w:cs="宋体" w:eastAsia="宋体" w:hint="default"/>
                <w:sz w:val="20"/>
                <w:szCs w:val="20"/>
              </w:rPr>
              <w:t>及时履</w:t>
            </w:r>
            <w:r>
              <w:rPr>
                <w:rFonts w:ascii="宋体" w:hAnsi="宋体" w:cs="宋体" w:eastAsia="宋体" w:hint="default"/>
                <w:w w:val="99"/>
                <w:sz w:val="20"/>
                <w:szCs w:val="20"/>
              </w:rPr>
              <w:t> </w:t>
            </w:r>
            <w:r>
              <w:rPr>
                <w:rFonts w:ascii="宋体" w:hAnsi="宋体" w:cs="宋体" w:eastAsia="宋体" w:hint="default"/>
                <w:sz w:val="20"/>
                <w:szCs w:val="20"/>
              </w:rPr>
              <w:t>行应说</w:t>
            </w:r>
            <w:r>
              <w:rPr>
                <w:rFonts w:ascii="宋体" w:hAnsi="宋体" w:cs="宋体" w:eastAsia="宋体" w:hint="default"/>
                <w:w w:val="99"/>
                <w:sz w:val="20"/>
                <w:szCs w:val="20"/>
              </w:rPr>
              <w:t> </w:t>
            </w:r>
            <w:r>
              <w:rPr>
                <w:rFonts w:ascii="宋体" w:hAnsi="宋体" w:cs="宋体" w:eastAsia="宋体" w:hint="default"/>
                <w:sz w:val="20"/>
                <w:szCs w:val="20"/>
              </w:rPr>
              <w:t>明下一</w:t>
            </w:r>
            <w:r>
              <w:rPr>
                <w:rFonts w:ascii="宋体" w:hAnsi="宋体" w:cs="宋体" w:eastAsia="宋体" w:hint="default"/>
                <w:w w:val="99"/>
                <w:sz w:val="20"/>
                <w:szCs w:val="20"/>
              </w:rPr>
              <w:t> </w:t>
            </w:r>
            <w:r>
              <w:rPr>
                <w:rFonts w:ascii="宋体" w:hAnsi="宋体" w:cs="宋体" w:eastAsia="宋体" w:hint="default"/>
                <w:sz w:val="20"/>
                <w:szCs w:val="20"/>
              </w:rPr>
              <w:t>步计划</w:t>
            </w:r>
          </w:p>
        </w:tc>
      </w:tr>
      <w:tr>
        <w:trPr>
          <w:trHeight w:val="156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60" w:lineRule="exact"/>
              <w:ind w:left="103" w:right="195"/>
              <w:jc w:val="both"/>
              <w:rPr>
                <w:rFonts w:ascii="宋体" w:hAnsi="宋体" w:cs="宋体" w:eastAsia="宋体" w:hint="default"/>
                <w:sz w:val="20"/>
                <w:szCs w:val="20"/>
              </w:rPr>
            </w:pPr>
            <w:r>
              <w:rPr>
                <w:rFonts w:ascii="宋体" w:hAnsi="宋体" w:cs="宋体" w:eastAsia="宋体" w:hint="default"/>
                <w:sz w:val="20"/>
                <w:szCs w:val="20"/>
              </w:rPr>
              <w:t>与首次公开</w:t>
            </w:r>
            <w:r>
              <w:rPr>
                <w:rFonts w:ascii="宋体" w:hAnsi="宋体" w:cs="宋体" w:eastAsia="宋体" w:hint="default"/>
                <w:w w:val="99"/>
                <w:sz w:val="20"/>
                <w:szCs w:val="20"/>
              </w:rPr>
              <w:t> </w:t>
            </w:r>
            <w:r>
              <w:rPr>
                <w:rFonts w:ascii="宋体" w:hAnsi="宋体" w:cs="宋体" w:eastAsia="宋体" w:hint="default"/>
                <w:sz w:val="20"/>
                <w:szCs w:val="20"/>
              </w:rPr>
              <w:t>发行相关的</w:t>
            </w:r>
            <w:r>
              <w:rPr>
                <w:rFonts w:ascii="宋体" w:hAnsi="宋体" w:cs="宋体" w:eastAsia="宋体" w:hint="default"/>
                <w:w w:val="99"/>
                <w:sz w:val="20"/>
                <w:szCs w:val="20"/>
              </w:rPr>
              <w:t> </w:t>
            </w:r>
            <w:r>
              <w:rPr>
                <w:rFonts w:ascii="宋体" w:hAnsi="宋体" w:cs="宋体" w:eastAsia="宋体" w:hint="default"/>
                <w:sz w:val="20"/>
                <w:szCs w:val="20"/>
              </w:rPr>
              <w:t>承诺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股份</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限售</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四川新华</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发行集团</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自新华文轩</w:t>
            </w:r>
            <w:r>
              <w:rPr>
                <w:rFonts w:ascii="宋体" w:hAnsi="宋体" w:cs="宋体" w:eastAsia="宋体" w:hint="default"/>
                <w:spacing w:val="-53"/>
                <w:sz w:val="20"/>
                <w:szCs w:val="20"/>
              </w:rPr>
              <w:t> </w:t>
            </w:r>
            <w:r>
              <w:rPr>
                <w:rFonts w:ascii="宋体" w:hAnsi="宋体" w:cs="宋体" w:eastAsia="宋体" w:hint="default"/>
                <w:sz w:val="20"/>
                <w:szCs w:val="20"/>
              </w:rPr>
              <w:t>A</w:t>
            </w:r>
            <w:r>
              <w:rPr>
                <w:rFonts w:ascii="宋体" w:hAnsi="宋体" w:cs="宋体" w:eastAsia="宋体" w:hint="default"/>
                <w:spacing w:val="-52"/>
                <w:sz w:val="20"/>
                <w:szCs w:val="20"/>
              </w:rPr>
              <w:t> </w:t>
            </w:r>
            <w:r>
              <w:rPr>
                <w:rFonts w:ascii="宋体" w:hAnsi="宋体" w:cs="宋体" w:eastAsia="宋体" w:hint="default"/>
                <w:sz w:val="20"/>
                <w:szCs w:val="20"/>
              </w:rPr>
              <w:t>股股票上市之</w:t>
            </w:r>
          </w:p>
          <w:p>
            <w:pPr>
              <w:pStyle w:val="TableParagraph"/>
              <w:spacing w:line="260" w:lineRule="exact" w:before="24"/>
              <w:ind w:left="101" w:right="104"/>
              <w:jc w:val="left"/>
              <w:rPr>
                <w:rFonts w:ascii="宋体" w:hAnsi="宋体" w:cs="宋体" w:eastAsia="宋体" w:hint="default"/>
                <w:sz w:val="20"/>
                <w:szCs w:val="20"/>
              </w:rPr>
            </w:pPr>
            <w:r>
              <w:rPr>
                <w:rFonts w:ascii="宋体" w:hAnsi="宋体" w:cs="宋体" w:eastAsia="宋体" w:hint="default"/>
                <w:spacing w:val="-5"/>
                <w:sz w:val="20"/>
                <w:szCs w:val="20"/>
              </w:rPr>
              <w:t>日起三十六个月内，不转让或</w:t>
            </w:r>
            <w:r>
              <w:rPr>
                <w:rFonts w:ascii="宋体" w:hAnsi="宋体" w:cs="宋体" w:eastAsia="宋体" w:hint="default"/>
                <w:w w:val="99"/>
                <w:sz w:val="20"/>
                <w:szCs w:val="20"/>
              </w:rPr>
              <w:t> </w:t>
            </w:r>
            <w:r>
              <w:rPr>
                <w:rFonts w:ascii="宋体" w:hAnsi="宋体" w:cs="宋体" w:eastAsia="宋体" w:hint="default"/>
                <w:sz w:val="20"/>
                <w:szCs w:val="20"/>
              </w:rPr>
              <w:t>者委托他人管理其已直接和</w:t>
            </w:r>
            <w:r>
              <w:rPr>
                <w:rFonts w:ascii="宋体" w:hAnsi="宋体" w:cs="宋体" w:eastAsia="宋体" w:hint="default"/>
                <w:w w:val="99"/>
                <w:sz w:val="20"/>
                <w:szCs w:val="20"/>
              </w:rPr>
              <w:t> </w:t>
            </w:r>
            <w:r>
              <w:rPr>
                <w:rFonts w:ascii="宋体" w:hAnsi="宋体" w:cs="宋体" w:eastAsia="宋体" w:hint="default"/>
                <w:sz w:val="20"/>
                <w:szCs w:val="20"/>
              </w:rPr>
              <w:t>间接持有的新华文轩</w:t>
            </w:r>
            <w:r>
              <w:rPr>
                <w:rFonts w:ascii="宋体" w:hAnsi="宋体" w:cs="宋体" w:eastAsia="宋体" w:hint="default"/>
                <w:spacing w:val="-52"/>
                <w:sz w:val="20"/>
                <w:szCs w:val="20"/>
              </w:rPr>
              <w:t> </w:t>
            </w:r>
            <w:r>
              <w:rPr>
                <w:rFonts w:ascii="宋体" w:hAnsi="宋体" w:cs="宋体" w:eastAsia="宋体" w:hint="default"/>
                <w:sz w:val="20"/>
                <w:szCs w:val="20"/>
              </w:rPr>
              <w:t>A</w:t>
            </w:r>
            <w:r>
              <w:rPr>
                <w:rFonts w:ascii="宋体" w:hAnsi="宋体" w:cs="宋体" w:eastAsia="宋体" w:hint="default"/>
                <w:spacing w:val="-51"/>
                <w:sz w:val="20"/>
                <w:szCs w:val="20"/>
              </w:rPr>
              <w:t> </w:t>
            </w:r>
            <w:r>
              <w:rPr>
                <w:rFonts w:ascii="宋体" w:hAnsi="宋体" w:cs="宋体" w:eastAsia="宋体" w:hint="default"/>
                <w:sz w:val="20"/>
                <w:szCs w:val="20"/>
              </w:rPr>
              <w:t>股股</w:t>
            </w:r>
            <w:r>
              <w:rPr>
                <w:rFonts w:ascii="宋体" w:hAnsi="宋体" w:cs="宋体" w:eastAsia="宋体" w:hint="default"/>
                <w:w w:val="99"/>
                <w:sz w:val="20"/>
                <w:szCs w:val="20"/>
              </w:rPr>
              <w:t> </w:t>
            </w:r>
            <w:r>
              <w:rPr>
                <w:rFonts w:ascii="宋体" w:hAnsi="宋体" w:cs="宋体" w:eastAsia="宋体" w:hint="default"/>
                <w:spacing w:val="-5"/>
                <w:sz w:val="20"/>
                <w:szCs w:val="20"/>
              </w:rPr>
              <w:t>份，也不由新华文轩收购其持</w:t>
            </w:r>
            <w:r>
              <w:rPr>
                <w:rFonts w:ascii="宋体" w:hAnsi="宋体" w:cs="宋体" w:eastAsia="宋体" w:hint="default"/>
                <w:w w:val="99"/>
                <w:sz w:val="20"/>
                <w:szCs w:val="20"/>
              </w:rPr>
              <w:t> </w:t>
            </w:r>
            <w:r>
              <w:rPr>
                <w:rFonts w:ascii="宋体" w:hAnsi="宋体" w:cs="宋体" w:eastAsia="宋体" w:hint="default"/>
                <w:sz w:val="20"/>
                <w:szCs w:val="20"/>
              </w:rPr>
              <w:t>有的该部分股份</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公司股票</w:t>
            </w:r>
          </w:p>
          <w:p>
            <w:pPr>
              <w:pStyle w:val="TableParagraph"/>
              <w:spacing w:line="260" w:lineRule="exact" w:before="24"/>
              <w:ind w:left="103" w:right="144"/>
              <w:jc w:val="left"/>
              <w:rPr>
                <w:rFonts w:ascii="宋体" w:hAnsi="宋体" w:cs="宋体" w:eastAsia="宋体" w:hint="default"/>
                <w:sz w:val="20"/>
                <w:szCs w:val="20"/>
              </w:rPr>
            </w:pPr>
            <w:r>
              <w:rPr>
                <w:rFonts w:ascii="宋体" w:hAnsi="宋体" w:cs="宋体" w:eastAsia="宋体" w:hint="default"/>
                <w:sz w:val="20"/>
                <w:szCs w:val="20"/>
              </w:rPr>
              <w:t>上市之日</w:t>
            </w:r>
            <w:r>
              <w:rPr>
                <w:rFonts w:ascii="宋体" w:hAnsi="宋体" w:cs="宋体" w:eastAsia="宋体" w:hint="default"/>
                <w:w w:val="99"/>
                <w:sz w:val="20"/>
                <w:szCs w:val="20"/>
              </w:rPr>
              <w:t> </w:t>
            </w:r>
            <w:r>
              <w:rPr>
                <w:rFonts w:ascii="宋体" w:hAnsi="宋体" w:cs="宋体" w:eastAsia="宋体" w:hint="default"/>
                <w:sz w:val="20"/>
                <w:szCs w:val="20"/>
              </w:rPr>
              <w:t>起</w:t>
            </w:r>
            <w:r>
              <w:rPr>
                <w:rFonts w:ascii="宋体" w:hAnsi="宋体" w:cs="宋体" w:eastAsia="宋体" w:hint="default"/>
                <w:spacing w:val="-51"/>
                <w:sz w:val="20"/>
                <w:szCs w:val="20"/>
              </w:rPr>
              <w:t> </w:t>
            </w:r>
            <w:r>
              <w:rPr>
                <w:rFonts w:ascii="宋体" w:hAnsi="宋体" w:cs="宋体" w:eastAsia="宋体" w:hint="default"/>
                <w:sz w:val="20"/>
                <w:szCs w:val="20"/>
              </w:rPr>
              <w:t>36</w:t>
            </w:r>
            <w:r>
              <w:rPr>
                <w:rFonts w:ascii="宋体" w:hAnsi="宋体" w:cs="宋体" w:eastAsia="宋体" w:hint="default"/>
                <w:spacing w:val="-50"/>
                <w:sz w:val="20"/>
                <w:szCs w:val="20"/>
              </w:rPr>
              <w:t> </w:t>
            </w:r>
            <w:r>
              <w:rPr>
                <w:rFonts w:ascii="宋体" w:hAnsi="宋体" w:cs="宋体" w:eastAsia="宋体" w:hint="default"/>
                <w:sz w:val="20"/>
                <w:szCs w:val="20"/>
              </w:rPr>
              <w:t>个月</w:t>
            </w:r>
            <w:r>
              <w:rPr>
                <w:rFonts w:ascii="宋体" w:hAnsi="宋体" w:cs="宋体" w:eastAsia="宋体" w:hint="default"/>
                <w:w w:val="99"/>
                <w:sz w:val="20"/>
                <w:szCs w:val="20"/>
              </w:rPr>
              <w:t> </w:t>
            </w:r>
            <w:r>
              <w:rPr>
                <w:rFonts w:ascii="宋体" w:hAnsi="宋体" w:cs="宋体" w:eastAsia="宋体" w:hint="default"/>
                <w:sz w:val="20"/>
                <w:szCs w:val="20"/>
              </w:rPr>
              <w:t>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03" w:right="195"/>
              <w:jc w:val="both"/>
              <w:rPr>
                <w:rFonts w:ascii="宋体" w:hAnsi="宋体" w:cs="宋体" w:eastAsia="宋体" w:hint="default"/>
                <w:sz w:val="20"/>
                <w:szCs w:val="20"/>
              </w:rPr>
            </w:pPr>
            <w:r>
              <w:rPr>
                <w:rFonts w:ascii="宋体" w:hAnsi="宋体" w:cs="宋体" w:eastAsia="宋体" w:hint="default"/>
                <w:sz w:val="20"/>
                <w:szCs w:val="20"/>
              </w:rPr>
              <w:t>与首次公开</w:t>
            </w:r>
            <w:r>
              <w:rPr>
                <w:rFonts w:ascii="宋体" w:hAnsi="宋体" w:cs="宋体" w:eastAsia="宋体" w:hint="default"/>
                <w:w w:val="99"/>
                <w:sz w:val="20"/>
                <w:szCs w:val="20"/>
              </w:rPr>
              <w:t> </w:t>
            </w:r>
            <w:r>
              <w:rPr>
                <w:rFonts w:ascii="宋体" w:hAnsi="宋体" w:cs="宋体" w:eastAsia="宋体" w:hint="default"/>
                <w:sz w:val="20"/>
                <w:szCs w:val="20"/>
              </w:rPr>
              <w:t>发行相关的</w:t>
            </w:r>
            <w:r>
              <w:rPr>
                <w:rFonts w:ascii="宋体" w:hAnsi="宋体" w:cs="宋体" w:eastAsia="宋体" w:hint="default"/>
                <w:w w:val="99"/>
                <w:sz w:val="20"/>
                <w:szCs w:val="20"/>
              </w:rPr>
              <w:t> </w:t>
            </w:r>
            <w:r>
              <w:rPr>
                <w:rFonts w:ascii="宋体" w:hAnsi="宋体" w:cs="宋体" w:eastAsia="宋体" w:hint="default"/>
                <w:sz w:val="20"/>
                <w:szCs w:val="20"/>
              </w:rPr>
              <w:t>承诺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股份</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限售</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四川新华</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发行集团</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、新华文轩首次公开发行股</w:t>
            </w:r>
          </w:p>
          <w:p>
            <w:pPr>
              <w:pStyle w:val="TableParagraph"/>
              <w:spacing w:line="240" w:lineRule="auto"/>
              <w:ind w:left="101" w:right="104"/>
              <w:jc w:val="left"/>
              <w:rPr>
                <w:rFonts w:ascii="宋体" w:hAnsi="宋体" w:cs="宋体" w:eastAsia="宋体" w:hint="default"/>
                <w:sz w:val="20"/>
                <w:szCs w:val="20"/>
              </w:rPr>
            </w:pPr>
            <w:r>
              <w:rPr>
                <w:rFonts w:ascii="宋体" w:hAnsi="宋体" w:cs="宋体" w:eastAsia="宋体" w:hint="default"/>
                <w:spacing w:val="-5"/>
                <w:sz w:val="20"/>
                <w:szCs w:val="20"/>
              </w:rPr>
              <w:t>票并上市后，对于本次发行前</w:t>
            </w:r>
            <w:r>
              <w:rPr>
                <w:rFonts w:ascii="宋体" w:hAnsi="宋体" w:cs="宋体" w:eastAsia="宋体" w:hint="default"/>
                <w:w w:val="99"/>
                <w:sz w:val="20"/>
                <w:szCs w:val="20"/>
              </w:rPr>
              <w:t> </w:t>
            </w:r>
            <w:r>
              <w:rPr>
                <w:rFonts w:ascii="宋体" w:hAnsi="宋体" w:cs="宋体" w:eastAsia="宋体" w:hint="default"/>
                <w:sz w:val="20"/>
                <w:szCs w:val="20"/>
              </w:rPr>
              <w:t>四川新华发行集团所持的新</w:t>
            </w:r>
            <w:r>
              <w:rPr>
                <w:rFonts w:ascii="宋体" w:hAnsi="宋体" w:cs="宋体" w:eastAsia="宋体" w:hint="default"/>
                <w:w w:val="99"/>
                <w:sz w:val="20"/>
                <w:szCs w:val="20"/>
              </w:rPr>
              <w:t> </w:t>
            </w:r>
            <w:r>
              <w:rPr>
                <w:rFonts w:ascii="宋体" w:hAnsi="宋体" w:cs="宋体" w:eastAsia="宋体" w:hint="default"/>
                <w:spacing w:val="-5"/>
                <w:sz w:val="20"/>
                <w:szCs w:val="20"/>
              </w:rPr>
              <w:t>华文轩内资股股票，四川新华</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其股票锁</w:t>
            </w:r>
          </w:p>
          <w:p>
            <w:pPr>
              <w:pStyle w:val="TableParagraph"/>
              <w:spacing w:line="240" w:lineRule="auto"/>
              <w:ind w:left="103" w:right="245"/>
              <w:jc w:val="left"/>
              <w:rPr>
                <w:rFonts w:ascii="宋体" w:hAnsi="宋体" w:cs="宋体" w:eastAsia="宋体" w:hint="default"/>
                <w:sz w:val="20"/>
                <w:szCs w:val="20"/>
              </w:rPr>
            </w:pPr>
            <w:r>
              <w:rPr>
                <w:rFonts w:ascii="宋体" w:hAnsi="宋体" w:cs="宋体" w:eastAsia="宋体" w:hint="default"/>
                <w:sz w:val="20"/>
                <w:szCs w:val="20"/>
              </w:rPr>
              <w:t>定期满后</w:t>
            </w:r>
            <w:r>
              <w:rPr>
                <w:rFonts w:ascii="宋体" w:hAnsi="宋体" w:cs="宋体" w:eastAsia="宋体" w:hint="default"/>
                <w:w w:val="99"/>
                <w:sz w:val="20"/>
                <w:szCs w:val="20"/>
              </w:rPr>
              <w:t> </w:t>
            </w:r>
            <w:r>
              <w:rPr>
                <w:rFonts w:ascii="宋体" w:hAnsi="宋体" w:cs="宋体" w:eastAsia="宋体" w:hint="default"/>
                <w:sz w:val="20"/>
                <w:szCs w:val="20"/>
              </w:rPr>
              <w:t>的第</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至</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2"/>
                <w:sz w:val="20"/>
                <w:szCs w:val="20"/>
              </w:rPr>
              <w:t> </w:t>
            </w:r>
            <w:r>
              <w:rPr>
                <w:rFonts w:ascii="宋体" w:hAnsi="宋体" w:cs="宋体" w:eastAsia="宋体" w:hint="default"/>
                <w:sz w:val="20"/>
                <w:szCs w:val="20"/>
              </w:rPr>
              <w:t>36</w:t>
            </w:r>
            <w:r>
              <w:rPr>
                <w:rFonts w:ascii="宋体" w:hAnsi="宋体" w:cs="宋体" w:eastAsia="宋体" w:hint="default"/>
                <w:spacing w:val="-51"/>
                <w:sz w:val="20"/>
                <w:szCs w:val="20"/>
              </w:rPr>
              <w:t> </w:t>
            </w:r>
            <w:r>
              <w:rPr>
                <w:rFonts w:ascii="宋体" w:hAnsi="宋体" w:cs="宋体" w:eastAsia="宋体" w:hint="default"/>
                <w:sz w:val="20"/>
                <w:szCs w:val="20"/>
              </w:rPr>
              <w:t>个月</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1195" w:header="0" w:top="1060" w:bottom="1380" w:left="480" w:right="92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1308"/>
        <w:gridCol w:w="720"/>
        <w:gridCol w:w="1159"/>
        <w:gridCol w:w="2751"/>
        <w:gridCol w:w="1159"/>
        <w:gridCol w:w="866"/>
        <w:gridCol w:w="725"/>
        <w:gridCol w:w="725"/>
        <w:gridCol w:w="866"/>
      </w:tblGrid>
      <w:tr>
        <w:trPr>
          <w:trHeight w:val="9349"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发行集团在其股票锁定期满</w:t>
            </w:r>
          </w:p>
          <w:p>
            <w:pPr>
              <w:pStyle w:val="TableParagraph"/>
              <w:spacing w:line="259" w:lineRule="exact"/>
              <w:ind w:left="101" w:right="0"/>
              <w:jc w:val="left"/>
              <w:rPr>
                <w:rFonts w:ascii="宋体" w:hAnsi="宋体" w:cs="宋体" w:eastAsia="宋体" w:hint="default"/>
                <w:sz w:val="20"/>
                <w:szCs w:val="20"/>
              </w:rPr>
            </w:pPr>
            <w:r>
              <w:rPr>
                <w:rFonts w:ascii="宋体" w:hAnsi="宋体" w:cs="宋体" w:eastAsia="宋体" w:hint="default"/>
                <w:sz w:val="20"/>
                <w:szCs w:val="20"/>
              </w:rPr>
              <w:t>后的第</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至第</w:t>
            </w:r>
            <w:r>
              <w:rPr>
                <w:rFonts w:ascii="宋体" w:hAnsi="宋体" w:cs="宋体" w:eastAsia="宋体" w:hint="default"/>
                <w:spacing w:val="-52"/>
                <w:sz w:val="20"/>
                <w:szCs w:val="20"/>
              </w:rPr>
              <w:t> </w:t>
            </w:r>
            <w:r>
              <w:rPr>
                <w:rFonts w:ascii="宋体" w:hAnsi="宋体" w:cs="宋体" w:eastAsia="宋体" w:hint="default"/>
                <w:sz w:val="20"/>
                <w:szCs w:val="20"/>
              </w:rPr>
              <w:t>24</w:t>
            </w:r>
            <w:r>
              <w:rPr>
                <w:rFonts w:ascii="宋体" w:hAnsi="宋体" w:cs="宋体" w:eastAsia="宋体" w:hint="default"/>
                <w:spacing w:val="-51"/>
                <w:sz w:val="20"/>
                <w:szCs w:val="20"/>
              </w:rPr>
              <w:t> </w:t>
            </w:r>
            <w:r>
              <w:rPr>
                <w:rFonts w:ascii="宋体" w:hAnsi="宋体" w:cs="宋体" w:eastAsia="宋体" w:hint="default"/>
                <w:sz w:val="20"/>
                <w:szCs w:val="20"/>
              </w:rPr>
              <w:t>个月内，每</w:t>
            </w:r>
          </w:p>
          <w:p>
            <w:pPr>
              <w:pStyle w:val="TableParagraph"/>
              <w:spacing w:line="237" w:lineRule="auto" w:before="1"/>
              <w:ind w:left="101" w:right="4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个月内通过证券交易所减</w:t>
            </w:r>
            <w:r>
              <w:rPr>
                <w:rFonts w:ascii="宋体" w:hAnsi="宋体" w:cs="宋体" w:eastAsia="宋体" w:hint="default"/>
                <w:w w:val="99"/>
                <w:sz w:val="20"/>
                <w:szCs w:val="20"/>
              </w:rPr>
              <w:t> </w:t>
            </w:r>
            <w:r>
              <w:rPr>
                <w:rFonts w:ascii="宋体" w:hAnsi="宋体" w:cs="宋体" w:eastAsia="宋体" w:hint="default"/>
                <w:sz w:val="20"/>
                <w:szCs w:val="20"/>
              </w:rPr>
              <w:t>持的股票数量不超过本次发</w:t>
            </w:r>
            <w:r>
              <w:rPr>
                <w:rFonts w:ascii="宋体" w:hAnsi="宋体" w:cs="宋体" w:eastAsia="宋体" w:hint="default"/>
                <w:w w:val="99"/>
                <w:sz w:val="20"/>
                <w:szCs w:val="20"/>
              </w:rPr>
              <w:t> </w:t>
            </w:r>
            <w:r>
              <w:rPr>
                <w:rFonts w:ascii="宋体" w:hAnsi="宋体" w:cs="宋体" w:eastAsia="宋体" w:hint="default"/>
                <w:sz w:val="20"/>
                <w:szCs w:val="20"/>
              </w:rPr>
              <w:t>行前四川新华发行集团所持</w:t>
            </w:r>
            <w:r>
              <w:rPr>
                <w:rFonts w:ascii="宋体" w:hAnsi="宋体" w:cs="宋体" w:eastAsia="宋体" w:hint="default"/>
                <w:w w:val="99"/>
                <w:sz w:val="20"/>
                <w:szCs w:val="20"/>
              </w:rPr>
              <w:t> </w:t>
            </w:r>
            <w:r>
              <w:rPr>
                <w:rFonts w:ascii="宋体" w:hAnsi="宋体" w:cs="宋体" w:eastAsia="宋体" w:hint="default"/>
                <w:sz w:val="20"/>
                <w:szCs w:val="20"/>
              </w:rPr>
              <w:t>新华文轩内资股股份总额的</w:t>
            </w:r>
            <w:r>
              <w:rPr>
                <w:rFonts w:ascii="宋体" w:hAnsi="宋体" w:cs="宋体" w:eastAsia="宋体" w:hint="default"/>
                <w:w w:val="99"/>
                <w:sz w:val="20"/>
                <w:szCs w:val="20"/>
              </w:rPr>
              <w:t> </w:t>
            </w:r>
            <w:r>
              <w:rPr>
                <w:rFonts w:ascii="宋体" w:hAnsi="宋体" w:cs="宋体" w:eastAsia="宋体" w:hint="default"/>
                <w:spacing w:val="-4"/>
                <w:sz w:val="20"/>
                <w:szCs w:val="20"/>
              </w:rPr>
              <w:t>30%</w:t>
            </w:r>
            <w:r>
              <w:rPr>
                <w:rFonts w:ascii="宋体" w:hAnsi="宋体" w:cs="宋体" w:eastAsia="宋体" w:hint="default"/>
                <w:spacing w:val="-4"/>
                <w:sz w:val="20"/>
                <w:szCs w:val="20"/>
              </w:rPr>
              <w:t>。</w:t>
            </w:r>
            <w:r>
              <w:rPr>
                <w:rFonts w:ascii="宋体" w:hAnsi="宋体" w:cs="宋体" w:eastAsia="宋体" w:hint="default"/>
                <w:spacing w:val="-4"/>
                <w:sz w:val="20"/>
                <w:szCs w:val="20"/>
              </w:rPr>
              <w:t>2</w:t>
            </w:r>
            <w:r>
              <w:rPr>
                <w:rFonts w:ascii="宋体" w:hAnsi="宋体" w:cs="宋体" w:eastAsia="宋体" w:hint="default"/>
                <w:spacing w:val="-4"/>
                <w:sz w:val="20"/>
                <w:szCs w:val="20"/>
              </w:rPr>
              <w:t>、新华文轩首次公开发</w:t>
            </w:r>
            <w:r>
              <w:rPr>
                <w:rFonts w:ascii="宋体" w:hAnsi="宋体" w:cs="宋体" w:eastAsia="宋体" w:hint="default"/>
                <w:w w:val="99"/>
                <w:sz w:val="20"/>
                <w:szCs w:val="20"/>
              </w:rPr>
              <w:t> </w:t>
            </w:r>
            <w:r>
              <w:rPr>
                <w:rFonts w:ascii="宋体" w:hAnsi="宋体" w:cs="宋体" w:eastAsia="宋体" w:hint="default"/>
                <w:spacing w:val="-5"/>
                <w:sz w:val="20"/>
                <w:szCs w:val="20"/>
              </w:rPr>
              <w:t>行股票并上市后，对于本次发</w:t>
            </w:r>
            <w:r>
              <w:rPr>
                <w:rFonts w:ascii="宋体" w:hAnsi="宋体" w:cs="宋体" w:eastAsia="宋体" w:hint="default"/>
                <w:w w:val="99"/>
                <w:sz w:val="20"/>
                <w:szCs w:val="20"/>
              </w:rPr>
              <w:t> </w:t>
            </w:r>
            <w:r>
              <w:rPr>
                <w:rFonts w:ascii="宋体" w:hAnsi="宋体" w:cs="宋体" w:eastAsia="宋体" w:hint="default"/>
                <w:sz w:val="20"/>
                <w:szCs w:val="20"/>
              </w:rPr>
              <w:t>行前四川新华发行集团所持</w:t>
            </w:r>
            <w:r>
              <w:rPr>
                <w:rFonts w:ascii="宋体" w:hAnsi="宋体" w:cs="宋体" w:eastAsia="宋体" w:hint="default"/>
                <w:w w:val="99"/>
                <w:sz w:val="20"/>
                <w:szCs w:val="20"/>
              </w:rPr>
              <w:t> </w:t>
            </w:r>
            <w:r>
              <w:rPr>
                <w:rFonts w:ascii="宋体" w:hAnsi="宋体" w:cs="宋体" w:eastAsia="宋体" w:hint="default"/>
                <w:spacing w:val="-5"/>
                <w:sz w:val="20"/>
                <w:szCs w:val="20"/>
              </w:rPr>
              <w:t>的公司内资股股票，四川新华</w:t>
            </w:r>
            <w:r>
              <w:rPr>
                <w:rFonts w:ascii="宋体" w:hAnsi="宋体" w:cs="宋体" w:eastAsia="宋体" w:hint="default"/>
                <w:w w:val="99"/>
                <w:sz w:val="20"/>
                <w:szCs w:val="20"/>
              </w:rPr>
              <w:t> </w:t>
            </w:r>
            <w:r>
              <w:rPr>
                <w:rFonts w:ascii="宋体" w:hAnsi="宋体" w:cs="宋体" w:eastAsia="宋体" w:hint="default"/>
                <w:sz w:val="20"/>
                <w:szCs w:val="20"/>
              </w:rPr>
              <w:t>发行集团在其股票锁定期满</w:t>
            </w:r>
            <w:r>
              <w:rPr>
                <w:rFonts w:ascii="宋体" w:hAnsi="宋体" w:cs="宋体" w:eastAsia="宋体" w:hint="default"/>
                <w:w w:val="99"/>
                <w:sz w:val="20"/>
                <w:szCs w:val="20"/>
              </w:rPr>
              <w:t> </w:t>
            </w:r>
            <w:r>
              <w:rPr>
                <w:rFonts w:ascii="宋体" w:hAnsi="宋体" w:cs="宋体" w:eastAsia="宋体" w:hint="default"/>
                <w:sz w:val="20"/>
                <w:szCs w:val="20"/>
              </w:rPr>
              <w:t>后的第</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至第</w:t>
            </w:r>
            <w:r>
              <w:rPr>
                <w:rFonts w:ascii="宋体" w:hAnsi="宋体" w:cs="宋体" w:eastAsia="宋体" w:hint="default"/>
                <w:spacing w:val="-51"/>
                <w:sz w:val="20"/>
                <w:szCs w:val="20"/>
              </w:rPr>
              <w:t> </w:t>
            </w:r>
            <w:r>
              <w:rPr>
                <w:rFonts w:ascii="宋体" w:hAnsi="宋体" w:cs="宋体" w:eastAsia="宋体" w:hint="default"/>
                <w:sz w:val="20"/>
                <w:szCs w:val="20"/>
              </w:rPr>
              <w:t>24</w:t>
            </w:r>
            <w:r>
              <w:rPr>
                <w:rFonts w:ascii="宋体" w:hAnsi="宋体" w:cs="宋体" w:eastAsia="宋体" w:hint="default"/>
                <w:spacing w:val="-50"/>
                <w:sz w:val="20"/>
                <w:szCs w:val="20"/>
              </w:rPr>
              <w:t> </w:t>
            </w:r>
            <w:r>
              <w:rPr>
                <w:rFonts w:ascii="宋体" w:hAnsi="宋体" w:cs="宋体" w:eastAsia="宋体" w:hint="default"/>
                <w:sz w:val="20"/>
                <w:szCs w:val="20"/>
              </w:rPr>
              <w:t>个月内，通</w:t>
            </w:r>
            <w:r>
              <w:rPr>
                <w:rFonts w:ascii="宋体" w:hAnsi="宋体" w:cs="宋体" w:eastAsia="宋体" w:hint="default"/>
                <w:w w:val="99"/>
                <w:sz w:val="20"/>
                <w:szCs w:val="20"/>
              </w:rPr>
              <w:t> </w:t>
            </w:r>
            <w:r>
              <w:rPr>
                <w:rFonts w:ascii="宋体" w:hAnsi="宋体" w:cs="宋体" w:eastAsia="宋体" w:hint="default"/>
                <w:sz w:val="20"/>
                <w:szCs w:val="20"/>
              </w:rPr>
              <w:t>过证券交易所减持的价格不</w:t>
            </w:r>
            <w:r>
              <w:rPr>
                <w:rFonts w:ascii="宋体" w:hAnsi="宋体" w:cs="宋体" w:eastAsia="宋体" w:hint="default"/>
                <w:w w:val="99"/>
                <w:sz w:val="20"/>
                <w:szCs w:val="20"/>
              </w:rPr>
              <w:t> </w:t>
            </w:r>
            <w:r>
              <w:rPr>
                <w:rFonts w:ascii="宋体" w:hAnsi="宋体" w:cs="宋体" w:eastAsia="宋体" w:hint="default"/>
                <w:spacing w:val="-5"/>
                <w:sz w:val="20"/>
                <w:szCs w:val="20"/>
              </w:rPr>
              <w:t>低于本次发行价格，四川新华</w:t>
            </w:r>
            <w:r>
              <w:rPr>
                <w:rFonts w:ascii="宋体" w:hAnsi="宋体" w:cs="宋体" w:eastAsia="宋体" w:hint="default"/>
                <w:w w:val="99"/>
                <w:sz w:val="20"/>
                <w:szCs w:val="20"/>
              </w:rPr>
              <w:t> </w:t>
            </w:r>
            <w:r>
              <w:rPr>
                <w:rFonts w:ascii="宋体" w:hAnsi="宋体" w:cs="宋体" w:eastAsia="宋体" w:hint="default"/>
                <w:sz w:val="20"/>
                <w:szCs w:val="20"/>
              </w:rPr>
              <w:t>发行集团在其股票锁定期满</w:t>
            </w:r>
            <w:r>
              <w:rPr>
                <w:rFonts w:ascii="宋体" w:hAnsi="宋体" w:cs="宋体" w:eastAsia="宋体" w:hint="default"/>
                <w:w w:val="99"/>
                <w:sz w:val="20"/>
                <w:szCs w:val="20"/>
              </w:rPr>
              <w:t> </w:t>
            </w:r>
            <w:r>
              <w:rPr>
                <w:rFonts w:ascii="宋体" w:hAnsi="宋体" w:cs="宋体" w:eastAsia="宋体" w:hint="default"/>
                <w:sz w:val="20"/>
                <w:szCs w:val="20"/>
              </w:rPr>
              <w:t>后的第</w:t>
            </w:r>
            <w:r>
              <w:rPr>
                <w:rFonts w:ascii="宋体" w:hAnsi="宋体" w:cs="宋体" w:eastAsia="宋体" w:hint="default"/>
                <w:spacing w:val="-51"/>
                <w:sz w:val="20"/>
                <w:szCs w:val="20"/>
              </w:rPr>
              <w:t> </w:t>
            </w:r>
            <w:r>
              <w:rPr>
                <w:rFonts w:ascii="宋体" w:hAnsi="宋体" w:cs="宋体" w:eastAsia="宋体" w:hint="default"/>
                <w:sz w:val="20"/>
                <w:szCs w:val="20"/>
              </w:rPr>
              <w:t>25</w:t>
            </w:r>
            <w:r>
              <w:rPr>
                <w:rFonts w:ascii="宋体" w:hAnsi="宋体" w:cs="宋体" w:eastAsia="宋体" w:hint="default"/>
                <w:spacing w:val="-50"/>
                <w:sz w:val="20"/>
                <w:szCs w:val="20"/>
              </w:rPr>
              <w:t> </w:t>
            </w:r>
            <w:r>
              <w:rPr>
                <w:rFonts w:ascii="宋体" w:hAnsi="宋体" w:cs="宋体" w:eastAsia="宋体" w:hint="default"/>
                <w:sz w:val="20"/>
                <w:szCs w:val="20"/>
              </w:rPr>
              <w:t>至第</w:t>
            </w:r>
            <w:r>
              <w:rPr>
                <w:rFonts w:ascii="宋体" w:hAnsi="宋体" w:cs="宋体" w:eastAsia="宋体" w:hint="default"/>
                <w:spacing w:val="-51"/>
                <w:sz w:val="20"/>
                <w:szCs w:val="20"/>
              </w:rPr>
              <w:t> </w:t>
            </w:r>
            <w:r>
              <w:rPr>
                <w:rFonts w:ascii="宋体" w:hAnsi="宋体" w:cs="宋体" w:eastAsia="宋体" w:hint="default"/>
                <w:sz w:val="20"/>
                <w:szCs w:val="20"/>
              </w:rPr>
              <w:t>36</w:t>
            </w:r>
            <w:r>
              <w:rPr>
                <w:rFonts w:ascii="宋体" w:hAnsi="宋体" w:cs="宋体" w:eastAsia="宋体" w:hint="default"/>
                <w:spacing w:val="-50"/>
                <w:sz w:val="20"/>
                <w:szCs w:val="20"/>
              </w:rPr>
              <w:t> </w:t>
            </w:r>
            <w:r>
              <w:rPr>
                <w:rFonts w:ascii="宋体" w:hAnsi="宋体" w:cs="宋体" w:eastAsia="宋体" w:hint="default"/>
                <w:spacing w:val="-13"/>
                <w:sz w:val="20"/>
                <w:szCs w:val="20"/>
              </w:rPr>
              <w:t>个月内，通</w:t>
            </w:r>
            <w:r>
              <w:rPr>
                <w:rFonts w:ascii="宋体" w:hAnsi="宋体" w:cs="宋体" w:eastAsia="宋体" w:hint="default"/>
                <w:w w:val="99"/>
                <w:sz w:val="20"/>
                <w:szCs w:val="20"/>
              </w:rPr>
              <w:t> </w:t>
            </w:r>
            <w:r>
              <w:rPr>
                <w:rFonts w:ascii="宋体" w:hAnsi="宋体" w:cs="宋体" w:eastAsia="宋体" w:hint="default"/>
                <w:sz w:val="20"/>
                <w:szCs w:val="20"/>
              </w:rPr>
              <w:t>过证券交易所减持的价格不</w:t>
            </w:r>
            <w:r>
              <w:rPr>
                <w:rFonts w:ascii="宋体" w:hAnsi="宋体" w:cs="宋体" w:eastAsia="宋体" w:hint="default"/>
                <w:w w:val="99"/>
                <w:sz w:val="20"/>
                <w:szCs w:val="20"/>
              </w:rPr>
              <w:t> </w:t>
            </w:r>
            <w:r>
              <w:rPr>
                <w:rFonts w:ascii="宋体" w:hAnsi="宋体" w:cs="宋体" w:eastAsia="宋体" w:hint="default"/>
                <w:sz w:val="20"/>
                <w:szCs w:val="20"/>
              </w:rPr>
              <w:t>低于最近一期经审计的新华</w:t>
            </w:r>
            <w:r>
              <w:rPr>
                <w:rFonts w:ascii="宋体" w:hAnsi="宋体" w:cs="宋体" w:eastAsia="宋体" w:hint="default"/>
                <w:w w:val="99"/>
                <w:sz w:val="20"/>
                <w:szCs w:val="20"/>
              </w:rPr>
              <w:t> </w:t>
            </w:r>
            <w:r>
              <w:rPr>
                <w:rFonts w:ascii="宋体" w:hAnsi="宋体" w:cs="宋体" w:eastAsia="宋体" w:hint="default"/>
                <w:sz w:val="20"/>
                <w:szCs w:val="20"/>
              </w:rPr>
              <w:t>文轩的每股净资产。</w:t>
            </w:r>
            <w:r>
              <w:rPr>
                <w:rFonts w:ascii="宋体" w:hAnsi="宋体" w:cs="宋体" w:eastAsia="宋体" w:hint="default"/>
                <w:sz w:val="20"/>
                <w:szCs w:val="20"/>
              </w:rPr>
              <w:t>3</w:t>
            </w:r>
            <w:r>
              <w:rPr>
                <w:rFonts w:ascii="宋体" w:hAnsi="宋体" w:cs="宋体" w:eastAsia="宋体" w:hint="default"/>
                <w:sz w:val="20"/>
                <w:szCs w:val="20"/>
              </w:rPr>
              <w:t>、四川</w:t>
            </w:r>
            <w:r>
              <w:rPr>
                <w:rFonts w:ascii="宋体" w:hAnsi="宋体" w:cs="宋体" w:eastAsia="宋体" w:hint="default"/>
                <w:w w:val="99"/>
                <w:sz w:val="20"/>
                <w:szCs w:val="20"/>
              </w:rPr>
              <w:t> </w:t>
            </w:r>
            <w:r>
              <w:rPr>
                <w:rFonts w:ascii="宋体" w:hAnsi="宋体" w:cs="宋体" w:eastAsia="宋体" w:hint="default"/>
                <w:sz w:val="20"/>
                <w:szCs w:val="20"/>
              </w:rPr>
              <w:t>新华发行集团将按照适用的</w:t>
            </w:r>
            <w:r>
              <w:rPr>
                <w:rFonts w:ascii="宋体" w:hAnsi="宋体" w:cs="宋体" w:eastAsia="宋体" w:hint="default"/>
                <w:w w:val="99"/>
                <w:sz w:val="20"/>
                <w:szCs w:val="20"/>
              </w:rPr>
              <w:t> </w:t>
            </w:r>
            <w:r>
              <w:rPr>
                <w:rFonts w:ascii="宋体" w:hAnsi="宋体" w:cs="宋体" w:eastAsia="宋体" w:hint="default"/>
                <w:spacing w:val="-5"/>
                <w:sz w:val="20"/>
                <w:szCs w:val="20"/>
              </w:rPr>
              <w:t>法律法规、证券监管机构及证</w:t>
            </w:r>
            <w:r>
              <w:rPr>
                <w:rFonts w:ascii="宋体" w:hAnsi="宋体" w:cs="宋体" w:eastAsia="宋体" w:hint="default"/>
                <w:w w:val="99"/>
                <w:sz w:val="20"/>
                <w:szCs w:val="20"/>
              </w:rPr>
              <w:t> </w:t>
            </w:r>
            <w:r>
              <w:rPr>
                <w:rFonts w:ascii="宋体" w:hAnsi="宋体" w:cs="宋体" w:eastAsia="宋体" w:hint="default"/>
                <w:sz w:val="20"/>
                <w:szCs w:val="20"/>
              </w:rPr>
              <w:t>券交易所等有权部门允许的</w:t>
            </w:r>
            <w:r>
              <w:rPr>
                <w:rFonts w:ascii="宋体" w:hAnsi="宋体" w:cs="宋体" w:eastAsia="宋体" w:hint="default"/>
                <w:w w:val="99"/>
                <w:sz w:val="20"/>
                <w:szCs w:val="20"/>
              </w:rPr>
              <w:t> </w:t>
            </w:r>
            <w:r>
              <w:rPr>
                <w:rFonts w:ascii="宋体" w:hAnsi="宋体" w:cs="宋体" w:eastAsia="宋体" w:hint="default"/>
                <w:sz w:val="20"/>
                <w:szCs w:val="20"/>
              </w:rPr>
              <w:t>合规方式进行减持。</w:t>
            </w:r>
            <w:r>
              <w:rPr>
                <w:rFonts w:ascii="宋体" w:hAnsi="宋体" w:cs="宋体" w:eastAsia="宋体" w:hint="default"/>
                <w:sz w:val="20"/>
                <w:szCs w:val="20"/>
              </w:rPr>
              <w:t>4</w:t>
            </w:r>
            <w:r>
              <w:rPr>
                <w:rFonts w:ascii="宋体" w:hAnsi="宋体" w:cs="宋体" w:eastAsia="宋体" w:hint="default"/>
                <w:sz w:val="20"/>
                <w:szCs w:val="20"/>
              </w:rPr>
              <w:t>、四川</w:t>
            </w:r>
            <w:r>
              <w:rPr>
                <w:rFonts w:ascii="宋体" w:hAnsi="宋体" w:cs="宋体" w:eastAsia="宋体" w:hint="default"/>
                <w:w w:val="99"/>
                <w:sz w:val="20"/>
                <w:szCs w:val="20"/>
              </w:rPr>
              <w:t> </w:t>
            </w:r>
            <w:r>
              <w:rPr>
                <w:rFonts w:ascii="宋体" w:hAnsi="宋体" w:cs="宋体" w:eastAsia="宋体" w:hint="default"/>
                <w:sz w:val="20"/>
                <w:szCs w:val="20"/>
              </w:rPr>
              <w:t>新华发行集团将在减持前</w:t>
            </w:r>
            <w:r>
              <w:rPr>
                <w:rFonts w:ascii="宋体" w:hAnsi="宋体" w:cs="宋体" w:eastAsia="宋体" w:hint="default"/>
                <w:spacing w:val="-50"/>
                <w:sz w:val="20"/>
                <w:szCs w:val="20"/>
              </w:rPr>
              <w:t> </w:t>
            </w:r>
            <w:r>
              <w:rPr>
                <w:rFonts w:ascii="宋体" w:hAnsi="宋体" w:cs="宋体" w:eastAsia="宋体" w:hint="default"/>
                <w:sz w:val="20"/>
                <w:szCs w:val="20"/>
              </w:rPr>
              <w:t>4</w:t>
            </w:r>
            <w:r>
              <w:rPr>
                <w:rFonts w:ascii="宋体" w:hAnsi="宋体" w:cs="宋体" w:eastAsia="宋体" w:hint="default"/>
                <w:w w:val="99"/>
                <w:sz w:val="20"/>
                <w:szCs w:val="20"/>
              </w:rPr>
              <w:t> </w:t>
            </w:r>
            <w:r>
              <w:rPr>
                <w:rFonts w:ascii="宋体" w:hAnsi="宋体" w:cs="宋体" w:eastAsia="宋体" w:hint="default"/>
                <w:spacing w:val="-5"/>
                <w:sz w:val="20"/>
                <w:szCs w:val="20"/>
              </w:rPr>
              <w:t>个交易日通知公司，并由新华</w:t>
            </w:r>
            <w:r>
              <w:rPr>
                <w:rFonts w:ascii="宋体" w:hAnsi="宋体" w:cs="宋体" w:eastAsia="宋体" w:hint="default"/>
                <w:w w:val="99"/>
                <w:sz w:val="20"/>
                <w:szCs w:val="20"/>
              </w:rPr>
              <w:t> </w:t>
            </w:r>
            <w:r>
              <w:rPr>
                <w:rFonts w:ascii="宋体" w:hAnsi="宋体" w:cs="宋体" w:eastAsia="宋体" w:hint="default"/>
                <w:sz w:val="20"/>
                <w:szCs w:val="20"/>
              </w:rPr>
              <w:t>文轩在减持前</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个交易日予</w:t>
            </w:r>
            <w:r>
              <w:rPr>
                <w:rFonts w:ascii="宋体" w:hAnsi="宋体" w:cs="宋体" w:eastAsia="宋体" w:hint="default"/>
                <w:w w:val="99"/>
                <w:sz w:val="20"/>
                <w:szCs w:val="20"/>
              </w:rPr>
              <w:t> </w:t>
            </w:r>
            <w:r>
              <w:rPr>
                <w:rFonts w:ascii="宋体" w:hAnsi="宋体" w:cs="宋体" w:eastAsia="宋体" w:hint="default"/>
                <w:sz w:val="20"/>
                <w:szCs w:val="20"/>
              </w:rPr>
              <w:t>以公告。</w:t>
            </w:r>
            <w:r>
              <w:rPr>
                <w:rFonts w:ascii="宋体" w:hAnsi="宋体" w:cs="宋体" w:eastAsia="宋体" w:hint="default"/>
                <w:sz w:val="20"/>
                <w:szCs w:val="20"/>
              </w:rPr>
              <w:t>5</w:t>
            </w:r>
            <w:r>
              <w:rPr>
                <w:rFonts w:ascii="宋体" w:hAnsi="宋体" w:cs="宋体" w:eastAsia="宋体" w:hint="default"/>
                <w:sz w:val="20"/>
                <w:szCs w:val="20"/>
              </w:rPr>
              <w:t>、如四川新华发行</w:t>
            </w:r>
            <w:r>
              <w:rPr>
                <w:rFonts w:ascii="宋体" w:hAnsi="宋体" w:cs="宋体" w:eastAsia="宋体" w:hint="default"/>
                <w:w w:val="99"/>
                <w:sz w:val="20"/>
                <w:szCs w:val="20"/>
              </w:rPr>
              <w:t> </w:t>
            </w:r>
            <w:r>
              <w:rPr>
                <w:rFonts w:ascii="宋体" w:hAnsi="宋体" w:cs="宋体" w:eastAsia="宋体" w:hint="default"/>
                <w:sz w:val="20"/>
                <w:szCs w:val="20"/>
              </w:rPr>
              <w:t>集团违反前述承诺进行减持</w:t>
            </w:r>
            <w:r>
              <w:rPr>
                <w:rFonts w:ascii="宋体" w:hAnsi="宋体" w:cs="宋体" w:eastAsia="宋体" w:hint="default"/>
                <w:w w:val="99"/>
                <w:sz w:val="20"/>
                <w:szCs w:val="20"/>
              </w:rPr>
              <w:t> </w:t>
            </w:r>
            <w:r>
              <w:rPr>
                <w:rFonts w:ascii="宋体" w:hAnsi="宋体" w:cs="宋体" w:eastAsia="宋体" w:hint="default"/>
                <w:spacing w:val="-5"/>
                <w:sz w:val="20"/>
                <w:szCs w:val="20"/>
              </w:rPr>
              <w:t>的，自愿将减持所得收益上缴</w:t>
            </w:r>
            <w:r>
              <w:rPr>
                <w:rFonts w:ascii="宋体" w:hAnsi="宋体" w:cs="宋体" w:eastAsia="宋体" w:hint="default"/>
                <w:w w:val="99"/>
                <w:sz w:val="20"/>
                <w:szCs w:val="20"/>
              </w:rPr>
              <w:t> </w:t>
            </w:r>
            <w:r>
              <w:rPr>
                <w:rFonts w:ascii="宋体" w:hAnsi="宋体" w:cs="宋体" w:eastAsia="宋体" w:hint="default"/>
                <w:sz w:val="20"/>
                <w:szCs w:val="20"/>
              </w:rPr>
              <w:t>新华文轩。</w:t>
            </w:r>
            <w:r>
              <w:rPr>
                <w:rFonts w:ascii="宋体" w:hAnsi="宋体" w:cs="宋体" w:eastAsia="宋体" w:hint="default"/>
                <w:sz w:val="20"/>
                <w:szCs w:val="20"/>
              </w:rPr>
              <w:t>6</w:t>
            </w:r>
            <w:r>
              <w:rPr>
                <w:rFonts w:ascii="宋体" w:hAnsi="宋体" w:cs="宋体" w:eastAsia="宋体" w:hint="default"/>
                <w:sz w:val="20"/>
                <w:szCs w:val="20"/>
              </w:rPr>
              <w:t>、自新华文轩</w:t>
            </w:r>
            <w:r>
              <w:rPr>
                <w:rFonts w:ascii="宋体" w:hAnsi="宋体" w:cs="宋体" w:eastAsia="宋体" w:hint="default"/>
                <w:spacing w:val="-52"/>
                <w:sz w:val="20"/>
                <w:szCs w:val="20"/>
              </w:rPr>
              <w:t> </w:t>
            </w:r>
            <w:r>
              <w:rPr>
                <w:rFonts w:ascii="宋体" w:hAnsi="宋体" w:cs="宋体" w:eastAsia="宋体" w:hint="default"/>
                <w:sz w:val="20"/>
                <w:szCs w:val="20"/>
              </w:rPr>
              <w:t>A</w:t>
            </w:r>
            <w:r>
              <w:rPr>
                <w:rFonts w:ascii="宋体" w:hAnsi="宋体" w:cs="宋体" w:eastAsia="宋体" w:hint="default"/>
                <w:w w:val="99"/>
                <w:sz w:val="20"/>
                <w:szCs w:val="20"/>
              </w:rPr>
              <w:t> </w:t>
            </w:r>
            <w:r>
              <w:rPr>
                <w:rFonts w:ascii="宋体" w:hAnsi="宋体" w:cs="宋体" w:eastAsia="宋体" w:hint="default"/>
                <w:sz w:val="20"/>
                <w:szCs w:val="20"/>
              </w:rPr>
              <w:t>股股票上市至四川新华发行</w:t>
            </w:r>
            <w:r>
              <w:rPr>
                <w:rFonts w:ascii="宋体" w:hAnsi="宋体" w:cs="宋体" w:eastAsia="宋体" w:hint="default"/>
                <w:w w:val="99"/>
                <w:sz w:val="20"/>
                <w:szCs w:val="20"/>
              </w:rPr>
              <w:t> </w:t>
            </w:r>
            <w:r>
              <w:rPr>
                <w:rFonts w:ascii="宋体" w:hAnsi="宋体" w:cs="宋体" w:eastAsia="宋体" w:hint="default"/>
                <w:spacing w:val="-5"/>
                <w:sz w:val="20"/>
                <w:szCs w:val="20"/>
              </w:rPr>
              <w:t>集团减持期间，新华文轩如有</w:t>
            </w:r>
            <w:r>
              <w:rPr>
                <w:rFonts w:ascii="宋体" w:hAnsi="宋体" w:cs="宋体" w:eastAsia="宋体" w:hint="default"/>
                <w:w w:val="99"/>
                <w:sz w:val="20"/>
                <w:szCs w:val="20"/>
              </w:rPr>
              <w:t> </w:t>
            </w:r>
            <w:r>
              <w:rPr>
                <w:rFonts w:ascii="宋体" w:hAnsi="宋体" w:cs="宋体" w:eastAsia="宋体" w:hint="default"/>
                <w:spacing w:val="-5"/>
                <w:sz w:val="20"/>
                <w:szCs w:val="20"/>
              </w:rPr>
              <w:t>派息、送股、资本公积金转增</w:t>
            </w:r>
            <w:r>
              <w:rPr>
                <w:rFonts w:ascii="宋体" w:hAnsi="宋体" w:cs="宋体" w:eastAsia="宋体" w:hint="default"/>
                <w:w w:val="99"/>
                <w:sz w:val="20"/>
                <w:szCs w:val="20"/>
              </w:rPr>
              <w:t> </w:t>
            </w:r>
            <w:r>
              <w:rPr>
                <w:rFonts w:ascii="宋体" w:hAnsi="宋体" w:cs="宋体" w:eastAsia="宋体" w:hint="default"/>
                <w:sz w:val="20"/>
                <w:szCs w:val="20"/>
              </w:rPr>
              <w:t>股本、配股等除权除息事项，</w:t>
            </w:r>
            <w:r>
              <w:rPr>
                <w:rFonts w:ascii="宋体" w:hAnsi="宋体" w:cs="宋体" w:eastAsia="宋体" w:hint="default"/>
                <w:w w:val="99"/>
                <w:sz w:val="20"/>
                <w:szCs w:val="20"/>
              </w:rPr>
              <w:t> </w:t>
            </w:r>
            <w:r>
              <w:rPr>
                <w:rFonts w:ascii="宋体" w:hAnsi="宋体" w:cs="宋体" w:eastAsia="宋体" w:hint="default"/>
                <w:sz w:val="20"/>
                <w:szCs w:val="20"/>
              </w:rPr>
              <w:t>上述减持底价下限将相应进</w:t>
            </w:r>
            <w:r>
              <w:rPr>
                <w:rFonts w:ascii="宋体" w:hAnsi="宋体" w:cs="宋体" w:eastAsia="宋体" w:hint="default"/>
                <w:w w:val="99"/>
                <w:sz w:val="20"/>
                <w:szCs w:val="20"/>
              </w:rPr>
              <w:t> </w:t>
            </w:r>
            <w:r>
              <w:rPr>
                <w:rFonts w:ascii="宋体" w:hAnsi="宋体" w:cs="宋体" w:eastAsia="宋体" w:hint="default"/>
                <w:sz w:val="20"/>
                <w:szCs w:val="20"/>
              </w:rPr>
              <w:t>行调整。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内</w:t>
            </w:r>
            <w:r>
              <w:rPr>
                <w:rFonts w:ascii="宋体" w:hAnsi="宋体" w:cs="宋体" w:eastAsia="宋体" w:hint="default"/>
                <w:sz w:val="20"/>
                <w:szCs w:val="20"/>
              </w:rPr>
            </w:r>
          </w:p>
        </w:tc>
        <w:tc>
          <w:tcPr>
            <w:tcW w:w="86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364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60" w:lineRule="exact"/>
              <w:ind w:left="103" w:right="195"/>
              <w:jc w:val="both"/>
              <w:rPr>
                <w:rFonts w:ascii="宋体" w:hAnsi="宋体" w:cs="宋体" w:eastAsia="宋体" w:hint="default"/>
                <w:sz w:val="20"/>
                <w:szCs w:val="20"/>
              </w:rPr>
            </w:pPr>
            <w:r>
              <w:rPr>
                <w:rFonts w:ascii="宋体" w:hAnsi="宋体" w:cs="宋体" w:eastAsia="宋体" w:hint="default"/>
                <w:sz w:val="20"/>
                <w:szCs w:val="20"/>
              </w:rPr>
              <w:t>与首次公开</w:t>
            </w:r>
            <w:r>
              <w:rPr>
                <w:rFonts w:ascii="宋体" w:hAnsi="宋体" w:cs="宋体" w:eastAsia="宋体" w:hint="default"/>
                <w:w w:val="99"/>
                <w:sz w:val="20"/>
                <w:szCs w:val="20"/>
              </w:rPr>
              <w:t> </w:t>
            </w:r>
            <w:r>
              <w:rPr>
                <w:rFonts w:ascii="宋体" w:hAnsi="宋体" w:cs="宋体" w:eastAsia="宋体" w:hint="default"/>
                <w:sz w:val="20"/>
                <w:szCs w:val="20"/>
              </w:rPr>
              <w:t>发行相关的</w:t>
            </w:r>
            <w:r>
              <w:rPr>
                <w:rFonts w:ascii="宋体" w:hAnsi="宋体" w:cs="宋体" w:eastAsia="宋体" w:hint="default"/>
                <w:w w:val="99"/>
                <w:sz w:val="20"/>
                <w:szCs w:val="20"/>
              </w:rPr>
              <w:t> </w:t>
            </w:r>
            <w:r>
              <w:rPr>
                <w:rFonts w:ascii="宋体" w:hAnsi="宋体" w:cs="宋体" w:eastAsia="宋体" w:hint="default"/>
                <w:sz w:val="20"/>
                <w:szCs w:val="20"/>
              </w:rPr>
              <w:t>承诺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解决</w:t>
            </w:r>
          </w:p>
          <w:p>
            <w:pPr>
              <w:pStyle w:val="TableParagraph"/>
              <w:spacing w:line="260" w:lineRule="exact" w:before="24"/>
              <w:ind w:left="103" w:right="206"/>
              <w:jc w:val="left"/>
              <w:rPr>
                <w:rFonts w:ascii="宋体" w:hAnsi="宋体" w:cs="宋体" w:eastAsia="宋体" w:hint="default"/>
                <w:sz w:val="20"/>
                <w:szCs w:val="20"/>
              </w:rPr>
            </w:pPr>
            <w:r>
              <w:rPr>
                <w:rFonts w:ascii="宋体" w:hAnsi="宋体" w:cs="宋体" w:eastAsia="宋体" w:hint="default"/>
                <w:sz w:val="20"/>
                <w:szCs w:val="20"/>
              </w:rPr>
              <w:t>关联</w:t>
            </w:r>
            <w:r>
              <w:rPr>
                <w:rFonts w:ascii="宋体" w:hAnsi="宋体" w:cs="宋体" w:eastAsia="宋体" w:hint="default"/>
                <w:w w:val="99"/>
                <w:sz w:val="20"/>
                <w:szCs w:val="20"/>
              </w:rPr>
              <w:t> </w:t>
            </w:r>
            <w:r>
              <w:rPr>
                <w:rFonts w:ascii="宋体" w:hAnsi="宋体" w:cs="宋体" w:eastAsia="宋体" w:hint="default"/>
                <w:sz w:val="20"/>
                <w:szCs w:val="20"/>
              </w:rPr>
              <w:t>交易</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四川新华</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发行集团</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四川新华发行集团将尽力</w:t>
            </w:r>
          </w:p>
          <w:p>
            <w:pPr>
              <w:pStyle w:val="TableParagraph"/>
              <w:spacing w:line="237" w:lineRule="auto" w:before="1"/>
              <w:ind w:left="101" w:right="40"/>
              <w:jc w:val="left"/>
              <w:rPr>
                <w:rFonts w:ascii="宋体" w:hAnsi="宋体" w:cs="宋体" w:eastAsia="宋体" w:hint="default"/>
                <w:sz w:val="20"/>
                <w:szCs w:val="20"/>
              </w:rPr>
            </w:pPr>
            <w:r>
              <w:rPr>
                <w:rFonts w:ascii="宋体" w:hAnsi="宋体" w:cs="宋体" w:eastAsia="宋体" w:hint="default"/>
                <w:sz w:val="20"/>
                <w:szCs w:val="20"/>
              </w:rPr>
              <w:t>减少四川新华发行集团及其</w:t>
            </w:r>
            <w:r>
              <w:rPr>
                <w:rFonts w:ascii="宋体" w:hAnsi="宋体" w:cs="宋体" w:eastAsia="宋体" w:hint="default"/>
                <w:w w:val="99"/>
                <w:sz w:val="20"/>
                <w:szCs w:val="20"/>
              </w:rPr>
              <w:t> </w:t>
            </w:r>
            <w:r>
              <w:rPr>
                <w:rFonts w:ascii="宋体" w:hAnsi="宋体" w:cs="宋体" w:eastAsia="宋体" w:hint="default"/>
                <w:sz w:val="20"/>
                <w:szCs w:val="20"/>
              </w:rPr>
              <w:t>附属企业与新华文轩及其附</w:t>
            </w:r>
            <w:r>
              <w:rPr>
                <w:rFonts w:ascii="宋体" w:hAnsi="宋体" w:cs="宋体" w:eastAsia="宋体" w:hint="default"/>
                <w:w w:val="99"/>
                <w:sz w:val="20"/>
                <w:szCs w:val="20"/>
              </w:rPr>
              <w:t> </w:t>
            </w:r>
            <w:r>
              <w:rPr>
                <w:rFonts w:ascii="宋体" w:hAnsi="宋体" w:cs="宋体" w:eastAsia="宋体" w:hint="default"/>
                <w:sz w:val="20"/>
                <w:szCs w:val="20"/>
              </w:rPr>
              <w:t>属企业之间的关联交易；</w:t>
            </w:r>
            <w:r>
              <w:rPr>
                <w:rFonts w:ascii="宋体" w:hAnsi="宋体" w:cs="宋体" w:eastAsia="宋体" w:hint="default"/>
                <w:sz w:val="20"/>
                <w:szCs w:val="20"/>
              </w:rPr>
              <w:t>2.</w:t>
            </w:r>
            <w:r>
              <w:rPr>
                <w:rFonts w:ascii="宋体" w:hAnsi="宋体" w:cs="宋体" w:eastAsia="宋体" w:hint="default"/>
                <w:spacing w:val="1"/>
                <w:w w:val="99"/>
                <w:sz w:val="20"/>
                <w:szCs w:val="20"/>
              </w:rPr>
              <w:t> </w:t>
            </w:r>
            <w:r>
              <w:rPr>
                <w:rFonts w:ascii="宋体" w:hAnsi="宋体" w:cs="宋体" w:eastAsia="宋体" w:hint="default"/>
                <w:sz w:val="20"/>
                <w:szCs w:val="20"/>
              </w:rPr>
              <w:t>对于四川新华发行集团及其</w:t>
            </w:r>
            <w:r>
              <w:rPr>
                <w:rFonts w:ascii="宋体" w:hAnsi="宋体" w:cs="宋体" w:eastAsia="宋体" w:hint="default"/>
                <w:w w:val="99"/>
                <w:sz w:val="20"/>
                <w:szCs w:val="20"/>
              </w:rPr>
              <w:t> </w:t>
            </w:r>
            <w:r>
              <w:rPr>
                <w:rFonts w:ascii="宋体" w:hAnsi="宋体" w:cs="宋体" w:eastAsia="宋体" w:hint="default"/>
                <w:sz w:val="20"/>
                <w:szCs w:val="20"/>
              </w:rPr>
              <w:t>附属企业与新华文轩及其附</w:t>
            </w:r>
            <w:r>
              <w:rPr>
                <w:rFonts w:ascii="宋体" w:hAnsi="宋体" w:cs="宋体" w:eastAsia="宋体" w:hint="default"/>
                <w:w w:val="99"/>
                <w:sz w:val="20"/>
                <w:szCs w:val="20"/>
              </w:rPr>
              <w:t> </w:t>
            </w:r>
            <w:r>
              <w:rPr>
                <w:rFonts w:ascii="宋体" w:hAnsi="宋体" w:cs="宋体" w:eastAsia="宋体" w:hint="default"/>
                <w:sz w:val="20"/>
                <w:szCs w:val="20"/>
              </w:rPr>
              <w:t>属企业的任何交易将按照有</w:t>
            </w:r>
            <w:r>
              <w:rPr>
                <w:rFonts w:ascii="宋体" w:hAnsi="宋体" w:cs="宋体" w:eastAsia="宋体" w:hint="default"/>
                <w:w w:val="99"/>
                <w:sz w:val="20"/>
                <w:szCs w:val="20"/>
              </w:rPr>
              <w:t> </w:t>
            </w:r>
            <w:r>
              <w:rPr>
                <w:rFonts w:ascii="宋体" w:hAnsi="宋体" w:cs="宋体" w:eastAsia="宋体" w:hint="default"/>
                <w:spacing w:val="-5"/>
                <w:sz w:val="20"/>
                <w:szCs w:val="20"/>
              </w:rPr>
              <w:t>关法律、法规、规章、其他规</w:t>
            </w:r>
            <w:r>
              <w:rPr>
                <w:rFonts w:ascii="宋体" w:hAnsi="宋体" w:cs="宋体" w:eastAsia="宋体" w:hint="default"/>
                <w:w w:val="99"/>
                <w:sz w:val="20"/>
                <w:szCs w:val="20"/>
              </w:rPr>
              <w:t> </w:t>
            </w:r>
            <w:r>
              <w:rPr>
                <w:rFonts w:ascii="宋体" w:hAnsi="宋体" w:cs="宋体" w:eastAsia="宋体" w:hint="default"/>
                <w:spacing w:val="-5"/>
                <w:sz w:val="20"/>
                <w:szCs w:val="20"/>
              </w:rPr>
              <w:t>范性文件和新华文轩《公司章</w:t>
            </w:r>
            <w:r>
              <w:rPr>
                <w:rFonts w:ascii="宋体" w:hAnsi="宋体" w:cs="宋体" w:eastAsia="宋体" w:hint="default"/>
                <w:w w:val="99"/>
                <w:sz w:val="20"/>
                <w:szCs w:val="20"/>
              </w:rPr>
              <w:t> </w:t>
            </w:r>
            <w:r>
              <w:rPr>
                <w:rFonts w:ascii="宋体" w:hAnsi="宋体" w:cs="宋体" w:eastAsia="宋体" w:hint="default"/>
                <w:spacing w:val="-5"/>
                <w:sz w:val="20"/>
                <w:szCs w:val="20"/>
              </w:rPr>
              <w:t>程》、《关联交易制度》的规</w:t>
            </w:r>
            <w:r>
              <w:rPr>
                <w:rFonts w:ascii="宋体" w:hAnsi="宋体" w:cs="宋体" w:eastAsia="宋体" w:hint="default"/>
                <w:w w:val="99"/>
                <w:sz w:val="20"/>
                <w:szCs w:val="20"/>
              </w:rPr>
              <w:t> </w:t>
            </w:r>
            <w:r>
              <w:rPr>
                <w:rFonts w:ascii="宋体" w:hAnsi="宋体" w:cs="宋体" w:eastAsia="宋体" w:hint="default"/>
                <w:spacing w:val="-5"/>
                <w:sz w:val="20"/>
                <w:szCs w:val="20"/>
              </w:rPr>
              <w:t>定履行批准程序；关联交易价</w:t>
            </w:r>
            <w:r>
              <w:rPr>
                <w:rFonts w:ascii="宋体" w:hAnsi="宋体" w:cs="宋体" w:eastAsia="宋体" w:hint="default"/>
                <w:w w:val="99"/>
                <w:sz w:val="20"/>
                <w:szCs w:val="20"/>
              </w:rPr>
              <w:t> </w:t>
            </w:r>
            <w:r>
              <w:rPr>
                <w:rFonts w:ascii="宋体" w:hAnsi="宋体" w:cs="宋体" w:eastAsia="宋体" w:hint="default"/>
                <w:spacing w:val="-5"/>
                <w:sz w:val="20"/>
                <w:szCs w:val="20"/>
              </w:rPr>
              <w:t>格按照市场公允价格确定；保</w:t>
            </w:r>
            <w:r>
              <w:rPr>
                <w:rFonts w:ascii="宋体" w:hAnsi="宋体" w:cs="宋体" w:eastAsia="宋体" w:hint="default"/>
                <w:w w:val="99"/>
                <w:sz w:val="20"/>
                <w:szCs w:val="20"/>
              </w:rPr>
              <w:t> </w:t>
            </w:r>
            <w:r>
              <w:rPr>
                <w:rFonts w:ascii="宋体" w:hAnsi="宋体" w:cs="宋体" w:eastAsia="宋体" w:hint="default"/>
                <w:sz w:val="20"/>
                <w:szCs w:val="20"/>
              </w:rPr>
              <w:t>证按照中国证监会、上交所、</w:t>
            </w:r>
            <w:r>
              <w:rPr>
                <w:rFonts w:ascii="宋体" w:hAnsi="宋体" w:cs="宋体" w:eastAsia="宋体" w:hint="default"/>
                <w:w w:val="99"/>
                <w:sz w:val="20"/>
                <w:szCs w:val="20"/>
              </w:rPr>
              <w:t> </w:t>
            </w:r>
            <w:r>
              <w:rPr>
                <w:rFonts w:ascii="宋体" w:hAnsi="宋体" w:cs="宋体" w:eastAsia="宋体" w:hint="default"/>
                <w:sz w:val="20"/>
                <w:szCs w:val="20"/>
              </w:rPr>
              <w:t>香港联交所有关规章以及新</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060" w:bottom="1380" w:left="48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1308"/>
        <w:gridCol w:w="720"/>
        <w:gridCol w:w="1159"/>
        <w:gridCol w:w="2751"/>
        <w:gridCol w:w="1159"/>
        <w:gridCol w:w="866"/>
        <w:gridCol w:w="725"/>
        <w:gridCol w:w="725"/>
        <w:gridCol w:w="866"/>
      </w:tblGrid>
      <w:tr>
        <w:trPr>
          <w:trHeight w:val="6236"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华文轩《公司章程》、《关联</w:t>
            </w:r>
          </w:p>
          <w:p>
            <w:pPr>
              <w:pStyle w:val="TableParagraph"/>
              <w:spacing w:line="237" w:lineRule="auto" w:before="1"/>
              <w:ind w:left="101" w:right="40"/>
              <w:jc w:val="left"/>
              <w:rPr>
                <w:rFonts w:ascii="宋体" w:hAnsi="宋体" w:cs="宋体" w:eastAsia="宋体" w:hint="default"/>
                <w:sz w:val="20"/>
                <w:szCs w:val="20"/>
              </w:rPr>
            </w:pPr>
            <w:r>
              <w:rPr>
                <w:rFonts w:ascii="宋体" w:hAnsi="宋体" w:cs="宋体" w:eastAsia="宋体" w:hint="default"/>
                <w:spacing w:val="-5"/>
                <w:sz w:val="20"/>
                <w:szCs w:val="20"/>
              </w:rPr>
              <w:t>交易制度》的规定履行关联交</w:t>
            </w:r>
            <w:r>
              <w:rPr>
                <w:rFonts w:ascii="宋体" w:hAnsi="宋体" w:cs="宋体" w:eastAsia="宋体" w:hint="default"/>
                <w:w w:val="99"/>
                <w:sz w:val="20"/>
                <w:szCs w:val="20"/>
              </w:rPr>
              <w:t> </w:t>
            </w:r>
            <w:r>
              <w:rPr>
                <w:rFonts w:ascii="宋体" w:hAnsi="宋体" w:cs="宋体" w:eastAsia="宋体" w:hint="default"/>
                <w:spacing w:val="-5"/>
                <w:sz w:val="20"/>
                <w:szCs w:val="20"/>
              </w:rPr>
              <w:t>易的信息披露义务；保证不利</w:t>
            </w:r>
            <w:r>
              <w:rPr>
                <w:rFonts w:ascii="宋体" w:hAnsi="宋体" w:cs="宋体" w:eastAsia="宋体" w:hint="default"/>
                <w:w w:val="99"/>
                <w:sz w:val="20"/>
                <w:szCs w:val="20"/>
              </w:rPr>
              <w:t> </w:t>
            </w:r>
            <w:r>
              <w:rPr>
                <w:rFonts w:ascii="宋体" w:hAnsi="宋体" w:cs="宋体" w:eastAsia="宋体" w:hint="default"/>
                <w:sz w:val="20"/>
                <w:szCs w:val="20"/>
              </w:rPr>
              <w:t>用关联交易非法转移新华文</w:t>
            </w:r>
            <w:r>
              <w:rPr>
                <w:rFonts w:ascii="宋体" w:hAnsi="宋体" w:cs="宋体" w:eastAsia="宋体" w:hint="default"/>
                <w:w w:val="99"/>
                <w:sz w:val="20"/>
                <w:szCs w:val="20"/>
              </w:rPr>
              <w:t> </w:t>
            </w:r>
            <w:r>
              <w:rPr>
                <w:rFonts w:ascii="宋体" w:hAnsi="宋体" w:cs="宋体" w:eastAsia="宋体" w:hint="default"/>
                <w:spacing w:val="-5"/>
                <w:sz w:val="20"/>
                <w:szCs w:val="20"/>
              </w:rPr>
              <w:t>轩的资金、利润，不利用关联</w:t>
            </w:r>
            <w:r>
              <w:rPr>
                <w:rFonts w:ascii="宋体" w:hAnsi="宋体" w:cs="宋体" w:eastAsia="宋体" w:hint="default"/>
                <w:w w:val="99"/>
                <w:sz w:val="20"/>
                <w:szCs w:val="20"/>
              </w:rPr>
              <w:t> </w:t>
            </w:r>
            <w:r>
              <w:rPr>
                <w:rFonts w:ascii="宋体" w:hAnsi="宋体" w:cs="宋体" w:eastAsia="宋体" w:hint="default"/>
                <w:sz w:val="20"/>
                <w:szCs w:val="20"/>
              </w:rPr>
              <w:t>交易损害新华文轩及其他股</w:t>
            </w:r>
            <w:r>
              <w:rPr>
                <w:rFonts w:ascii="宋体" w:hAnsi="宋体" w:cs="宋体" w:eastAsia="宋体" w:hint="default"/>
                <w:w w:val="99"/>
                <w:sz w:val="20"/>
                <w:szCs w:val="20"/>
              </w:rPr>
              <w:t> </w:t>
            </w:r>
            <w:r>
              <w:rPr>
                <w:rFonts w:ascii="宋体" w:hAnsi="宋体" w:cs="宋体" w:eastAsia="宋体" w:hint="default"/>
                <w:spacing w:val="-5"/>
                <w:sz w:val="20"/>
                <w:szCs w:val="20"/>
              </w:rPr>
              <w:t>东的利益。</w:t>
            </w:r>
            <w:r>
              <w:rPr>
                <w:rFonts w:ascii="宋体" w:hAnsi="宋体" w:cs="宋体" w:eastAsia="宋体" w:hint="default"/>
                <w:spacing w:val="-5"/>
                <w:sz w:val="20"/>
                <w:szCs w:val="20"/>
              </w:rPr>
              <w:t>3.</w:t>
            </w:r>
            <w:r>
              <w:rPr>
                <w:rFonts w:ascii="宋体" w:hAnsi="宋体" w:cs="宋体" w:eastAsia="宋体" w:hint="default"/>
                <w:spacing w:val="-5"/>
                <w:sz w:val="20"/>
                <w:szCs w:val="20"/>
              </w:rPr>
              <w:t>四川新华发行集</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团承诺在新华文轩股东大会</w:t>
            </w:r>
            <w:r>
              <w:rPr>
                <w:rFonts w:ascii="宋体" w:hAnsi="宋体" w:cs="宋体" w:eastAsia="宋体" w:hint="default"/>
                <w:w w:val="99"/>
                <w:sz w:val="20"/>
                <w:szCs w:val="20"/>
              </w:rPr>
              <w:t> </w:t>
            </w:r>
            <w:r>
              <w:rPr>
                <w:rFonts w:ascii="宋体" w:hAnsi="宋体" w:cs="宋体" w:eastAsia="宋体" w:hint="default"/>
                <w:sz w:val="20"/>
                <w:szCs w:val="20"/>
              </w:rPr>
              <w:t>对涉及四川新华发行集团及</w:t>
            </w:r>
            <w:r>
              <w:rPr>
                <w:rFonts w:ascii="宋体" w:hAnsi="宋体" w:cs="宋体" w:eastAsia="宋体" w:hint="default"/>
                <w:w w:val="99"/>
                <w:sz w:val="20"/>
                <w:szCs w:val="20"/>
              </w:rPr>
              <w:t> </w:t>
            </w:r>
            <w:r>
              <w:rPr>
                <w:rFonts w:ascii="宋体" w:hAnsi="宋体" w:cs="宋体" w:eastAsia="宋体" w:hint="default"/>
                <w:sz w:val="20"/>
                <w:szCs w:val="20"/>
              </w:rPr>
              <w:t>其附属企业的有关关联交易</w:t>
            </w:r>
            <w:r>
              <w:rPr>
                <w:rFonts w:ascii="宋体" w:hAnsi="宋体" w:cs="宋体" w:eastAsia="宋体" w:hint="default"/>
                <w:w w:val="99"/>
                <w:sz w:val="20"/>
                <w:szCs w:val="20"/>
              </w:rPr>
              <w:t> </w:t>
            </w:r>
            <w:r>
              <w:rPr>
                <w:rFonts w:ascii="宋体" w:hAnsi="宋体" w:cs="宋体" w:eastAsia="宋体" w:hint="default"/>
                <w:spacing w:val="-5"/>
                <w:sz w:val="20"/>
                <w:szCs w:val="20"/>
              </w:rPr>
              <w:t>事项进行表决时，履行回避表</w:t>
            </w:r>
            <w:r>
              <w:rPr>
                <w:rFonts w:ascii="宋体" w:hAnsi="宋体" w:cs="宋体" w:eastAsia="宋体" w:hint="default"/>
                <w:w w:val="99"/>
                <w:sz w:val="20"/>
                <w:szCs w:val="20"/>
              </w:rPr>
              <w:t> </w:t>
            </w:r>
            <w:r>
              <w:rPr>
                <w:rFonts w:ascii="宋体" w:hAnsi="宋体" w:cs="宋体" w:eastAsia="宋体" w:hint="default"/>
                <w:spacing w:val="-5"/>
                <w:sz w:val="20"/>
                <w:szCs w:val="20"/>
              </w:rPr>
              <w:t>决的义务。</w:t>
            </w:r>
            <w:r>
              <w:rPr>
                <w:rFonts w:ascii="宋体" w:hAnsi="宋体" w:cs="宋体" w:eastAsia="宋体" w:hint="default"/>
                <w:spacing w:val="-5"/>
                <w:sz w:val="20"/>
                <w:szCs w:val="20"/>
              </w:rPr>
              <w:t>4.</w:t>
            </w:r>
            <w:r>
              <w:rPr>
                <w:rFonts w:ascii="宋体" w:hAnsi="宋体" w:cs="宋体" w:eastAsia="宋体" w:hint="default"/>
                <w:spacing w:val="-5"/>
                <w:sz w:val="20"/>
                <w:szCs w:val="20"/>
              </w:rPr>
              <w:t>四川新华发行集</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5"/>
                <w:sz w:val="20"/>
                <w:szCs w:val="20"/>
              </w:rPr>
              <w:t>团保证将依照新华文轩《公司</w:t>
            </w:r>
            <w:r>
              <w:rPr>
                <w:rFonts w:ascii="宋体" w:hAnsi="宋体" w:cs="宋体" w:eastAsia="宋体" w:hint="default"/>
                <w:w w:val="99"/>
                <w:sz w:val="20"/>
                <w:szCs w:val="20"/>
              </w:rPr>
              <w:t> </w:t>
            </w:r>
            <w:r>
              <w:rPr>
                <w:rFonts w:ascii="宋体" w:hAnsi="宋体" w:cs="宋体" w:eastAsia="宋体" w:hint="default"/>
                <w:spacing w:val="-5"/>
                <w:sz w:val="20"/>
                <w:szCs w:val="20"/>
              </w:rPr>
              <w:t>章程》规定参加股东大会，平</w:t>
            </w:r>
            <w:r>
              <w:rPr>
                <w:rFonts w:ascii="宋体" w:hAnsi="宋体" w:cs="宋体" w:eastAsia="宋体" w:hint="default"/>
                <w:w w:val="99"/>
                <w:sz w:val="20"/>
                <w:szCs w:val="20"/>
              </w:rPr>
              <w:t> </w:t>
            </w:r>
            <w:r>
              <w:rPr>
                <w:rFonts w:ascii="宋体" w:hAnsi="宋体" w:cs="宋体" w:eastAsia="宋体" w:hint="default"/>
                <w:sz w:val="20"/>
                <w:szCs w:val="20"/>
              </w:rPr>
              <w:t>等地行使股东权利并承担股</w:t>
            </w:r>
            <w:r>
              <w:rPr>
                <w:rFonts w:ascii="宋体" w:hAnsi="宋体" w:cs="宋体" w:eastAsia="宋体" w:hint="default"/>
                <w:w w:val="99"/>
                <w:sz w:val="20"/>
                <w:szCs w:val="20"/>
              </w:rPr>
              <w:t> </w:t>
            </w:r>
            <w:r>
              <w:rPr>
                <w:rFonts w:ascii="宋体" w:hAnsi="宋体" w:cs="宋体" w:eastAsia="宋体" w:hint="default"/>
                <w:spacing w:val="-5"/>
                <w:sz w:val="20"/>
                <w:szCs w:val="20"/>
              </w:rPr>
              <w:t>东义务，不利用控股股东地位</w:t>
            </w:r>
            <w:r>
              <w:rPr>
                <w:rFonts w:ascii="宋体" w:hAnsi="宋体" w:cs="宋体" w:eastAsia="宋体" w:hint="default"/>
                <w:w w:val="99"/>
                <w:sz w:val="20"/>
                <w:szCs w:val="20"/>
              </w:rPr>
              <w:t> </w:t>
            </w:r>
            <w:r>
              <w:rPr>
                <w:rFonts w:ascii="宋体" w:hAnsi="宋体" w:cs="宋体" w:eastAsia="宋体" w:hint="default"/>
                <w:spacing w:val="-5"/>
                <w:sz w:val="20"/>
                <w:szCs w:val="20"/>
              </w:rPr>
              <w:t>谋取不正当利益，不损害新华</w:t>
            </w:r>
            <w:r>
              <w:rPr>
                <w:rFonts w:ascii="宋体" w:hAnsi="宋体" w:cs="宋体" w:eastAsia="宋体" w:hint="default"/>
                <w:w w:val="99"/>
                <w:sz w:val="20"/>
                <w:szCs w:val="20"/>
              </w:rPr>
              <w:t> </w:t>
            </w:r>
            <w:r>
              <w:rPr>
                <w:rFonts w:ascii="宋体" w:hAnsi="宋体" w:cs="宋体" w:eastAsia="宋体" w:hint="default"/>
                <w:sz w:val="20"/>
                <w:szCs w:val="20"/>
              </w:rPr>
              <w:t>文轩及其他股东的合法权益。</w:t>
            </w:r>
            <w:r>
              <w:rPr>
                <w:rFonts w:ascii="宋体" w:hAnsi="宋体" w:cs="宋体" w:eastAsia="宋体" w:hint="default"/>
                <w:w w:val="99"/>
                <w:sz w:val="20"/>
                <w:szCs w:val="20"/>
              </w:rPr>
              <w:t> </w:t>
            </w:r>
            <w:r>
              <w:rPr>
                <w:rFonts w:ascii="宋体" w:hAnsi="宋体" w:cs="宋体" w:eastAsia="宋体" w:hint="default"/>
                <w:sz w:val="20"/>
                <w:szCs w:val="20"/>
              </w:rPr>
              <w:t>5.</w:t>
            </w:r>
            <w:r>
              <w:rPr>
                <w:rFonts w:ascii="宋体" w:hAnsi="宋体" w:cs="宋体" w:eastAsia="宋体" w:hint="default"/>
                <w:sz w:val="20"/>
                <w:szCs w:val="20"/>
              </w:rPr>
              <w:t>如果四川新华发行集团或</w:t>
            </w:r>
            <w:r>
              <w:rPr>
                <w:rFonts w:ascii="宋体" w:hAnsi="宋体" w:cs="宋体" w:eastAsia="宋体" w:hint="default"/>
                <w:w w:val="99"/>
                <w:sz w:val="20"/>
                <w:szCs w:val="20"/>
              </w:rPr>
              <w:t> </w:t>
            </w:r>
            <w:r>
              <w:rPr>
                <w:rFonts w:ascii="宋体" w:hAnsi="宋体" w:cs="宋体" w:eastAsia="宋体" w:hint="default"/>
                <w:spacing w:val="-5"/>
                <w:sz w:val="20"/>
                <w:szCs w:val="20"/>
              </w:rPr>
              <w:t>其附属企业违反本承诺函，给</w:t>
            </w:r>
            <w:r>
              <w:rPr>
                <w:rFonts w:ascii="宋体" w:hAnsi="宋体" w:cs="宋体" w:eastAsia="宋体" w:hint="default"/>
                <w:w w:val="99"/>
                <w:sz w:val="20"/>
                <w:szCs w:val="20"/>
              </w:rPr>
              <w:t> </w:t>
            </w:r>
            <w:r>
              <w:rPr>
                <w:rFonts w:ascii="宋体" w:hAnsi="宋体" w:cs="宋体" w:eastAsia="宋体" w:hint="default"/>
                <w:sz w:val="20"/>
                <w:szCs w:val="20"/>
              </w:rPr>
              <w:t>新华文轩或其附属企业造成</w:t>
            </w:r>
            <w:r>
              <w:rPr>
                <w:rFonts w:ascii="宋体" w:hAnsi="宋体" w:cs="宋体" w:eastAsia="宋体" w:hint="default"/>
                <w:w w:val="99"/>
                <w:sz w:val="20"/>
                <w:szCs w:val="20"/>
              </w:rPr>
              <w:t> </w:t>
            </w:r>
            <w:r>
              <w:rPr>
                <w:rFonts w:ascii="宋体" w:hAnsi="宋体" w:cs="宋体" w:eastAsia="宋体" w:hint="default"/>
                <w:spacing w:val="-5"/>
                <w:sz w:val="20"/>
                <w:szCs w:val="20"/>
              </w:rPr>
              <w:t>损失的，四川新华发行集团同</w:t>
            </w:r>
            <w:r>
              <w:rPr>
                <w:rFonts w:ascii="宋体" w:hAnsi="宋体" w:cs="宋体" w:eastAsia="宋体" w:hint="default"/>
                <w:w w:val="99"/>
                <w:sz w:val="20"/>
                <w:szCs w:val="20"/>
              </w:rPr>
              <w:t> </w:t>
            </w:r>
            <w:r>
              <w:rPr>
                <w:rFonts w:ascii="宋体" w:hAnsi="宋体" w:cs="宋体" w:eastAsia="宋体" w:hint="default"/>
                <w:sz w:val="20"/>
                <w:szCs w:val="20"/>
              </w:rPr>
              <w:t>意给予新华文轩或其附属企</w:t>
            </w:r>
            <w:r>
              <w:rPr>
                <w:rFonts w:ascii="宋体" w:hAnsi="宋体" w:cs="宋体" w:eastAsia="宋体" w:hint="default"/>
                <w:w w:val="99"/>
                <w:sz w:val="20"/>
                <w:szCs w:val="20"/>
              </w:rPr>
              <w:t> </w:t>
            </w:r>
            <w:r>
              <w:rPr>
                <w:rFonts w:ascii="宋体" w:hAnsi="宋体" w:cs="宋体" w:eastAsia="宋体" w:hint="default"/>
                <w:sz w:val="20"/>
                <w:szCs w:val="20"/>
              </w:rPr>
              <w:t>业赔偿。</w:t>
            </w:r>
          </w:p>
        </w:tc>
        <w:tc>
          <w:tcPr>
            <w:tcW w:w="115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675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37" w:lineRule="auto"/>
              <w:ind w:left="103" w:right="195"/>
              <w:jc w:val="both"/>
              <w:rPr>
                <w:rFonts w:ascii="宋体" w:hAnsi="宋体" w:cs="宋体" w:eastAsia="宋体" w:hint="default"/>
                <w:sz w:val="20"/>
                <w:szCs w:val="20"/>
              </w:rPr>
            </w:pPr>
            <w:r>
              <w:rPr>
                <w:rFonts w:ascii="宋体" w:hAnsi="宋体" w:cs="宋体" w:eastAsia="宋体" w:hint="default"/>
                <w:sz w:val="20"/>
                <w:szCs w:val="20"/>
              </w:rPr>
              <w:t>与首次公开</w:t>
            </w:r>
            <w:r>
              <w:rPr>
                <w:rFonts w:ascii="宋体" w:hAnsi="宋体" w:cs="宋体" w:eastAsia="宋体" w:hint="default"/>
                <w:w w:val="99"/>
                <w:sz w:val="20"/>
                <w:szCs w:val="20"/>
              </w:rPr>
              <w:t> </w:t>
            </w:r>
            <w:r>
              <w:rPr>
                <w:rFonts w:ascii="宋体" w:hAnsi="宋体" w:cs="宋体" w:eastAsia="宋体" w:hint="default"/>
                <w:sz w:val="20"/>
                <w:szCs w:val="20"/>
              </w:rPr>
              <w:t>发行相关的</w:t>
            </w:r>
            <w:r>
              <w:rPr>
                <w:rFonts w:ascii="宋体" w:hAnsi="宋体" w:cs="宋体" w:eastAsia="宋体" w:hint="default"/>
                <w:w w:val="99"/>
                <w:sz w:val="20"/>
                <w:szCs w:val="20"/>
              </w:rPr>
              <w:t> </w:t>
            </w:r>
            <w:r>
              <w:rPr>
                <w:rFonts w:ascii="宋体" w:hAnsi="宋体" w:cs="宋体" w:eastAsia="宋体" w:hint="default"/>
                <w:sz w:val="20"/>
                <w:szCs w:val="20"/>
              </w:rPr>
              <w:t>承诺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解决</w:t>
            </w:r>
          </w:p>
          <w:p>
            <w:pPr>
              <w:pStyle w:val="TableParagraph"/>
              <w:spacing w:line="260" w:lineRule="exact" w:before="24"/>
              <w:ind w:left="103" w:right="206"/>
              <w:jc w:val="left"/>
              <w:rPr>
                <w:rFonts w:ascii="宋体" w:hAnsi="宋体" w:cs="宋体" w:eastAsia="宋体" w:hint="default"/>
                <w:sz w:val="20"/>
                <w:szCs w:val="20"/>
              </w:rPr>
            </w:pPr>
            <w:r>
              <w:rPr>
                <w:rFonts w:ascii="宋体" w:hAnsi="宋体" w:cs="宋体" w:eastAsia="宋体" w:hint="default"/>
                <w:sz w:val="20"/>
                <w:szCs w:val="20"/>
              </w:rPr>
              <w:t>同业</w:t>
            </w:r>
            <w:r>
              <w:rPr>
                <w:rFonts w:ascii="宋体" w:hAnsi="宋体" w:cs="宋体" w:eastAsia="宋体" w:hint="default"/>
                <w:w w:val="99"/>
                <w:sz w:val="20"/>
                <w:szCs w:val="20"/>
              </w:rPr>
              <w:t> </w:t>
            </w:r>
            <w:r>
              <w:rPr>
                <w:rFonts w:ascii="宋体" w:hAnsi="宋体" w:cs="宋体" w:eastAsia="宋体" w:hint="default"/>
                <w:sz w:val="20"/>
                <w:szCs w:val="20"/>
              </w:rPr>
              <w:t>竞争</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四川新华</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发行集团</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四川新华发行集团保证不</w:t>
            </w:r>
          </w:p>
          <w:p>
            <w:pPr>
              <w:pStyle w:val="TableParagraph"/>
              <w:spacing w:line="237" w:lineRule="auto" w:before="1"/>
              <w:ind w:left="101" w:right="104"/>
              <w:jc w:val="left"/>
              <w:rPr>
                <w:rFonts w:ascii="宋体" w:hAnsi="宋体" w:cs="宋体" w:eastAsia="宋体" w:hint="default"/>
                <w:sz w:val="20"/>
                <w:szCs w:val="20"/>
              </w:rPr>
            </w:pPr>
            <w:r>
              <w:rPr>
                <w:rFonts w:ascii="宋体" w:hAnsi="宋体" w:cs="宋体" w:eastAsia="宋体" w:hint="default"/>
                <w:sz w:val="20"/>
                <w:szCs w:val="20"/>
              </w:rPr>
              <w:t>从事新华文轩目前已开展业</w:t>
            </w:r>
            <w:r>
              <w:rPr>
                <w:rFonts w:ascii="宋体" w:hAnsi="宋体" w:cs="宋体" w:eastAsia="宋体" w:hint="default"/>
                <w:w w:val="99"/>
                <w:sz w:val="20"/>
                <w:szCs w:val="20"/>
              </w:rPr>
              <w:t> </w:t>
            </w:r>
            <w:r>
              <w:rPr>
                <w:rFonts w:ascii="宋体" w:hAnsi="宋体" w:cs="宋体" w:eastAsia="宋体" w:hint="default"/>
                <w:spacing w:val="-5"/>
                <w:sz w:val="20"/>
                <w:szCs w:val="20"/>
              </w:rPr>
              <w:t>务，并将与新华文轩在发展战</w:t>
            </w:r>
            <w:r>
              <w:rPr>
                <w:rFonts w:ascii="宋体" w:hAnsi="宋体" w:cs="宋体" w:eastAsia="宋体" w:hint="default"/>
                <w:w w:val="99"/>
                <w:sz w:val="20"/>
                <w:szCs w:val="20"/>
              </w:rPr>
              <w:t> </w:t>
            </w:r>
            <w:r>
              <w:rPr>
                <w:rFonts w:ascii="宋体" w:hAnsi="宋体" w:cs="宋体" w:eastAsia="宋体" w:hint="default"/>
                <w:spacing w:val="-5"/>
                <w:sz w:val="20"/>
                <w:szCs w:val="20"/>
              </w:rPr>
              <w:t>略上错位发展，避免在未来新</w:t>
            </w:r>
            <w:r>
              <w:rPr>
                <w:rFonts w:ascii="宋体" w:hAnsi="宋体" w:cs="宋体" w:eastAsia="宋体" w:hint="default"/>
                <w:w w:val="99"/>
                <w:sz w:val="20"/>
                <w:szCs w:val="20"/>
              </w:rPr>
              <w:t> </w:t>
            </w:r>
            <w:r>
              <w:rPr>
                <w:rFonts w:ascii="宋体" w:hAnsi="宋体" w:cs="宋体" w:eastAsia="宋体" w:hint="default"/>
                <w:sz w:val="20"/>
                <w:szCs w:val="20"/>
              </w:rPr>
              <w:t>业务上形成同业竞争。</w:t>
            </w:r>
            <w:r>
              <w:rPr>
                <w:rFonts w:ascii="宋体" w:hAnsi="宋体" w:cs="宋体" w:eastAsia="宋体" w:hint="default"/>
                <w:sz w:val="20"/>
                <w:szCs w:val="20"/>
              </w:rPr>
              <w:t>2</w:t>
            </w:r>
            <w:r>
              <w:rPr>
                <w:rFonts w:ascii="宋体" w:hAnsi="宋体" w:cs="宋体" w:eastAsia="宋体" w:hint="default"/>
                <w:sz w:val="20"/>
                <w:szCs w:val="20"/>
              </w:rPr>
              <w:t>．如</w:t>
            </w:r>
            <w:r>
              <w:rPr>
                <w:rFonts w:ascii="宋体" w:hAnsi="宋体" w:cs="宋体" w:eastAsia="宋体" w:hint="default"/>
                <w:spacing w:val="2"/>
                <w:w w:val="99"/>
                <w:sz w:val="20"/>
                <w:szCs w:val="20"/>
              </w:rPr>
              <w:t> </w:t>
            </w:r>
            <w:r>
              <w:rPr>
                <w:rFonts w:ascii="宋体" w:hAnsi="宋体" w:cs="宋体" w:eastAsia="宋体" w:hint="default"/>
                <w:sz w:val="20"/>
                <w:szCs w:val="20"/>
              </w:rPr>
              <w:t>果四川新华发行集团及其附</w:t>
            </w:r>
            <w:r>
              <w:rPr>
                <w:rFonts w:ascii="宋体" w:hAnsi="宋体" w:cs="宋体" w:eastAsia="宋体" w:hint="default"/>
                <w:w w:val="99"/>
                <w:sz w:val="20"/>
                <w:szCs w:val="20"/>
              </w:rPr>
              <w:t> </w:t>
            </w:r>
            <w:r>
              <w:rPr>
                <w:rFonts w:ascii="宋体" w:hAnsi="宋体" w:cs="宋体" w:eastAsia="宋体" w:hint="default"/>
                <w:sz w:val="20"/>
                <w:szCs w:val="20"/>
              </w:rPr>
              <w:t>属企业未来的新业务或项目</w:t>
            </w:r>
            <w:r>
              <w:rPr>
                <w:rFonts w:ascii="宋体" w:hAnsi="宋体" w:cs="宋体" w:eastAsia="宋体" w:hint="default"/>
                <w:w w:val="99"/>
                <w:sz w:val="20"/>
                <w:szCs w:val="20"/>
              </w:rPr>
              <w:t> </w:t>
            </w:r>
            <w:r>
              <w:rPr>
                <w:rFonts w:ascii="宋体" w:hAnsi="宋体" w:cs="宋体" w:eastAsia="宋体" w:hint="default"/>
                <w:sz w:val="20"/>
                <w:szCs w:val="20"/>
              </w:rPr>
              <w:t>与新华文轩或其附属企业构</w:t>
            </w:r>
            <w:r>
              <w:rPr>
                <w:rFonts w:ascii="宋体" w:hAnsi="宋体" w:cs="宋体" w:eastAsia="宋体" w:hint="default"/>
                <w:w w:val="99"/>
                <w:sz w:val="20"/>
                <w:szCs w:val="20"/>
              </w:rPr>
              <w:t> </w:t>
            </w:r>
            <w:r>
              <w:rPr>
                <w:rFonts w:ascii="宋体" w:hAnsi="宋体" w:cs="宋体" w:eastAsia="宋体" w:hint="default"/>
                <w:spacing w:val="-5"/>
                <w:sz w:val="20"/>
                <w:szCs w:val="20"/>
              </w:rPr>
              <w:t>成直接或间接竞争关系，则本</w:t>
            </w:r>
            <w:r>
              <w:rPr>
                <w:rFonts w:ascii="宋体" w:hAnsi="宋体" w:cs="宋体" w:eastAsia="宋体" w:hint="default"/>
                <w:w w:val="99"/>
                <w:sz w:val="20"/>
                <w:szCs w:val="20"/>
              </w:rPr>
              <w:t> </w:t>
            </w:r>
            <w:r>
              <w:rPr>
                <w:rFonts w:ascii="宋体" w:hAnsi="宋体" w:cs="宋体" w:eastAsia="宋体" w:hint="default"/>
                <w:sz w:val="20"/>
                <w:szCs w:val="20"/>
              </w:rPr>
              <w:t>公司保证按照下述方式之一</w:t>
            </w:r>
            <w:r>
              <w:rPr>
                <w:rFonts w:ascii="宋体" w:hAnsi="宋体" w:cs="宋体" w:eastAsia="宋体" w:hint="default"/>
                <w:w w:val="99"/>
                <w:sz w:val="20"/>
                <w:szCs w:val="20"/>
              </w:rPr>
              <w:t> </w:t>
            </w:r>
            <w:r>
              <w:rPr>
                <w:rFonts w:ascii="宋体" w:hAnsi="宋体" w:cs="宋体" w:eastAsia="宋体" w:hint="default"/>
                <w:sz w:val="20"/>
                <w:szCs w:val="20"/>
              </w:rPr>
              <w:t>处理：</w:t>
            </w:r>
            <w:r>
              <w:rPr>
                <w:rFonts w:ascii="宋体" w:hAnsi="宋体" w:cs="宋体" w:eastAsia="宋体" w:hint="default"/>
                <w:sz w:val="20"/>
                <w:szCs w:val="20"/>
              </w:rPr>
              <w:t>1</w:t>
            </w:r>
            <w:r>
              <w:rPr>
                <w:rFonts w:ascii="宋体" w:hAnsi="宋体" w:cs="宋体" w:eastAsia="宋体" w:hint="default"/>
                <w:sz w:val="20"/>
                <w:szCs w:val="20"/>
              </w:rPr>
              <w:t>）将该等新业务或项</w:t>
            </w:r>
            <w:r>
              <w:rPr>
                <w:rFonts w:ascii="宋体" w:hAnsi="宋体" w:cs="宋体" w:eastAsia="宋体" w:hint="default"/>
                <w:w w:val="99"/>
                <w:sz w:val="20"/>
                <w:szCs w:val="20"/>
              </w:rPr>
              <w:t> </w:t>
            </w:r>
            <w:r>
              <w:rPr>
                <w:rFonts w:ascii="宋体" w:hAnsi="宋体" w:cs="宋体" w:eastAsia="宋体" w:hint="default"/>
                <w:spacing w:val="-5"/>
                <w:sz w:val="20"/>
                <w:szCs w:val="20"/>
              </w:rPr>
              <w:t>目中的任何股权、资产及其他</w:t>
            </w:r>
            <w:r>
              <w:rPr>
                <w:rFonts w:ascii="宋体" w:hAnsi="宋体" w:cs="宋体" w:eastAsia="宋体" w:hint="default"/>
                <w:w w:val="99"/>
                <w:sz w:val="20"/>
                <w:szCs w:val="20"/>
              </w:rPr>
              <w:t> </w:t>
            </w:r>
            <w:r>
              <w:rPr>
                <w:rFonts w:ascii="宋体" w:hAnsi="宋体" w:cs="宋体" w:eastAsia="宋体" w:hint="default"/>
                <w:spacing w:val="-5"/>
                <w:sz w:val="20"/>
                <w:szCs w:val="20"/>
              </w:rPr>
              <w:t>权益（全部或部分）根据适用</w:t>
            </w:r>
            <w:r>
              <w:rPr>
                <w:rFonts w:ascii="宋体" w:hAnsi="宋体" w:cs="宋体" w:eastAsia="宋体" w:hint="default"/>
                <w:w w:val="99"/>
                <w:sz w:val="20"/>
                <w:szCs w:val="20"/>
              </w:rPr>
              <w:t> </w:t>
            </w:r>
            <w:r>
              <w:rPr>
                <w:rFonts w:ascii="宋体" w:hAnsi="宋体" w:cs="宋体" w:eastAsia="宋体" w:hint="default"/>
                <w:sz w:val="20"/>
                <w:szCs w:val="20"/>
              </w:rPr>
              <w:t>法规转让予新华文轩或其附</w:t>
            </w:r>
            <w:r>
              <w:rPr>
                <w:rFonts w:ascii="宋体" w:hAnsi="宋体" w:cs="宋体" w:eastAsia="宋体" w:hint="default"/>
                <w:w w:val="99"/>
                <w:sz w:val="20"/>
                <w:szCs w:val="20"/>
              </w:rPr>
              <w:t> </w:t>
            </w:r>
            <w:r>
              <w:rPr>
                <w:rFonts w:ascii="宋体" w:hAnsi="宋体" w:cs="宋体" w:eastAsia="宋体" w:hint="default"/>
                <w:spacing w:val="-5"/>
                <w:sz w:val="20"/>
                <w:szCs w:val="20"/>
              </w:rPr>
              <w:t>属企业；新华文轩或其附属企</w:t>
            </w:r>
            <w:r>
              <w:rPr>
                <w:rFonts w:ascii="宋体" w:hAnsi="宋体" w:cs="宋体" w:eastAsia="宋体" w:hint="default"/>
                <w:w w:val="99"/>
                <w:sz w:val="20"/>
                <w:szCs w:val="20"/>
              </w:rPr>
              <w:t> </w:t>
            </w:r>
            <w:r>
              <w:rPr>
                <w:rFonts w:ascii="宋体" w:hAnsi="宋体" w:cs="宋体" w:eastAsia="宋体" w:hint="default"/>
                <w:sz w:val="20"/>
                <w:szCs w:val="20"/>
              </w:rPr>
              <w:t>业的前述收购权优先于其他</w:t>
            </w:r>
            <w:r>
              <w:rPr>
                <w:rFonts w:ascii="宋体" w:hAnsi="宋体" w:cs="宋体" w:eastAsia="宋体" w:hint="default"/>
                <w:w w:val="99"/>
                <w:sz w:val="20"/>
                <w:szCs w:val="20"/>
              </w:rPr>
              <w:t> </w:t>
            </w:r>
            <w:r>
              <w:rPr>
                <w:rFonts w:ascii="宋体" w:hAnsi="宋体" w:cs="宋体" w:eastAsia="宋体" w:hint="default"/>
                <w:spacing w:val="-5"/>
                <w:sz w:val="20"/>
                <w:szCs w:val="20"/>
              </w:rPr>
              <w:t>任何第三方，且所有收购价格</w:t>
            </w:r>
            <w:r>
              <w:rPr>
                <w:rFonts w:ascii="宋体" w:hAnsi="宋体" w:cs="宋体" w:eastAsia="宋体" w:hint="default"/>
                <w:w w:val="99"/>
                <w:sz w:val="20"/>
                <w:szCs w:val="20"/>
              </w:rPr>
              <w:t> </w:t>
            </w:r>
            <w:r>
              <w:rPr>
                <w:rFonts w:ascii="宋体" w:hAnsi="宋体" w:cs="宋体" w:eastAsia="宋体" w:hint="default"/>
                <w:sz w:val="20"/>
                <w:szCs w:val="20"/>
              </w:rPr>
              <w:t>应当以第三方资产评估机构</w:t>
            </w:r>
            <w:r>
              <w:rPr>
                <w:rFonts w:ascii="宋体" w:hAnsi="宋体" w:cs="宋体" w:eastAsia="宋体" w:hint="default"/>
                <w:w w:val="99"/>
                <w:sz w:val="20"/>
                <w:szCs w:val="20"/>
              </w:rPr>
              <w:t> </w:t>
            </w:r>
            <w:r>
              <w:rPr>
                <w:rFonts w:ascii="宋体" w:hAnsi="宋体" w:cs="宋体" w:eastAsia="宋体" w:hint="default"/>
                <w:sz w:val="20"/>
                <w:szCs w:val="20"/>
              </w:rPr>
              <w:t>的评估结果为依据确定；</w:t>
            </w:r>
            <w:r>
              <w:rPr>
                <w:rFonts w:ascii="宋体" w:hAnsi="宋体" w:cs="宋体" w:eastAsia="宋体" w:hint="default"/>
                <w:sz w:val="20"/>
                <w:szCs w:val="20"/>
              </w:rPr>
              <w:t>2</w:t>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前述收购并不构成新华文轩</w:t>
            </w:r>
            <w:r>
              <w:rPr>
                <w:rFonts w:ascii="宋体" w:hAnsi="宋体" w:cs="宋体" w:eastAsia="宋体" w:hint="default"/>
                <w:w w:val="99"/>
                <w:sz w:val="20"/>
                <w:szCs w:val="20"/>
              </w:rPr>
              <w:t> </w:t>
            </w:r>
            <w:r>
              <w:rPr>
                <w:rFonts w:ascii="宋体" w:hAnsi="宋体" w:cs="宋体" w:eastAsia="宋体" w:hint="default"/>
                <w:spacing w:val="-5"/>
                <w:sz w:val="20"/>
                <w:szCs w:val="20"/>
              </w:rPr>
              <w:t>或其附属企业的义务，且若新</w:t>
            </w:r>
            <w:r>
              <w:rPr>
                <w:rFonts w:ascii="宋体" w:hAnsi="宋体" w:cs="宋体" w:eastAsia="宋体" w:hint="default"/>
                <w:w w:val="99"/>
                <w:sz w:val="20"/>
                <w:szCs w:val="20"/>
              </w:rPr>
              <w:t> </w:t>
            </w:r>
            <w:r>
              <w:rPr>
                <w:rFonts w:ascii="宋体" w:hAnsi="宋体" w:cs="宋体" w:eastAsia="宋体" w:hint="default"/>
                <w:sz w:val="20"/>
                <w:szCs w:val="20"/>
              </w:rPr>
              <w:t>华文轩或其附属企业不行使</w:t>
            </w:r>
            <w:r>
              <w:rPr>
                <w:rFonts w:ascii="宋体" w:hAnsi="宋体" w:cs="宋体" w:eastAsia="宋体" w:hint="default"/>
                <w:w w:val="99"/>
                <w:sz w:val="20"/>
                <w:szCs w:val="20"/>
              </w:rPr>
              <w:t> </w:t>
            </w:r>
            <w:r>
              <w:rPr>
                <w:rFonts w:ascii="宋体" w:hAnsi="宋体" w:cs="宋体" w:eastAsia="宋体" w:hint="default"/>
                <w:spacing w:val="-5"/>
                <w:sz w:val="20"/>
                <w:szCs w:val="20"/>
              </w:rPr>
              <w:t>该收购权，则四川新华发行集</w:t>
            </w:r>
            <w:r>
              <w:rPr>
                <w:rFonts w:ascii="宋体" w:hAnsi="宋体" w:cs="宋体" w:eastAsia="宋体" w:hint="default"/>
                <w:w w:val="99"/>
                <w:sz w:val="20"/>
                <w:szCs w:val="20"/>
              </w:rPr>
              <w:t> </w:t>
            </w:r>
            <w:r>
              <w:rPr>
                <w:rFonts w:ascii="宋体" w:hAnsi="宋体" w:cs="宋体" w:eastAsia="宋体" w:hint="default"/>
                <w:sz w:val="20"/>
                <w:szCs w:val="20"/>
              </w:rPr>
              <w:t>团及其附属企业可将该等新</w:t>
            </w:r>
            <w:r>
              <w:rPr>
                <w:rFonts w:ascii="宋体" w:hAnsi="宋体" w:cs="宋体" w:eastAsia="宋体" w:hint="default"/>
                <w:w w:val="99"/>
                <w:sz w:val="20"/>
                <w:szCs w:val="20"/>
              </w:rPr>
              <w:t> </w:t>
            </w:r>
            <w:r>
              <w:rPr>
                <w:rFonts w:ascii="宋体" w:hAnsi="宋体" w:cs="宋体" w:eastAsia="宋体" w:hint="default"/>
                <w:spacing w:val="-5"/>
                <w:sz w:val="20"/>
                <w:szCs w:val="20"/>
              </w:rPr>
              <w:t>业务或项目中的任何股权、资</w:t>
            </w:r>
            <w:r>
              <w:rPr>
                <w:rFonts w:ascii="宋体" w:hAnsi="宋体" w:cs="宋体" w:eastAsia="宋体" w:hint="default"/>
                <w:w w:val="99"/>
                <w:sz w:val="20"/>
                <w:szCs w:val="20"/>
              </w:rPr>
              <w:t> </w:t>
            </w:r>
            <w:r>
              <w:rPr>
                <w:rFonts w:ascii="宋体" w:hAnsi="宋体" w:cs="宋体" w:eastAsia="宋体" w:hint="default"/>
                <w:sz w:val="20"/>
                <w:szCs w:val="20"/>
              </w:rPr>
              <w:t>产及其他权益转让予其他与</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060" w:bottom="1380" w:left="48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1308"/>
        <w:gridCol w:w="720"/>
        <w:gridCol w:w="1159"/>
        <w:gridCol w:w="2751"/>
        <w:gridCol w:w="1159"/>
        <w:gridCol w:w="866"/>
        <w:gridCol w:w="725"/>
        <w:gridCol w:w="725"/>
        <w:gridCol w:w="866"/>
      </w:tblGrid>
      <w:tr>
        <w:trPr>
          <w:trHeight w:val="312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本公司无关联关系的独立第</w:t>
            </w:r>
          </w:p>
          <w:p>
            <w:pPr>
              <w:pStyle w:val="TableParagraph"/>
              <w:spacing w:line="237" w:lineRule="auto" w:before="1"/>
              <w:ind w:left="101" w:right="104"/>
              <w:jc w:val="left"/>
              <w:rPr>
                <w:rFonts w:ascii="宋体" w:hAnsi="宋体" w:cs="宋体" w:eastAsia="宋体" w:hint="default"/>
                <w:sz w:val="20"/>
                <w:szCs w:val="20"/>
              </w:rPr>
            </w:pPr>
            <w:r>
              <w:rPr>
                <w:rFonts w:ascii="宋体" w:hAnsi="宋体" w:cs="宋体" w:eastAsia="宋体" w:hint="default"/>
                <w:sz w:val="20"/>
                <w:szCs w:val="20"/>
              </w:rPr>
              <w:t>三方；</w:t>
            </w:r>
            <w:r>
              <w:rPr>
                <w:rFonts w:ascii="宋体" w:hAnsi="宋体" w:cs="宋体" w:eastAsia="宋体" w:hint="default"/>
                <w:sz w:val="20"/>
                <w:szCs w:val="20"/>
              </w:rPr>
              <w:t>3</w:t>
            </w:r>
            <w:r>
              <w:rPr>
                <w:rFonts w:ascii="宋体" w:hAnsi="宋体" w:cs="宋体" w:eastAsia="宋体" w:hint="default"/>
                <w:sz w:val="20"/>
                <w:szCs w:val="20"/>
              </w:rPr>
              <w:t>）四川新华发行集团</w:t>
            </w:r>
            <w:r>
              <w:rPr>
                <w:rFonts w:ascii="宋体" w:hAnsi="宋体" w:cs="宋体" w:eastAsia="宋体" w:hint="default"/>
                <w:w w:val="99"/>
                <w:sz w:val="20"/>
                <w:szCs w:val="20"/>
              </w:rPr>
              <w:t> </w:t>
            </w:r>
            <w:r>
              <w:rPr>
                <w:rFonts w:ascii="宋体" w:hAnsi="宋体" w:cs="宋体" w:eastAsia="宋体" w:hint="default"/>
                <w:sz w:val="20"/>
                <w:szCs w:val="20"/>
              </w:rPr>
              <w:t>及其附属企业自新华文轩或</w:t>
            </w:r>
            <w:r>
              <w:rPr>
                <w:rFonts w:ascii="宋体" w:hAnsi="宋体" w:cs="宋体" w:eastAsia="宋体" w:hint="default"/>
                <w:w w:val="99"/>
                <w:sz w:val="20"/>
                <w:szCs w:val="20"/>
              </w:rPr>
              <w:t> </w:t>
            </w:r>
            <w:r>
              <w:rPr>
                <w:rFonts w:ascii="宋体" w:hAnsi="宋体" w:cs="宋体" w:eastAsia="宋体" w:hint="default"/>
                <w:sz w:val="20"/>
                <w:szCs w:val="20"/>
              </w:rPr>
              <w:t>其附属企业从事构成同业竞</w:t>
            </w:r>
            <w:r>
              <w:rPr>
                <w:rFonts w:ascii="宋体" w:hAnsi="宋体" w:cs="宋体" w:eastAsia="宋体" w:hint="default"/>
                <w:w w:val="99"/>
                <w:sz w:val="20"/>
                <w:szCs w:val="20"/>
              </w:rPr>
              <w:t> </w:t>
            </w:r>
            <w:r>
              <w:rPr>
                <w:rFonts w:ascii="宋体" w:hAnsi="宋体" w:cs="宋体" w:eastAsia="宋体" w:hint="default"/>
                <w:sz w:val="20"/>
                <w:szCs w:val="20"/>
              </w:rPr>
              <w:t>争的新业务或项目之时全面</w:t>
            </w:r>
            <w:r>
              <w:rPr>
                <w:rFonts w:ascii="宋体" w:hAnsi="宋体" w:cs="宋体" w:eastAsia="宋体" w:hint="default"/>
                <w:w w:val="99"/>
                <w:sz w:val="20"/>
                <w:szCs w:val="20"/>
              </w:rPr>
              <w:t> </w:t>
            </w:r>
            <w:r>
              <w:rPr>
                <w:rFonts w:ascii="宋体" w:hAnsi="宋体" w:cs="宋体" w:eastAsia="宋体" w:hint="default"/>
                <w:sz w:val="20"/>
                <w:szCs w:val="20"/>
              </w:rPr>
              <w:t>停止该等新业务或项目。</w:t>
            </w:r>
            <w:r>
              <w:rPr>
                <w:rFonts w:ascii="宋体" w:hAnsi="宋体" w:cs="宋体" w:eastAsia="宋体" w:hint="default"/>
                <w:sz w:val="20"/>
                <w:szCs w:val="20"/>
              </w:rPr>
              <w:t>4</w:t>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如果四川新华发行集团及其</w:t>
            </w:r>
            <w:r>
              <w:rPr>
                <w:rFonts w:ascii="宋体" w:hAnsi="宋体" w:cs="宋体" w:eastAsia="宋体" w:hint="default"/>
                <w:w w:val="99"/>
                <w:sz w:val="20"/>
                <w:szCs w:val="20"/>
              </w:rPr>
              <w:t> </w:t>
            </w:r>
            <w:r>
              <w:rPr>
                <w:rFonts w:ascii="宋体" w:hAnsi="宋体" w:cs="宋体" w:eastAsia="宋体" w:hint="default"/>
                <w:spacing w:val="-5"/>
                <w:sz w:val="20"/>
                <w:szCs w:val="20"/>
              </w:rPr>
              <w:t>附属企业违反本承诺函，给新</w:t>
            </w:r>
            <w:r>
              <w:rPr>
                <w:rFonts w:ascii="宋体" w:hAnsi="宋体" w:cs="宋体" w:eastAsia="宋体" w:hint="default"/>
                <w:w w:val="99"/>
                <w:sz w:val="20"/>
                <w:szCs w:val="20"/>
              </w:rPr>
              <w:t> </w:t>
            </w:r>
            <w:r>
              <w:rPr>
                <w:rFonts w:ascii="宋体" w:hAnsi="宋体" w:cs="宋体" w:eastAsia="宋体" w:hint="default"/>
                <w:sz w:val="20"/>
                <w:szCs w:val="20"/>
              </w:rPr>
              <w:t>华文轩或其附属企业造成损</w:t>
            </w:r>
            <w:r>
              <w:rPr>
                <w:rFonts w:ascii="宋体" w:hAnsi="宋体" w:cs="宋体" w:eastAsia="宋体" w:hint="default"/>
                <w:w w:val="99"/>
                <w:sz w:val="20"/>
                <w:szCs w:val="20"/>
              </w:rPr>
              <w:t> </w:t>
            </w:r>
            <w:r>
              <w:rPr>
                <w:rFonts w:ascii="宋体" w:hAnsi="宋体" w:cs="宋体" w:eastAsia="宋体" w:hint="default"/>
                <w:spacing w:val="-5"/>
                <w:sz w:val="20"/>
                <w:szCs w:val="20"/>
              </w:rPr>
              <w:t>失的，四川新华发行集团同意</w:t>
            </w:r>
            <w:r>
              <w:rPr>
                <w:rFonts w:ascii="宋体" w:hAnsi="宋体" w:cs="宋体" w:eastAsia="宋体" w:hint="default"/>
                <w:w w:val="99"/>
                <w:sz w:val="20"/>
                <w:szCs w:val="20"/>
              </w:rPr>
              <w:t> </w:t>
            </w:r>
            <w:r>
              <w:rPr>
                <w:rFonts w:ascii="宋体" w:hAnsi="宋体" w:cs="宋体" w:eastAsia="宋体" w:hint="default"/>
                <w:sz w:val="20"/>
                <w:szCs w:val="20"/>
              </w:rPr>
              <w:t>给予新华文轩或其附属企业</w:t>
            </w:r>
            <w:r>
              <w:rPr>
                <w:rFonts w:ascii="宋体" w:hAnsi="宋体" w:cs="宋体" w:eastAsia="宋体" w:hint="default"/>
                <w:w w:val="99"/>
                <w:sz w:val="20"/>
                <w:szCs w:val="20"/>
              </w:rPr>
              <w:t> </w:t>
            </w:r>
            <w:r>
              <w:rPr>
                <w:rFonts w:ascii="宋体" w:hAnsi="宋体" w:cs="宋体" w:eastAsia="宋体" w:hint="default"/>
                <w:sz w:val="20"/>
                <w:szCs w:val="20"/>
              </w:rPr>
              <w:t>赔偿。</w:t>
            </w:r>
          </w:p>
        </w:tc>
        <w:tc>
          <w:tcPr>
            <w:tcW w:w="115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9868"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62"/>
              <w:ind w:left="103" w:right="195"/>
              <w:jc w:val="both"/>
              <w:rPr>
                <w:rFonts w:ascii="宋体" w:hAnsi="宋体" w:cs="宋体" w:eastAsia="宋体" w:hint="default"/>
                <w:sz w:val="20"/>
                <w:szCs w:val="20"/>
              </w:rPr>
            </w:pPr>
            <w:r>
              <w:rPr>
                <w:rFonts w:ascii="宋体" w:hAnsi="宋体" w:cs="宋体" w:eastAsia="宋体" w:hint="default"/>
                <w:sz w:val="20"/>
                <w:szCs w:val="20"/>
              </w:rPr>
              <w:t>与首次公开</w:t>
            </w:r>
            <w:r>
              <w:rPr>
                <w:rFonts w:ascii="宋体" w:hAnsi="宋体" w:cs="宋体" w:eastAsia="宋体" w:hint="default"/>
                <w:w w:val="99"/>
                <w:sz w:val="20"/>
                <w:szCs w:val="20"/>
              </w:rPr>
              <w:t> </w:t>
            </w:r>
            <w:r>
              <w:rPr>
                <w:rFonts w:ascii="宋体" w:hAnsi="宋体" w:cs="宋体" w:eastAsia="宋体" w:hint="default"/>
                <w:sz w:val="20"/>
                <w:szCs w:val="20"/>
              </w:rPr>
              <w:t>发行相关的</w:t>
            </w:r>
            <w:r>
              <w:rPr>
                <w:rFonts w:ascii="宋体" w:hAnsi="宋体" w:cs="宋体" w:eastAsia="宋体" w:hint="default"/>
                <w:w w:val="99"/>
                <w:sz w:val="20"/>
                <w:szCs w:val="20"/>
              </w:rPr>
              <w:t> </w:t>
            </w:r>
            <w:r>
              <w:rPr>
                <w:rFonts w:ascii="宋体" w:hAnsi="宋体" w:cs="宋体" w:eastAsia="宋体" w:hint="default"/>
                <w:sz w:val="20"/>
                <w:szCs w:val="20"/>
              </w:rPr>
              <w:t>承诺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四川新华</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发行集团</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在新华文轩</w:t>
            </w:r>
            <w:r>
              <w:rPr>
                <w:rFonts w:ascii="宋体" w:hAnsi="宋体" w:cs="宋体" w:eastAsia="宋体" w:hint="default"/>
                <w:spacing w:val="-53"/>
                <w:sz w:val="20"/>
                <w:szCs w:val="20"/>
              </w:rPr>
              <w:t> </w:t>
            </w:r>
            <w:r>
              <w:rPr>
                <w:rFonts w:ascii="宋体" w:hAnsi="宋体" w:cs="宋体" w:eastAsia="宋体" w:hint="default"/>
                <w:sz w:val="20"/>
                <w:szCs w:val="20"/>
              </w:rPr>
              <w:t>A</w:t>
            </w:r>
            <w:r>
              <w:rPr>
                <w:rFonts w:ascii="宋体" w:hAnsi="宋体" w:cs="宋体" w:eastAsia="宋体" w:hint="default"/>
                <w:spacing w:val="-52"/>
                <w:sz w:val="20"/>
                <w:szCs w:val="20"/>
              </w:rPr>
              <w:t> </w:t>
            </w:r>
            <w:r>
              <w:rPr>
                <w:rFonts w:ascii="宋体" w:hAnsi="宋体" w:cs="宋体" w:eastAsia="宋体" w:hint="default"/>
                <w:sz w:val="20"/>
                <w:szCs w:val="20"/>
              </w:rPr>
              <w:t>股股票上市</w:t>
            </w:r>
          </w:p>
          <w:p>
            <w:pPr>
              <w:pStyle w:val="TableParagraph"/>
              <w:spacing w:line="237" w:lineRule="auto" w:before="1"/>
              <w:ind w:left="101" w:right="40"/>
              <w:jc w:val="left"/>
              <w:rPr>
                <w:rFonts w:ascii="宋体" w:hAnsi="宋体" w:cs="宋体" w:eastAsia="宋体" w:hint="default"/>
                <w:sz w:val="20"/>
                <w:szCs w:val="20"/>
              </w:rPr>
            </w:pPr>
            <w:r>
              <w:rPr>
                <w:rFonts w:ascii="宋体" w:hAnsi="宋体" w:cs="宋体" w:eastAsia="宋体" w:hint="default"/>
                <w:spacing w:val="-5"/>
                <w:sz w:val="20"/>
                <w:szCs w:val="20"/>
              </w:rPr>
              <w:t>后三年（三十六个月）内，如</w:t>
            </w:r>
            <w:r>
              <w:rPr>
                <w:rFonts w:ascii="宋体" w:hAnsi="宋体" w:cs="宋体" w:eastAsia="宋体" w:hint="default"/>
                <w:w w:val="99"/>
                <w:sz w:val="20"/>
                <w:szCs w:val="20"/>
              </w:rPr>
              <w:t> </w:t>
            </w:r>
            <w:r>
              <w:rPr>
                <w:rFonts w:ascii="宋体" w:hAnsi="宋体" w:cs="宋体" w:eastAsia="宋体" w:hint="default"/>
                <w:sz w:val="20"/>
                <w:szCs w:val="20"/>
              </w:rPr>
              <w:t>果新华文轩</w:t>
            </w:r>
            <w:r>
              <w:rPr>
                <w:rFonts w:ascii="宋体" w:hAnsi="宋体" w:cs="宋体" w:eastAsia="宋体" w:hint="default"/>
                <w:spacing w:val="-51"/>
                <w:sz w:val="20"/>
                <w:szCs w:val="20"/>
              </w:rPr>
              <w:t> </w:t>
            </w:r>
            <w:r>
              <w:rPr>
                <w:rFonts w:ascii="宋体" w:hAnsi="宋体" w:cs="宋体" w:eastAsia="宋体" w:hint="default"/>
                <w:sz w:val="20"/>
                <w:szCs w:val="20"/>
              </w:rPr>
              <w:t>A</w:t>
            </w:r>
            <w:r>
              <w:rPr>
                <w:rFonts w:ascii="宋体" w:hAnsi="宋体" w:cs="宋体" w:eastAsia="宋体" w:hint="default"/>
                <w:spacing w:val="-50"/>
                <w:sz w:val="20"/>
                <w:szCs w:val="20"/>
              </w:rPr>
              <w:t> </w:t>
            </w:r>
            <w:r>
              <w:rPr>
                <w:rFonts w:ascii="宋体" w:hAnsi="宋体" w:cs="宋体" w:eastAsia="宋体" w:hint="default"/>
                <w:sz w:val="20"/>
                <w:szCs w:val="20"/>
              </w:rPr>
              <w:t>股股票收盘价</w:t>
            </w:r>
            <w:r>
              <w:rPr>
                <w:rFonts w:ascii="宋体" w:hAnsi="宋体" w:cs="宋体" w:eastAsia="宋体" w:hint="default"/>
                <w:w w:val="99"/>
                <w:sz w:val="20"/>
                <w:szCs w:val="20"/>
              </w:rPr>
              <w:t> </w:t>
            </w:r>
            <w:r>
              <w:rPr>
                <w:rFonts w:ascii="宋体" w:hAnsi="宋体" w:cs="宋体" w:eastAsia="宋体" w:hint="default"/>
                <w:spacing w:val="-5"/>
                <w:sz w:val="20"/>
                <w:szCs w:val="20"/>
              </w:rPr>
              <w:t>格连续二十个交易日（新华文</w:t>
            </w:r>
            <w:r>
              <w:rPr>
                <w:rFonts w:ascii="宋体" w:hAnsi="宋体" w:cs="宋体" w:eastAsia="宋体" w:hint="default"/>
                <w:w w:val="99"/>
                <w:sz w:val="20"/>
                <w:szCs w:val="20"/>
              </w:rPr>
              <w:t> </w:t>
            </w:r>
            <w:r>
              <w:rPr>
                <w:rFonts w:ascii="宋体" w:hAnsi="宋体" w:cs="宋体" w:eastAsia="宋体" w:hint="default"/>
                <w:sz w:val="20"/>
                <w:szCs w:val="20"/>
              </w:rPr>
              <w:t>轩股票全天停牌的交易日除</w:t>
            </w:r>
            <w:r>
              <w:rPr>
                <w:rFonts w:ascii="宋体" w:hAnsi="宋体" w:cs="宋体" w:eastAsia="宋体" w:hint="default"/>
                <w:w w:val="99"/>
                <w:sz w:val="20"/>
                <w:szCs w:val="20"/>
              </w:rPr>
              <w:t> </w:t>
            </w:r>
            <w:r>
              <w:rPr>
                <w:rFonts w:ascii="宋体" w:hAnsi="宋体" w:cs="宋体" w:eastAsia="宋体" w:hint="default"/>
                <w:spacing w:val="-5"/>
                <w:sz w:val="20"/>
                <w:szCs w:val="20"/>
              </w:rPr>
              <w:t>外，下同）低于最近一期经审</w:t>
            </w:r>
            <w:r>
              <w:rPr>
                <w:rFonts w:ascii="宋体" w:hAnsi="宋体" w:cs="宋体" w:eastAsia="宋体" w:hint="default"/>
                <w:w w:val="99"/>
                <w:sz w:val="20"/>
                <w:szCs w:val="20"/>
              </w:rPr>
              <w:t> </w:t>
            </w:r>
            <w:r>
              <w:rPr>
                <w:rFonts w:ascii="宋体" w:hAnsi="宋体" w:cs="宋体" w:eastAsia="宋体" w:hint="default"/>
                <w:spacing w:val="-5"/>
                <w:sz w:val="20"/>
                <w:szCs w:val="20"/>
              </w:rPr>
              <w:t>计的每股净资产（新华文轩如</w:t>
            </w:r>
            <w:r>
              <w:rPr>
                <w:rFonts w:ascii="宋体" w:hAnsi="宋体" w:cs="宋体" w:eastAsia="宋体" w:hint="default"/>
                <w:w w:val="99"/>
                <w:sz w:val="20"/>
                <w:szCs w:val="20"/>
              </w:rPr>
              <w:t> </w:t>
            </w:r>
            <w:r>
              <w:rPr>
                <w:rFonts w:ascii="宋体" w:hAnsi="宋体" w:cs="宋体" w:eastAsia="宋体" w:hint="default"/>
                <w:spacing w:val="-5"/>
                <w:sz w:val="20"/>
                <w:szCs w:val="20"/>
              </w:rPr>
              <w:t>有派息、送股、资本公积金转</w:t>
            </w:r>
            <w:r>
              <w:rPr>
                <w:rFonts w:ascii="宋体" w:hAnsi="宋体" w:cs="宋体" w:eastAsia="宋体" w:hint="default"/>
                <w:w w:val="99"/>
                <w:sz w:val="20"/>
                <w:szCs w:val="20"/>
              </w:rPr>
              <w:t> </w:t>
            </w:r>
            <w:r>
              <w:rPr>
                <w:rFonts w:ascii="宋体" w:hAnsi="宋体" w:cs="宋体" w:eastAsia="宋体" w:hint="default"/>
                <w:sz w:val="20"/>
                <w:szCs w:val="20"/>
              </w:rPr>
              <w:t>增股本、配股等除权除息事</w:t>
            </w:r>
            <w:r>
              <w:rPr>
                <w:rFonts w:ascii="宋体" w:hAnsi="宋体" w:cs="宋体" w:eastAsia="宋体" w:hint="default"/>
                <w:w w:val="99"/>
                <w:sz w:val="20"/>
                <w:szCs w:val="20"/>
              </w:rPr>
              <w:t> </w:t>
            </w:r>
            <w:r>
              <w:rPr>
                <w:rFonts w:ascii="宋体" w:hAnsi="宋体" w:cs="宋体" w:eastAsia="宋体" w:hint="default"/>
                <w:spacing w:val="-5"/>
                <w:sz w:val="20"/>
                <w:szCs w:val="20"/>
              </w:rPr>
              <w:t>项，上述“最近一期经审计的</w:t>
            </w:r>
            <w:r>
              <w:rPr>
                <w:rFonts w:ascii="宋体" w:hAnsi="宋体" w:cs="宋体" w:eastAsia="宋体" w:hint="default"/>
                <w:w w:val="99"/>
                <w:sz w:val="20"/>
                <w:szCs w:val="20"/>
              </w:rPr>
              <w:t> </w:t>
            </w:r>
            <w:r>
              <w:rPr>
                <w:rFonts w:ascii="宋体" w:hAnsi="宋体" w:cs="宋体" w:eastAsia="宋体" w:hint="default"/>
                <w:sz w:val="20"/>
                <w:szCs w:val="20"/>
              </w:rPr>
              <w:t>每股净资产”将相应进行调</w:t>
            </w:r>
            <w:r>
              <w:rPr>
                <w:rFonts w:ascii="宋体" w:hAnsi="宋体" w:cs="宋体" w:eastAsia="宋体" w:hint="default"/>
                <w:w w:val="99"/>
                <w:sz w:val="20"/>
                <w:szCs w:val="20"/>
              </w:rPr>
              <w:t> </w:t>
            </w:r>
            <w:r>
              <w:rPr>
                <w:rFonts w:ascii="宋体" w:hAnsi="宋体" w:cs="宋体" w:eastAsia="宋体" w:hint="default"/>
                <w:spacing w:val="-5"/>
                <w:sz w:val="20"/>
                <w:szCs w:val="20"/>
              </w:rPr>
              <w:t>整，下同），且届时新华文轩</w:t>
            </w:r>
            <w:r>
              <w:rPr>
                <w:rFonts w:ascii="宋体" w:hAnsi="宋体" w:cs="宋体" w:eastAsia="宋体" w:hint="default"/>
                <w:w w:val="99"/>
                <w:sz w:val="20"/>
                <w:szCs w:val="20"/>
              </w:rPr>
              <w:t> </w:t>
            </w:r>
            <w:r>
              <w:rPr>
                <w:rFonts w:ascii="宋体" w:hAnsi="宋体" w:cs="宋体" w:eastAsia="宋体" w:hint="default"/>
                <w:sz w:val="20"/>
                <w:szCs w:val="20"/>
              </w:rPr>
              <w:t>情况同时满足监管机构对于</w:t>
            </w:r>
            <w:r>
              <w:rPr>
                <w:rFonts w:ascii="宋体" w:hAnsi="宋体" w:cs="宋体" w:eastAsia="宋体" w:hint="default"/>
                <w:w w:val="99"/>
                <w:sz w:val="20"/>
                <w:szCs w:val="20"/>
              </w:rPr>
              <w:t> </w:t>
            </w:r>
            <w:r>
              <w:rPr>
                <w:rFonts w:ascii="宋体" w:hAnsi="宋体" w:cs="宋体" w:eastAsia="宋体" w:hint="default"/>
                <w:spacing w:val="-5"/>
                <w:sz w:val="20"/>
                <w:szCs w:val="20"/>
              </w:rPr>
              <w:t>回购、增持等股本变动行为的</w:t>
            </w:r>
            <w:r>
              <w:rPr>
                <w:rFonts w:ascii="宋体" w:hAnsi="宋体" w:cs="宋体" w:eastAsia="宋体" w:hint="default"/>
                <w:w w:val="99"/>
                <w:sz w:val="20"/>
                <w:szCs w:val="20"/>
              </w:rPr>
              <w:t> </w:t>
            </w:r>
            <w:r>
              <w:rPr>
                <w:rFonts w:ascii="宋体" w:hAnsi="宋体" w:cs="宋体" w:eastAsia="宋体" w:hint="default"/>
                <w:sz w:val="20"/>
                <w:szCs w:val="20"/>
              </w:rPr>
              <w:t>规定，则触发股价稳定措施。</w:t>
            </w:r>
            <w:r>
              <w:rPr>
                <w:rFonts w:ascii="宋体" w:hAnsi="宋体" w:cs="宋体" w:eastAsia="宋体" w:hint="default"/>
                <w:w w:val="99"/>
                <w:sz w:val="20"/>
                <w:szCs w:val="20"/>
              </w:rPr>
              <w:t> </w:t>
            </w:r>
            <w:r>
              <w:rPr>
                <w:rFonts w:ascii="宋体" w:hAnsi="宋体" w:cs="宋体" w:eastAsia="宋体" w:hint="default"/>
                <w:sz w:val="20"/>
                <w:szCs w:val="20"/>
              </w:rPr>
              <w:t>2.</w:t>
            </w:r>
            <w:r>
              <w:rPr>
                <w:rFonts w:ascii="宋体" w:hAnsi="宋体" w:cs="宋体" w:eastAsia="宋体" w:hint="default"/>
                <w:sz w:val="20"/>
                <w:szCs w:val="20"/>
              </w:rPr>
              <w:t>在</w:t>
            </w:r>
            <w:r>
              <w:rPr>
                <w:rFonts w:ascii="宋体" w:hAnsi="宋体" w:cs="宋体" w:eastAsia="宋体" w:hint="default"/>
                <w:spacing w:val="-51"/>
                <w:sz w:val="20"/>
                <w:szCs w:val="20"/>
              </w:rPr>
              <w:t> </w:t>
            </w:r>
            <w:r>
              <w:rPr>
                <w:rFonts w:ascii="宋体" w:hAnsi="宋体" w:cs="宋体" w:eastAsia="宋体" w:hint="default"/>
                <w:sz w:val="20"/>
                <w:szCs w:val="20"/>
              </w:rPr>
              <w:t>A</w:t>
            </w:r>
            <w:r>
              <w:rPr>
                <w:rFonts w:ascii="宋体" w:hAnsi="宋体" w:cs="宋体" w:eastAsia="宋体" w:hint="default"/>
                <w:spacing w:val="-50"/>
                <w:sz w:val="20"/>
                <w:szCs w:val="20"/>
              </w:rPr>
              <w:t> </w:t>
            </w:r>
            <w:r>
              <w:rPr>
                <w:rFonts w:ascii="宋体" w:hAnsi="宋体" w:cs="宋体" w:eastAsia="宋体" w:hint="default"/>
                <w:sz w:val="20"/>
                <w:szCs w:val="20"/>
              </w:rPr>
              <w:t>股股价稳定措施的具</w:t>
            </w:r>
            <w:r>
              <w:rPr>
                <w:rFonts w:ascii="宋体" w:hAnsi="宋体" w:cs="宋体" w:eastAsia="宋体" w:hint="default"/>
                <w:w w:val="99"/>
                <w:sz w:val="20"/>
                <w:szCs w:val="20"/>
              </w:rPr>
              <w:t> </w:t>
            </w:r>
            <w:r>
              <w:rPr>
                <w:rFonts w:ascii="宋体" w:hAnsi="宋体" w:cs="宋体" w:eastAsia="宋体" w:hint="default"/>
                <w:sz w:val="20"/>
                <w:szCs w:val="20"/>
              </w:rPr>
              <w:t>体条件达成之日起十个交易</w:t>
            </w:r>
            <w:r>
              <w:rPr>
                <w:rFonts w:ascii="宋体" w:hAnsi="宋体" w:cs="宋体" w:eastAsia="宋体" w:hint="default"/>
                <w:w w:val="99"/>
                <w:sz w:val="20"/>
                <w:szCs w:val="20"/>
              </w:rPr>
              <w:t> </w:t>
            </w:r>
            <w:r>
              <w:rPr>
                <w:rFonts w:ascii="宋体" w:hAnsi="宋体" w:cs="宋体" w:eastAsia="宋体" w:hint="default"/>
                <w:spacing w:val="-5"/>
                <w:sz w:val="20"/>
                <w:szCs w:val="20"/>
              </w:rPr>
              <w:t>日内，四川新华发行集团应就</w:t>
            </w:r>
            <w:r>
              <w:rPr>
                <w:rFonts w:ascii="宋体" w:hAnsi="宋体" w:cs="宋体" w:eastAsia="宋体" w:hint="default"/>
                <w:w w:val="99"/>
                <w:sz w:val="20"/>
                <w:szCs w:val="20"/>
              </w:rPr>
              <w:t> </w:t>
            </w:r>
            <w:r>
              <w:rPr>
                <w:rFonts w:ascii="宋体" w:hAnsi="宋体" w:cs="宋体" w:eastAsia="宋体" w:hint="default"/>
                <w:sz w:val="20"/>
                <w:szCs w:val="20"/>
              </w:rPr>
              <w:t>其是否有增持新华文轩</w:t>
            </w:r>
            <w:r>
              <w:rPr>
                <w:rFonts w:ascii="宋体" w:hAnsi="宋体" w:cs="宋体" w:eastAsia="宋体" w:hint="default"/>
                <w:spacing w:val="-51"/>
                <w:sz w:val="20"/>
                <w:szCs w:val="20"/>
              </w:rPr>
              <w:t> </w:t>
            </w:r>
            <w:r>
              <w:rPr>
                <w:rFonts w:ascii="宋体" w:hAnsi="宋体" w:cs="宋体" w:eastAsia="宋体" w:hint="default"/>
                <w:sz w:val="20"/>
                <w:szCs w:val="20"/>
              </w:rPr>
              <w:t>A</w:t>
            </w:r>
            <w:r>
              <w:rPr>
                <w:rFonts w:ascii="宋体" w:hAnsi="宋体" w:cs="宋体" w:eastAsia="宋体" w:hint="default"/>
                <w:spacing w:val="-50"/>
                <w:sz w:val="20"/>
                <w:szCs w:val="20"/>
              </w:rPr>
              <w:t> </w:t>
            </w:r>
            <w:r>
              <w:rPr>
                <w:rFonts w:ascii="宋体" w:hAnsi="宋体" w:cs="宋体" w:eastAsia="宋体" w:hint="default"/>
                <w:sz w:val="20"/>
                <w:szCs w:val="20"/>
              </w:rPr>
              <w:t>股</w:t>
            </w:r>
            <w:r>
              <w:rPr>
                <w:rFonts w:ascii="宋体" w:hAnsi="宋体" w:cs="宋体" w:eastAsia="宋体" w:hint="default"/>
                <w:w w:val="99"/>
                <w:sz w:val="20"/>
                <w:szCs w:val="20"/>
              </w:rPr>
              <w:t> </w:t>
            </w:r>
            <w:r>
              <w:rPr>
                <w:rFonts w:ascii="宋体" w:hAnsi="宋体" w:cs="宋体" w:eastAsia="宋体" w:hint="default"/>
                <w:sz w:val="20"/>
                <w:szCs w:val="20"/>
              </w:rPr>
              <w:t>股票的具体计划书面通知新</w:t>
            </w:r>
            <w:r>
              <w:rPr>
                <w:rFonts w:ascii="宋体" w:hAnsi="宋体" w:cs="宋体" w:eastAsia="宋体" w:hint="default"/>
                <w:w w:val="99"/>
                <w:sz w:val="20"/>
                <w:szCs w:val="20"/>
              </w:rPr>
              <w:t> </w:t>
            </w:r>
            <w:r>
              <w:rPr>
                <w:rFonts w:ascii="宋体" w:hAnsi="宋体" w:cs="宋体" w:eastAsia="宋体" w:hint="default"/>
                <w:sz w:val="20"/>
                <w:szCs w:val="20"/>
              </w:rPr>
              <w:t>华文轩并由新华文轩进行公</w:t>
            </w:r>
            <w:r>
              <w:rPr>
                <w:rFonts w:ascii="宋体" w:hAnsi="宋体" w:cs="宋体" w:eastAsia="宋体" w:hint="default"/>
                <w:w w:val="99"/>
                <w:sz w:val="20"/>
                <w:szCs w:val="20"/>
              </w:rPr>
              <w:t> </w:t>
            </w:r>
            <w:r>
              <w:rPr>
                <w:rFonts w:ascii="宋体" w:hAnsi="宋体" w:cs="宋体" w:eastAsia="宋体" w:hint="default"/>
                <w:spacing w:val="-5"/>
                <w:sz w:val="20"/>
                <w:szCs w:val="20"/>
              </w:rPr>
              <w:t>告，如有具体计划，应披露拟</w:t>
            </w:r>
            <w:r>
              <w:rPr>
                <w:rFonts w:ascii="宋体" w:hAnsi="宋体" w:cs="宋体" w:eastAsia="宋体" w:hint="default"/>
                <w:w w:val="99"/>
                <w:sz w:val="20"/>
                <w:szCs w:val="20"/>
              </w:rPr>
              <w:t> </w:t>
            </w:r>
            <w:r>
              <w:rPr>
                <w:rFonts w:ascii="宋体" w:hAnsi="宋体" w:cs="宋体" w:eastAsia="宋体" w:hint="default"/>
                <w:sz w:val="20"/>
                <w:szCs w:val="20"/>
              </w:rPr>
              <w:t>增持的数量范围、价格区间、</w:t>
            </w:r>
            <w:r>
              <w:rPr>
                <w:rFonts w:ascii="宋体" w:hAnsi="宋体" w:cs="宋体" w:eastAsia="宋体" w:hint="default"/>
                <w:w w:val="99"/>
                <w:sz w:val="20"/>
                <w:szCs w:val="20"/>
              </w:rPr>
              <w:t> </w:t>
            </w:r>
            <w:r>
              <w:rPr>
                <w:rFonts w:ascii="宋体" w:hAnsi="宋体" w:cs="宋体" w:eastAsia="宋体" w:hint="default"/>
                <w:spacing w:val="-5"/>
                <w:sz w:val="20"/>
                <w:szCs w:val="20"/>
              </w:rPr>
              <w:t>完成时间、需履行的审批程序</w:t>
            </w:r>
            <w:r>
              <w:rPr>
                <w:rFonts w:ascii="宋体" w:hAnsi="宋体" w:cs="宋体" w:eastAsia="宋体" w:hint="default"/>
                <w:w w:val="99"/>
                <w:sz w:val="20"/>
                <w:szCs w:val="20"/>
              </w:rPr>
              <w:t> </w:t>
            </w:r>
            <w:r>
              <w:rPr>
                <w:rFonts w:ascii="宋体" w:hAnsi="宋体" w:cs="宋体" w:eastAsia="宋体" w:hint="default"/>
                <w:spacing w:val="-5"/>
                <w:sz w:val="20"/>
                <w:szCs w:val="20"/>
              </w:rPr>
              <w:t>等信息，且该次计划用于增持</w:t>
            </w:r>
            <w:r>
              <w:rPr>
                <w:rFonts w:ascii="宋体" w:hAnsi="宋体" w:cs="宋体" w:eastAsia="宋体" w:hint="default"/>
                <w:w w:val="99"/>
                <w:sz w:val="20"/>
                <w:szCs w:val="20"/>
              </w:rPr>
              <w:t> </w:t>
            </w:r>
            <w:r>
              <w:rPr>
                <w:rFonts w:ascii="宋体" w:hAnsi="宋体" w:cs="宋体" w:eastAsia="宋体" w:hint="default"/>
                <w:sz w:val="20"/>
                <w:szCs w:val="20"/>
              </w:rPr>
              <w:t>股份的资金金额不低于现金</w:t>
            </w:r>
            <w:r>
              <w:rPr>
                <w:rFonts w:ascii="宋体" w:hAnsi="宋体" w:cs="宋体" w:eastAsia="宋体" w:hint="default"/>
                <w:w w:val="99"/>
                <w:sz w:val="20"/>
                <w:szCs w:val="20"/>
              </w:rPr>
              <w:t> </w:t>
            </w:r>
            <w:r>
              <w:rPr>
                <w:rFonts w:ascii="宋体" w:hAnsi="宋体" w:cs="宋体" w:eastAsia="宋体" w:hint="default"/>
                <w:sz w:val="20"/>
                <w:szCs w:val="20"/>
              </w:rPr>
              <w:t>1,000</w:t>
            </w:r>
            <w:r>
              <w:rPr>
                <w:rFonts w:ascii="宋体" w:hAnsi="宋体" w:cs="宋体" w:eastAsia="宋体" w:hint="default"/>
                <w:spacing w:val="-56"/>
                <w:sz w:val="20"/>
                <w:szCs w:val="20"/>
              </w:rPr>
              <w:t> </w:t>
            </w:r>
            <w:r>
              <w:rPr>
                <w:rFonts w:ascii="宋体" w:hAnsi="宋体" w:cs="宋体" w:eastAsia="宋体" w:hint="default"/>
                <w:sz w:val="20"/>
                <w:szCs w:val="20"/>
              </w:rPr>
              <w:t>万元人民币。</w:t>
            </w:r>
            <w:r>
              <w:rPr>
                <w:rFonts w:ascii="宋体" w:hAnsi="宋体" w:cs="宋体" w:eastAsia="宋体" w:hint="default"/>
                <w:sz w:val="20"/>
                <w:szCs w:val="20"/>
              </w:rPr>
              <w:t>3.</w:t>
            </w:r>
            <w:r>
              <w:rPr>
                <w:rFonts w:ascii="宋体" w:hAnsi="宋体" w:cs="宋体" w:eastAsia="宋体" w:hint="default"/>
                <w:sz w:val="20"/>
                <w:szCs w:val="20"/>
              </w:rPr>
              <w:t>如四川</w:t>
            </w:r>
            <w:r>
              <w:rPr>
                <w:rFonts w:ascii="宋体" w:hAnsi="宋体" w:cs="宋体" w:eastAsia="宋体" w:hint="default"/>
                <w:w w:val="99"/>
                <w:sz w:val="20"/>
                <w:szCs w:val="20"/>
              </w:rPr>
              <w:t> </w:t>
            </w:r>
            <w:r>
              <w:rPr>
                <w:rFonts w:ascii="宋体" w:hAnsi="宋体" w:cs="宋体" w:eastAsia="宋体" w:hint="default"/>
                <w:sz w:val="20"/>
                <w:szCs w:val="20"/>
              </w:rPr>
              <w:t>新华发行集团未如期公告前</w:t>
            </w:r>
            <w:r>
              <w:rPr>
                <w:rFonts w:ascii="宋体" w:hAnsi="宋体" w:cs="宋体" w:eastAsia="宋体" w:hint="default"/>
                <w:w w:val="99"/>
                <w:sz w:val="20"/>
                <w:szCs w:val="20"/>
              </w:rPr>
              <w:t> </w:t>
            </w:r>
            <w:r>
              <w:rPr>
                <w:rFonts w:ascii="宋体" w:hAnsi="宋体" w:cs="宋体" w:eastAsia="宋体" w:hint="default"/>
                <w:spacing w:val="-5"/>
                <w:sz w:val="20"/>
                <w:szCs w:val="20"/>
              </w:rPr>
              <w:t>述具体增持计划，或明确表示</w:t>
            </w:r>
            <w:r>
              <w:rPr>
                <w:rFonts w:ascii="宋体" w:hAnsi="宋体" w:cs="宋体" w:eastAsia="宋体" w:hint="default"/>
                <w:w w:val="99"/>
                <w:sz w:val="20"/>
                <w:szCs w:val="20"/>
              </w:rPr>
              <w:t> </w:t>
            </w:r>
            <w:r>
              <w:rPr>
                <w:rFonts w:ascii="宋体" w:hAnsi="宋体" w:cs="宋体" w:eastAsia="宋体" w:hint="default"/>
                <w:spacing w:val="-5"/>
                <w:sz w:val="20"/>
                <w:szCs w:val="20"/>
              </w:rPr>
              <w:t>未有增持计划的，或前述增持</w:t>
            </w:r>
            <w:r>
              <w:rPr>
                <w:rFonts w:ascii="宋体" w:hAnsi="宋体" w:cs="宋体" w:eastAsia="宋体" w:hint="default"/>
                <w:w w:val="99"/>
                <w:sz w:val="20"/>
                <w:szCs w:val="20"/>
              </w:rPr>
              <w:t> </w:t>
            </w:r>
            <w:r>
              <w:rPr>
                <w:rFonts w:ascii="宋体" w:hAnsi="宋体" w:cs="宋体" w:eastAsia="宋体" w:hint="default"/>
                <w:sz w:val="20"/>
                <w:szCs w:val="20"/>
              </w:rPr>
              <w:t>计划未获得有权机关批准的，</w:t>
            </w:r>
            <w:r>
              <w:rPr>
                <w:rFonts w:ascii="宋体" w:hAnsi="宋体" w:cs="宋体" w:eastAsia="宋体" w:hint="default"/>
                <w:w w:val="99"/>
                <w:sz w:val="20"/>
                <w:szCs w:val="20"/>
              </w:rPr>
              <w:t> </w:t>
            </w:r>
            <w:r>
              <w:rPr>
                <w:rFonts w:ascii="宋体" w:hAnsi="宋体" w:cs="宋体" w:eastAsia="宋体" w:hint="default"/>
                <w:sz w:val="20"/>
                <w:szCs w:val="20"/>
              </w:rPr>
              <w:t>则在前述事项确定之日起十</w:t>
            </w:r>
            <w:r>
              <w:rPr>
                <w:rFonts w:ascii="宋体" w:hAnsi="宋体" w:cs="宋体" w:eastAsia="宋体" w:hint="default"/>
                <w:w w:val="99"/>
                <w:sz w:val="20"/>
                <w:szCs w:val="20"/>
              </w:rPr>
              <w:t> </w:t>
            </w:r>
            <w:r>
              <w:rPr>
                <w:rFonts w:ascii="宋体" w:hAnsi="宋体" w:cs="宋体" w:eastAsia="宋体" w:hint="default"/>
                <w:spacing w:val="-5"/>
                <w:sz w:val="20"/>
                <w:szCs w:val="20"/>
              </w:rPr>
              <w:t>个交易日内，新华文轩董事会</w:t>
            </w:r>
            <w:r>
              <w:rPr>
                <w:rFonts w:ascii="宋体" w:hAnsi="宋体" w:cs="宋体" w:eastAsia="宋体" w:hint="default"/>
                <w:w w:val="99"/>
                <w:sz w:val="20"/>
                <w:szCs w:val="20"/>
              </w:rPr>
              <w:t> </w:t>
            </w:r>
            <w:r>
              <w:rPr>
                <w:rFonts w:ascii="宋体" w:hAnsi="宋体" w:cs="宋体" w:eastAsia="宋体" w:hint="default"/>
                <w:sz w:val="20"/>
                <w:szCs w:val="20"/>
              </w:rPr>
              <w:t>应公告是否有具体</w:t>
            </w:r>
            <w:r>
              <w:rPr>
                <w:rFonts w:ascii="宋体" w:hAnsi="宋体" w:cs="宋体" w:eastAsia="宋体" w:hint="default"/>
                <w:spacing w:val="-51"/>
                <w:sz w:val="20"/>
                <w:szCs w:val="20"/>
              </w:rPr>
              <w:t> </w:t>
            </w:r>
            <w:r>
              <w:rPr>
                <w:rFonts w:ascii="宋体" w:hAnsi="宋体" w:cs="宋体" w:eastAsia="宋体" w:hint="default"/>
                <w:sz w:val="20"/>
                <w:szCs w:val="20"/>
              </w:rPr>
              <w:t>A</w:t>
            </w:r>
            <w:r>
              <w:rPr>
                <w:rFonts w:ascii="宋体" w:hAnsi="宋体" w:cs="宋体" w:eastAsia="宋体" w:hint="default"/>
                <w:spacing w:val="-50"/>
                <w:sz w:val="20"/>
                <w:szCs w:val="20"/>
              </w:rPr>
              <w:t> </w:t>
            </w:r>
            <w:r>
              <w:rPr>
                <w:rFonts w:ascii="宋体" w:hAnsi="宋体" w:cs="宋体" w:eastAsia="宋体" w:hint="default"/>
                <w:sz w:val="20"/>
                <w:szCs w:val="20"/>
              </w:rPr>
              <w:t>股股票</w:t>
            </w:r>
            <w:r>
              <w:rPr>
                <w:rFonts w:ascii="宋体" w:hAnsi="宋体" w:cs="宋体" w:eastAsia="宋体" w:hint="default"/>
                <w:w w:val="99"/>
                <w:sz w:val="20"/>
                <w:szCs w:val="20"/>
              </w:rPr>
              <w:t> </w:t>
            </w:r>
            <w:r>
              <w:rPr>
                <w:rFonts w:ascii="宋体" w:hAnsi="宋体" w:cs="宋体" w:eastAsia="宋体" w:hint="default"/>
                <w:spacing w:val="-5"/>
                <w:sz w:val="20"/>
                <w:szCs w:val="20"/>
              </w:rPr>
              <w:t>回购计划，如有，应披露拟回</w:t>
            </w:r>
            <w:r>
              <w:rPr>
                <w:rFonts w:ascii="宋体" w:hAnsi="宋体" w:cs="宋体" w:eastAsia="宋体" w:hint="default"/>
                <w:w w:val="99"/>
                <w:sz w:val="20"/>
                <w:szCs w:val="20"/>
              </w:rPr>
              <w:t> </w:t>
            </w:r>
            <w:r>
              <w:rPr>
                <w:rFonts w:ascii="宋体" w:hAnsi="宋体" w:cs="宋体" w:eastAsia="宋体" w:hint="default"/>
                <w:sz w:val="20"/>
                <w:szCs w:val="20"/>
              </w:rPr>
              <w:t>购</w:t>
            </w:r>
            <w:r>
              <w:rPr>
                <w:rFonts w:ascii="宋体" w:hAnsi="宋体" w:cs="宋体" w:eastAsia="宋体" w:hint="default"/>
                <w:spacing w:val="-51"/>
                <w:sz w:val="20"/>
                <w:szCs w:val="20"/>
              </w:rPr>
              <w:t> </w:t>
            </w:r>
            <w:r>
              <w:rPr>
                <w:rFonts w:ascii="宋体" w:hAnsi="宋体" w:cs="宋体" w:eastAsia="宋体" w:hint="default"/>
                <w:sz w:val="20"/>
                <w:szCs w:val="20"/>
              </w:rPr>
              <w:t>A</w:t>
            </w:r>
            <w:r>
              <w:rPr>
                <w:rFonts w:ascii="宋体" w:hAnsi="宋体" w:cs="宋体" w:eastAsia="宋体" w:hint="default"/>
                <w:spacing w:val="-50"/>
                <w:sz w:val="20"/>
                <w:szCs w:val="20"/>
              </w:rPr>
              <w:t> </w:t>
            </w:r>
            <w:r>
              <w:rPr>
                <w:rFonts w:ascii="宋体" w:hAnsi="宋体" w:cs="宋体" w:eastAsia="宋体" w:hint="default"/>
                <w:spacing w:val="-6"/>
                <w:sz w:val="20"/>
                <w:szCs w:val="20"/>
              </w:rPr>
              <w:t>股股票的数量范围、价格</w:t>
            </w:r>
            <w:r>
              <w:rPr>
                <w:rFonts w:ascii="宋体" w:hAnsi="宋体" w:cs="宋体" w:eastAsia="宋体" w:hint="default"/>
                <w:w w:val="99"/>
                <w:sz w:val="20"/>
                <w:szCs w:val="20"/>
              </w:rPr>
              <w:t> </w:t>
            </w:r>
            <w:r>
              <w:rPr>
                <w:rFonts w:ascii="宋体" w:hAnsi="宋体" w:cs="宋体" w:eastAsia="宋体" w:hint="default"/>
                <w:spacing w:val="-5"/>
                <w:sz w:val="20"/>
                <w:szCs w:val="20"/>
              </w:rPr>
              <w:t>区间、完成时间、需履行的审</w:t>
            </w:r>
            <w:r>
              <w:rPr>
                <w:rFonts w:ascii="宋体" w:hAnsi="宋体" w:cs="宋体" w:eastAsia="宋体" w:hint="default"/>
                <w:w w:val="99"/>
                <w:sz w:val="20"/>
                <w:szCs w:val="20"/>
              </w:rPr>
              <w:t> </w:t>
            </w:r>
            <w:r>
              <w:rPr>
                <w:rFonts w:ascii="宋体" w:hAnsi="宋体" w:cs="宋体" w:eastAsia="宋体" w:hint="default"/>
                <w:spacing w:val="-5"/>
                <w:sz w:val="20"/>
                <w:szCs w:val="20"/>
              </w:rPr>
              <w:t>批程序等信息，且该次新华文</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公司股票</w:t>
            </w:r>
          </w:p>
          <w:p>
            <w:pPr>
              <w:pStyle w:val="TableParagraph"/>
              <w:spacing w:line="260" w:lineRule="exact" w:before="24"/>
              <w:ind w:left="103" w:right="144"/>
              <w:jc w:val="left"/>
              <w:rPr>
                <w:rFonts w:ascii="宋体" w:hAnsi="宋体" w:cs="宋体" w:eastAsia="宋体" w:hint="default"/>
                <w:sz w:val="20"/>
                <w:szCs w:val="20"/>
              </w:rPr>
            </w:pPr>
            <w:r>
              <w:rPr>
                <w:rFonts w:ascii="宋体" w:hAnsi="宋体" w:cs="宋体" w:eastAsia="宋体" w:hint="default"/>
                <w:sz w:val="20"/>
                <w:szCs w:val="20"/>
              </w:rPr>
              <w:t>上市之日</w:t>
            </w:r>
            <w:r>
              <w:rPr>
                <w:rFonts w:ascii="宋体" w:hAnsi="宋体" w:cs="宋体" w:eastAsia="宋体" w:hint="default"/>
                <w:w w:val="99"/>
                <w:sz w:val="20"/>
                <w:szCs w:val="20"/>
              </w:rPr>
              <w:t> </w:t>
            </w:r>
            <w:r>
              <w:rPr>
                <w:rFonts w:ascii="宋体" w:hAnsi="宋体" w:cs="宋体" w:eastAsia="宋体" w:hint="default"/>
                <w:sz w:val="20"/>
                <w:szCs w:val="20"/>
              </w:rPr>
              <w:t>起</w:t>
            </w:r>
            <w:r>
              <w:rPr>
                <w:rFonts w:ascii="宋体" w:hAnsi="宋体" w:cs="宋体" w:eastAsia="宋体" w:hint="default"/>
                <w:spacing w:val="-51"/>
                <w:sz w:val="20"/>
                <w:szCs w:val="20"/>
              </w:rPr>
              <w:t> </w:t>
            </w:r>
            <w:r>
              <w:rPr>
                <w:rFonts w:ascii="宋体" w:hAnsi="宋体" w:cs="宋体" w:eastAsia="宋体" w:hint="default"/>
                <w:sz w:val="20"/>
                <w:szCs w:val="20"/>
              </w:rPr>
              <w:t>36</w:t>
            </w:r>
            <w:r>
              <w:rPr>
                <w:rFonts w:ascii="宋体" w:hAnsi="宋体" w:cs="宋体" w:eastAsia="宋体" w:hint="default"/>
                <w:spacing w:val="-50"/>
                <w:sz w:val="20"/>
                <w:szCs w:val="20"/>
              </w:rPr>
              <w:t> </w:t>
            </w:r>
            <w:r>
              <w:rPr>
                <w:rFonts w:ascii="宋体" w:hAnsi="宋体" w:cs="宋体" w:eastAsia="宋体" w:hint="default"/>
                <w:sz w:val="20"/>
                <w:szCs w:val="20"/>
              </w:rPr>
              <w:t>个月</w:t>
            </w:r>
            <w:r>
              <w:rPr>
                <w:rFonts w:ascii="宋体" w:hAnsi="宋体" w:cs="宋体" w:eastAsia="宋体" w:hint="default"/>
                <w:w w:val="99"/>
                <w:sz w:val="20"/>
                <w:szCs w:val="20"/>
              </w:rPr>
              <w:t> </w:t>
            </w:r>
            <w:r>
              <w:rPr>
                <w:rFonts w:ascii="宋体" w:hAnsi="宋体" w:cs="宋体" w:eastAsia="宋体" w:hint="default"/>
                <w:sz w:val="20"/>
                <w:szCs w:val="20"/>
              </w:rPr>
              <w:t>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060" w:bottom="1380" w:left="48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1308"/>
        <w:gridCol w:w="720"/>
        <w:gridCol w:w="1159"/>
        <w:gridCol w:w="2751"/>
        <w:gridCol w:w="1159"/>
        <w:gridCol w:w="866"/>
        <w:gridCol w:w="725"/>
        <w:gridCol w:w="725"/>
        <w:gridCol w:w="866"/>
      </w:tblGrid>
      <w:tr>
        <w:trPr>
          <w:trHeight w:val="264" w:hRule="exact"/>
        </w:trPr>
        <w:tc>
          <w:tcPr>
            <w:tcW w:w="1308"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159" w:type="dxa"/>
            <w:vMerge w:val="restart"/>
            <w:tcBorders>
              <w:top w:val="single" w:sz="4" w:space="0" w:color="000000"/>
              <w:left w:val="single" w:sz="4" w:space="0" w:color="000000"/>
              <w:right w:val="single" w:sz="4" w:space="0" w:color="000000"/>
            </w:tcBorders>
          </w:tcPr>
          <w:p>
            <w:pPr/>
          </w:p>
        </w:tc>
        <w:tc>
          <w:tcPr>
            <w:tcW w:w="2751"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轩用于回购股份的资金金额</w:t>
            </w:r>
          </w:p>
        </w:tc>
        <w:tc>
          <w:tcPr>
            <w:tcW w:w="1159"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不低于现金</w:t>
            </w:r>
            <w:r>
              <w:rPr>
                <w:rFonts w:ascii="宋体" w:hAnsi="宋体" w:cs="宋体" w:eastAsia="宋体" w:hint="default"/>
                <w:spacing w:val="-52"/>
                <w:sz w:val="20"/>
                <w:szCs w:val="20"/>
              </w:rPr>
              <w:t> </w:t>
            </w:r>
            <w:r>
              <w:rPr>
                <w:rFonts w:ascii="宋体" w:hAnsi="宋体" w:cs="宋体" w:eastAsia="宋体" w:hint="default"/>
                <w:sz w:val="20"/>
                <w:szCs w:val="20"/>
              </w:rPr>
              <w:t>1,000</w:t>
            </w:r>
            <w:r>
              <w:rPr>
                <w:rFonts w:ascii="宋体" w:hAnsi="宋体" w:cs="宋体" w:eastAsia="宋体" w:hint="default"/>
                <w:spacing w:val="-51"/>
                <w:sz w:val="20"/>
                <w:szCs w:val="20"/>
              </w:rPr>
              <w:t> </w:t>
            </w:r>
            <w:r>
              <w:rPr>
                <w:rFonts w:ascii="宋体" w:hAnsi="宋体" w:cs="宋体" w:eastAsia="宋体" w:hint="default"/>
                <w:sz w:val="20"/>
                <w:szCs w:val="20"/>
              </w:rPr>
              <w:t>万元人民</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币。</w:t>
            </w:r>
            <w:r>
              <w:rPr>
                <w:rFonts w:ascii="宋体" w:hAnsi="宋体" w:cs="宋体" w:eastAsia="宋体" w:hint="default"/>
                <w:spacing w:val="-5"/>
                <w:sz w:val="20"/>
                <w:szCs w:val="20"/>
              </w:rPr>
              <w:t>4.</w:t>
            </w:r>
            <w:r>
              <w:rPr>
                <w:rFonts w:ascii="宋体" w:hAnsi="宋体" w:cs="宋体" w:eastAsia="宋体" w:hint="default"/>
                <w:spacing w:val="-5"/>
                <w:sz w:val="20"/>
                <w:szCs w:val="20"/>
              </w:rPr>
              <w:t>如新华文轩董事会明确</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表示未有回购计划，或未如期</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公告前述</w:t>
            </w:r>
            <w:r>
              <w:rPr>
                <w:rFonts w:ascii="宋体" w:hAnsi="宋体" w:cs="宋体" w:eastAsia="宋体" w:hint="default"/>
                <w:spacing w:val="-52"/>
                <w:sz w:val="20"/>
                <w:szCs w:val="20"/>
              </w:rPr>
              <w:t> </w:t>
            </w:r>
            <w:r>
              <w:rPr>
                <w:rFonts w:ascii="宋体" w:hAnsi="宋体" w:cs="宋体" w:eastAsia="宋体" w:hint="default"/>
                <w:sz w:val="20"/>
                <w:szCs w:val="20"/>
              </w:rPr>
              <w:t>A</w:t>
            </w:r>
            <w:r>
              <w:rPr>
                <w:rFonts w:ascii="宋体" w:hAnsi="宋体" w:cs="宋体" w:eastAsia="宋体" w:hint="default"/>
                <w:spacing w:val="-52"/>
                <w:sz w:val="20"/>
                <w:szCs w:val="20"/>
              </w:rPr>
              <w:t> </w:t>
            </w:r>
            <w:r>
              <w:rPr>
                <w:rFonts w:ascii="宋体" w:hAnsi="宋体" w:cs="宋体" w:eastAsia="宋体" w:hint="default"/>
                <w:sz w:val="20"/>
                <w:szCs w:val="20"/>
              </w:rPr>
              <w:t>股股份回购计划，</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或因各种原因导致前述</w:t>
            </w:r>
            <w:r>
              <w:rPr>
                <w:rFonts w:ascii="宋体" w:hAnsi="宋体" w:cs="宋体" w:eastAsia="宋体" w:hint="default"/>
                <w:spacing w:val="-53"/>
                <w:sz w:val="20"/>
                <w:szCs w:val="20"/>
              </w:rPr>
              <w:t> </w:t>
            </w:r>
            <w:r>
              <w:rPr>
                <w:rFonts w:ascii="宋体" w:hAnsi="宋体" w:cs="宋体" w:eastAsia="宋体" w:hint="default"/>
                <w:sz w:val="20"/>
                <w:szCs w:val="20"/>
              </w:rPr>
              <w:t>A</w:t>
            </w:r>
            <w:r>
              <w:rPr>
                <w:rFonts w:ascii="宋体" w:hAnsi="宋体" w:cs="宋体" w:eastAsia="宋体" w:hint="default"/>
                <w:spacing w:val="-52"/>
                <w:sz w:val="20"/>
                <w:szCs w:val="20"/>
              </w:rPr>
              <w:t> </w:t>
            </w:r>
            <w:r>
              <w:rPr>
                <w:rFonts w:ascii="宋体" w:hAnsi="宋体" w:cs="宋体" w:eastAsia="宋体" w:hint="default"/>
                <w:sz w:val="20"/>
                <w:szCs w:val="20"/>
              </w:rPr>
              <w:t>股</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股份回购计划未能通过股东</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60"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大会或类别股东大会的，或前</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60"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述</w:t>
            </w:r>
            <w:r>
              <w:rPr>
                <w:rFonts w:ascii="宋体" w:hAnsi="宋体" w:cs="宋体" w:eastAsia="宋体" w:hint="default"/>
                <w:spacing w:val="-53"/>
                <w:sz w:val="20"/>
                <w:szCs w:val="20"/>
              </w:rPr>
              <w:t> </w:t>
            </w:r>
            <w:r>
              <w:rPr>
                <w:rFonts w:ascii="宋体" w:hAnsi="宋体" w:cs="宋体" w:eastAsia="宋体" w:hint="default"/>
                <w:sz w:val="20"/>
                <w:szCs w:val="20"/>
              </w:rPr>
              <w:t>A</w:t>
            </w:r>
            <w:r>
              <w:rPr>
                <w:rFonts w:ascii="宋体" w:hAnsi="宋体" w:cs="宋体" w:eastAsia="宋体" w:hint="default"/>
                <w:spacing w:val="-52"/>
                <w:sz w:val="20"/>
                <w:szCs w:val="20"/>
              </w:rPr>
              <w:t> </w:t>
            </w:r>
            <w:r>
              <w:rPr>
                <w:rFonts w:ascii="宋体" w:hAnsi="宋体" w:cs="宋体" w:eastAsia="宋体" w:hint="default"/>
                <w:sz w:val="20"/>
                <w:szCs w:val="20"/>
              </w:rPr>
              <w:t>股股份回购计划未能通</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过有权机关批准的，则在前述</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事项确定之日起十个交易日</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60"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内，新华文轩董事（不包括独</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60"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立董事，下同）、高级管理人</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员应无条件增持公司</w:t>
            </w:r>
            <w:r>
              <w:rPr>
                <w:rFonts w:ascii="宋体" w:hAnsi="宋体" w:cs="宋体" w:eastAsia="宋体" w:hint="default"/>
                <w:spacing w:val="-53"/>
                <w:sz w:val="20"/>
                <w:szCs w:val="20"/>
              </w:rPr>
              <w:t> </w:t>
            </w:r>
            <w:r>
              <w:rPr>
                <w:rFonts w:ascii="宋体" w:hAnsi="宋体" w:cs="宋体" w:eastAsia="宋体" w:hint="default"/>
                <w:sz w:val="20"/>
                <w:szCs w:val="20"/>
              </w:rPr>
              <w:t>A</w:t>
            </w:r>
            <w:r>
              <w:rPr>
                <w:rFonts w:ascii="宋体" w:hAnsi="宋体" w:cs="宋体" w:eastAsia="宋体" w:hint="default"/>
                <w:spacing w:val="-52"/>
                <w:sz w:val="20"/>
                <w:szCs w:val="20"/>
              </w:rPr>
              <w:t> </w:t>
            </w:r>
            <w:r>
              <w:rPr>
                <w:rFonts w:ascii="宋体" w:hAnsi="宋体" w:cs="宋体" w:eastAsia="宋体" w:hint="default"/>
                <w:sz w:val="20"/>
                <w:szCs w:val="20"/>
              </w:rPr>
              <w:t>股股</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票，并且各自累计增持金额不</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低于其上年度薪酬总额的</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15%</w:t>
            </w:r>
            <w:r>
              <w:rPr>
                <w:rFonts w:ascii="宋体" w:hAnsi="宋体" w:cs="宋体" w:eastAsia="宋体" w:hint="default"/>
                <w:sz w:val="20"/>
                <w:szCs w:val="20"/>
              </w:rPr>
              <w:t>。</w:t>
            </w:r>
            <w:r>
              <w:rPr>
                <w:rFonts w:ascii="宋体" w:hAnsi="宋体" w:cs="宋体" w:eastAsia="宋体" w:hint="default"/>
                <w:sz w:val="20"/>
                <w:szCs w:val="20"/>
              </w:rPr>
              <w:t>5.</w:t>
            </w:r>
            <w:r>
              <w:rPr>
                <w:rFonts w:ascii="宋体" w:hAnsi="宋体" w:cs="宋体" w:eastAsia="宋体" w:hint="default"/>
                <w:sz w:val="20"/>
                <w:szCs w:val="20"/>
              </w:rPr>
              <w:t>在履行完毕前述三项</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任一增持或回购措施后的一</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百二十个交易日内，四川新华</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发行集团、新华文轩、董事及</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高级管理人员的增持或回购</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60"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义务自动解除。从履行完毕前</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60"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述三项任一增持或回购措施</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后的第一百二十一个交易日</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pacing w:val="-10"/>
                <w:sz w:val="20"/>
                <w:szCs w:val="20"/>
              </w:rPr>
              <w:t>开始，如果公司</w:t>
            </w:r>
            <w:r>
              <w:rPr>
                <w:rFonts w:ascii="宋体" w:hAnsi="宋体" w:cs="宋体" w:eastAsia="宋体" w:hint="default"/>
                <w:spacing w:val="-50"/>
                <w:sz w:val="20"/>
                <w:szCs w:val="20"/>
              </w:rPr>
              <w:t> </w:t>
            </w:r>
            <w:r>
              <w:rPr>
                <w:rFonts w:ascii="宋体" w:hAnsi="宋体" w:cs="宋体" w:eastAsia="宋体" w:hint="default"/>
                <w:sz w:val="20"/>
                <w:szCs w:val="20"/>
              </w:rPr>
              <w:t>A</w:t>
            </w:r>
            <w:r>
              <w:rPr>
                <w:rFonts w:ascii="宋体" w:hAnsi="宋体" w:cs="宋体" w:eastAsia="宋体" w:hint="default"/>
                <w:spacing w:val="-49"/>
                <w:sz w:val="20"/>
                <w:szCs w:val="20"/>
              </w:rPr>
              <w:t> </w:t>
            </w:r>
            <w:r>
              <w:rPr>
                <w:rFonts w:ascii="宋体" w:hAnsi="宋体" w:cs="宋体" w:eastAsia="宋体" w:hint="default"/>
                <w:sz w:val="20"/>
                <w:szCs w:val="20"/>
              </w:rPr>
              <w:t>股股票收盘</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价格连续二十个交易日仍低</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于最近一期经审计的每股净</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资产，则四川新华发行集团、</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新华文轩、董事及高级管理人</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员的增持或回购义务将按照</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w w:val="99"/>
                <w:sz w:val="20"/>
                <w:szCs w:val="20"/>
              </w:rPr>
              <w:t>前述</w:t>
            </w:r>
            <w:r>
              <w:rPr>
                <w:rFonts w:ascii="宋体" w:hAnsi="宋体" w:cs="宋体" w:eastAsia="宋体" w:hint="default"/>
                <w:spacing w:val="-50"/>
                <w:sz w:val="20"/>
                <w:szCs w:val="20"/>
              </w:rPr>
              <w:t> </w:t>
            </w:r>
            <w:r>
              <w:rPr>
                <w:rFonts w:ascii="宋体" w:hAnsi="宋体" w:cs="宋体" w:eastAsia="宋体" w:hint="default"/>
                <w:spacing w:val="1"/>
                <w:w w:val="99"/>
                <w:sz w:val="20"/>
                <w:szCs w:val="20"/>
              </w:rPr>
              <w:t>1</w:t>
            </w:r>
            <w:r>
              <w:rPr>
                <w:rFonts w:ascii="宋体" w:hAnsi="宋体" w:cs="宋体" w:eastAsia="宋体" w:hint="default"/>
                <w:spacing w:val="-82"/>
                <w:w w:val="99"/>
                <w:sz w:val="20"/>
                <w:szCs w:val="20"/>
              </w:rPr>
              <w:t>、</w:t>
            </w:r>
            <w:r>
              <w:rPr>
                <w:rFonts w:ascii="宋体" w:hAnsi="宋体" w:cs="宋体" w:eastAsia="宋体" w:hint="default"/>
                <w:spacing w:val="1"/>
                <w:w w:val="99"/>
                <w:sz w:val="20"/>
                <w:szCs w:val="20"/>
              </w:rPr>
              <w:t>2</w:t>
            </w:r>
            <w:r>
              <w:rPr>
                <w:rFonts w:ascii="宋体" w:hAnsi="宋体" w:cs="宋体" w:eastAsia="宋体" w:hint="default"/>
                <w:spacing w:val="-82"/>
                <w:w w:val="99"/>
                <w:sz w:val="20"/>
                <w:szCs w:val="20"/>
              </w:rPr>
              <w:t>、</w:t>
            </w:r>
            <w:r>
              <w:rPr>
                <w:rFonts w:ascii="宋体" w:hAnsi="宋体" w:cs="宋体" w:eastAsia="宋体" w:hint="default"/>
                <w:w w:val="99"/>
                <w:sz w:val="20"/>
                <w:szCs w:val="20"/>
              </w:rPr>
              <w:t>3</w:t>
            </w:r>
            <w:r>
              <w:rPr>
                <w:rFonts w:ascii="宋体" w:hAnsi="宋体" w:cs="宋体" w:eastAsia="宋体" w:hint="default"/>
                <w:spacing w:val="-49"/>
                <w:sz w:val="20"/>
                <w:szCs w:val="20"/>
              </w:rPr>
              <w:t> </w:t>
            </w:r>
            <w:r>
              <w:rPr>
                <w:rFonts w:ascii="宋体" w:hAnsi="宋体" w:cs="宋体" w:eastAsia="宋体" w:hint="default"/>
                <w:w w:val="99"/>
                <w:sz w:val="20"/>
                <w:szCs w:val="20"/>
              </w:rPr>
              <w:t>的顺序自动</w:t>
            </w:r>
            <w:r>
              <w:rPr>
                <w:rFonts w:ascii="宋体" w:hAnsi="宋体" w:cs="宋体" w:eastAsia="宋体" w:hint="default"/>
                <w:spacing w:val="2"/>
                <w:w w:val="99"/>
                <w:sz w:val="20"/>
                <w:szCs w:val="20"/>
              </w:rPr>
              <w:t>产生</w:t>
            </w:r>
            <w:r>
              <w:rPr>
                <w:rFonts w:ascii="宋体" w:hAnsi="宋体" w:cs="宋体" w:eastAsia="宋体" w:hint="default"/>
                <w:w w:val="99"/>
                <w:sz w:val="20"/>
                <w:szCs w:val="20"/>
              </w:rPr>
              <w:t>。</w:t>
            </w:r>
            <w:r>
              <w:rPr>
                <w:rFonts w:ascii="宋体" w:hAnsi="宋体" w:cs="宋体" w:eastAsia="宋体" w:hint="default"/>
                <w:sz w:val="20"/>
                <w:szCs w:val="20"/>
              </w:rPr>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6.</w:t>
            </w:r>
            <w:r>
              <w:rPr>
                <w:rFonts w:ascii="宋体" w:hAnsi="宋体" w:cs="宋体" w:eastAsia="宋体" w:hint="default"/>
                <w:spacing w:val="-5"/>
                <w:sz w:val="20"/>
                <w:szCs w:val="20"/>
              </w:rPr>
              <w:t>四川新华发行集团、新华文</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轩、董事及高级管理人员在履</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行其增持或回购义务时，应遵</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守新华文轩股票上市地上市</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60"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规则及其他适用的监管规定</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61"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且满足新华文轩股票上市地</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60"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上市规则所要求的新华文轩</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股权分布比例并履行相应的</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信息披露义务。如因新华文轩</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股票上市地上市规则等证券</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监管法规的规定导致四川新</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华发行集团、新华文轩、董事</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及高级管理人员在一定时期</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内无法履行其增持或回购义</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务的，相关增持或回购履行期</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59" w:hRule="exact"/>
        </w:trPr>
        <w:tc>
          <w:tcPr>
            <w:tcW w:w="130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5"/>
                <w:sz w:val="20"/>
                <w:szCs w:val="20"/>
              </w:rPr>
              <w:t>间顺延，顺延期间亦应积极采</w:t>
            </w:r>
          </w:p>
        </w:tc>
        <w:tc>
          <w:tcPr>
            <w:tcW w:w="1159"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r>
      <w:tr>
        <w:trPr>
          <w:trHeight w:val="266" w:hRule="exact"/>
        </w:trPr>
        <w:tc>
          <w:tcPr>
            <w:tcW w:w="1308"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159" w:type="dxa"/>
            <w:vMerge/>
            <w:tcBorders>
              <w:left w:val="single" w:sz="4" w:space="0" w:color="000000"/>
              <w:bottom w:val="single" w:sz="4" w:space="0" w:color="000000"/>
              <w:right w:val="single" w:sz="4" w:space="0" w:color="000000"/>
            </w:tcBorders>
          </w:tcPr>
          <w:p>
            <w:pPr/>
          </w:p>
        </w:tc>
        <w:tc>
          <w:tcPr>
            <w:tcW w:w="2751"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取其他措施稳定股价。</w:t>
            </w:r>
          </w:p>
        </w:tc>
        <w:tc>
          <w:tcPr>
            <w:tcW w:w="1159"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195" w:top="1060" w:bottom="1380" w:left="48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pStyle w:val="Heading2"/>
        <w:tabs>
          <w:tab w:pos="706" w:val="left" w:leader="none"/>
        </w:tabs>
        <w:spacing w:line="264" w:lineRule="auto" w:before="36"/>
        <w:ind w:left="140" w:right="1088"/>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3" w:lineRule="exact"/>
        <w:ind w:left="140" w:right="117"/>
        <w:jc w:val="left"/>
      </w:pPr>
      <w:r>
        <w:rPr/>
        <w:t>□已达到 □未达到</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06" w:val="left" w:leader="none"/>
        </w:tabs>
        <w:spacing w:line="240" w:lineRule="auto"/>
        <w:ind w:left="140" w:right="117"/>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29"/>
        <w:ind w:left="140" w:right="11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40" w:right="117"/>
        <w:jc w:val="left"/>
        <w:rPr>
          <w:b w:val="0"/>
          <w:bCs w:val="0"/>
        </w:rPr>
      </w:pPr>
      <w:r>
        <w:rPr/>
        <w:t>三、报告期内资金被占用情况及清欠进展情况</w:t>
      </w:r>
      <w:r>
        <w:rPr>
          <w:b w:val="0"/>
          <w:bCs w:val="0"/>
        </w:rPr>
      </w:r>
    </w:p>
    <w:p>
      <w:pPr>
        <w:spacing w:line="290" w:lineRule="auto" w:before="58"/>
        <w:ind w:left="140" w:right="254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5"/>
        <w:ind w:left="140" w:right="117"/>
        <w:jc w:val="left"/>
      </w:pPr>
      <w:r>
        <w:rPr/>
        <w:t>□适用 √不适用</w:t>
      </w:r>
    </w:p>
    <w:p>
      <w:pPr>
        <w:spacing w:line="240" w:lineRule="auto" w:before="0"/>
        <w:rPr>
          <w:rFonts w:ascii="宋体" w:hAnsi="宋体" w:cs="宋体" w:eastAsia="宋体" w:hint="default"/>
          <w:sz w:val="25"/>
          <w:szCs w:val="25"/>
        </w:rPr>
      </w:pPr>
    </w:p>
    <w:p>
      <w:pPr>
        <w:pStyle w:val="Heading2"/>
        <w:spacing w:line="240" w:lineRule="auto"/>
        <w:ind w:left="140" w:right="117"/>
        <w:jc w:val="left"/>
        <w:rPr>
          <w:b w:val="0"/>
          <w:bCs w:val="0"/>
        </w:rPr>
      </w:pPr>
      <w:r>
        <w:rPr/>
        <w:t>五、公司对会计政策、会计估计变更或重大会计差错更正原因和影响的分析说明</w:t>
      </w:r>
      <w:r>
        <w:rPr>
          <w:b w:val="0"/>
          <w:bCs w:val="0"/>
        </w:rPr>
      </w:r>
    </w:p>
    <w:p>
      <w:pPr>
        <w:pStyle w:val="Heading2"/>
        <w:tabs>
          <w:tab w:pos="980" w:val="left" w:leader="none"/>
        </w:tabs>
        <w:spacing w:line="240" w:lineRule="auto" w:before="58"/>
        <w:ind w:left="140" w:right="117"/>
        <w:jc w:val="left"/>
        <w:rPr>
          <w:b w:val="0"/>
          <w:bCs w:val="0"/>
        </w:rPr>
      </w:pPr>
      <w:r>
        <w:rPr/>
        <w:t>（一）</w:t>
        <w:tab/>
        <w:t>公司对会计政策、会计估计变更原因及影响的分析说明</w:t>
      </w:r>
      <w:r>
        <w:rPr>
          <w:b w:val="0"/>
          <w:bCs w:val="0"/>
        </w:rPr>
      </w:r>
    </w:p>
    <w:p>
      <w:pPr>
        <w:pStyle w:val="BodyText"/>
        <w:tabs>
          <w:tab w:pos="982" w:val="left" w:leader="none"/>
        </w:tabs>
        <w:spacing w:line="240" w:lineRule="auto" w:before="56"/>
        <w:ind w:left="560" w:right="7561" w:hanging="420"/>
        <w:jc w:val="left"/>
      </w:pPr>
      <w:r>
        <w:rPr/>
        <w:t>√适用</w:t>
        <w:tab/>
      </w:r>
      <w:r>
        <w:rPr>
          <w:spacing w:val="-2"/>
        </w:rPr>
        <w:t>□不适用</w:t>
      </w:r>
      <w:r>
        <w:rPr>
          <w:spacing w:val="-99"/>
        </w:rPr>
        <w:t> </w:t>
      </w:r>
      <w:r>
        <w:rPr>
          <w:spacing w:val="-99"/>
        </w:rPr>
      </w:r>
      <w:r>
        <w:rPr>
          <w:rFonts w:ascii="宋体" w:hAnsi="宋体" w:cs="宋体" w:eastAsia="宋体" w:hint="default"/>
        </w:rPr>
        <w:t>1</w:t>
      </w:r>
      <w:r>
        <w:rPr/>
        <w:t>、收入准则</w:t>
      </w:r>
    </w:p>
    <w:p>
      <w:pPr>
        <w:pStyle w:val="BodyText"/>
        <w:spacing w:line="357" w:lineRule="auto" w:before="133"/>
        <w:ind w:left="140" w:right="117" w:firstLine="420"/>
        <w:jc w:val="left"/>
      </w:pPr>
      <w:r>
        <w:rPr/>
        <w:t>本集团自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日起执行财政部于</w:t>
      </w:r>
      <w:r>
        <w:rPr>
          <w:rFonts w:ascii="宋体" w:hAnsi="宋体" w:cs="宋体" w:eastAsia="宋体" w:hint="default"/>
        </w:rPr>
        <w:t>2017</w:t>
      </w:r>
      <w:r>
        <w:rPr/>
        <w:t>年修订的《企业会计准则第</w:t>
      </w:r>
      <w:r>
        <w:rPr>
          <w:rFonts w:ascii="宋体" w:hAnsi="宋体" w:cs="宋体" w:eastAsia="宋体" w:hint="default"/>
        </w:rPr>
        <w:t>14</w:t>
      </w:r>
      <w:r>
        <w:rPr/>
        <w:t>号—收入》</w:t>
      </w:r>
      <w:r>
        <w:rPr>
          <w:rFonts w:ascii="宋体" w:hAnsi="宋体" w:cs="宋体" w:eastAsia="宋体" w:hint="default"/>
        </w:rPr>
        <w:t>(</w:t>
      </w:r>
      <w:r>
        <w:rPr/>
        <w:t>以下简</w:t>
      </w:r>
      <w:r>
        <w:rPr>
          <w:w w:val="100"/>
        </w:rPr>
        <w:t> </w:t>
      </w:r>
      <w:r>
        <w:rPr/>
        <w:t>称“新收入准则”，修订前的收入准则简称“原收入准则”)。新收入准则引入了收入确认计量的</w:t>
      </w:r>
      <w:r>
        <w:rPr>
          <w:rFonts w:ascii="宋体" w:hAnsi="宋体" w:cs="宋体" w:eastAsia="宋体" w:hint="default"/>
        </w:rPr>
        <w:t>5</w:t>
      </w:r>
      <w:r>
        <w:rPr>
          <w:rFonts w:ascii="宋体" w:hAnsi="宋体" w:cs="宋体" w:eastAsia="宋体" w:hint="default"/>
          <w:w w:val="100"/>
        </w:rPr>
        <w:t> </w:t>
      </w:r>
      <w:r>
        <w:rPr/>
        <w:t>步法，并针对特定交易</w:t>
      </w:r>
      <w:r>
        <w:rPr>
          <w:rFonts w:ascii="宋体" w:hAnsi="宋体" w:cs="宋体" w:eastAsia="宋体" w:hint="default"/>
        </w:rPr>
        <w:t>(</w:t>
      </w:r>
      <w:r>
        <w:rPr/>
        <w:t>或事项</w:t>
      </w:r>
      <w:r>
        <w:rPr>
          <w:rFonts w:ascii="宋体" w:hAnsi="宋体" w:cs="宋体" w:eastAsia="宋体" w:hint="default"/>
        </w:rPr>
        <w:t>)</w:t>
      </w:r>
      <w:r>
        <w:rPr/>
        <w:t>增加了更多的指引。新收入准则要求首次执行该准则的累积影响数</w:t>
      </w:r>
      <w:r>
        <w:rPr>
          <w:w w:val="100"/>
        </w:rPr>
        <w:t> </w:t>
      </w:r>
      <w:r>
        <w:rPr/>
        <w:t>调整首次执行当期期初</w:t>
      </w:r>
      <w:r>
        <w:rPr>
          <w:rFonts w:ascii="宋体" w:hAnsi="宋体" w:cs="宋体" w:eastAsia="宋体" w:hint="default"/>
        </w:rPr>
        <w:t>(</w:t>
      </w:r>
      <w:r>
        <w:rPr/>
        <w:t>即</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w:t>
      </w:r>
      <w:r>
        <w:rPr>
          <w:rFonts w:ascii="宋体" w:hAnsi="宋体" w:cs="宋体" w:eastAsia="宋体" w:hint="default"/>
        </w:rPr>
        <w:t>)</w:t>
      </w:r>
      <w:r>
        <w:rPr/>
        <w:t>留存收益及财务报表其他相关项目金额，对可比期间信息</w:t>
      </w:r>
      <w:r>
        <w:rPr>
          <w:w w:val="100"/>
        </w:rPr>
        <w:t> </w:t>
      </w:r>
      <w:r>
        <w:rPr/>
        <w:t>不予调整。在执行新收入准则时，本集团仅对首次执行日尚未完成的合同的累计影响数进行调整。</w:t>
      </w:r>
    </w:p>
    <w:p>
      <w:pPr>
        <w:pStyle w:val="BodyText"/>
        <w:spacing w:line="355" w:lineRule="auto" w:before="30"/>
        <w:ind w:left="140" w:right="205" w:firstLine="420"/>
        <w:jc w:val="left"/>
      </w:pPr>
      <w:r>
        <w:rPr>
          <w:rFonts w:ascii="宋体" w:hAnsi="宋体" w:cs="宋体" w:eastAsia="宋体" w:hint="default"/>
        </w:rPr>
        <w:t>(1)</w:t>
      </w:r>
      <w:r>
        <w:rPr>
          <w:rFonts w:ascii="宋体" w:hAnsi="宋体" w:cs="宋体" w:eastAsia="宋体" w:hint="default"/>
          <w:spacing w:val="-9"/>
        </w:rPr>
        <w:t> </w:t>
      </w:r>
      <w:r>
        <w:rPr/>
        <w:t>除了提供了更广泛的收入交易的披露外，执行新收入准则对本集团本年年初合并资产负债</w:t>
      </w:r>
      <w:r>
        <w:rPr>
          <w:w w:val="100"/>
        </w:rPr>
        <w:t> </w:t>
      </w:r>
      <w:r>
        <w:rPr/>
        <w:t>表相关项目的影响列示如下：</w:t>
      </w:r>
    </w:p>
    <w:p>
      <w:pPr>
        <w:pStyle w:val="BodyText"/>
        <w:tabs>
          <w:tab w:pos="1051" w:val="left" w:leader="none"/>
        </w:tabs>
        <w:spacing w:line="240" w:lineRule="auto" w:before="34"/>
        <w:ind w:left="0" w:right="527"/>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200" w:type="dxa"/>
        <w:tblLayout w:type="fixed"/>
        <w:tblCellMar>
          <w:top w:w="0" w:type="dxa"/>
          <w:left w:w="0" w:type="dxa"/>
          <w:bottom w:w="0" w:type="dxa"/>
          <w:right w:w="0" w:type="dxa"/>
        </w:tblCellMar>
        <w:tblLook w:val="01E0"/>
      </w:tblPr>
      <w:tblGrid>
        <w:gridCol w:w="1848"/>
        <w:gridCol w:w="812"/>
        <w:gridCol w:w="2126"/>
        <w:gridCol w:w="1985"/>
        <w:gridCol w:w="2127"/>
      </w:tblGrid>
      <w:tr>
        <w:trPr>
          <w:trHeight w:val="28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1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重分类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1,184,329,531.05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42,946,827.33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1,227,276,358.38</w:t>
            </w:r>
          </w:p>
        </w:tc>
      </w:tr>
      <w:tr>
        <w:trPr>
          <w:trHeight w:val="28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321,443,922.21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321,443,922.21</w:t>
            </w: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310,646,140.33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(310,646,140.33)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11,891,779.02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42,946,827.33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54,838,606.35</w:t>
            </w: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102,969,706.98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(10,797,781.88)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92,171,925.10</w:t>
            </w:r>
          </w:p>
        </w:tc>
      </w:tr>
    </w:tbl>
    <w:p>
      <w:pPr>
        <w:pStyle w:val="BodyText"/>
        <w:spacing w:line="241" w:lineRule="exact"/>
        <w:ind w:left="140" w:right="117" w:firstLine="420"/>
        <w:jc w:val="left"/>
      </w:pPr>
      <w:r>
        <w:rPr/>
        <w:t>注</w:t>
      </w:r>
      <w:r>
        <w:rPr>
          <w:rFonts w:ascii="宋体" w:hAnsi="宋体" w:cs="宋体" w:eastAsia="宋体" w:hint="default"/>
        </w:rPr>
        <w:t>1</w:t>
      </w:r>
      <w:r>
        <w:rPr/>
        <w:t>：本集团根据新收入准则，对附退货条款的销售，按照预期因销售退回将退还的金额确认</w:t>
      </w:r>
    </w:p>
    <w:p>
      <w:pPr>
        <w:pStyle w:val="BodyText"/>
        <w:spacing w:line="357" w:lineRule="auto" w:before="133"/>
        <w:ind w:left="140" w:right="117"/>
        <w:jc w:val="left"/>
      </w:pPr>
      <w:r>
        <w:rPr/>
        <w:t>负债；同时，按照预期将退回商品转让时的账面价值，扣除收回该商品预计发生的成本</w:t>
      </w:r>
      <w:r>
        <w:rPr>
          <w:rFonts w:ascii="宋体" w:hAnsi="宋体" w:cs="宋体" w:eastAsia="宋体" w:hint="default"/>
        </w:rPr>
        <w:t>(</w:t>
      </w:r>
      <w:r>
        <w:rPr/>
        <w:t>包括退回</w:t>
      </w:r>
      <w:r>
        <w:rPr>
          <w:w w:val="100"/>
        </w:rPr>
        <w:t> </w:t>
      </w:r>
      <w:r>
        <w:rPr/>
        <w:t>商品的价值减损</w:t>
      </w:r>
      <w:r>
        <w:rPr>
          <w:rFonts w:ascii="宋体" w:hAnsi="宋体" w:cs="宋体" w:eastAsia="宋体" w:hint="default"/>
        </w:rPr>
        <w:t>)</w:t>
      </w:r>
      <w:r>
        <w:rPr/>
        <w:t>后的余额，确认为一项资产。而按原收入准则，本集团并未将预期将退回商品确</w:t>
      </w:r>
      <w:r>
        <w:rPr>
          <w:w w:val="100"/>
        </w:rPr>
        <w:t> </w:t>
      </w:r>
      <w:r>
        <w:rPr>
          <w:spacing w:val="-2"/>
        </w:rPr>
        <w:t>认为一项资产。新收入准则与原收入准则的差异调整增加其他流动资产</w:t>
      </w:r>
      <w:r>
        <w:rPr>
          <w:rFonts w:ascii="宋体" w:hAnsi="宋体" w:cs="宋体" w:eastAsia="宋体" w:hint="default"/>
          <w:spacing w:val="-2"/>
        </w:rPr>
        <w:t>(</w:t>
      </w:r>
      <w:r>
        <w:rPr>
          <w:spacing w:val="-2"/>
        </w:rPr>
        <w:t>应收退货成本</w:t>
      </w:r>
      <w:r>
        <w:rPr>
          <w:rFonts w:ascii="宋体" w:hAnsi="宋体" w:cs="宋体" w:eastAsia="宋体" w:hint="default"/>
          <w:spacing w:val="-2"/>
        </w:rPr>
        <w:t>)</w:t>
      </w:r>
      <w:r>
        <w:rPr>
          <w:spacing w:val="-2"/>
        </w:rPr>
        <w:t>和预计负债</w:t>
      </w:r>
      <w:r>
        <w:rPr>
          <w:spacing w:val="-31"/>
        </w:rPr>
        <w:t> </w:t>
      </w:r>
      <w:r>
        <w:rPr>
          <w:spacing w:val="-31"/>
        </w:rPr>
      </w:r>
      <w:r>
        <w:rPr>
          <w:rFonts w:ascii="宋体" w:hAnsi="宋体" w:cs="宋体" w:eastAsia="宋体" w:hint="default"/>
        </w:rPr>
        <w:t>(</w:t>
      </w:r>
      <w:r>
        <w:rPr/>
        <w:t>应付退货款</w:t>
      </w:r>
      <w:r>
        <w:rPr>
          <w:rFonts w:ascii="宋体" w:hAnsi="宋体" w:cs="宋体" w:eastAsia="宋体" w:hint="default"/>
        </w:rPr>
        <w:t>)</w:t>
      </w:r>
      <w:r>
        <w:rPr/>
        <w:t>。</w:t>
      </w:r>
    </w:p>
    <w:p>
      <w:pPr>
        <w:pStyle w:val="BodyText"/>
        <w:spacing w:line="240" w:lineRule="auto" w:before="30"/>
        <w:ind w:left="560" w:right="117"/>
        <w:jc w:val="left"/>
      </w:pPr>
      <w:r>
        <w:rPr/>
        <w:t>注</w:t>
      </w:r>
      <w:r>
        <w:rPr>
          <w:rFonts w:ascii="宋体" w:hAnsi="宋体" w:cs="宋体" w:eastAsia="宋体" w:hint="default"/>
        </w:rPr>
        <w:t>2</w:t>
      </w:r>
      <w:r>
        <w:rPr/>
        <w:t>：本集团根据新收入准则，将原计入预收款项的预收商品款和原计入递延收益的会员卡积</w:t>
      </w:r>
    </w:p>
    <w:p>
      <w:pPr>
        <w:spacing w:after="0" w:line="240" w:lineRule="auto"/>
        <w:jc w:val="left"/>
        <w:sectPr>
          <w:pgSz w:w="11910" w:h="16840"/>
          <w:pgMar w:header="0" w:footer="1195" w:top="1060" w:bottom="1380" w:left="13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6"/>
        <w:ind w:right="205"/>
        <w:jc w:val="left"/>
      </w:pPr>
      <w:r>
        <w:rPr/>
        <w:t>分重分类至合同负债。</w:t>
      </w:r>
      <w:r>
        <w:rPr>
          <w:w w:val="100"/>
        </w:rPr>
        <w:t> </w:t>
      </w:r>
      <w:r>
        <w:rPr>
          <w:spacing w:val="-2"/>
        </w:rPr>
        <w:t>与原收入准则相比，执行新收入准则对当期财务报表相关项目的影响列示如下：</w:t>
      </w:r>
    </w:p>
    <w:p>
      <w:pPr>
        <w:pStyle w:val="BodyText"/>
        <w:spacing w:line="355" w:lineRule="auto" w:before="32"/>
        <w:ind w:left="640" w:right="1040"/>
        <w:jc w:val="left"/>
      </w:pPr>
      <w:r>
        <w:rPr>
          <w:rFonts w:ascii="宋体" w:hAnsi="宋体" w:cs="宋体" w:eastAsia="宋体" w:hint="default"/>
        </w:rPr>
        <w:t>(2)</w:t>
      </w:r>
      <w:r>
        <w:rPr>
          <w:rFonts w:ascii="宋体" w:hAnsi="宋体" w:cs="宋体" w:eastAsia="宋体" w:hint="default"/>
          <w:spacing w:val="-4"/>
        </w:rPr>
        <w:t> </w:t>
      </w:r>
      <w:r>
        <w:rPr/>
        <w:t>与原收入准则相比，执行新收入准则对当期财务报表相关项目的影响列示如下：</w:t>
      </w:r>
      <w:r>
        <w:rPr>
          <w:w w:val="100"/>
        </w:rPr>
        <w:t> </w:t>
      </w:r>
      <w:r>
        <w:rPr/>
        <w:t>资产负债表</w:t>
      </w:r>
    </w:p>
    <w:p>
      <w:pPr>
        <w:pStyle w:val="BodyText"/>
        <w:tabs>
          <w:tab w:pos="1051" w:val="left" w:leader="none"/>
        </w:tabs>
        <w:spacing w:line="240" w:lineRule="auto" w:before="34"/>
        <w:ind w:left="0" w:right="213"/>
        <w:jc w:val="right"/>
      </w:pPr>
      <w:r>
        <w:rPr>
          <w:spacing w:val="-1"/>
        </w:rPr>
        <w:t>单位：元</w:t>
        <w:tab/>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311"/>
        <w:gridCol w:w="2309"/>
        <w:gridCol w:w="2312"/>
        <w:gridCol w:w="2312"/>
      </w:tblGrid>
      <w:tr>
        <w:trPr>
          <w:trHeight w:val="554"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18" w:right="0"/>
              <w:jc w:val="left"/>
              <w:rPr>
                <w:rFonts w:ascii="宋体" w:hAnsi="宋体" w:cs="宋体" w:eastAsia="宋体" w:hint="default"/>
                <w:sz w:val="21"/>
                <w:szCs w:val="21"/>
              </w:rPr>
            </w:pPr>
            <w:r>
              <w:rPr>
                <w:rFonts w:ascii="宋体" w:hAnsi="宋体" w:cs="宋体" w:eastAsia="宋体" w:hint="default"/>
                <w:sz w:val="21"/>
                <w:szCs w:val="21"/>
              </w:rPr>
              <w:t>新收入准则下</w:t>
            </w:r>
          </w:p>
          <w:p>
            <w:pPr>
              <w:pStyle w:val="TableParagraph"/>
              <w:spacing w:line="273" w:lineRule="exact"/>
              <w:ind w:left="28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调整</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原收入准则下</w:t>
            </w:r>
          </w:p>
          <w:p>
            <w:pPr>
              <w:pStyle w:val="TableParagraph"/>
              <w:spacing w:line="273" w:lineRule="exact"/>
              <w:ind w:left="28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309"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70,874,065.89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(37,695,738.35)</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33,178,327.54</w:t>
            </w:r>
          </w:p>
        </w:tc>
      </w:tr>
      <w:tr>
        <w:trPr>
          <w:trHeight w:val="283"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309"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338,681,880.89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(338,681,880.89)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1"/>
              <w:jc w:val="right"/>
              <w:rPr>
                <w:rFonts w:ascii="宋体" w:hAnsi="宋体" w:cs="宋体" w:eastAsia="宋体" w:hint="default"/>
                <w:sz w:val="21"/>
                <w:szCs w:val="21"/>
              </w:rPr>
            </w:pPr>
            <w:r>
              <w:rPr>
                <w:rFonts w:ascii="宋体"/>
                <w:w w:val="100"/>
                <w:sz w:val="21"/>
              </w:rPr>
              <w:t>-</w:t>
            </w:r>
          </w:p>
        </w:tc>
      </w:tr>
      <w:tr>
        <w:trPr>
          <w:trHeight w:val="281"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1"/>
              <w:jc w:val="right"/>
              <w:rPr>
                <w:rFonts w:ascii="宋体" w:hAnsi="宋体" w:cs="宋体" w:eastAsia="宋体" w:hint="default"/>
                <w:sz w:val="21"/>
                <w:szCs w:val="21"/>
              </w:rPr>
            </w:pPr>
            <w:r>
              <w:rPr>
                <w:rFonts w:ascii="宋体"/>
                <w:w w:val="100"/>
                <w:sz w:val="21"/>
              </w:rPr>
              <w:t>-</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325,898,982.87</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325,898,982.87</w:t>
            </w:r>
          </w:p>
        </w:tc>
      </w:tr>
      <w:tr>
        <w:trPr>
          <w:trHeight w:val="283"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48,879,492.72</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(37,695,738.35)</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11,183,754.37</w:t>
            </w:r>
          </w:p>
        </w:tc>
      </w:tr>
      <w:tr>
        <w:trPr>
          <w:trHeight w:val="283"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98,377,250.58</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12,782,898.02</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111,160,148.60</w:t>
            </w:r>
          </w:p>
        </w:tc>
      </w:tr>
    </w:tbl>
    <w:p>
      <w:pPr>
        <w:spacing w:line="240" w:lineRule="auto" w:before="5"/>
        <w:rPr>
          <w:rFonts w:ascii="宋体" w:hAnsi="宋体" w:cs="宋体" w:eastAsia="宋体" w:hint="default"/>
          <w:sz w:val="15"/>
          <w:szCs w:val="15"/>
        </w:rPr>
      </w:pPr>
    </w:p>
    <w:p>
      <w:pPr>
        <w:pStyle w:val="BodyText"/>
        <w:spacing w:line="240" w:lineRule="auto" w:before="36"/>
        <w:ind w:left="640" w:right="205"/>
        <w:jc w:val="left"/>
      </w:pPr>
      <w:r>
        <w:rPr/>
        <w:t>与原收入准则相比，执行新收入准则对当期利润表无影响。</w:t>
      </w:r>
    </w:p>
    <w:p>
      <w:pPr>
        <w:spacing w:line="240" w:lineRule="auto" w:before="0"/>
        <w:rPr>
          <w:rFonts w:ascii="宋体" w:hAnsi="宋体" w:cs="宋体" w:eastAsia="宋体" w:hint="default"/>
          <w:sz w:val="20"/>
          <w:szCs w:val="20"/>
        </w:rPr>
      </w:pPr>
    </w:p>
    <w:p>
      <w:pPr>
        <w:pStyle w:val="BodyText"/>
        <w:spacing w:line="355" w:lineRule="auto" w:before="145"/>
        <w:ind w:left="640" w:right="107" w:firstLine="4"/>
        <w:jc w:val="left"/>
      </w:pPr>
      <w:r>
        <w:rPr>
          <w:rFonts w:ascii="宋体" w:hAnsi="宋体" w:cs="宋体" w:eastAsia="宋体" w:hint="default"/>
        </w:rPr>
        <w:t>2</w:t>
      </w:r>
      <w:r>
        <w:rPr/>
        <w:t>、金融工具准则</w:t>
      </w:r>
      <w:r>
        <w:rPr>
          <w:w w:val="100"/>
        </w:rPr>
        <w:t> </w:t>
      </w:r>
      <w:r>
        <w:rPr/>
        <w:t>本集团自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日起执行财政部修订的《企业会计准则第</w:t>
      </w:r>
      <w:r>
        <w:rPr>
          <w:rFonts w:ascii="宋体" w:hAnsi="宋体" w:cs="宋体" w:eastAsia="宋体" w:hint="default"/>
        </w:rPr>
        <w:t>22</w:t>
      </w:r>
      <w:r>
        <w:rPr/>
        <w:t>号—金融工具确认和计量》、</w:t>
      </w:r>
    </w:p>
    <w:p>
      <w:pPr>
        <w:pStyle w:val="BodyText"/>
        <w:spacing w:line="355" w:lineRule="auto" w:before="32"/>
        <w:ind w:right="205"/>
        <w:jc w:val="left"/>
      </w:pPr>
      <w:r>
        <w:rPr>
          <w:spacing w:val="-2"/>
        </w:rPr>
        <w:t>《企业会计准则第</w:t>
      </w:r>
      <w:r>
        <w:rPr>
          <w:rFonts w:ascii="宋体" w:hAnsi="宋体" w:cs="宋体" w:eastAsia="宋体" w:hint="default"/>
          <w:spacing w:val="-2"/>
        </w:rPr>
        <w:t>23</w:t>
      </w:r>
      <w:r>
        <w:rPr>
          <w:spacing w:val="-2"/>
        </w:rPr>
        <w:t>号—金融资产转移》、《企业会计准则第</w:t>
      </w:r>
      <w:r>
        <w:rPr>
          <w:rFonts w:ascii="宋体" w:hAnsi="宋体" w:cs="宋体" w:eastAsia="宋体" w:hint="default"/>
          <w:spacing w:val="-2"/>
        </w:rPr>
        <w:t>24</w:t>
      </w:r>
      <w:r>
        <w:rPr>
          <w:spacing w:val="-2"/>
        </w:rPr>
        <w:t>号—套期会计》和《企业会计准则</w:t>
      </w:r>
      <w:r>
        <w:rPr>
          <w:spacing w:val="-27"/>
        </w:rPr>
        <w:t> </w:t>
      </w:r>
      <w:r>
        <w:rPr>
          <w:spacing w:val="-27"/>
        </w:rPr>
      </w:r>
      <w:r>
        <w:rPr/>
        <w:t>第</w:t>
      </w:r>
      <w:r>
        <w:rPr>
          <w:rFonts w:ascii="宋体" w:hAnsi="宋体" w:cs="宋体" w:eastAsia="宋体" w:hint="default"/>
        </w:rPr>
        <w:t>37</w:t>
      </w:r>
      <w:r>
        <w:rPr/>
        <w:t>号—金融工具列报》</w:t>
      </w:r>
      <w:r>
        <w:rPr>
          <w:rFonts w:ascii="宋体" w:hAnsi="宋体" w:cs="宋体" w:eastAsia="宋体" w:hint="default"/>
        </w:rPr>
        <w:t>(</w:t>
      </w:r>
      <w:r>
        <w:rPr/>
        <w:t>以下简称“新金融工具准则”)。</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7" w:lineRule="auto"/>
        <w:ind w:right="205" w:firstLine="420"/>
        <w:jc w:val="left"/>
      </w:pPr>
      <w:r>
        <w:rPr>
          <w:spacing w:val="-2"/>
        </w:rPr>
        <w:t>金融资产分类与计量方面，新金融工具准则要求金融资产基于其合同现金流量特征及企业管理</w:t>
      </w:r>
      <w:r>
        <w:rPr>
          <w:w w:val="100"/>
        </w:rPr>
        <w:t> </w:t>
      </w:r>
      <w:r>
        <w:rPr>
          <w:spacing w:val="-2"/>
        </w:rPr>
        <w:t>该等资产的业务模式分类为“以摊余成本计量的金融资产”、“以公允价值计量且其变动计入其他</w:t>
      </w:r>
      <w:r>
        <w:rPr>
          <w:spacing w:val="-34"/>
        </w:rPr>
        <w:t> </w:t>
      </w:r>
      <w:r>
        <w:rPr>
          <w:spacing w:val="-34"/>
        </w:rPr>
      </w:r>
      <w:r>
        <w:rPr>
          <w:spacing w:val="-2"/>
        </w:rPr>
        <w:t>综合收益的金融资产”和“以公允价值计量且其变动计入当期损益的金融资产”三大类别。取消了</w:t>
      </w:r>
      <w:r>
        <w:rPr>
          <w:spacing w:val="-34"/>
        </w:rPr>
        <w:t> </w:t>
      </w:r>
      <w:r>
        <w:rPr>
          <w:spacing w:val="-34"/>
        </w:rPr>
      </w:r>
      <w:r>
        <w:rPr>
          <w:spacing w:val="-2"/>
        </w:rPr>
        <w:t>贷款和应收款项、持有至到期投资和可供出售金融资产等原分类。权益工具投资一般分类为以公允</w:t>
      </w:r>
      <w:r>
        <w:rPr>
          <w:spacing w:val="-30"/>
        </w:rPr>
        <w:t> </w:t>
      </w:r>
      <w:r>
        <w:rPr>
          <w:spacing w:val="-30"/>
        </w:rPr>
      </w:r>
      <w:r>
        <w:rPr/>
        <w:t>价值计量且其变动计入当期损益的金融资产，</w:t>
      </w:r>
      <w:r>
        <w:rPr>
          <w:spacing w:val="-4"/>
        </w:rPr>
        <w:t> </w:t>
      </w:r>
      <w:r>
        <w:rPr/>
        <w:t>也允许企业将非交易性权益工具投资指定为以公允</w:t>
      </w:r>
      <w:r>
        <w:rPr>
          <w:w w:val="100"/>
        </w:rPr>
        <w:t> </w:t>
      </w:r>
      <w:r>
        <w:rPr>
          <w:spacing w:val="-2"/>
        </w:rPr>
        <w:t>价值计量且其变动计入其他综合收益的金融资产，但该指定不可撤销，且在处置时不得将原计入其</w:t>
      </w:r>
      <w:r>
        <w:rPr>
          <w:spacing w:val="-29"/>
        </w:rPr>
        <w:t> </w:t>
      </w:r>
      <w:r>
        <w:rPr>
          <w:spacing w:val="-29"/>
        </w:rPr>
      </w:r>
      <w:r>
        <w:rPr/>
        <w:t>他综合收益的累计公允价值变动额结转计入当期损益。</w:t>
      </w:r>
    </w:p>
    <w:p>
      <w:pPr>
        <w:pStyle w:val="BodyText"/>
        <w:spacing w:line="357" w:lineRule="auto" w:before="30"/>
        <w:ind w:right="110" w:firstLine="420"/>
        <w:jc w:val="both"/>
      </w:pPr>
      <w:r>
        <w:rPr/>
        <w:t>金融资产减值方面，新金融工具准则有关减值的要求适用于以摊余成本计量以及以分类为公允</w:t>
      </w:r>
      <w:r>
        <w:rPr>
          <w:w w:val="100"/>
        </w:rPr>
        <w:t> </w:t>
      </w:r>
      <w:r>
        <w:rPr/>
        <w:t>价值计量且其变动计入其他综合收益的金融资产、租赁应收款、应收账款、合同资产以及特定未提</w:t>
      </w:r>
      <w:r>
        <w:rPr>
          <w:w w:val="100"/>
        </w:rPr>
        <w:t> </w:t>
      </w:r>
      <w:r>
        <w:rPr/>
        <w:t>用的贷款承诺和财务担保合同。新金融工具准则要求采用预期信用损失模型以替代原先的已发生信</w:t>
      </w:r>
      <w:r>
        <w:rPr>
          <w:w w:val="100"/>
        </w:rPr>
        <w:t> </w:t>
      </w:r>
      <w:r>
        <w:rPr/>
        <w:t>用损失模型。新减值模型要求采用三阶段模型，依据相关项目自初始确认后信用风险是否发生显著</w:t>
      </w:r>
      <w:r>
        <w:rPr>
          <w:w w:val="100"/>
        </w:rPr>
        <w:t> </w:t>
      </w:r>
      <w:r>
        <w:rPr/>
        <w:t>增加，信用损失准备按</w:t>
      </w:r>
      <w:r>
        <w:rPr>
          <w:rFonts w:ascii="宋体" w:hAnsi="宋体" w:cs="宋体" w:eastAsia="宋体" w:hint="default"/>
        </w:rPr>
        <w:t>12</w:t>
      </w:r>
      <w:r>
        <w:rPr/>
        <w:t>个月内预期信用损失或者整个存续期的预期信用损失进行计提。对于应收</w:t>
      </w:r>
      <w:r>
        <w:rPr>
          <w:w w:val="100"/>
        </w:rPr>
        <w:t> </w:t>
      </w:r>
      <w:r>
        <w:rPr>
          <w:spacing w:val="-4"/>
        </w:rPr>
        <w:t>账款、合同资产及租赁应收款存在简化方法，允许始终按照整个存续期预期信用损失确认减值准备。</w:t>
      </w:r>
      <w:r>
        <w:rPr/>
      </w:r>
    </w:p>
    <w:p>
      <w:pPr>
        <w:pStyle w:val="BodyText"/>
        <w:spacing w:line="240" w:lineRule="auto" w:before="33"/>
        <w:ind w:left="640" w:right="107"/>
        <w:jc w:val="left"/>
      </w:pPr>
      <w:r>
        <w:rPr/>
        <w:t>本集团按照新金融工具准则的要求进行衔接调整。涉及前期比较财务报表数据与新金融工具准</w:t>
      </w:r>
    </w:p>
    <w:p>
      <w:pPr>
        <w:spacing w:after="0" w:line="240" w:lineRule="auto"/>
        <w:jc w:val="left"/>
        <w:sectPr>
          <w:pgSz w:w="11910" w:h="16840"/>
          <w:pgMar w:header="0" w:footer="1195" w:top="1060" w:bottom="1380" w:left="122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6"/>
        <w:ind w:left="260" w:right="251"/>
        <w:jc w:val="both"/>
      </w:pPr>
      <w:r>
        <w:rPr>
          <w:spacing w:val="-2"/>
        </w:rPr>
        <w:t>则要求不一致的，本集团不进行调整；金融工具原账面价值和新金融工具准则执行日账面价值之间</w:t>
      </w:r>
      <w:r>
        <w:rPr>
          <w:spacing w:val="-31"/>
        </w:rPr>
        <w:t> </w:t>
      </w:r>
      <w:r>
        <w:rPr>
          <w:spacing w:val="-31"/>
        </w:rPr>
      </w:r>
      <w:r>
        <w:rPr>
          <w:spacing w:val="-2"/>
        </w:rPr>
        <w:t>的差额，计入</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日的留存收益或其他综合收益。于</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日本集团采用新金融工具准</w:t>
      </w:r>
      <w:r>
        <w:rPr>
          <w:spacing w:val="-21"/>
        </w:rPr>
        <w:t> </w:t>
      </w:r>
      <w:r>
        <w:rPr>
          <w:spacing w:val="-21"/>
        </w:rPr>
      </w:r>
      <w:r>
        <w:rPr/>
        <w:t>则对本集团合并资产负债表的影响详见下表：</w:t>
      </w:r>
    </w:p>
    <w:p>
      <w:pPr>
        <w:pStyle w:val="BodyText"/>
        <w:tabs>
          <w:tab w:pos="1051" w:val="left" w:leader="none"/>
        </w:tabs>
        <w:spacing w:line="240" w:lineRule="auto" w:before="32"/>
        <w:ind w:left="0" w:right="253"/>
        <w:jc w:val="right"/>
      </w:pPr>
      <w:r>
        <w:rPr>
          <w:spacing w:val="-1"/>
        </w:rPr>
        <w:t>单位：元</w:t>
        <w:tab/>
        <w:t>币种：人民币</w:t>
      </w:r>
    </w:p>
    <w:p>
      <w:pPr>
        <w:spacing w:line="240" w:lineRule="auto" w:before="13"/>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418"/>
        <w:gridCol w:w="1136"/>
        <w:gridCol w:w="991"/>
        <w:gridCol w:w="1277"/>
        <w:gridCol w:w="1222"/>
        <w:gridCol w:w="1068"/>
        <w:gridCol w:w="1057"/>
        <w:gridCol w:w="1135"/>
      </w:tblGrid>
      <w:tr>
        <w:trPr>
          <w:trHeight w:val="178"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4"/>
              <w:ind w:left="2"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168" w:lineRule="exact"/>
              <w:ind w:left="67" w:right="111" w:hanging="39"/>
              <w:jc w:val="center"/>
              <w:rPr>
                <w:rFonts w:ascii="宋体" w:hAnsi="宋体" w:cs="宋体" w:eastAsia="宋体" w:hint="default"/>
                <w:sz w:val="13"/>
                <w:szCs w:val="13"/>
              </w:rPr>
            </w:pPr>
            <w:r>
              <w:rPr>
                <w:rFonts w:ascii="宋体" w:hAnsi="宋体" w:cs="宋体" w:eastAsia="宋体" w:hint="default"/>
                <w:sz w:val="13"/>
                <w:szCs w:val="13"/>
              </w:rPr>
              <w:t>按原准则列示的</w:t>
            </w:r>
            <w:r>
              <w:rPr>
                <w:rFonts w:ascii="宋体" w:hAnsi="宋体" w:cs="宋体" w:eastAsia="宋体" w:hint="default"/>
                <w:w w:val="99"/>
                <w:sz w:val="13"/>
                <w:szCs w:val="13"/>
              </w:rPr>
              <w:t> </w:t>
            </w:r>
            <w:r>
              <w:rPr>
                <w:rFonts w:ascii="宋体" w:hAnsi="宋体" w:cs="宋体" w:eastAsia="宋体" w:hint="default"/>
                <w:sz w:val="13"/>
                <w:szCs w:val="13"/>
              </w:rPr>
              <w:t>账面价值</w:t>
            </w:r>
            <w:r>
              <w:rPr>
                <w:rFonts w:ascii="宋体" w:hAnsi="宋体" w:cs="宋体" w:eastAsia="宋体" w:hint="default"/>
                <w:w w:val="99"/>
                <w:sz w:val="13"/>
                <w:szCs w:val="13"/>
              </w:rPr>
              <w:t> </w:t>
            </w:r>
            <w:r>
              <w:rPr>
                <w:rFonts w:ascii="Times New Roman" w:hAnsi="Times New Roman" w:cs="Times New Roman" w:eastAsia="Times New Roman" w:hint="default"/>
                <w:sz w:val="13"/>
                <w:szCs w:val="13"/>
              </w:rPr>
              <w:t>2017</w:t>
            </w:r>
            <w:r>
              <w:rPr>
                <w:rFonts w:ascii="宋体" w:hAnsi="宋体" w:cs="宋体" w:eastAsia="宋体" w:hint="default"/>
                <w:sz w:val="13"/>
                <w:szCs w:val="13"/>
              </w:rPr>
              <w:t>年</w:t>
            </w:r>
            <w:r>
              <w:rPr>
                <w:rFonts w:ascii="Times New Roman" w:hAnsi="Times New Roman" w:cs="Times New Roman" w:eastAsia="Times New Roman" w:hint="default"/>
                <w:sz w:val="13"/>
                <w:szCs w:val="13"/>
              </w:rPr>
              <w:t>12</w:t>
            </w:r>
            <w:r>
              <w:rPr>
                <w:rFonts w:ascii="宋体" w:hAnsi="宋体" w:cs="宋体" w:eastAsia="宋体" w:hint="default"/>
                <w:sz w:val="13"/>
                <w:szCs w:val="13"/>
              </w:rPr>
              <w:t>月</w:t>
            </w:r>
            <w:r>
              <w:rPr>
                <w:rFonts w:ascii="Times New Roman" w:hAnsi="Times New Roman" w:cs="Times New Roman" w:eastAsia="Times New Roman" w:hint="default"/>
                <w:sz w:val="13"/>
                <w:szCs w:val="13"/>
              </w:rPr>
              <w:t>31</w:t>
            </w:r>
            <w:r>
              <w:rPr>
                <w:rFonts w:ascii="宋体" w:hAnsi="宋体" w:cs="宋体" w:eastAsia="宋体" w:hint="default"/>
                <w:sz w:val="13"/>
                <w:szCs w:val="13"/>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168" w:lineRule="exact"/>
              <w:ind w:left="112" w:right="108" w:firstLine="7"/>
              <w:jc w:val="left"/>
              <w:rPr>
                <w:rFonts w:ascii="宋体" w:hAnsi="宋体" w:cs="宋体" w:eastAsia="宋体" w:hint="default"/>
                <w:sz w:val="13"/>
                <w:szCs w:val="13"/>
              </w:rPr>
            </w:pPr>
            <w:r>
              <w:rPr>
                <w:rFonts w:ascii="宋体" w:hAnsi="宋体" w:cs="宋体" w:eastAsia="宋体" w:hint="default"/>
                <w:spacing w:val="-4"/>
                <w:sz w:val="13"/>
                <w:szCs w:val="13"/>
              </w:rPr>
              <w:t>执行新收入</w:t>
            </w:r>
            <w:r>
              <w:rPr>
                <w:rFonts w:ascii="宋体" w:hAnsi="宋体" w:cs="宋体" w:eastAsia="宋体" w:hint="default"/>
                <w:w w:val="99"/>
                <w:sz w:val="13"/>
                <w:szCs w:val="13"/>
              </w:rPr>
              <w:t> </w:t>
            </w:r>
            <w:r>
              <w:rPr>
                <w:rFonts w:ascii="宋体" w:hAnsi="宋体" w:cs="宋体" w:eastAsia="宋体" w:hint="default"/>
                <w:spacing w:val="-4"/>
                <w:sz w:val="13"/>
                <w:szCs w:val="13"/>
              </w:rPr>
              <w:t>准则影响合计</w:t>
            </w:r>
          </w:p>
        </w:tc>
        <w:tc>
          <w:tcPr>
            <w:tcW w:w="4623" w:type="dxa"/>
            <w:gridSpan w:val="4"/>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 w:right="0"/>
              <w:jc w:val="center"/>
              <w:rPr>
                <w:rFonts w:ascii="宋体" w:hAnsi="宋体" w:cs="宋体" w:eastAsia="宋体" w:hint="default"/>
                <w:sz w:val="13"/>
                <w:szCs w:val="13"/>
              </w:rPr>
            </w:pPr>
            <w:r>
              <w:rPr>
                <w:rFonts w:ascii="宋体" w:hAnsi="宋体" w:cs="宋体" w:eastAsia="宋体" w:hint="default"/>
                <w:spacing w:val="-4"/>
                <w:sz w:val="13"/>
                <w:szCs w:val="13"/>
              </w:rPr>
              <w:t>执行新金融工具准则影响</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37" w:lineRule="auto"/>
              <w:ind w:left="48" w:right="168"/>
              <w:jc w:val="center"/>
              <w:rPr>
                <w:rFonts w:ascii="宋体" w:hAnsi="宋体" w:cs="宋体" w:eastAsia="宋体" w:hint="default"/>
                <w:sz w:val="13"/>
                <w:szCs w:val="13"/>
              </w:rPr>
            </w:pPr>
            <w:r>
              <w:rPr>
                <w:rFonts w:ascii="宋体" w:hAnsi="宋体" w:cs="宋体" w:eastAsia="宋体" w:hint="default"/>
                <w:sz w:val="13"/>
                <w:szCs w:val="13"/>
              </w:rPr>
              <w:t>按新金融工具准</w:t>
            </w:r>
            <w:r>
              <w:rPr>
                <w:rFonts w:ascii="宋体" w:hAnsi="宋体" w:cs="宋体" w:eastAsia="宋体" w:hint="default"/>
                <w:w w:val="99"/>
                <w:sz w:val="13"/>
                <w:szCs w:val="13"/>
              </w:rPr>
              <w:t> </w:t>
            </w:r>
            <w:r>
              <w:rPr>
                <w:rFonts w:ascii="宋体" w:hAnsi="宋体" w:cs="宋体" w:eastAsia="宋体" w:hint="default"/>
                <w:sz w:val="13"/>
                <w:szCs w:val="13"/>
              </w:rPr>
              <w:t>则</w:t>
            </w:r>
            <w:r>
              <w:rPr>
                <w:rFonts w:ascii="宋体" w:hAnsi="宋体" w:cs="宋体" w:eastAsia="宋体" w:hint="default"/>
                <w:w w:val="99"/>
                <w:sz w:val="13"/>
                <w:szCs w:val="13"/>
              </w:rPr>
              <w:t> </w:t>
            </w:r>
            <w:r>
              <w:rPr>
                <w:rFonts w:ascii="宋体" w:hAnsi="宋体" w:cs="宋体" w:eastAsia="宋体" w:hint="default"/>
                <w:sz w:val="13"/>
                <w:szCs w:val="13"/>
              </w:rPr>
              <w:t>列示的账面价值</w:t>
            </w:r>
          </w:p>
          <w:p>
            <w:pPr>
              <w:pStyle w:val="TableParagraph"/>
              <w:spacing w:line="178" w:lineRule="exact"/>
              <w:ind w:right="5"/>
              <w:jc w:val="center"/>
              <w:rPr>
                <w:rFonts w:ascii="宋体" w:hAnsi="宋体" w:cs="宋体" w:eastAsia="宋体" w:hint="default"/>
                <w:sz w:val="13"/>
                <w:szCs w:val="13"/>
              </w:rPr>
            </w:pPr>
            <w:r>
              <w:rPr>
                <w:rFonts w:ascii="Times New Roman" w:hAnsi="Times New Roman" w:cs="Times New Roman" w:eastAsia="Times New Roman" w:hint="default"/>
                <w:sz w:val="13"/>
                <w:szCs w:val="13"/>
              </w:rPr>
              <w:t>2018</w:t>
            </w:r>
            <w:r>
              <w:rPr>
                <w:rFonts w:ascii="宋体" w:hAnsi="宋体" w:cs="宋体" w:eastAsia="宋体" w:hint="default"/>
                <w:sz w:val="13"/>
                <w:szCs w:val="13"/>
              </w:rPr>
              <w:t>年</w:t>
            </w:r>
            <w:r>
              <w:rPr>
                <w:rFonts w:ascii="Times New Roman" w:hAnsi="Times New Roman" w:cs="Times New Roman" w:eastAsia="Times New Roman" w:hint="default"/>
                <w:sz w:val="13"/>
                <w:szCs w:val="13"/>
              </w:rPr>
              <w:t>1</w:t>
            </w:r>
            <w:r>
              <w:rPr>
                <w:rFonts w:ascii="宋体" w:hAnsi="宋体" w:cs="宋体" w:eastAsia="宋体" w:hint="default"/>
                <w:sz w:val="13"/>
                <w:szCs w:val="13"/>
              </w:rPr>
              <w:t>月</w:t>
            </w:r>
            <w:r>
              <w:rPr>
                <w:rFonts w:ascii="Times New Roman" w:hAnsi="Times New Roman" w:cs="Times New Roman" w:eastAsia="Times New Roman" w:hint="default"/>
                <w:sz w:val="13"/>
                <w:szCs w:val="13"/>
              </w:rPr>
              <w:t>1</w:t>
            </w:r>
            <w:r>
              <w:rPr>
                <w:rFonts w:ascii="宋体" w:hAnsi="宋体" w:cs="宋体" w:eastAsia="宋体" w:hint="default"/>
                <w:sz w:val="13"/>
                <w:szCs w:val="13"/>
              </w:rPr>
              <w:t>日</w:t>
            </w:r>
          </w:p>
        </w:tc>
      </w:tr>
      <w:tr>
        <w:trPr>
          <w:trHeight w:val="178" w:hRule="exact"/>
        </w:trPr>
        <w:tc>
          <w:tcPr>
            <w:tcW w:w="1418"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567" w:type="dxa"/>
            <w:gridSpan w:val="3"/>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 w:right="0"/>
              <w:jc w:val="center"/>
              <w:rPr>
                <w:rFonts w:ascii="宋体" w:hAnsi="宋体" w:cs="宋体" w:eastAsia="宋体" w:hint="default"/>
                <w:sz w:val="13"/>
                <w:szCs w:val="13"/>
              </w:rPr>
            </w:pPr>
            <w:r>
              <w:rPr>
                <w:rFonts w:ascii="宋体" w:hAnsi="宋体" w:cs="宋体" w:eastAsia="宋体" w:hint="default"/>
                <w:spacing w:val="-3"/>
                <w:sz w:val="13"/>
                <w:szCs w:val="13"/>
              </w:rPr>
              <w:t>重分类</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重新计量</w:t>
            </w:r>
          </w:p>
        </w:tc>
        <w:tc>
          <w:tcPr>
            <w:tcW w:w="1135" w:type="dxa"/>
            <w:vMerge/>
            <w:tcBorders>
              <w:left w:val="single" w:sz="4" w:space="0" w:color="000000"/>
              <w:right w:val="single" w:sz="4" w:space="0" w:color="000000"/>
            </w:tcBorders>
          </w:tcPr>
          <w:p>
            <w:pPr/>
          </w:p>
        </w:tc>
      </w:tr>
      <w:tr>
        <w:trPr>
          <w:trHeight w:val="1022" w:hRule="exact"/>
        </w:trPr>
        <w:tc>
          <w:tcPr>
            <w:tcW w:w="1418"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8" w:lineRule="exact"/>
              <w:ind w:left="112" w:right="115"/>
              <w:jc w:val="center"/>
              <w:rPr>
                <w:rFonts w:ascii="Times New Roman" w:hAnsi="Times New Roman" w:cs="Times New Roman" w:eastAsia="Times New Roman" w:hint="default"/>
                <w:sz w:val="13"/>
                <w:szCs w:val="13"/>
              </w:rPr>
            </w:pPr>
            <w:r>
              <w:rPr>
                <w:rFonts w:ascii="宋体" w:hAnsi="宋体" w:cs="宋体" w:eastAsia="宋体" w:hint="default"/>
                <w:sz w:val="13"/>
                <w:szCs w:val="13"/>
              </w:rPr>
              <w:t>自原分类为可供出</w:t>
            </w:r>
            <w:r>
              <w:rPr>
                <w:rFonts w:ascii="宋体" w:hAnsi="宋体" w:cs="宋体" w:eastAsia="宋体" w:hint="default"/>
                <w:w w:val="99"/>
                <w:sz w:val="13"/>
                <w:szCs w:val="13"/>
              </w:rPr>
              <w:t> </w:t>
            </w:r>
            <w:r>
              <w:rPr>
                <w:rFonts w:ascii="宋体" w:hAnsi="宋体" w:cs="宋体" w:eastAsia="宋体" w:hint="default"/>
                <w:sz w:val="13"/>
                <w:szCs w:val="13"/>
              </w:rPr>
              <w:t>售金融资产转入</w:t>
            </w:r>
            <w:r>
              <w:rPr>
                <w:rFonts w:ascii="宋体" w:hAnsi="宋体" w:cs="宋体" w:eastAsia="宋体" w:hint="default"/>
                <w:w w:val="99"/>
                <w:sz w:val="13"/>
                <w:szCs w:val="13"/>
              </w:rPr>
              <w:t> </w:t>
            </w:r>
            <w:r>
              <w:rPr>
                <w:rFonts w:ascii="Times New Roman" w:hAnsi="Times New Roman" w:cs="Times New Roman" w:eastAsia="Times New Roman" w:hint="default"/>
                <w:sz w:val="13"/>
                <w:szCs w:val="13"/>
              </w:rPr>
              <w:t>(</w:t>
            </w:r>
            <w:r>
              <w:rPr>
                <w:rFonts w:ascii="宋体" w:hAnsi="宋体" w:cs="宋体" w:eastAsia="宋体" w:hint="default"/>
                <w:sz w:val="13"/>
                <w:szCs w:val="13"/>
              </w:rPr>
              <w:t>注</w:t>
            </w:r>
            <w:r>
              <w:rPr>
                <w:rFonts w:ascii="Times New Roman" w:hAnsi="Times New Roman" w:cs="Times New Roman" w:eastAsia="Times New Roman" w:hint="default"/>
                <w:sz w:val="13"/>
                <w:szCs w:val="13"/>
              </w:rPr>
              <w:t>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3"/>
              <w:ind w:left="151" w:right="153"/>
              <w:jc w:val="center"/>
              <w:rPr>
                <w:rFonts w:ascii="Times New Roman" w:hAnsi="Times New Roman" w:cs="Times New Roman" w:eastAsia="Times New Roman" w:hint="default"/>
                <w:sz w:val="13"/>
                <w:szCs w:val="13"/>
              </w:rPr>
            </w:pPr>
            <w:r>
              <w:rPr>
                <w:rFonts w:ascii="宋体" w:hAnsi="宋体" w:cs="宋体" w:eastAsia="宋体" w:hint="default"/>
                <w:sz w:val="13"/>
                <w:szCs w:val="13"/>
              </w:rPr>
              <w:t>自原指定为以公</w:t>
            </w:r>
            <w:r>
              <w:rPr>
                <w:rFonts w:ascii="宋体" w:hAnsi="宋体" w:cs="宋体" w:eastAsia="宋体" w:hint="default"/>
                <w:w w:val="99"/>
                <w:sz w:val="13"/>
                <w:szCs w:val="13"/>
              </w:rPr>
              <w:t> </w:t>
            </w:r>
            <w:r>
              <w:rPr>
                <w:rFonts w:ascii="宋体" w:hAnsi="宋体" w:cs="宋体" w:eastAsia="宋体" w:hint="default"/>
                <w:sz w:val="13"/>
                <w:szCs w:val="13"/>
              </w:rPr>
              <w:t>允价值计量且其</w:t>
            </w:r>
            <w:r>
              <w:rPr>
                <w:rFonts w:ascii="宋体" w:hAnsi="宋体" w:cs="宋体" w:eastAsia="宋体" w:hint="default"/>
                <w:w w:val="99"/>
                <w:sz w:val="13"/>
                <w:szCs w:val="13"/>
              </w:rPr>
              <w:t> </w:t>
            </w:r>
            <w:r>
              <w:rPr>
                <w:rFonts w:ascii="宋体" w:hAnsi="宋体" w:cs="宋体" w:eastAsia="宋体" w:hint="default"/>
                <w:sz w:val="13"/>
                <w:szCs w:val="13"/>
              </w:rPr>
              <w:t>变动计入当期损</w:t>
            </w:r>
            <w:r>
              <w:rPr>
                <w:rFonts w:ascii="宋体" w:hAnsi="宋体" w:cs="宋体" w:eastAsia="宋体" w:hint="default"/>
                <w:w w:val="99"/>
                <w:sz w:val="13"/>
                <w:szCs w:val="13"/>
              </w:rPr>
              <w:t> </w:t>
            </w:r>
            <w:r>
              <w:rPr>
                <w:rFonts w:ascii="宋体" w:hAnsi="宋体" w:cs="宋体" w:eastAsia="宋体" w:hint="default"/>
                <w:sz w:val="13"/>
                <w:szCs w:val="13"/>
              </w:rPr>
              <w:t>益的金融资产转</w:t>
            </w:r>
            <w:r>
              <w:rPr>
                <w:rFonts w:ascii="宋体" w:hAnsi="宋体" w:cs="宋体" w:eastAsia="宋体" w:hint="default"/>
                <w:w w:val="99"/>
                <w:sz w:val="13"/>
                <w:szCs w:val="13"/>
              </w:rPr>
              <w:t> </w:t>
            </w:r>
            <w:r>
              <w:rPr>
                <w:rFonts w:ascii="宋体" w:hAnsi="宋体" w:cs="宋体" w:eastAsia="宋体" w:hint="default"/>
                <w:sz w:val="13"/>
                <w:szCs w:val="13"/>
              </w:rPr>
              <w:t>入</w:t>
            </w:r>
            <w:r>
              <w:rPr>
                <w:rFonts w:ascii="Times New Roman" w:hAnsi="Times New Roman" w:cs="Times New Roman" w:eastAsia="Times New Roman" w:hint="default"/>
                <w:sz w:val="13"/>
                <w:szCs w:val="13"/>
              </w:rPr>
              <w:t>(</w:t>
            </w:r>
            <w:r>
              <w:rPr>
                <w:rFonts w:ascii="宋体" w:hAnsi="宋体" w:cs="宋体" w:eastAsia="宋体" w:hint="default"/>
                <w:sz w:val="13"/>
                <w:szCs w:val="13"/>
              </w:rPr>
              <w:t>注</w:t>
            </w:r>
            <w:r>
              <w:rPr>
                <w:rFonts w:ascii="Times New Roman" w:hAnsi="Times New Roman" w:cs="Times New Roman" w:eastAsia="Times New Roman" w:hint="default"/>
                <w:sz w:val="13"/>
                <w:szCs w:val="13"/>
              </w:rPr>
              <w:t>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39" w:right="0"/>
              <w:jc w:val="both"/>
              <w:rPr>
                <w:rFonts w:ascii="宋体" w:hAnsi="宋体" w:cs="宋体" w:eastAsia="宋体" w:hint="default"/>
                <w:sz w:val="13"/>
                <w:szCs w:val="13"/>
              </w:rPr>
            </w:pPr>
            <w:r>
              <w:rPr>
                <w:rFonts w:ascii="宋体" w:hAnsi="宋体" w:cs="宋体" w:eastAsia="宋体" w:hint="default"/>
                <w:sz w:val="13"/>
                <w:szCs w:val="13"/>
              </w:rPr>
              <w:t>权益法下在被</w:t>
            </w:r>
          </w:p>
          <w:p>
            <w:pPr>
              <w:pStyle w:val="TableParagraph"/>
              <w:spacing w:line="237" w:lineRule="auto"/>
              <w:ind w:left="139" w:right="139"/>
              <w:jc w:val="both"/>
              <w:rPr>
                <w:rFonts w:ascii="宋体" w:hAnsi="宋体" w:cs="宋体" w:eastAsia="宋体" w:hint="default"/>
                <w:sz w:val="13"/>
                <w:szCs w:val="13"/>
              </w:rPr>
            </w:pPr>
            <w:r>
              <w:rPr>
                <w:rFonts w:ascii="宋体" w:hAnsi="宋体" w:cs="宋体" w:eastAsia="宋体" w:hint="default"/>
                <w:sz w:val="13"/>
                <w:szCs w:val="13"/>
              </w:rPr>
              <w:t>投资单位其他</w:t>
            </w:r>
            <w:r>
              <w:rPr>
                <w:rFonts w:ascii="宋体" w:hAnsi="宋体" w:cs="宋体" w:eastAsia="宋体" w:hint="default"/>
                <w:w w:val="99"/>
                <w:sz w:val="13"/>
                <w:szCs w:val="13"/>
              </w:rPr>
              <w:t> </w:t>
            </w:r>
            <w:r>
              <w:rPr>
                <w:rFonts w:ascii="宋体" w:hAnsi="宋体" w:cs="宋体" w:eastAsia="宋体" w:hint="default"/>
                <w:sz w:val="13"/>
                <w:szCs w:val="13"/>
              </w:rPr>
              <w:t>综合收益中享</w:t>
            </w:r>
            <w:r>
              <w:rPr>
                <w:rFonts w:ascii="宋体" w:hAnsi="宋体" w:cs="宋体" w:eastAsia="宋体" w:hint="default"/>
                <w:w w:val="99"/>
                <w:sz w:val="13"/>
                <w:szCs w:val="13"/>
              </w:rPr>
              <w:t> </w:t>
            </w:r>
            <w:r>
              <w:rPr>
                <w:rFonts w:ascii="宋体" w:hAnsi="宋体" w:cs="宋体" w:eastAsia="宋体" w:hint="default"/>
                <w:sz w:val="13"/>
                <w:szCs w:val="13"/>
              </w:rPr>
              <w:t>有的份额自其</w:t>
            </w:r>
            <w:r>
              <w:rPr>
                <w:rFonts w:ascii="宋体" w:hAnsi="宋体" w:cs="宋体" w:eastAsia="宋体" w:hint="default"/>
                <w:w w:val="99"/>
                <w:sz w:val="13"/>
                <w:szCs w:val="13"/>
              </w:rPr>
              <w:t> </w:t>
            </w:r>
            <w:r>
              <w:rPr>
                <w:rFonts w:ascii="宋体" w:hAnsi="宋体" w:cs="宋体" w:eastAsia="宋体" w:hint="default"/>
                <w:sz w:val="13"/>
                <w:szCs w:val="13"/>
              </w:rPr>
              <w:t>他综合收益转</w:t>
            </w:r>
            <w:r>
              <w:rPr>
                <w:rFonts w:ascii="宋体" w:hAnsi="宋体" w:cs="宋体" w:eastAsia="宋体" w:hint="default"/>
                <w:w w:val="99"/>
                <w:sz w:val="13"/>
                <w:szCs w:val="13"/>
              </w:rPr>
              <w:t> </w:t>
            </w:r>
            <w:r>
              <w:rPr>
                <w:rFonts w:ascii="宋体" w:hAnsi="宋体" w:cs="宋体" w:eastAsia="宋体" w:hint="default"/>
                <w:sz w:val="13"/>
                <w:szCs w:val="13"/>
              </w:rPr>
              <w:t>入留存收益</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8" w:lineRule="exact"/>
              <w:ind w:left="131" w:right="135"/>
              <w:jc w:val="center"/>
              <w:rPr>
                <w:rFonts w:ascii="Times New Roman" w:hAnsi="Times New Roman" w:cs="Times New Roman" w:eastAsia="Times New Roman" w:hint="default"/>
                <w:sz w:val="13"/>
                <w:szCs w:val="13"/>
              </w:rPr>
            </w:pPr>
            <w:r>
              <w:rPr>
                <w:rFonts w:ascii="宋体" w:hAnsi="宋体" w:cs="宋体" w:eastAsia="宋体" w:hint="default"/>
                <w:sz w:val="13"/>
                <w:szCs w:val="13"/>
              </w:rPr>
              <w:t>从成本计量变</w:t>
            </w:r>
            <w:r>
              <w:rPr>
                <w:rFonts w:ascii="宋体" w:hAnsi="宋体" w:cs="宋体" w:eastAsia="宋体" w:hint="default"/>
                <w:w w:val="99"/>
                <w:sz w:val="13"/>
                <w:szCs w:val="13"/>
              </w:rPr>
              <w:t> </w:t>
            </w:r>
            <w:r>
              <w:rPr>
                <w:rFonts w:ascii="宋体" w:hAnsi="宋体" w:cs="宋体" w:eastAsia="宋体" w:hint="default"/>
                <w:sz w:val="13"/>
                <w:szCs w:val="13"/>
              </w:rPr>
              <w:t>为公允价值计</w:t>
            </w:r>
            <w:r>
              <w:rPr>
                <w:rFonts w:ascii="宋体" w:hAnsi="宋体" w:cs="宋体" w:eastAsia="宋体" w:hint="default"/>
                <w:w w:val="99"/>
                <w:sz w:val="13"/>
                <w:szCs w:val="13"/>
              </w:rPr>
              <w:t> </w:t>
            </w:r>
            <w:r>
              <w:rPr>
                <w:rFonts w:ascii="宋体" w:hAnsi="宋体" w:cs="宋体" w:eastAsia="宋体" w:hint="default"/>
                <w:sz w:val="13"/>
                <w:szCs w:val="13"/>
              </w:rPr>
              <w:t>量</w:t>
            </w:r>
            <w:r>
              <w:rPr>
                <w:rFonts w:ascii="Times New Roman" w:hAnsi="Times New Roman" w:cs="Times New Roman" w:eastAsia="Times New Roman" w:hint="default"/>
                <w:sz w:val="13"/>
                <w:szCs w:val="13"/>
              </w:rPr>
              <w:t>(</w:t>
            </w:r>
            <w:r>
              <w:rPr>
                <w:rFonts w:ascii="宋体" w:hAnsi="宋体" w:cs="宋体" w:eastAsia="宋体" w:hint="default"/>
                <w:sz w:val="13"/>
                <w:szCs w:val="13"/>
              </w:rPr>
              <w:t>注</w:t>
            </w:r>
            <w:r>
              <w:rPr>
                <w:rFonts w:ascii="Times New Roman" w:hAnsi="Times New Roman" w:cs="Times New Roman" w:eastAsia="Times New Roman" w:hint="default"/>
                <w:sz w:val="13"/>
                <w:szCs w:val="13"/>
              </w:rPr>
              <w:t>1)</w:t>
            </w:r>
          </w:p>
        </w:tc>
        <w:tc>
          <w:tcPr>
            <w:tcW w:w="1135" w:type="dxa"/>
            <w:vMerge/>
            <w:tcBorders>
              <w:left w:val="single" w:sz="4" w:space="0" w:color="000000"/>
              <w:bottom w:val="single" w:sz="4" w:space="0" w:color="000000"/>
              <w:right w:val="single" w:sz="4" w:space="0" w:color="000000"/>
            </w:tcBorders>
          </w:tcPr>
          <w:p>
            <w:pPr/>
          </w:p>
        </w:tc>
      </w:tr>
      <w:tr>
        <w:trPr>
          <w:trHeight w:val="1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5" w:right="0"/>
              <w:jc w:val="left"/>
              <w:rPr>
                <w:rFonts w:ascii="宋体" w:hAnsi="宋体" w:cs="宋体" w:eastAsia="宋体" w:hint="default"/>
                <w:sz w:val="13"/>
                <w:szCs w:val="13"/>
              </w:rPr>
            </w:pPr>
            <w:r>
              <w:rPr>
                <w:rFonts w:ascii="宋体" w:hAnsi="宋体" w:cs="宋体" w:eastAsia="宋体" w:hint="default"/>
                <w:sz w:val="13"/>
                <w:szCs w:val="13"/>
              </w:rPr>
              <w:t>交易性金融资产</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1,157,828,233.14</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 w:right="0"/>
              <w:jc w:val="center"/>
              <w:rPr>
                <w:rFonts w:ascii="Times New Roman" w:hAnsi="Times New Roman" w:cs="Times New Roman" w:eastAsia="Times New Roman" w:hint="default"/>
                <w:sz w:val="13"/>
                <w:szCs w:val="13"/>
              </w:rPr>
            </w:pPr>
            <w:r>
              <w:rPr>
                <w:rFonts w:ascii="Times New Roman"/>
                <w:sz w:val="13"/>
              </w:rPr>
              <w:t>1,157,828,233.14</w:t>
            </w:r>
          </w:p>
        </w:tc>
      </w:tr>
      <w:tr>
        <w:trPr>
          <w:trHeight w:val="1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其他流动资产</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3"/>
                <w:szCs w:val="13"/>
              </w:rPr>
            </w:pPr>
            <w:r>
              <w:rPr>
                <w:rFonts w:ascii="Times New Roman"/>
                <w:sz w:val="13"/>
              </w:rPr>
              <w:t>1,184,329,531.05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42,946,827.33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(1,157,828,233.14)</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69" w:right="0"/>
              <w:jc w:val="center"/>
              <w:rPr>
                <w:rFonts w:ascii="Times New Roman" w:hAnsi="Times New Roman" w:cs="Times New Roman" w:eastAsia="Times New Roman" w:hint="default"/>
                <w:sz w:val="13"/>
                <w:szCs w:val="13"/>
              </w:rPr>
            </w:pPr>
            <w:r>
              <w:rPr>
                <w:rFonts w:ascii="Times New Roman"/>
                <w:sz w:val="13"/>
              </w:rPr>
              <w:t>69,448,125.24</w:t>
            </w:r>
          </w:p>
        </w:tc>
      </w:tr>
      <w:tr>
        <w:trPr>
          <w:trHeight w:val="1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可供出售金融资产</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3"/>
                <w:szCs w:val="13"/>
              </w:rPr>
            </w:pPr>
            <w:r>
              <w:rPr>
                <w:rFonts w:ascii="Times New Roman"/>
                <w:sz w:val="13"/>
              </w:rPr>
              <w:t>2,116,088,000.42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(2,116,088,000.42)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6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其他权益工具投资</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1,560,899,742.06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6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3"/>
                <w:szCs w:val="13"/>
              </w:rPr>
            </w:pPr>
            <w:r>
              <w:rPr>
                <w:rFonts w:ascii="Times New Roman"/>
                <w:sz w:val="13"/>
              </w:rPr>
              <w:t>280,056,000.00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 w:right="0"/>
              <w:jc w:val="center"/>
              <w:rPr>
                <w:rFonts w:ascii="Times New Roman" w:hAnsi="Times New Roman" w:cs="Times New Roman" w:eastAsia="Times New Roman" w:hint="default"/>
                <w:sz w:val="13"/>
                <w:szCs w:val="13"/>
              </w:rPr>
            </w:pPr>
            <w:r>
              <w:rPr>
                <w:rFonts w:ascii="Times New Roman"/>
                <w:sz w:val="13"/>
              </w:rPr>
              <w:t>1,840,955,742.06</w:t>
            </w:r>
          </w:p>
        </w:tc>
      </w:tr>
      <w:tr>
        <w:trPr>
          <w:trHeight w:val="1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其他非流动金融资产</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555,188,258.36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6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center"/>
              <w:rPr>
                <w:rFonts w:ascii="Times New Roman" w:hAnsi="Times New Roman" w:cs="Times New Roman" w:eastAsia="Times New Roman" w:hint="default"/>
                <w:sz w:val="13"/>
                <w:szCs w:val="13"/>
              </w:rPr>
            </w:pPr>
            <w:r>
              <w:rPr>
                <w:rFonts w:ascii="Times New Roman"/>
                <w:sz w:val="13"/>
              </w:rPr>
              <w:t>555,188,258.36</w:t>
            </w:r>
          </w:p>
        </w:tc>
      </w:tr>
      <w:tr>
        <w:trPr>
          <w:trHeight w:val="18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3"/>
                <w:szCs w:val="13"/>
              </w:rPr>
            </w:pPr>
            <w:r>
              <w:rPr>
                <w:rFonts w:ascii="Times New Roman"/>
                <w:sz w:val="13"/>
              </w:rPr>
              <w:t>1,230,619,792.07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(78,829,902.23)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center"/>
              <w:rPr>
                <w:rFonts w:ascii="Times New Roman" w:hAnsi="Times New Roman" w:cs="Times New Roman" w:eastAsia="Times New Roman" w:hint="default"/>
                <w:sz w:val="13"/>
                <w:szCs w:val="13"/>
              </w:rPr>
            </w:pPr>
            <w:r>
              <w:rPr>
                <w:rFonts w:ascii="Times New Roman"/>
                <w:sz w:val="13"/>
              </w:rPr>
              <w:t>(21,575,255.68)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3"/>
                <w:szCs w:val="13"/>
              </w:rPr>
            </w:pPr>
            <w:r>
              <w:rPr>
                <w:rFonts w:ascii="Times New Roman"/>
                <w:sz w:val="13"/>
              </w:rPr>
              <w:t>280,056,000.00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 w:right="0"/>
              <w:jc w:val="center"/>
              <w:rPr>
                <w:rFonts w:ascii="Times New Roman" w:hAnsi="Times New Roman" w:cs="Times New Roman" w:eastAsia="Times New Roman" w:hint="default"/>
                <w:sz w:val="13"/>
                <w:szCs w:val="13"/>
              </w:rPr>
            </w:pPr>
            <w:r>
              <w:rPr>
                <w:rFonts w:ascii="Times New Roman"/>
                <w:sz w:val="13"/>
              </w:rPr>
              <w:t>1,410,270,634.16</w:t>
            </w:r>
          </w:p>
        </w:tc>
      </w:tr>
      <w:tr>
        <w:trPr>
          <w:trHeight w:val="1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留存收益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3"/>
                <w:szCs w:val="13"/>
              </w:rPr>
            </w:pPr>
            <w:r>
              <w:rPr>
                <w:rFonts w:ascii="Times New Roman"/>
                <w:sz w:val="13"/>
              </w:rPr>
              <w:t>2,364,509,602.80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78,829,902.23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2" w:right="0"/>
              <w:jc w:val="center"/>
              <w:rPr>
                <w:rFonts w:ascii="Times New Roman" w:hAnsi="Times New Roman" w:cs="Times New Roman" w:eastAsia="Times New Roman" w:hint="default"/>
                <w:sz w:val="13"/>
                <w:szCs w:val="13"/>
              </w:rPr>
            </w:pPr>
            <w:r>
              <w:rPr>
                <w:rFonts w:ascii="Times New Roman"/>
                <w:sz w:val="13"/>
              </w:rPr>
              <w:t>21,575,255.68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 w:right="0"/>
              <w:jc w:val="center"/>
              <w:rPr>
                <w:rFonts w:ascii="Times New Roman" w:hAnsi="Times New Roman" w:cs="Times New Roman" w:eastAsia="Times New Roman" w:hint="default"/>
                <w:sz w:val="13"/>
                <w:szCs w:val="13"/>
              </w:rPr>
            </w:pPr>
            <w:r>
              <w:rPr>
                <w:rFonts w:ascii="Times New Roman"/>
                <w:sz w:val="13"/>
              </w:rPr>
              <w:t>2,464,914,760.71</w:t>
            </w:r>
          </w:p>
        </w:tc>
      </w:tr>
    </w:tbl>
    <w:p>
      <w:pPr>
        <w:spacing w:line="240" w:lineRule="auto" w:before="7"/>
        <w:rPr>
          <w:rFonts w:ascii="宋体" w:hAnsi="宋体" w:cs="宋体" w:eastAsia="宋体" w:hint="default"/>
          <w:sz w:val="15"/>
          <w:szCs w:val="15"/>
        </w:rPr>
      </w:pPr>
    </w:p>
    <w:p>
      <w:pPr>
        <w:pStyle w:val="BodyText"/>
        <w:spacing w:line="355" w:lineRule="auto" w:before="36"/>
        <w:ind w:left="680" w:right="841"/>
        <w:jc w:val="left"/>
      </w:pPr>
      <w:r>
        <w:rPr>
          <w:spacing w:val="-2"/>
        </w:rPr>
        <w:t>注</w:t>
      </w:r>
      <w:r>
        <w:rPr>
          <w:rFonts w:ascii="宋体" w:hAnsi="宋体" w:cs="宋体" w:eastAsia="宋体" w:hint="default"/>
          <w:spacing w:val="-2"/>
        </w:rPr>
        <w:t>1</w:t>
      </w:r>
      <w:r>
        <w:rPr>
          <w:spacing w:val="-2"/>
        </w:rPr>
        <w:t>：自原分类为可供出售金融金融资产转入</w:t>
      </w:r>
      <w:r>
        <w:rPr>
          <w:spacing w:val="-70"/>
        </w:rPr>
        <w:t> </w:t>
      </w:r>
      <w:r>
        <w:rPr>
          <w:spacing w:val="-70"/>
        </w:rPr>
      </w:r>
      <w:r>
        <w:rPr/>
        <w:t>从可供出售金融资产转入其他权益工具投资</w:t>
      </w:r>
    </w:p>
    <w:p>
      <w:pPr>
        <w:pStyle w:val="BodyText"/>
        <w:spacing w:line="357" w:lineRule="auto" w:before="32"/>
        <w:ind w:left="260" w:right="0" w:firstLine="420"/>
        <w:jc w:val="left"/>
      </w:pPr>
      <w:r>
        <w:rPr/>
        <w:t>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日，本集团将人民币</w:t>
      </w:r>
      <w:r>
        <w:rPr>
          <w:rFonts w:ascii="宋体" w:hAnsi="宋体" w:cs="宋体" w:eastAsia="宋体" w:hint="default"/>
        </w:rPr>
        <w:t>1,560,899,742.06</w:t>
      </w:r>
      <w:r>
        <w:rPr/>
        <w:t>元的可供出售金融资产指定为以公允价值</w:t>
      </w:r>
      <w:r>
        <w:rPr>
          <w:w w:val="100"/>
        </w:rPr>
        <w:t> </w:t>
      </w:r>
      <w:r>
        <w:rPr/>
        <w:t>计量且其变动计入其他综合收益的金融资产并重分类至其他权益工具投资。其中，人民币</w:t>
      </w:r>
      <w:r>
        <w:rPr>
          <w:w w:val="100"/>
        </w:rPr>
        <w:t> </w:t>
      </w:r>
      <w:r>
        <w:rPr>
          <w:rFonts w:ascii="宋体" w:hAnsi="宋体" w:cs="宋体" w:eastAsia="宋体" w:hint="default"/>
        </w:rPr>
        <w:t>240,228,815.33</w:t>
      </w:r>
      <w:r>
        <w:rPr/>
        <w:t>元可供出售金融资产为在活跃市场中没有报价且其公允价值不能可靠计量的权益</w:t>
      </w:r>
      <w:r>
        <w:rPr>
          <w:w w:val="100"/>
        </w:rPr>
        <w:t> </w:t>
      </w:r>
      <w:r>
        <w:rPr/>
        <w:t>工具投资，于以前期间根据原金融工具准则按照成本计量。于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日对该部分股权投资采用</w:t>
      </w:r>
      <w:r>
        <w:rPr>
          <w:w w:val="100"/>
        </w:rPr>
        <w:t> </w:t>
      </w:r>
      <w:r>
        <w:rPr/>
        <w:t>公允价值计量导致其他权益工具投资账面价值增加人民币</w:t>
      </w:r>
      <w:r>
        <w:rPr>
          <w:rFonts w:ascii="宋体" w:hAnsi="宋体" w:cs="宋体" w:eastAsia="宋体" w:hint="default"/>
        </w:rPr>
        <w:t>280,056,000.00</w:t>
      </w:r>
      <w:r>
        <w:rPr/>
        <w:t>元，并相应增加其他综合</w:t>
      </w:r>
      <w:r>
        <w:rPr>
          <w:w w:val="100"/>
        </w:rPr>
        <w:t> </w:t>
      </w:r>
      <w:r>
        <w:rPr/>
        <w:t>收益</w:t>
      </w:r>
      <w:r>
        <w:rPr>
          <w:rFonts w:ascii="宋体" w:hAnsi="宋体" w:cs="宋体" w:eastAsia="宋体" w:hint="default"/>
        </w:rPr>
        <w:t>(</w:t>
      </w:r>
      <w:r>
        <w:rPr/>
        <w:t>其他权益工具投资公允价值变动</w:t>
      </w:r>
      <w:r>
        <w:rPr>
          <w:rFonts w:ascii="宋体" w:hAnsi="宋体" w:cs="宋体" w:eastAsia="宋体" w:hint="default"/>
        </w:rPr>
        <w:t>)</w:t>
      </w:r>
      <w:r>
        <w:rPr/>
        <w:t>。此外，以前期间确认的此类金融资产减值损失人民币</w:t>
      </w:r>
      <w:r>
        <w:rPr>
          <w:w w:val="100"/>
        </w:rPr>
        <w:t> </w:t>
      </w:r>
      <w:r>
        <w:rPr>
          <w:rFonts w:ascii="宋体" w:hAnsi="宋体" w:cs="宋体" w:eastAsia="宋体" w:hint="default"/>
        </w:rPr>
        <w:t>2,958,365.49</w:t>
      </w:r>
      <w:r>
        <w:rPr/>
        <w:t>元于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日从留存收益转入其他综合收益</w:t>
      </w:r>
      <w:r>
        <w:rPr>
          <w:rFonts w:ascii="宋体" w:hAnsi="宋体" w:cs="宋体" w:eastAsia="宋体" w:hint="default"/>
        </w:rPr>
        <w:t>(</w:t>
      </w:r>
      <w:r>
        <w:rPr/>
        <w:t>其他权益工具投资公允价值变动</w:t>
      </w:r>
      <w:r>
        <w:rPr>
          <w:rFonts w:ascii="宋体" w:hAnsi="宋体" w:cs="宋体" w:eastAsia="宋体" w:hint="default"/>
        </w:rPr>
        <w:t>)</w:t>
      </w:r>
      <w:r>
        <w:rPr/>
        <w:t>。</w:t>
      </w:r>
    </w:p>
    <w:p>
      <w:pPr>
        <w:pStyle w:val="BodyText"/>
        <w:spacing w:line="355" w:lineRule="auto" w:before="32"/>
        <w:ind w:left="680" w:right="0"/>
        <w:jc w:val="left"/>
      </w:pPr>
      <w:r>
        <w:rPr/>
        <w:t>从可供出售金融资产转入其他非流动金融资产</w:t>
      </w:r>
      <w:r>
        <w:rPr>
          <w:w w:val="100"/>
        </w:rPr>
        <w:t> </w:t>
      </w:r>
      <w:r>
        <w:rPr>
          <w:spacing w:val="-2"/>
        </w:rPr>
        <w:t>于</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日，本集团将人民币</w:t>
      </w:r>
      <w:r>
        <w:rPr>
          <w:rFonts w:ascii="宋体" w:hAnsi="宋体" w:cs="宋体" w:eastAsia="宋体" w:hint="default"/>
          <w:spacing w:val="-2"/>
        </w:rPr>
        <w:t>555,188,258.36</w:t>
      </w:r>
      <w:r>
        <w:rPr>
          <w:spacing w:val="-2"/>
        </w:rPr>
        <w:t>元的可供出售金融资产作为以公允价值计量</w:t>
      </w:r>
    </w:p>
    <w:p>
      <w:pPr>
        <w:pStyle w:val="BodyText"/>
        <w:spacing w:line="357" w:lineRule="auto" w:before="32"/>
        <w:ind w:left="260" w:right="0"/>
        <w:jc w:val="left"/>
      </w:pPr>
      <w:r>
        <w:rPr>
          <w:spacing w:val="-2"/>
        </w:rPr>
        <w:t>且其变动计入当期损益的金融资产并重分类至其他非流动金融资产。以前期间以公允价值计量的累</w:t>
      </w:r>
      <w:r>
        <w:rPr>
          <w:spacing w:val="-30"/>
        </w:rPr>
        <w:t> </w:t>
      </w:r>
      <w:r>
        <w:rPr>
          <w:spacing w:val="-30"/>
        </w:rPr>
      </w:r>
      <w:r>
        <w:rPr/>
        <w:t>计公允价值变动人民币</w:t>
      </w:r>
      <w:r>
        <w:rPr>
          <w:rFonts w:ascii="宋体" w:hAnsi="宋体" w:cs="宋体" w:eastAsia="宋体" w:hint="default"/>
        </w:rPr>
        <w:t>75,871,536.74</w:t>
      </w:r>
      <w:r>
        <w:rPr/>
        <w:t>元从其他综合收益</w:t>
      </w:r>
      <w:r>
        <w:rPr>
          <w:rFonts w:ascii="宋体" w:hAnsi="宋体" w:cs="宋体" w:eastAsia="宋体" w:hint="default"/>
        </w:rPr>
        <w:t>(</w:t>
      </w:r>
      <w:r>
        <w:rPr/>
        <w:t>可供出售金融资产公允价值变动损益</w:t>
      </w:r>
      <w:r>
        <w:rPr>
          <w:rFonts w:ascii="宋体" w:hAnsi="宋体" w:cs="宋体" w:eastAsia="宋体" w:hint="default"/>
        </w:rPr>
        <w:t>)</w:t>
      </w:r>
      <w:r>
        <w:rPr/>
        <w:t>转</w:t>
      </w:r>
      <w:r>
        <w:rPr>
          <w:w w:val="100"/>
        </w:rPr>
        <w:t> </w:t>
      </w:r>
      <w:r>
        <w:rPr/>
        <w:t>入留存收益。</w:t>
      </w:r>
    </w:p>
    <w:p>
      <w:pPr>
        <w:pStyle w:val="BodyText"/>
        <w:spacing w:line="355" w:lineRule="auto" w:before="32"/>
        <w:ind w:left="680" w:right="0"/>
        <w:jc w:val="left"/>
      </w:pPr>
      <w:r>
        <w:rPr/>
        <w:t>注</w:t>
      </w:r>
      <w:r>
        <w:rPr>
          <w:rFonts w:ascii="宋体" w:hAnsi="宋体" w:cs="宋体" w:eastAsia="宋体" w:hint="default"/>
        </w:rPr>
        <w:t>2</w:t>
      </w:r>
      <w:r>
        <w:rPr/>
        <w:t>：自原指定为以公允价值计量且其变动计入当期损益的金融资产转入</w:t>
      </w:r>
      <w:r>
        <w:rPr>
          <w:w w:val="100"/>
        </w:rPr>
        <w:t> </w:t>
      </w:r>
      <w:r>
        <w:rPr>
          <w:spacing w:val="-2"/>
        </w:rPr>
        <w:t>于</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日，本集团不再将账面价值为人民币</w:t>
      </w:r>
      <w:r>
        <w:rPr>
          <w:rFonts w:ascii="宋体" w:hAnsi="宋体" w:cs="宋体" w:eastAsia="宋体" w:hint="default"/>
          <w:spacing w:val="-2"/>
        </w:rPr>
        <w:t>1,157,828,233.14</w:t>
      </w:r>
      <w:r>
        <w:rPr>
          <w:spacing w:val="-2"/>
        </w:rPr>
        <w:t>元的其他流动资产</w:t>
      </w:r>
      <w:r>
        <w:rPr>
          <w:rFonts w:ascii="宋体" w:hAnsi="宋体" w:cs="宋体" w:eastAsia="宋体" w:hint="default"/>
          <w:spacing w:val="-2"/>
        </w:rPr>
        <w:t>(</w:t>
      </w:r>
      <w:r>
        <w:rPr>
          <w:spacing w:val="-2"/>
        </w:rPr>
        <w:t>银行</w:t>
      </w:r>
    </w:p>
    <w:p>
      <w:pPr>
        <w:pStyle w:val="BodyText"/>
        <w:spacing w:line="355" w:lineRule="auto" w:before="32"/>
        <w:ind w:left="260" w:right="0"/>
        <w:jc w:val="left"/>
      </w:pPr>
      <w:r>
        <w:rPr/>
        <w:t>理财产品</w:t>
      </w:r>
      <w:r>
        <w:rPr>
          <w:rFonts w:ascii="宋体" w:hAnsi="宋体" w:cs="宋体" w:eastAsia="宋体" w:hint="default"/>
        </w:rPr>
        <w:t>)</w:t>
      </w:r>
      <w:r>
        <w:rPr/>
        <w:t>指定为以公允价值计量且其变动计入当期损益的金融资产，因为上述金融资产根据新金</w:t>
      </w:r>
      <w:r>
        <w:rPr>
          <w:w w:val="100"/>
        </w:rPr>
        <w:t> </w:t>
      </w:r>
      <w:r>
        <w:rPr>
          <w:spacing w:val="-2"/>
        </w:rPr>
        <w:t>融工具准则的规定需分类为以公允价值计量且其变动计入当期损益的金融资产，此类投资被重分类</w:t>
      </w:r>
      <w:r>
        <w:rPr>
          <w:spacing w:val="-30"/>
        </w:rPr>
        <w:t> </w:t>
      </w:r>
      <w:r>
        <w:rPr>
          <w:spacing w:val="-30"/>
        </w:rPr>
      </w:r>
      <w:r>
        <w:rPr/>
        <w:t>至交易性金融资产。</w:t>
      </w:r>
    </w:p>
    <w:p>
      <w:pPr>
        <w:spacing w:after="0" w:line="355" w:lineRule="auto"/>
        <w:jc w:val="left"/>
        <w:sectPr>
          <w:pgSz w:w="11910" w:h="16840"/>
          <w:pgMar w:header="0" w:footer="1195" w:top="1060" w:bottom="1380" w:left="1180" w:right="11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72" w:lineRule="exact" w:before="64"/>
        <w:ind w:left="240" w:right="0" w:firstLine="424"/>
        <w:jc w:val="left"/>
      </w:pPr>
      <w:r>
        <w:rPr/>
        <w:t>于</w:t>
      </w:r>
      <w:r>
        <w:rPr>
          <w:spacing w:val="-37"/>
        </w:rPr>
        <w:t> </w:t>
      </w:r>
      <w:r>
        <w:rPr>
          <w:rFonts w:ascii="宋体" w:hAnsi="宋体" w:cs="宋体" w:eastAsia="宋体" w:hint="default"/>
        </w:rPr>
        <w:t>2018</w:t>
      </w:r>
      <w:r>
        <w:rPr>
          <w:rFonts w:ascii="宋体" w:hAnsi="宋体" w:cs="宋体" w:eastAsia="宋体" w:hint="default"/>
          <w:spacing w:val="-39"/>
        </w:rPr>
        <w:t> </w:t>
      </w:r>
      <w:r>
        <w:rPr/>
        <w:t>年</w:t>
      </w:r>
      <w:r>
        <w:rPr>
          <w:spacing w:val="-39"/>
        </w:rPr>
        <w:t> </w:t>
      </w:r>
      <w:r>
        <w:rPr>
          <w:rFonts w:ascii="宋体" w:hAnsi="宋体" w:cs="宋体" w:eastAsia="宋体" w:hint="default"/>
        </w:rPr>
        <w:t>1</w:t>
      </w:r>
      <w:r>
        <w:rPr>
          <w:rFonts w:ascii="宋体" w:hAnsi="宋体" w:cs="宋体" w:eastAsia="宋体" w:hint="default"/>
          <w:spacing w:val="-39"/>
        </w:rPr>
        <w:t> </w:t>
      </w:r>
      <w:r>
        <w:rPr/>
        <w:t>月</w:t>
      </w:r>
      <w:r>
        <w:rPr>
          <w:spacing w:val="-37"/>
        </w:rPr>
        <w:t> </w:t>
      </w:r>
      <w:r>
        <w:rPr>
          <w:rFonts w:ascii="宋体" w:hAnsi="宋体" w:cs="宋体" w:eastAsia="宋体" w:hint="default"/>
        </w:rPr>
        <w:t>1</w:t>
      </w:r>
      <w:r>
        <w:rPr>
          <w:rFonts w:ascii="宋体" w:hAnsi="宋体" w:cs="宋体" w:eastAsia="宋体" w:hint="default"/>
          <w:spacing w:val="-39"/>
        </w:rPr>
        <w:t> </w:t>
      </w:r>
      <w:r>
        <w:rPr/>
        <w:t>日，本集团首次执行上述新收入准则与新金融工具准则对本集团资产、负债</w:t>
      </w:r>
      <w:r>
        <w:rPr>
          <w:w w:val="100"/>
        </w:rPr>
        <w:t> </w:t>
      </w:r>
      <w:r>
        <w:rPr/>
        <w:t>和股东权益的影响汇总如下：</w:t>
      </w:r>
    </w:p>
    <w:p>
      <w:pPr>
        <w:pStyle w:val="BodyText"/>
        <w:tabs>
          <w:tab w:pos="1051" w:val="left" w:leader="none"/>
        </w:tabs>
        <w:spacing w:line="249" w:lineRule="exact"/>
        <w:ind w:left="0" w:right="253"/>
        <w:jc w:val="right"/>
      </w:pPr>
      <w:r>
        <w:rPr/>
        <w:pict>
          <v:group style="position:absolute;margin-left:168.5pt;margin-top:57.760025pt;width:89.7pt;height:32.65pt;mso-position-horizontal-relative:page;mso-position-vertical-relative:paragraph;z-index:-1124536" coordorigin="3370,1155" coordsize="1794,653">
            <v:group style="position:absolute;left:3375;top:1160;width:1784;height:207" coordorigin="3375,1160" coordsize="1784,207">
              <v:shape style="position:absolute;left:3375;top:1160;width:1784;height:207" coordorigin="3375,1160" coordsize="1784,207" path="m5159,1160l3375,1366e" filled="false" stroked="true" strokeweight=".48pt" strokecolor="#000000">
                <v:path arrowok="t"/>
              </v:shape>
            </v:group>
            <v:group style="position:absolute;left:3375;top:1376;width:1784;height:209" coordorigin="3375,1376" coordsize="1784,209">
              <v:shape style="position:absolute;left:3375;top:1376;width:1784;height:209" coordorigin="3375,1376" coordsize="1784,209" path="m5159,1376l3375,1585e" filled="false" stroked="true" strokeweight=".48pt" strokecolor="#000000">
                <v:path arrowok="t"/>
              </v:shape>
            </v:group>
            <v:group style="position:absolute;left:3375;top:1594;width:1784;height:209" coordorigin="3375,1594" coordsize="1784,209">
              <v:shape style="position:absolute;left:3375;top:1594;width:1784;height:209" coordorigin="3375,1594" coordsize="1784,209" path="m5159,1594l3375,1803e" filled="false" stroked="true" strokeweight=".48pt" strokecolor="#000000">
                <v:path arrowok="t"/>
              </v:shape>
            </v:group>
            <w10:wrap type="none"/>
          </v:group>
        </w:pict>
      </w: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62"/>
        <w:gridCol w:w="1793"/>
        <w:gridCol w:w="1870"/>
        <w:gridCol w:w="1868"/>
        <w:gridCol w:w="1699"/>
      </w:tblGrid>
      <w:tr>
        <w:trPr>
          <w:trHeight w:val="21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 w:right="0"/>
              <w:jc w:val="center"/>
              <w:rPr>
                <w:rFonts w:ascii="宋体" w:hAnsi="宋体" w:cs="宋体" w:eastAsia="宋体" w:hint="default"/>
                <w:sz w:val="16"/>
                <w:szCs w:val="16"/>
              </w:rPr>
            </w:pPr>
            <w:r>
              <w:rPr>
                <w:rFonts w:ascii="宋体" w:hAnsi="宋体" w:cs="宋体" w:eastAsia="宋体" w:hint="default"/>
                <w:b/>
                <w:bCs/>
                <w:spacing w:val="-8"/>
                <w:sz w:val="16"/>
                <w:szCs w:val="16"/>
              </w:rPr>
              <w:t>项目</w:t>
            </w:r>
            <w:r>
              <w:rPr>
                <w:rFonts w:ascii="宋体" w:hAnsi="宋体" w:cs="宋体" w:eastAsia="宋体" w:hint="default"/>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59" w:right="0"/>
              <w:jc w:val="left"/>
              <w:rPr>
                <w:rFonts w:ascii="宋体" w:hAnsi="宋体" w:cs="宋体" w:eastAsia="宋体" w:hint="default"/>
                <w:sz w:val="16"/>
                <w:szCs w:val="16"/>
              </w:rPr>
            </w:pPr>
            <w:r>
              <w:rPr>
                <w:rFonts w:ascii="宋体" w:hAnsi="宋体" w:cs="宋体" w:eastAsia="宋体" w:hint="default"/>
                <w:b/>
                <w:bCs/>
                <w:spacing w:val="-3"/>
                <w:sz w:val="16"/>
                <w:szCs w:val="16"/>
              </w:rPr>
              <w:t>2017</w:t>
            </w:r>
            <w:r>
              <w:rPr>
                <w:rFonts w:ascii="宋体" w:hAnsi="宋体" w:cs="宋体" w:eastAsia="宋体" w:hint="default"/>
                <w:b/>
                <w:bCs/>
                <w:spacing w:val="-48"/>
                <w:sz w:val="16"/>
                <w:szCs w:val="16"/>
              </w:rPr>
              <w:t> </w:t>
            </w:r>
            <w:r>
              <w:rPr>
                <w:rFonts w:ascii="宋体" w:hAnsi="宋体" w:cs="宋体" w:eastAsia="宋体" w:hint="default"/>
                <w:b/>
                <w:bCs/>
                <w:sz w:val="16"/>
                <w:szCs w:val="16"/>
              </w:rPr>
              <w:t>年</w:t>
            </w:r>
            <w:r>
              <w:rPr>
                <w:rFonts w:ascii="宋体" w:hAnsi="宋体" w:cs="宋体" w:eastAsia="宋体" w:hint="default"/>
                <w:b/>
                <w:bCs/>
                <w:spacing w:val="-54"/>
                <w:sz w:val="16"/>
                <w:szCs w:val="16"/>
              </w:rPr>
              <w:t> </w:t>
            </w:r>
            <w:r>
              <w:rPr>
                <w:rFonts w:ascii="宋体" w:hAnsi="宋体" w:cs="宋体" w:eastAsia="宋体" w:hint="default"/>
                <w:b/>
                <w:bCs/>
                <w:sz w:val="16"/>
                <w:szCs w:val="16"/>
              </w:rPr>
              <w:t>12</w:t>
            </w:r>
            <w:r>
              <w:rPr>
                <w:rFonts w:ascii="宋体" w:hAnsi="宋体" w:cs="宋体" w:eastAsia="宋体" w:hint="default"/>
                <w:b/>
                <w:bCs/>
                <w:spacing w:val="-48"/>
                <w:sz w:val="16"/>
                <w:szCs w:val="16"/>
              </w:rPr>
              <w:t> </w:t>
            </w:r>
            <w:r>
              <w:rPr>
                <w:rFonts w:ascii="宋体" w:hAnsi="宋体" w:cs="宋体" w:eastAsia="宋体" w:hint="default"/>
                <w:b/>
                <w:bCs/>
                <w:sz w:val="16"/>
                <w:szCs w:val="16"/>
              </w:rPr>
              <w:t>月</w:t>
            </w:r>
            <w:r>
              <w:rPr>
                <w:rFonts w:ascii="宋体" w:hAnsi="宋体" w:cs="宋体" w:eastAsia="宋体" w:hint="default"/>
                <w:b/>
                <w:bCs/>
                <w:spacing w:val="-54"/>
                <w:sz w:val="16"/>
                <w:szCs w:val="16"/>
              </w:rPr>
              <w:t> </w:t>
            </w:r>
            <w:r>
              <w:rPr>
                <w:rFonts w:ascii="宋体" w:hAnsi="宋体" w:cs="宋体" w:eastAsia="宋体" w:hint="default"/>
                <w:b/>
                <w:bCs/>
                <w:sz w:val="16"/>
                <w:szCs w:val="16"/>
              </w:rPr>
              <w:t>31</w:t>
            </w:r>
            <w:r>
              <w:rPr>
                <w:rFonts w:ascii="宋体" w:hAnsi="宋体" w:cs="宋体" w:eastAsia="宋体" w:hint="default"/>
                <w:b/>
                <w:bCs/>
                <w:spacing w:val="-47"/>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42" w:right="0"/>
              <w:jc w:val="left"/>
              <w:rPr>
                <w:rFonts w:ascii="宋体" w:hAnsi="宋体" w:cs="宋体" w:eastAsia="宋体" w:hint="default"/>
                <w:sz w:val="16"/>
                <w:szCs w:val="16"/>
              </w:rPr>
            </w:pPr>
            <w:r>
              <w:rPr>
                <w:rFonts w:ascii="宋体" w:hAnsi="宋体" w:cs="宋体" w:eastAsia="宋体" w:hint="default"/>
                <w:b/>
                <w:bCs/>
                <w:spacing w:val="-8"/>
                <w:sz w:val="16"/>
                <w:szCs w:val="16"/>
              </w:rPr>
              <w:t>执行新收入准则影响</w:t>
            </w:r>
            <w:r>
              <w:rPr>
                <w:rFonts w:ascii="宋体" w:hAnsi="宋体" w:cs="宋体" w:eastAsia="宋体" w:hint="default"/>
                <w:spacing w:val="-8"/>
                <w:sz w:val="16"/>
                <w:szCs w:val="16"/>
              </w:rPr>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85"/>
              <w:jc w:val="right"/>
              <w:rPr>
                <w:rFonts w:ascii="宋体" w:hAnsi="宋体" w:cs="宋体" w:eastAsia="宋体" w:hint="default"/>
                <w:sz w:val="16"/>
                <w:szCs w:val="16"/>
              </w:rPr>
            </w:pPr>
            <w:r>
              <w:rPr>
                <w:rFonts w:ascii="宋体" w:hAnsi="宋体" w:cs="宋体" w:eastAsia="宋体" w:hint="default"/>
                <w:b/>
                <w:bCs/>
                <w:spacing w:val="-8"/>
                <w:sz w:val="16"/>
                <w:szCs w:val="16"/>
              </w:rPr>
              <w:t>执行新金融工具准则影响</w:t>
            </w:r>
            <w:r>
              <w:rPr>
                <w:rFonts w:ascii="宋体" w:hAnsi="宋体" w:cs="宋体" w:eastAsia="宋体" w:hint="default"/>
                <w:spacing w:val="-8"/>
                <w:sz w:val="16"/>
                <w:szCs w:val="16"/>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90" w:right="0"/>
              <w:jc w:val="left"/>
              <w:rPr>
                <w:rFonts w:ascii="宋体" w:hAnsi="宋体" w:cs="宋体" w:eastAsia="宋体" w:hint="default"/>
                <w:sz w:val="16"/>
                <w:szCs w:val="16"/>
              </w:rPr>
            </w:pPr>
            <w:r>
              <w:rPr>
                <w:rFonts w:ascii="宋体" w:hAnsi="宋体" w:cs="宋体" w:eastAsia="宋体" w:hint="default"/>
                <w:b/>
                <w:bCs/>
                <w:spacing w:val="-3"/>
                <w:sz w:val="16"/>
                <w:szCs w:val="16"/>
              </w:rPr>
              <w:t>2018</w:t>
            </w:r>
            <w:r>
              <w:rPr>
                <w:rFonts w:ascii="宋体" w:hAnsi="宋体" w:cs="宋体" w:eastAsia="宋体" w:hint="default"/>
                <w:b/>
                <w:bCs/>
                <w:spacing w:val="-47"/>
                <w:sz w:val="16"/>
                <w:szCs w:val="16"/>
              </w:rPr>
              <w:t> </w:t>
            </w:r>
            <w:r>
              <w:rPr>
                <w:rFonts w:ascii="宋体" w:hAnsi="宋体" w:cs="宋体" w:eastAsia="宋体" w:hint="default"/>
                <w:b/>
                <w:bCs/>
                <w:sz w:val="16"/>
                <w:szCs w:val="16"/>
              </w:rPr>
              <w:t>年</w:t>
            </w:r>
            <w:r>
              <w:rPr>
                <w:rFonts w:ascii="宋体" w:hAnsi="宋体" w:cs="宋体" w:eastAsia="宋体" w:hint="default"/>
                <w:b/>
                <w:bCs/>
                <w:spacing w:val="-53"/>
                <w:sz w:val="16"/>
                <w:szCs w:val="16"/>
              </w:rPr>
              <w:t> </w:t>
            </w:r>
            <w:r>
              <w:rPr>
                <w:rFonts w:ascii="宋体" w:hAnsi="宋体" w:cs="宋体" w:eastAsia="宋体" w:hint="default"/>
                <w:b/>
                <w:bCs/>
                <w:sz w:val="16"/>
                <w:szCs w:val="16"/>
              </w:rPr>
              <w:t>1</w:t>
            </w:r>
            <w:r>
              <w:rPr>
                <w:rFonts w:ascii="宋体" w:hAnsi="宋体" w:cs="宋体" w:eastAsia="宋体" w:hint="default"/>
                <w:b/>
                <w:bCs/>
                <w:spacing w:val="-47"/>
                <w:sz w:val="16"/>
                <w:szCs w:val="16"/>
              </w:rPr>
              <w:t> </w:t>
            </w:r>
            <w:r>
              <w:rPr>
                <w:rFonts w:ascii="宋体" w:hAnsi="宋体" w:cs="宋体" w:eastAsia="宋体" w:hint="default"/>
                <w:b/>
                <w:bCs/>
                <w:sz w:val="16"/>
                <w:szCs w:val="16"/>
              </w:rPr>
              <w:t>月</w:t>
            </w:r>
            <w:r>
              <w:rPr>
                <w:rFonts w:ascii="宋体" w:hAnsi="宋体" w:cs="宋体" w:eastAsia="宋体" w:hint="default"/>
                <w:b/>
                <w:bCs/>
                <w:spacing w:val="-53"/>
                <w:sz w:val="16"/>
                <w:szCs w:val="16"/>
              </w:rPr>
              <w:t> </w:t>
            </w:r>
            <w:r>
              <w:rPr>
                <w:rFonts w:ascii="宋体" w:hAnsi="宋体" w:cs="宋体" w:eastAsia="宋体" w:hint="default"/>
                <w:b/>
                <w:bCs/>
                <w:sz w:val="16"/>
                <w:szCs w:val="16"/>
              </w:rPr>
              <w:t>1</w:t>
            </w:r>
            <w:r>
              <w:rPr>
                <w:rFonts w:ascii="宋体" w:hAnsi="宋体" w:cs="宋体" w:eastAsia="宋体" w:hint="default"/>
                <w:b/>
                <w:bCs/>
                <w:spacing w:val="-45"/>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r>
      <w:tr>
        <w:trPr>
          <w:trHeight w:val="216"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9"/>
                <w:sz w:val="16"/>
                <w:szCs w:val="16"/>
              </w:rPr>
              <w:t>交易性金融资产</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89.7pt;height:10.8pt;mso-position-horizontal-relative:char;mso-position-vertical-relative:line" coordorigin="0,0" coordsize="1794,216">
                  <v:group style="position:absolute;left:5;top:5;width:1784;height:207" coordorigin="5,5" coordsize="1784,207">
                    <v:shape style="position:absolute;left:5;top:5;width:1784;height:207" coordorigin="5,5" coordsize="1784,207" path="m1789,5l5,211e" filled="false" stroked="true" strokeweight=".48pt" strokecolor="#000000">
                      <v:path arrowok="t"/>
                    </v:shape>
                  </v:group>
                </v:group>
              </w:pict>
            </w:r>
            <w:r>
              <w:rPr>
                <w:rFonts w:ascii="宋体" w:hAnsi="宋体" w:cs="宋体" w:eastAsia="宋体" w:hint="default"/>
                <w:position w:val="-3"/>
                <w:sz w:val="20"/>
                <w:szCs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1,157,828,233.14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1,157,828,233.14</w:t>
            </w:r>
          </w:p>
        </w:tc>
      </w:tr>
      <w:tr>
        <w:trPr>
          <w:trHeight w:val="21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pacing w:val="-8"/>
                <w:sz w:val="16"/>
                <w:szCs w:val="16"/>
              </w:rPr>
              <w:t>其他流动资产</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1"/>
              <w:jc w:val="right"/>
              <w:rPr>
                <w:rFonts w:ascii="宋体" w:hAnsi="宋体" w:cs="宋体" w:eastAsia="宋体" w:hint="default"/>
                <w:sz w:val="16"/>
                <w:szCs w:val="16"/>
              </w:rPr>
            </w:pPr>
            <w:r>
              <w:rPr>
                <w:rFonts w:ascii="宋体"/>
                <w:spacing w:val="-2"/>
                <w:sz w:val="16"/>
              </w:rPr>
              <w:t>1,184,329,531.05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42,946,827.33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(1,157,828,233.14)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69,448,125.24</w:t>
            </w:r>
          </w:p>
        </w:tc>
      </w:tr>
      <w:tr>
        <w:trPr>
          <w:trHeight w:val="21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9"/>
                <w:sz w:val="16"/>
                <w:szCs w:val="16"/>
              </w:rPr>
              <w:t>可供出售金融资产</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2"/>
                <w:sz w:val="16"/>
              </w:rPr>
              <w:t>2,116,088,000.42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(2,116,088,000.42)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85pt;height:10.95pt;mso-position-horizontal-relative:char;mso-position-vertical-relative:line" coordorigin="0,0" coordsize="1700,219">
                  <v:group style="position:absolute;left:5;top:5;width:1690;height:209" coordorigin="5,5" coordsize="1690,209">
                    <v:shape style="position:absolute;left:5;top:5;width:1690;height:209" coordorigin="5,5" coordsize="1690,209" path="m1694,5l5,214e" filled="false" stroked="true" strokeweight=".48pt" strokecolor="#000000">
                      <v:path arrowok="t"/>
                    </v:shape>
                  </v:group>
                </v:group>
              </w:pict>
            </w:r>
            <w:r>
              <w:rPr>
                <w:rFonts w:ascii="宋体" w:hAnsi="宋体" w:cs="宋体" w:eastAsia="宋体" w:hint="default"/>
                <w:position w:val="-3"/>
                <w:sz w:val="20"/>
                <w:szCs w:val="20"/>
              </w:rPr>
            </w:r>
          </w:p>
        </w:tc>
      </w:tr>
      <w:tr>
        <w:trPr>
          <w:trHeight w:val="216"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9"/>
                <w:sz w:val="16"/>
                <w:szCs w:val="16"/>
              </w:rPr>
              <w:t>其他权益工具投资</w:t>
            </w:r>
          </w:p>
        </w:tc>
        <w:tc>
          <w:tcPr>
            <w:tcW w:w="1793"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1,840,955,742.06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1,840,955,742.06</w:t>
            </w:r>
          </w:p>
        </w:tc>
      </w:tr>
      <w:tr>
        <w:trPr>
          <w:trHeight w:val="21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9"/>
                <w:sz w:val="16"/>
                <w:szCs w:val="16"/>
              </w:rPr>
              <w:t>其他非流动金融资产</w:t>
            </w:r>
          </w:p>
        </w:tc>
        <w:tc>
          <w:tcPr>
            <w:tcW w:w="1793"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555,188,258.36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555,188,258.36</w:t>
            </w:r>
          </w:p>
        </w:tc>
      </w:tr>
      <w:tr>
        <w:trPr>
          <w:trHeight w:val="21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b/>
                <w:bCs/>
                <w:spacing w:val="-8"/>
                <w:sz w:val="16"/>
                <w:szCs w:val="16"/>
              </w:rPr>
              <w:t>对资产影响总额</w:t>
            </w:r>
            <w:r>
              <w:rPr>
                <w:rFonts w:ascii="宋体" w:hAnsi="宋体" w:cs="宋体" w:eastAsia="宋体" w:hint="default"/>
                <w:spacing w:val="-8"/>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b/>
                <w:spacing w:val="-1"/>
                <w:sz w:val="16"/>
              </w:rPr>
              <w:t>42,946,827.33</w:t>
            </w:r>
            <w:r>
              <w:rPr>
                <w:rFonts w:ascii="宋体"/>
                <w:spacing w:val="-1"/>
                <w:sz w:val="16"/>
              </w:rPr>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9"/>
              <w:jc w:val="right"/>
              <w:rPr>
                <w:rFonts w:ascii="宋体" w:hAnsi="宋体" w:cs="宋体" w:eastAsia="宋体" w:hint="default"/>
                <w:sz w:val="16"/>
                <w:szCs w:val="16"/>
              </w:rPr>
            </w:pPr>
            <w:r>
              <w:rPr>
                <w:rFonts w:ascii="宋体"/>
                <w:b/>
                <w:spacing w:val="-1"/>
                <w:sz w:val="16"/>
              </w:rPr>
              <w:t>280,056,000.00</w:t>
            </w:r>
            <w:r>
              <w:rPr>
                <w:rFonts w:ascii="宋体"/>
                <w:spacing w:val="-1"/>
                <w:sz w:val="16"/>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85pt;height:10.95pt;mso-position-horizontal-relative:char;mso-position-vertical-relative:line" coordorigin="0,0" coordsize="1700,219">
                  <v:group style="position:absolute;left:5;top:5;width:1690;height:209" coordorigin="5,5" coordsize="1690,209">
                    <v:shape style="position:absolute;left:5;top:5;width:1690;height:209" coordorigin="5,5" coordsize="1690,209" path="m1694,5l5,214e" filled="false" stroked="true" strokeweight=".48pt" strokecolor="#000000">
                      <v:path arrowok="t"/>
                    </v:shape>
                  </v:group>
                </v:group>
              </w:pict>
            </w:r>
            <w:r>
              <w:rPr>
                <w:rFonts w:ascii="宋体" w:hAnsi="宋体" w:cs="宋体" w:eastAsia="宋体" w:hint="default"/>
                <w:position w:val="-3"/>
                <w:sz w:val="20"/>
                <w:szCs w:val="20"/>
              </w:rPr>
            </w:r>
          </w:p>
        </w:tc>
      </w:tr>
      <w:tr>
        <w:trPr>
          <w:trHeight w:val="216"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0"/>
                <w:sz w:val="16"/>
                <w:szCs w:val="16"/>
              </w:rPr>
              <w:t>预收款项</w:t>
            </w:r>
            <w:r>
              <w:rPr>
                <w:rFonts w:ascii="宋体" w:hAnsi="宋体" w:cs="宋体" w:eastAsia="宋体" w:hint="default"/>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310,646,140.33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2"/>
                <w:sz w:val="16"/>
              </w:rPr>
              <w:t>(310,646,140.33)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w w:val="100"/>
                <w:sz w:val="16"/>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r>
      <w:tr>
        <w:trPr>
          <w:trHeight w:val="21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0"/>
                <w:sz w:val="16"/>
                <w:szCs w:val="16"/>
              </w:rPr>
              <w:t>合同负债</w:t>
            </w:r>
            <w:r>
              <w:rPr>
                <w:rFonts w:ascii="宋体" w:hAnsi="宋体" w:cs="宋体" w:eastAsia="宋体" w:hint="default"/>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89.7pt;height:10.95pt;mso-position-horizontal-relative:char;mso-position-vertical-relative:line" coordorigin="0,0" coordsize="1794,219">
                  <v:group style="position:absolute;left:5;top:5;width:1784;height:209" coordorigin="5,5" coordsize="1784,209">
                    <v:shape style="position:absolute;left:5;top:5;width:1784;height:209" coordorigin="5,5" coordsize="1784,209" path="m1789,5l5,214e" filled="false" stroked="true" strokeweight=".48pt" strokecolor="#000000">
                      <v:path arrowok="t"/>
                    </v:shape>
                  </v:group>
                </v:group>
              </w:pict>
            </w:r>
            <w:r>
              <w:rPr>
                <w:rFonts w:ascii="宋体" w:hAnsi="宋体" w:cs="宋体" w:eastAsia="宋体" w:hint="default"/>
                <w:position w:val="-3"/>
                <w:sz w:val="20"/>
                <w:szCs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321,443,922.21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w w:val="100"/>
                <w:sz w:val="16"/>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321,443,922.21</w:t>
            </w:r>
          </w:p>
        </w:tc>
      </w:tr>
      <w:tr>
        <w:trPr>
          <w:trHeight w:val="216"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0"/>
                <w:sz w:val="16"/>
                <w:szCs w:val="16"/>
              </w:rPr>
              <w:t>预计负债</w:t>
            </w:r>
            <w:r>
              <w:rPr>
                <w:rFonts w:ascii="宋体" w:hAnsi="宋体" w:cs="宋体" w:eastAsia="宋体" w:hint="default"/>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11,891,779.02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42,946,827.33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w w:val="100"/>
                <w:sz w:val="16"/>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54,838,606.35</w:t>
            </w:r>
          </w:p>
        </w:tc>
      </w:tr>
      <w:tr>
        <w:trPr>
          <w:trHeight w:val="219"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pacing w:val="-10"/>
                <w:sz w:val="16"/>
                <w:szCs w:val="16"/>
              </w:rPr>
              <w:t>递延收益</w:t>
            </w:r>
            <w:r>
              <w:rPr>
                <w:rFonts w:ascii="宋体" w:hAnsi="宋体" w:cs="宋体" w:eastAsia="宋体" w:hint="default"/>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102,969,706.98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1"/>
              <w:jc w:val="right"/>
              <w:rPr>
                <w:rFonts w:ascii="宋体" w:hAnsi="宋体" w:cs="宋体" w:eastAsia="宋体" w:hint="default"/>
                <w:sz w:val="16"/>
                <w:szCs w:val="16"/>
              </w:rPr>
            </w:pPr>
            <w:r>
              <w:rPr>
                <w:rFonts w:ascii="宋体"/>
                <w:spacing w:val="-2"/>
                <w:sz w:val="16"/>
              </w:rPr>
              <w:t>(10,797,781.88)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8"/>
              <w:jc w:val="right"/>
              <w:rPr>
                <w:rFonts w:ascii="宋体" w:hAnsi="宋体" w:cs="宋体" w:eastAsia="宋体" w:hint="default"/>
                <w:sz w:val="16"/>
                <w:szCs w:val="16"/>
              </w:rPr>
            </w:pPr>
            <w:r>
              <w:rPr>
                <w:rFonts w:ascii="宋体"/>
                <w:w w:val="100"/>
                <w:sz w:val="16"/>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92,171,925.10</w:t>
            </w:r>
          </w:p>
        </w:tc>
      </w:tr>
      <w:tr>
        <w:trPr>
          <w:trHeight w:val="21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b/>
                <w:bCs/>
                <w:spacing w:val="-8"/>
                <w:sz w:val="16"/>
                <w:szCs w:val="16"/>
              </w:rPr>
              <w:t>对负债影响总额</w:t>
            </w:r>
            <w:r>
              <w:rPr>
                <w:rFonts w:ascii="宋体" w:hAnsi="宋体" w:cs="宋体" w:eastAsia="宋体" w:hint="default"/>
                <w:spacing w:val="-8"/>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89.7pt;height:10.95pt;mso-position-horizontal-relative:char;mso-position-vertical-relative:line" coordorigin="0,0" coordsize="1794,219">
                  <v:group style="position:absolute;left:5;top:5;width:1784;height:209" coordorigin="5,5" coordsize="1784,209">
                    <v:shape style="position:absolute;left:5;top:5;width:1784;height:209" coordorigin="5,5" coordsize="1784,209" path="m1789,5l5,214e" filled="false" stroked="true" strokeweight=".48pt" strokecolor="#000000">
                      <v:path arrowok="t"/>
                    </v:shape>
                  </v:group>
                </v:group>
              </w:pict>
            </w:r>
            <w:r>
              <w:rPr>
                <w:rFonts w:ascii="宋体" w:hAnsi="宋体" w:cs="宋体" w:eastAsia="宋体" w:hint="default"/>
                <w:position w:val="-3"/>
                <w:sz w:val="20"/>
                <w:szCs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b/>
                <w:spacing w:val="-1"/>
                <w:sz w:val="16"/>
              </w:rPr>
              <w:t>42,946,827.33</w:t>
            </w:r>
            <w:r>
              <w:rPr>
                <w:rFonts w:ascii="宋体"/>
                <w:spacing w:val="-1"/>
                <w:sz w:val="16"/>
              </w:rPr>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b/>
                <w:w w:val="99"/>
                <w:sz w:val="16"/>
              </w:rPr>
              <w:t>-</w:t>
            </w:r>
            <w:r>
              <w:rPr>
                <w:rFonts w:ascii="宋体"/>
                <w:sz w:val="16"/>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85pt;height:10.95pt;mso-position-horizontal-relative:char;mso-position-vertical-relative:line" coordorigin="0,0" coordsize="1700,219">
                  <v:group style="position:absolute;left:5;top:5;width:1690;height:209" coordorigin="5,5" coordsize="1690,209">
                    <v:shape style="position:absolute;left:5;top:5;width:1690;height:209" coordorigin="5,5" coordsize="1690,209" path="m1694,5l5,214e" filled="false" stroked="true" strokeweight=".48pt" strokecolor="#000000">
                      <v:path arrowok="t"/>
                    </v:shape>
                  </v:group>
                </v:group>
              </w:pict>
            </w:r>
            <w:r>
              <w:rPr>
                <w:rFonts w:ascii="宋体" w:hAnsi="宋体" w:cs="宋体" w:eastAsia="宋体" w:hint="default"/>
                <w:position w:val="-3"/>
                <w:sz w:val="20"/>
                <w:szCs w:val="20"/>
              </w:rPr>
            </w:r>
          </w:p>
        </w:tc>
      </w:tr>
      <w:tr>
        <w:trPr>
          <w:trHeight w:val="216"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8"/>
                <w:sz w:val="16"/>
                <w:szCs w:val="16"/>
              </w:rPr>
              <w:t>其他综合收益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2"/>
                <w:sz w:val="16"/>
              </w:rPr>
              <w:t>1,230,619,792.07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179,650,842.09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1,410,270,634.16</w:t>
            </w:r>
          </w:p>
        </w:tc>
      </w:tr>
      <w:tr>
        <w:trPr>
          <w:trHeight w:val="21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8"/>
                <w:sz w:val="16"/>
                <w:szCs w:val="16"/>
              </w:rPr>
              <w:t>未分配利润</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2"/>
                <w:sz w:val="16"/>
              </w:rPr>
              <w:t>2,364,509,602.80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100,405,157.91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2,464,914,760.71</w:t>
            </w:r>
          </w:p>
        </w:tc>
      </w:tr>
      <w:tr>
        <w:trPr>
          <w:trHeight w:val="21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b/>
                <w:bCs/>
                <w:spacing w:val="-8"/>
                <w:sz w:val="16"/>
                <w:szCs w:val="16"/>
              </w:rPr>
              <w:t>对股东权益的影响总额</w:t>
            </w:r>
            <w:r>
              <w:rPr>
                <w:rFonts w:ascii="宋体" w:hAnsi="宋体" w:cs="宋体" w:eastAsia="宋体" w:hint="default"/>
                <w:spacing w:val="-8"/>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89.7pt;height:10.95pt;mso-position-horizontal-relative:char;mso-position-vertical-relative:line" coordorigin="0,0" coordsize="1794,219">
                  <v:group style="position:absolute;left:5;top:5;width:1784;height:209" coordorigin="5,5" coordsize="1784,209">
                    <v:shape style="position:absolute;left:5;top:5;width:1784;height:209" coordorigin="5,5" coordsize="1784,209" path="m1789,5l5,214e" filled="false" stroked="true" strokeweight=".48pt" strokecolor="#000000">
                      <v:path arrowok="t"/>
                    </v:shape>
                  </v:group>
                </v:group>
              </w:pict>
            </w:r>
            <w:r>
              <w:rPr>
                <w:rFonts w:ascii="宋体" w:hAnsi="宋体" w:cs="宋体" w:eastAsia="宋体" w:hint="default"/>
                <w:position w:val="-3"/>
                <w:sz w:val="20"/>
                <w:szCs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b/>
                <w:w w:val="99"/>
                <w:sz w:val="16"/>
              </w:rPr>
              <w:t>-</w:t>
            </w:r>
            <w:r>
              <w:rPr>
                <w:rFonts w:ascii="宋体"/>
                <w:sz w:val="16"/>
              </w:rPr>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9"/>
              <w:jc w:val="right"/>
              <w:rPr>
                <w:rFonts w:ascii="宋体" w:hAnsi="宋体" w:cs="宋体" w:eastAsia="宋体" w:hint="default"/>
                <w:sz w:val="16"/>
                <w:szCs w:val="16"/>
              </w:rPr>
            </w:pPr>
            <w:r>
              <w:rPr>
                <w:rFonts w:ascii="宋体"/>
                <w:b/>
                <w:spacing w:val="-1"/>
                <w:sz w:val="16"/>
              </w:rPr>
              <w:t>280,056,000.00</w:t>
            </w:r>
            <w:r>
              <w:rPr>
                <w:rFonts w:ascii="宋体"/>
                <w:spacing w:val="-1"/>
                <w:sz w:val="16"/>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85pt;height:10.95pt;mso-position-horizontal-relative:char;mso-position-vertical-relative:line" coordorigin="0,0" coordsize="1700,219">
                  <v:group style="position:absolute;left:5;top:5;width:1690;height:209" coordorigin="5,5" coordsize="1690,209">
                    <v:shape style="position:absolute;left:5;top:5;width:1690;height:209" coordorigin="5,5" coordsize="1690,209" path="m1694,5l5,214e" filled="false" stroked="true" strokeweight=".48pt" strokecolor="#000000">
                      <v:path arrowok="t"/>
                    </v:shape>
                  </v:group>
                </v:group>
              </w:pict>
            </w:r>
            <w:r>
              <w:rPr>
                <w:rFonts w:ascii="宋体" w:hAnsi="宋体" w:cs="宋体" w:eastAsia="宋体" w:hint="default"/>
                <w:position w:val="-3"/>
                <w:sz w:val="20"/>
                <w:szCs w:val="20"/>
              </w:rPr>
            </w:r>
          </w:p>
        </w:tc>
      </w:tr>
    </w:tbl>
    <w:p>
      <w:pPr>
        <w:spacing w:line="240" w:lineRule="auto" w:before="11"/>
        <w:rPr>
          <w:rFonts w:ascii="宋体" w:hAnsi="宋体" w:cs="宋体" w:eastAsia="宋体" w:hint="default"/>
          <w:sz w:val="25"/>
          <w:szCs w:val="25"/>
        </w:rPr>
      </w:pPr>
    </w:p>
    <w:p>
      <w:pPr>
        <w:pStyle w:val="BodyText"/>
        <w:spacing w:line="355" w:lineRule="auto" w:before="36"/>
        <w:ind w:left="240" w:right="0" w:firstLine="424"/>
        <w:jc w:val="left"/>
      </w:pPr>
      <w:r>
        <w:rPr/>
        <w:t>于</w:t>
      </w:r>
      <w:r>
        <w:rPr>
          <w:spacing w:val="-37"/>
        </w:rPr>
        <w:t> </w:t>
      </w:r>
      <w:r>
        <w:rPr>
          <w:rFonts w:ascii="宋体" w:hAnsi="宋体" w:cs="宋体" w:eastAsia="宋体" w:hint="default"/>
        </w:rPr>
        <w:t>2018</w:t>
      </w:r>
      <w:r>
        <w:rPr>
          <w:rFonts w:ascii="宋体" w:hAnsi="宋体" w:cs="宋体" w:eastAsia="宋体" w:hint="default"/>
          <w:spacing w:val="-39"/>
        </w:rPr>
        <w:t> </w:t>
      </w:r>
      <w:r>
        <w:rPr/>
        <w:t>年</w:t>
      </w:r>
      <w:r>
        <w:rPr>
          <w:spacing w:val="-39"/>
        </w:rPr>
        <w:t> </w:t>
      </w:r>
      <w:r>
        <w:rPr>
          <w:rFonts w:ascii="宋体" w:hAnsi="宋体" w:cs="宋体" w:eastAsia="宋体" w:hint="default"/>
        </w:rPr>
        <w:t>1</w:t>
      </w:r>
      <w:r>
        <w:rPr>
          <w:rFonts w:ascii="宋体" w:hAnsi="宋体" w:cs="宋体" w:eastAsia="宋体" w:hint="default"/>
          <w:spacing w:val="-39"/>
        </w:rPr>
        <w:t> </w:t>
      </w:r>
      <w:r>
        <w:rPr/>
        <w:t>月</w:t>
      </w:r>
      <w:r>
        <w:rPr>
          <w:spacing w:val="-37"/>
        </w:rPr>
        <w:t> </w:t>
      </w:r>
      <w:r>
        <w:rPr>
          <w:rFonts w:ascii="宋体" w:hAnsi="宋体" w:cs="宋体" w:eastAsia="宋体" w:hint="default"/>
        </w:rPr>
        <w:t>1</w:t>
      </w:r>
      <w:r>
        <w:rPr>
          <w:rFonts w:ascii="宋体" w:hAnsi="宋体" w:cs="宋体" w:eastAsia="宋体" w:hint="default"/>
          <w:spacing w:val="-39"/>
        </w:rPr>
        <w:t> </w:t>
      </w:r>
      <w:r>
        <w:rPr/>
        <w:t>日，本公司首次执行上述新收入准则与新金融工具准则对公司资产、负债和</w:t>
      </w:r>
      <w:r>
        <w:rPr>
          <w:w w:val="100"/>
        </w:rPr>
        <w:t> </w:t>
      </w:r>
      <w:r>
        <w:rPr/>
        <w:t>股东权益的影响汇总如下：</w:t>
      </w:r>
    </w:p>
    <w:p>
      <w:pPr>
        <w:pStyle w:val="BodyText"/>
        <w:tabs>
          <w:tab w:pos="1051" w:val="left" w:leader="none"/>
        </w:tabs>
        <w:spacing w:line="240" w:lineRule="auto" w:before="32"/>
        <w:ind w:left="0" w:right="253"/>
        <w:jc w:val="right"/>
      </w:pPr>
      <w:r>
        <w:rPr/>
        <w:pict>
          <v:group style="position:absolute;margin-left:158.779999pt;margin-top:60.68367pt;width:89.7pt;height:32.65pt;mso-position-horizontal-relative:page;mso-position-vertical-relative:paragraph;z-index:-1124512" coordorigin="3176,1214" coordsize="1794,653">
            <v:group style="position:absolute;left:3180;top:1218;width:1784;height:209" coordorigin="3180,1218" coordsize="1784,209">
              <v:shape style="position:absolute;left:3180;top:1218;width:1784;height:209" coordorigin="3180,1218" coordsize="1784,209" path="m4964,1218l3180,1427e" filled="false" stroked="true" strokeweight=".48pt" strokecolor="#000000">
                <v:path arrowok="t"/>
              </v:shape>
            </v:group>
            <v:group style="position:absolute;left:3180;top:1437;width:1784;height:209" coordorigin="3180,1437" coordsize="1784,209">
              <v:shape style="position:absolute;left:3180;top:1437;width:1784;height:209" coordorigin="3180,1437" coordsize="1784,209" path="m4964,1437l3180,1646e" filled="false" stroked="true" strokeweight=".48pt" strokecolor="#000000">
                <v:path arrowok="t"/>
              </v:shape>
            </v:group>
            <v:group style="position:absolute;left:3180;top:1655;width:1784;height:207" coordorigin="3180,1655" coordsize="1784,207">
              <v:shape style="position:absolute;left:3180;top:1655;width:1784;height:207" coordorigin="3180,1655" coordsize="1784,207" path="m4964,1655l3180,1862e" filled="false" stroked="true" strokeweight=".48pt" strokecolor="#000000">
                <v:path arrowok="t"/>
              </v:shape>
            </v:group>
            <w10:wrap type="none"/>
          </v:group>
        </w:pict>
      </w: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1843"/>
        <w:gridCol w:w="1793"/>
        <w:gridCol w:w="1868"/>
        <w:gridCol w:w="1870"/>
        <w:gridCol w:w="1870"/>
      </w:tblGrid>
      <w:tr>
        <w:trPr>
          <w:trHeight w:val="21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b/>
                <w:bCs/>
                <w:spacing w:val="-8"/>
                <w:sz w:val="16"/>
                <w:szCs w:val="16"/>
              </w:rPr>
              <w:t>项目</w:t>
            </w:r>
            <w:r>
              <w:rPr>
                <w:rFonts w:ascii="宋体" w:hAnsi="宋体" w:cs="宋体" w:eastAsia="宋体" w:hint="default"/>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56" w:right="0"/>
              <w:jc w:val="left"/>
              <w:rPr>
                <w:rFonts w:ascii="宋体" w:hAnsi="宋体" w:cs="宋体" w:eastAsia="宋体" w:hint="default"/>
                <w:sz w:val="16"/>
                <w:szCs w:val="16"/>
              </w:rPr>
            </w:pPr>
            <w:r>
              <w:rPr>
                <w:rFonts w:ascii="宋体" w:hAnsi="宋体" w:cs="宋体" w:eastAsia="宋体" w:hint="default"/>
                <w:b/>
                <w:bCs/>
                <w:spacing w:val="-3"/>
                <w:sz w:val="16"/>
                <w:szCs w:val="16"/>
              </w:rPr>
              <w:t>2017</w:t>
            </w:r>
            <w:r>
              <w:rPr>
                <w:rFonts w:ascii="宋体" w:hAnsi="宋体" w:cs="宋体" w:eastAsia="宋体" w:hint="default"/>
                <w:b/>
                <w:bCs/>
                <w:spacing w:val="-48"/>
                <w:sz w:val="16"/>
                <w:szCs w:val="16"/>
              </w:rPr>
              <w:t> </w:t>
            </w:r>
            <w:r>
              <w:rPr>
                <w:rFonts w:ascii="宋体" w:hAnsi="宋体" w:cs="宋体" w:eastAsia="宋体" w:hint="default"/>
                <w:b/>
                <w:bCs/>
                <w:sz w:val="16"/>
                <w:szCs w:val="16"/>
              </w:rPr>
              <w:t>年</w:t>
            </w:r>
            <w:r>
              <w:rPr>
                <w:rFonts w:ascii="宋体" w:hAnsi="宋体" w:cs="宋体" w:eastAsia="宋体" w:hint="default"/>
                <w:b/>
                <w:bCs/>
                <w:spacing w:val="-54"/>
                <w:sz w:val="16"/>
                <w:szCs w:val="16"/>
              </w:rPr>
              <w:t> </w:t>
            </w:r>
            <w:r>
              <w:rPr>
                <w:rFonts w:ascii="宋体" w:hAnsi="宋体" w:cs="宋体" w:eastAsia="宋体" w:hint="default"/>
                <w:b/>
                <w:bCs/>
                <w:sz w:val="16"/>
                <w:szCs w:val="16"/>
              </w:rPr>
              <w:t>12</w:t>
            </w:r>
            <w:r>
              <w:rPr>
                <w:rFonts w:ascii="宋体" w:hAnsi="宋体" w:cs="宋体" w:eastAsia="宋体" w:hint="default"/>
                <w:b/>
                <w:bCs/>
                <w:spacing w:val="-48"/>
                <w:sz w:val="16"/>
                <w:szCs w:val="16"/>
              </w:rPr>
              <w:t> </w:t>
            </w:r>
            <w:r>
              <w:rPr>
                <w:rFonts w:ascii="宋体" w:hAnsi="宋体" w:cs="宋体" w:eastAsia="宋体" w:hint="default"/>
                <w:b/>
                <w:bCs/>
                <w:sz w:val="16"/>
                <w:szCs w:val="16"/>
              </w:rPr>
              <w:t>月</w:t>
            </w:r>
            <w:r>
              <w:rPr>
                <w:rFonts w:ascii="宋体" w:hAnsi="宋体" w:cs="宋体" w:eastAsia="宋体" w:hint="default"/>
                <w:b/>
                <w:bCs/>
                <w:spacing w:val="-54"/>
                <w:sz w:val="16"/>
                <w:szCs w:val="16"/>
              </w:rPr>
              <w:t> </w:t>
            </w:r>
            <w:r>
              <w:rPr>
                <w:rFonts w:ascii="宋体" w:hAnsi="宋体" w:cs="宋体" w:eastAsia="宋体" w:hint="default"/>
                <w:b/>
                <w:bCs/>
                <w:sz w:val="16"/>
                <w:szCs w:val="16"/>
              </w:rPr>
              <w:t>31</w:t>
            </w:r>
            <w:r>
              <w:rPr>
                <w:rFonts w:ascii="宋体" w:hAnsi="宋体" w:cs="宋体" w:eastAsia="宋体" w:hint="default"/>
                <w:b/>
                <w:bCs/>
                <w:spacing w:val="-47"/>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42" w:right="0"/>
              <w:jc w:val="left"/>
              <w:rPr>
                <w:rFonts w:ascii="宋体" w:hAnsi="宋体" w:cs="宋体" w:eastAsia="宋体" w:hint="default"/>
                <w:sz w:val="16"/>
                <w:szCs w:val="16"/>
              </w:rPr>
            </w:pPr>
            <w:r>
              <w:rPr>
                <w:rFonts w:ascii="宋体" w:hAnsi="宋体" w:cs="宋体" w:eastAsia="宋体" w:hint="default"/>
                <w:b/>
                <w:bCs/>
                <w:spacing w:val="-8"/>
                <w:sz w:val="16"/>
                <w:szCs w:val="16"/>
              </w:rPr>
              <w:t>执行新收入准则影响</w:t>
            </w:r>
            <w:r>
              <w:rPr>
                <w:rFonts w:ascii="宋体" w:hAnsi="宋体" w:cs="宋体" w:eastAsia="宋体" w:hint="default"/>
                <w:spacing w:val="-8"/>
                <w:sz w:val="16"/>
                <w:szCs w:val="16"/>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87"/>
              <w:jc w:val="right"/>
              <w:rPr>
                <w:rFonts w:ascii="宋体" w:hAnsi="宋体" w:cs="宋体" w:eastAsia="宋体" w:hint="default"/>
                <w:sz w:val="16"/>
                <w:szCs w:val="16"/>
              </w:rPr>
            </w:pPr>
            <w:r>
              <w:rPr>
                <w:rFonts w:ascii="宋体" w:hAnsi="宋体" w:cs="宋体" w:eastAsia="宋体" w:hint="default"/>
                <w:b/>
                <w:bCs/>
                <w:spacing w:val="-8"/>
                <w:sz w:val="16"/>
                <w:szCs w:val="16"/>
              </w:rPr>
              <w:t>执行新金融工具准则影响</w:t>
            </w:r>
            <w:r>
              <w:rPr>
                <w:rFonts w:ascii="宋体" w:hAnsi="宋体" w:cs="宋体" w:eastAsia="宋体" w:hint="default"/>
                <w:spacing w:val="-8"/>
                <w:sz w:val="16"/>
                <w:szCs w:val="16"/>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74" w:right="0"/>
              <w:jc w:val="left"/>
              <w:rPr>
                <w:rFonts w:ascii="宋体" w:hAnsi="宋体" w:cs="宋体" w:eastAsia="宋体" w:hint="default"/>
                <w:sz w:val="16"/>
                <w:szCs w:val="16"/>
              </w:rPr>
            </w:pPr>
            <w:r>
              <w:rPr>
                <w:rFonts w:ascii="宋体" w:hAnsi="宋体" w:cs="宋体" w:eastAsia="宋体" w:hint="default"/>
                <w:b/>
                <w:bCs/>
                <w:spacing w:val="-3"/>
                <w:sz w:val="16"/>
                <w:szCs w:val="16"/>
              </w:rPr>
              <w:t>2018</w:t>
            </w:r>
            <w:r>
              <w:rPr>
                <w:rFonts w:ascii="宋体" w:hAnsi="宋体" w:cs="宋体" w:eastAsia="宋体" w:hint="default"/>
                <w:b/>
                <w:bCs/>
                <w:spacing w:val="-47"/>
                <w:sz w:val="16"/>
                <w:szCs w:val="16"/>
              </w:rPr>
              <w:t> </w:t>
            </w:r>
            <w:r>
              <w:rPr>
                <w:rFonts w:ascii="宋体" w:hAnsi="宋体" w:cs="宋体" w:eastAsia="宋体" w:hint="default"/>
                <w:b/>
                <w:bCs/>
                <w:sz w:val="16"/>
                <w:szCs w:val="16"/>
              </w:rPr>
              <w:t>年</w:t>
            </w:r>
            <w:r>
              <w:rPr>
                <w:rFonts w:ascii="宋体" w:hAnsi="宋体" w:cs="宋体" w:eastAsia="宋体" w:hint="default"/>
                <w:b/>
                <w:bCs/>
                <w:spacing w:val="-53"/>
                <w:sz w:val="16"/>
                <w:szCs w:val="16"/>
              </w:rPr>
              <w:t> </w:t>
            </w:r>
            <w:r>
              <w:rPr>
                <w:rFonts w:ascii="宋体" w:hAnsi="宋体" w:cs="宋体" w:eastAsia="宋体" w:hint="default"/>
                <w:b/>
                <w:bCs/>
                <w:sz w:val="16"/>
                <w:szCs w:val="16"/>
              </w:rPr>
              <w:t>1</w:t>
            </w:r>
            <w:r>
              <w:rPr>
                <w:rFonts w:ascii="宋体" w:hAnsi="宋体" w:cs="宋体" w:eastAsia="宋体" w:hint="default"/>
                <w:b/>
                <w:bCs/>
                <w:spacing w:val="-47"/>
                <w:sz w:val="16"/>
                <w:szCs w:val="16"/>
              </w:rPr>
              <w:t> </w:t>
            </w:r>
            <w:r>
              <w:rPr>
                <w:rFonts w:ascii="宋体" w:hAnsi="宋体" w:cs="宋体" w:eastAsia="宋体" w:hint="default"/>
                <w:b/>
                <w:bCs/>
                <w:sz w:val="16"/>
                <w:szCs w:val="16"/>
              </w:rPr>
              <w:t>月</w:t>
            </w:r>
            <w:r>
              <w:rPr>
                <w:rFonts w:ascii="宋体" w:hAnsi="宋体" w:cs="宋体" w:eastAsia="宋体" w:hint="default"/>
                <w:b/>
                <w:bCs/>
                <w:spacing w:val="-53"/>
                <w:sz w:val="16"/>
                <w:szCs w:val="16"/>
              </w:rPr>
              <w:t> </w:t>
            </w:r>
            <w:r>
              <w:rPr>
                <w:rFonts w:ascii="宋体" w:hAnsi="宋体" w:cs="宋体" w:eastAsia="宋体" w:hint="default"/>
                <w:b/>
                <w:bCs/>
                <w:sz w:val="16"/>
                <w:szCs w:val="16"/>
              </w:rPr>
              <w:t>1</w:t>
            </w:r>
            <w:r>
              <w:rPr>
                <w:rFonts w:ascii="宋体" w:hAnsi="宋体" w:cs="宋体" w:eastAsia="宋体" w:hint="default"/>
                <w:b/>
                <w:bCs/>
                <w:spacing w:val="-45"/>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r>
      <w:tr>
        <w:trPr>
          <w:trHeight w:val="2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pacing w:val="-9"/>
                <w:sz w:val="16"/>
                <w:szCs w:val="16"/>
              </w:rPr>
              <w:t>交易性金融资产</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89.7pt;height:10.95pt;mso-position-horizontal-relative:char;mso-position-vertical-relative:line" coordorigin="0,0" coordsize="1794,219">
                  <v:group style="position:absolute;left:5;top:5;width:1784;height:209" coordorigin="5,5" coordsize="1784,209">
                    <v:shape style="position:absolute;left:5;top:5;width:1784;height:209" coordorigin="5,5" coordsize="1784,209" path="m1789,5l5,214e" filled="false" stroked="true" strokeweight=".48pt" strokecolor="#000000">
                      <v:path arrowok="t"/>
                    </v:shape>
                  </v:group>
                </v:group>
              </w:pict>
            </w:r>
            <w:r>
              <w:rPr>
                <w:rFonts w:ascii="宋体" w:hAnsi="宋体" w:cs="宋体" w:eastAsia="宋体" w:hint="default"/>
                <w:position w:val="-3"/>
                <w:sz w:val="20"/>
                <w:szCs w:val="20"/>
              </w:rPr>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7"/>
              <w:jc w:val="right"/>
              <w:rPr>
                <w:rFonts w:ascii="宋体" w:hAnsi="宋体" w:cs="宋体" w:eastAsia="宋体" w:hint="default"/>
                <w:sz w:val="16"/>
                <w:szCs w:val="16"/>
              </w:rPr>
            </w:pPr>
            <w:r>
              <w:rPr>
                <w:rFonts w:ascii="宋体"/>
                <w:w w:val="100"/>
                <w:sz w:val="16"/>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1,135,028,233.14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1,135,028,233.14</w:t>
            </w:r>
          </w:p>
        </w:tc>
      </w:tr>
      <w:tr>
        <w:trPr>
          <w:trHeight w:val="2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8"/>
                <w:sz w:val="16"/>
                <w:szCs w:val="16"/>
              </w:rPr>
              <w:t>其他流动资产</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2"/>
                <w:sz w:val="16"/>
              </w:rPr>
              <w:t>1,156,865,130.99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14,256,455.91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2"/>
                <w:sz w:val="16"/>
              </w:rPr>
              <w:t>(1,135,028,233.14)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36,093,353.76</w:t>
            </w:r>
          </w:p>
        </w:tc>
      </w:tr>
      <w:tr>
        <w:trPr>
          <w:trHeight w:val="21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9"/>
                <w:sz w:val="16"/>
                <w:szCs w:val="16"/>
              </w:rPr>
              <w:t>可供出售金融资产</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3"/>
              <w:jc w:val="right"/>
              <w:rPr>
                <w:rFonts w:ascii="宋体" w:hAnsi="宋体" w:cs="宋体" w:eastAsia="宋体" w:hint="default"/>
                <w:sz w:val="16"/>
                <w:szCs w:val="16"/>
              </w:rPr>
            </w:pPr>
            <w:r>
              <w:rPr>
                <w:rFonts w:ascii="宋体"/>
                <w:spacing w:val="-2"/>
                <w:sz w:val="16"/>
              </w:rPr>
              <w:t>1,655,576,832.80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97"/>
              <w:jc w:val="right"/>
              <w:rPr>
                <w:rFonts w:ascii="宋体" w:hAnsi="宋体" w:cs="宋体" w:eastAsia="宋体" w:hint="default"/>
                <w:sz w:val="16"/>
                <w:szCs w:val="16"/>
              </w:rPr>
            </w:pPr>
            <w:r>
              <w:rPr>
                <w:rFonts w:ascii="宋体"/>
                <w:w w:val="100"/>
                <w:sz w:val="16"/>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0"/>
              <w:jc w:val="right"/>
              <w:rPr>
                <w:rFonts w:ascii="宋体" w:hAnsi="宋体" w:cs="宋体" w:eastAsia="宋体" w:hint="default"/>
                <w:sz w:val="16"/>
                <w:szCs w:val="16"/>
              </w:rPr>
            </w:pPr>
            <w:r>
              <w:rPr>
                <w:rFonts w:ascii="宋体"/>
                <w:spacing w:val="-2"/>
                <w:sz w:val="16"/>
              </w:rPr>
              <w:t>(1,655,576,832.80)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93.55pt;height:10.85pt;mso-position-horizontal-relative:char;mso-position-vertical-relative:line" coordorigin="0,0" coordsize="1871,217">
                  <v:group style="position:absolute;left:5;top:5;width:1861;height:207" coordorigin="5,5" coordsize="1861,207">
                    <v:shape style="position:absolute;left:5;top:5;width:1861;height:207" coordorigin="5,5" coordsize="1861,207" path="m1865,5l5,212e" filled="false" stroked="true" strokeweight=".48pt" strokecolor="#000000">
                      <v:path arrowok="t"/>
                    </v:shape>
                  </v:group>
                </v:group>
              </w:pict>
            </w:r>
            <w:r>
              <w:rPr>
                <w:rFonts w:ascii="宋体" w:hAnsi="宋体" w:cs="宋体" w:eastAsia="宋体" w:hint="default"/>
                <w:position w:val="-3"/>
                <w:sz w:val="20"/>
                <w:szCs w:val="20"/>
              </w:rPr>
            </w:r>
          </w:p>
        </w:tc>
      </w:tr>
      <w:tr>
        <w:trPr>
          <w:trHeight w:val="2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pacing w:val="-9"/>
                <w:sz w:val="16"/>
                <w:szCs w:val="16"/>
              </w:rPr>
              <w:t>其他权益工具投资</w:t>
            </w:r>
          </w:p>
        </w:tc>
        <w:tc>
          <w:tcPr>
            <w:tcW w:w="1793"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7"/>
              <w:jc w:val="right"/>
              <w:rPr>
                <w:rFonts w:ascii="宋体" w:hAnsi="宋体" w:cs="宋体" w:eastAsia="宋体" w:hint="default"/>
                <w:sz w:val="16"/>
                <w:szCs w:val="16"/>
              </w:rPr>
            </w:pPr>
            <w:r>
              <w:rPr>
                <w:rFonts w:ascii="宋体"/>
                <w:w w:val="100"/>
                <w:sz w:val="16"/>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1,838,747,200.00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1,838,747,200.00</w:t>
            </w:r>
          </w:p>
        </w:tc>
      </w:tr>
      <w:tr>
        <w:trPr>
          <w:trHeight w:val="2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9"/>
                <w:sz w:val="16"/>
                <w:szCs w:val="16"/>
              </w:rPr>
              <w:t>其他非流动金融资产</w:t>
            </w:r>
          </w:p>
        </w:tc>
        <w:tc>
          <w:tcPr>
            <w:tcW w:w="1793"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96,885,632.80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96,885,632.80</w:t>
            </w:r>
          </w:p>
        </w:tc>
      </w:tr>
      <w:tr>
        <w:trPr>
          <w:trHeight w:val="21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b/>
                <w:bCs/>
                <w:spacing w:val="-8"/>
                <w:sz w:val="16"/>
                <w:szCs w:val="16"/>
              </w:rPr>
              <w:t>对资产影响总额</w:t>
            </w:r>
            <w:r>
              <w:rPr>
                <w:rFonts w:ascii="宋体" w:hAnsi="宋体" w:cs="宋体" w:eastAsia="宋体" w:hint="default"/>
                <w:spacing w:val="-8"/>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9"/>
              <w:jc w:val="right"/>
              <w:rPr>
                <w:rFonts w:ascii="宋体" w:hAnsi="宋体" w:cs="宋体" w:eastAsia="宋体" w:hint="default"/>
                <w:sz w:val="16"/>
                <w:szCs w:val="16"/>
              </w:rPr>
            </w:pPr>
            <w:r>
              <w:rPr>
                <w:rFonts w:ascii="宋体"/>
                <w:b/>
                <w:spacing w:val="-1"/>
                <w:sz w:val="16"/>
              </w:rPr>
              <w:t>14,256,455.91</w:t>
            </w:r>
            <w:r>
              <w:rPr>
                <w:rFonts w:ascii="宋体"/>
                <w:spacing w:val="-1"/>
                <w:sz w:val="16"/>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b/>
                <w:spacing w:val="-1"/>
                <w:sz w:val="16"/>
              </w:rPr>
              <w:t>280,056,000.00</w:t>
            </w:r>
            <w:r>
              <w:rPr>
                <w:rFonts w:ascii="宋体"/>
                <w:spacing w:val="-1"/>
                <w:sz w:val="16"/>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93.55pt;height:10.8pt;mso-position-horizontal-relative:char;mso-position-vertical-relative:line" coordorigin="0,0" coordsize="1871,216">
                  <v:group style="position:absolute;left:5;top:5;width:1861;height:207" coordorigin="5,5" coordsize="1861,207">
                    <v:shape style="position:absolute;left:5;top:5;width:1861;height:207" coordorigin="5,5" coordsize="1861,207" path="m1865,5l5,211e" filled="false" stroked="true" strokeweight=".48pt" strokecolor="#000000">
                      <v:path arrowok="t"/>
                    </v:shape>
                  </v:group>
                </v:group>
              </w:pict>
            </w:r>
            <w:r>
              <w:rPr>
                <w:rFonts w:ascii="宋体" w:hAnsi="宋体" w:cs="宋体" w:eastAsia="宋体" w:hint="default"/>
                <w:position w:val="-3"/>
                <w:sz w:val="20"/>
                <w:szCs w:val="20"/>
              </w:rPr>
            </w:r>
          </w:p>
        </w:tc>
      </w:tr>
      <w:tr>
        <w:trPr>
          <w:trHeight w:val="2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0"/>
                <w:sz w:val="16"/>
                <w:szCs w:val="16"/>
              </w:rPr>
              <w:t>预收款项</w:t>
            </w:r>
            <w:r>
              <w:rPr>
                <w:rFonts w:ascii="宋体" w:hAnsi="宋体" w:cs="宋体" w:eastAsia="宋体" w:hint="default"/>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2"/>
                <w:sz w:val="16"/>
              </w:rPr>
              <w:t>229,900,017.25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(229,900,017.25)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r>
      <w:tr>
        <w:trPr>
          <w:trHeight w:val="21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0"/>
                <w:sz w:val="16"/>
                <w:szCs w:val="16"/>
              </w:rPr>
              <w:t>合同负债</w:t>
            </w:r>
            <w:r>
              <w:rPr>
                <w:rFonts w:ascii="宋体" w:hAnsi="宋体" w:cs="宋体" w:eastAsia="宋体" w:hint="default"/>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89.7pt;height:10.8pt;mso-position-horizontal-relative:char;mso-position-vertical-relative:line" coordorigin="0,0" coordsize="1794,216">
                  <v:group style="position:absolute;left:5;top:5;width:1784;height:207" coordorigin="5,5" coordsize="1784,207">
                    <v:shape style="position:absolute;left:5;top:5;width:1784;height:207" coordorigin="5,5" coordsize="1784,207" path="m1789,5l5,211e" filled="false" stroked="true" strokeweight=".48pt" strokecolor="#000000">
                      <v:path arrowok="t"/>
                    </v:shape>
                  </v:group>
                </v:group>
              </w:pict>
            </w:r>
            <w:r>
              <w:rPr>
                <w:rFonts w:ascii="宋体" w:hAnsi="宋体" w:cs="宋体" w:eastAsia="宋体" w:hint="default"/>
                <w:position w:val="-3"/>
                <w:sz w:val="20"/>
                <w:szCs w:val="20"/>
              </w:rPr>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240,697,799.13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240,697,799.13</w:t>
            </w:r>
          </w:p>
        </w:tc>
      </w:tr>
      <w:tr>
        <w:trPr>
          <w:trHeight w:val="2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pacing w:val="-10"/>
                <w:sz w:val="16"/>
                <w:szCs w:val="16"/>
              </w:rPr>
              <w:t>预计负债</w:t>
            </w:r>
            <w:r>
              <w:rPr>
                <w:rFonts w:ascii="宋体" w:hAnsi="宋体" w:cs="宋体" w:eastAsia="宋体" w:hint="default"/>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2"/>
              <w:jc w:val="right"/>
              <w:rPr>
                <w:rFonts w:ascii="宋体" w:hAnsi="宋体" w:cs="宋体" w:eastAsia="宋体" w:hint="default"/>
                <w:sz w:val="16"/>
                <w:szCs w:val="16"/>
              </w:rPr>
            </w:pPr>
            <w:r>
              <w:rPr>
                <w:rFonts w:ascii="宋体"/>
                <w:spacing w:val="-2"/>
                <w:sz w:val="16"/>
              </w:rPr>
              <w:t>3,826,315.05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14,256,455.91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1"/>
              <w:jc w:val="right"/>
              <w:rPr>
                <w:rFonts w:ascii="宋体" w:hAnsi="宋体" w:cs="宋体" w:eastAsia="宋体" w:hint="default"/>
                <w:sz w:val="16"/>
                <w:szCs w:val="16"/>
              </w:rPr>
            </w:pPr>
            <w:r>
              <w:rPr>
                <w:rFonts w:ascii="宋体"/>
                <w:w w:val="100"/>
                <w:sz w:val="16"/>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18,082,770.96</w:t>
            </w:r>
          </w:p>
        </w:tc>
      </w:tr>
      <w:tr>
        <w:trPr>
          <w:trHeight w:val="2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0"/>
                <w:sz w:val="16"/>
                <w:szCs w:val="16"/>
              </w:rPr>
              <w:t>递延收益</w:t>
            </w:r>
            <w:r>
              <w:rPr>
                <w:rFonts w:ascii="宋体" w:hAnsi="宋体" w:cs="宋体" w:eastAsia="宋体" w:hint="default"/>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10,797,781.88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(10,797,781.88)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r>
      <w:tr>
        <w:trPr>
          <w:trHeight w:val="21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b/>
                <w:bCs/>
                <w:spacing w:val="-8"/>
                <w:sz w:val="16"/>
                <w:szCs w:val="16"/>
              </w:rPr>
              <w:t>对负债影响总额</w:t>
            </w:r>
            <w:r>
              <w:rPr>
                <w:rFonts w:ascii="宋体" w:hAnsi="宋体" w:cs="宋体" w:eastAsia="宋体" w:hint="default"/>
                <w:spacing w:val="-8"/>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89.7pt;height:10.8pt;mso-position-horizontal-relative:char;mso-position-vertical-relative:line" coordorigin="0,0" coordsize="1794,216">
                  <v:group style="position:absolute;left:5;top:5;width:1784;height:207" coordorigin="5,5" coordsize="1784,207">
                    <v:shape style="position:absolute;left:5;top:5;width:1784;height:207" coordorigin="5,5" coordsize="1784,207" path="m1789,5l5,211e" filled="false" stroked="true" strokeweight=".48pt" strokecolor="#000000">
                      <v:path arrowok="t"/>
                    </v:shape>
                  </v:group>
                </v:group>
              </w:pict>
            </w:r>
            <w:r>
              <w:rPr>
                <w:rFonts w:ascii="宋体" w:hAnsi="宋体" w:cs="宋体" w:eastAsia="宋体" w:hint="default"/>
                <w:position w:val="-3"/>
                <w:sz w:val="20"/>
                <w:szCs w:val="20"/>
              </w:rPr>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9"/>
              <w:jc w:val="right"/>
              <w:rPr>
                <w:rFonts w:ascii="宋体" w:hAnsi="宋体" w:cs="宋体" w:eastAsia="宋体" w:hint="default"/>
                <w:sz w:val="16"/>
                <w:szCs w:val="16"/>
              </w:rPr>
            </w:pPr>
            <w:r>
              <w:rPr>
                <w:rFonts w:ascii="宋体"/>
                <w:b/>
                <w:spacing w:val="-1"/>
                <w:sz w:val="16"/>
              </w:rPr>
              <w:t>14,256,455.91</w:t>
            </w:r>
            <w:r>
              <w:rPr>
                <w:rFonts w:ascii="宋体"/>
                <w:spacing w:val="-1"/>
                <w:sz w:val="16"/>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b/>
                <w:w w:val="99"/>
                <w:sz w:val="16"/>
              </w:rPr>
              <w:t>-</w:t>
            </w:r>
            <w:r>
              <w:rPr>
                <w:rFonts w:ascii="宋体"/>
                <w:sz w:val="16"/>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93.55pt;height:10.8pt;mso-position-horizontal-relative:char;mso-position-vertical-relative:line" coordorigin="0,0" coordsize="1871,216">
                  <v:group style="position:absolute;left:5;top:5;width:1861;height:207" coordorigin="5,5" coordsize="1861,207">
                    <v:shape style="position:absolute;left:5;top:5;width:1861;height:207" coordorigin="5,5" coordsize="1861,207" path="m1865,5l5,211e" filled="false" stroked="true" strokeweight=".48pt" strokecolor="#000000">
                      <v:path arrowok="t"/>
                    </v:shape>
                  </v:group>
                </v:group>
              </w:pict>
            </w:r>
            <w:r>
              <w:rPr>
                <w:rFonts w:ascii="宋体" w:hAnsi="宋体" w:cs="宋体" w:eastAsia="宋体" w:hint="default"/>
                <w:position w:val="-3"/>
                <w:sz w:val="20"/>
                <w:szCs w:val="20"/>
              </w:rPr>
            </w:r>
          </w:p>
        </w:tc>
      </w:tr>
      <w:tr>
        <w:trPr>
          <w:trHeight w:val="2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pacing w:val="-8"/>
                <w:sz w:val="16"/>
                <w:szCs w:val="16"/>
              </w:rPr>
              <w:t>其他综合收益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3"/>
              <w:jc w:val="right"/>
              <w:rPr>
                <w:rFonts w:ascii="宋体" w:hAnsi="宋体" w:cs="宋体" w:eastAsia="宋体" w:hint="default"/>
                <w:sz w:val="16"/>
                <w:szCs w:val="16"/>
              </w:rPr>
            </w:pPr>
            <w:r>
              <w:rPr>
                <w:rFonts w:ascii="宋体"/>
                <w:spacing w:val="-2"/>
                <w:sz w:val="16"/>
              </w:rPr>
              <w:t>1,136,163,193.05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7"/>
              <w:jc w:val="right"/>
              <w:rPr>
                <w:rFonts w:ascii="宋体" w:hAnsi="宋体" w:cs="宋体" w:eastAsia="宋体" w:hint="default"/>
                <w:sz w:val="16"/>
                <w:szCs w:val="16"/>
              </w:rPr>
            </w:pPr>
            <w:r>
              <w:rPr>
                <w:rFonts w:ascii="宋体"/>
                <w:w w:val="100"/>
                <w:sz w:val="16"/>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274,857,013.05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1,411,020,206.10</w:t>
            </w:r>
          </w:p>
        </w:tc>
      </w:tr>
      <w:tr>
        <w:trPr>
          <w:trHeight w:val="2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8"/>
                <w:sz w:val="16"/>
                <w:szCs w:val="16"/>
              </w:rPr>
              <w:t>未分配利润</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2"/>
                <w:sz w:val="16"/>
              </w:rPr>
              <w:t>2,046,248,858.13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5,198,986.95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2,051,447,845.08</w:t>
            </w:r>
          </w:p>
        </w:tc>
      </w:tr>
      <w:tr>
        <w:trPr>
          <w:trHeight w:val="21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b/>
                <w:bCs/>
                <w:spacing w:val="-8"/>
                <w:sz w:val="16"/>
                <w:szCs w:val="16"/>
              </w:rPr>
              <w:t>对股东权益的影响总额</w:t>
            </w:r>
            <w:r>
              <w:rPr>
                <w:rFonts w:ascii="宋体" w:hAnsi="宋体" w:cs="宋体" w:eastAsia="宋体" w:hint="default"/>
                <w:spacing w:val="-8"/>
                <w:sz w:val="16"/>
                <w:szCs w:val="16"/>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89.7pt;height:10.8pt;mso-position-horizontal-relative:char;mso-position-vertical-relative:line" coordorigin="0,0" coordsize="1794,216">
                  <v:group style="position:absolute;left:5;top:5;width:1784;height:207" coordorigin="5,5" coordsize="1784,207">
                    <v:shape style="position:absolute;left:5;top:5;width:1784;height:207" coordorigin="5,5" coordsize="1784,207" path="m1789,5l5,211e" filled="false" stroked="true" strokeweight=".48pt" strokecolor="#000000">
                      <v:path arrowok="t"/>
                    </v:shape>
                  </v:group>
                </v:group>
              </w:pict>
            </w:r>
            <w:r>
              <w:rPr>
                <w:rFonts w:ascii="宋体" w:hAnsi="宋体" w:cs="宋体" w:eastAsia="宋体" w:hint="default"/>
                <w:position w:val="-3"/>
                <w:sz w:val="20"/>
                <w:szCs w:val="20"/>
              </w:rPr>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b/>
                <w:w w:val="99"/>
                <w:sz w:val="16"/>
              </w:rPr>
              <w:t>-</w:t>
            </w:r>
            <w:r>
              <w:rPr>
                <w:rFonts w:ascii="宋体"/>
                <w:sz w:val="16"/>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b/>
                <w:spacing w:val="-1"/>
                <w:sz w:val="16"/>
              </w:rPr>
              <w:t>280,056,000.00</w:t>
            </w:r>
            <w:r>
              <w:rPr>
                <w:rFonts w:ascii="宋体"/>
                <w:spacing w:val="-1"/>
                <w:sz w:val="16"/>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5"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93.55pt;height:10.8pt;mso-position-horizontal-relative:char;mso-position-vertical-relative:line" coordorigin="0,0" coordsize="1871,216">
                  <v:group style="position:absolute;left:5;top:5;width:1861;height:207" coordorigin="5,5" coordsize="1861,207">
                    <v:shape style="position:absolute;left:5;top:5;width:1861;height:207" coordorigin="5,5" coordsize="1861,207" path="m1865,5l5,211e" filled="false" stroked="true" strokeweight=".48pt" strokecolor="#000000">
                      <v:path arrowok="t"/>
                    </v:shape>
                  </v:group>
                </v:group>
              </w:pict>
            </w:r>
            <w:r>
              <w:rPr>
                <w:rFonts w:ascii="宋体" w:hAnsi="宋体" w:cs="宋体" w:eastAsia="宋体" w:hint="default"/>
                <w:position w:val="-3"/>
                <w:sz w:val="20"/>
                <w:szCs w:val="20"/>
              </w:rPr>
            </w:r>
          </w:p>
        </w:tc>
      </w:tr>
    </w:tbl>
    <w:p>
      <w:pPr>
        <w:spacing w:line="240" w:lineRule="auto" w:before="13"/>
        <w:rPr>
          <w:rFonts w:ascii="宋体" w:hAnsi="宋体" w:cs="宋体" w:eastAsia="宋体" w:hint="default"/>
          <w:sz w:val="25"/>
          <w:szCs w:val="25"/>
        </w:rPr>
      </w:pPr>
    </w:p>
    <w:p>
      <w:pPr>
        <w:pStyle w:val="BodyText"/>
        <w:spacing w:line="357" w:lineRule="auto" w:before="36"/>
        <w:ind w:left="660" w:right="0"/>
        <w:jc w:val="left"/>
      </w:pPr>
      <w:r>
        <w:rPr>
          <w:rFonts w:ascii="宋体" w:hAnsi="宋体" w:cs="宋体" w:eastAsia="宋体" w:hint="default"/>
        </w:rPr>
        <w:t>3</w:t>
      </w:r>
      <w:r>
        <w:rPr/>
        <w:t>、财务报表列报格式</w:t>
      </w:r>
      <w:r>
        <w:rPr>
          <w:w w:val="100"/>
        </w:rPr>
        <w:t> </w:t>
      </w:r>
      <w:r>
        <w:rPr>
          <w:spacing w:val="-2"/>
        </w:rPr>
        <w:t>本集团从编制</w:t>
      </w:r>
      <w:r>
        <w:rPr>
          <w:rFonts w:ascii="宋体" w:hAnsi="宋体" w:cs="宋体" w:eastAsia="宋体" w:hint="default"/>
          <w:spacing w:val="-2"/>
        </w:rPr>
        <w:t>2018</w:t>
      </w:r>
      <w:r>
        <w:rPr>
          <w:spacing w:val="-2"/>
        </w:rPr>
        <w:t>年度财务报表起执行财政部</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15</w:t>
      </w:r>
      <w:r>
        <w:rPr>
          <w:spacing w:val="-2"/>
        </w:rPr>
        <w:t>日颁布的《关于修订印发</w:t>
      </w:r>
      <w:r>
        <w:rPr>
          <w:rFonts w:ascii="宋体" w:hAnsi="宋体" w:cs="宋体" w:eastAsia="宋体" w:hint="default"/>
          <w:spacing w:val="-2"/>
        </w:rPr>
        <w:t>2018</w:t>
      </w:r>
      <w:r>
        <w:rPr>
          <w:spacing w:val="-2"/>
        </w:rPr>
        <w:t>年度</w:t>
      </w:r>
    </w:p>
    <w:p>
      <w:pPr>
        <w:pStyle w:val="BodyText"/>
        <w:spacing w:line="357" w:lineRule="auto" w:before="30"/>
        <w:ind w:left="240" w:right="250"/>
        <w:jc w:val="both"/>
      </w:pPr>
      <w:r>
        <w:rPr>
          <w:spacing w:val="-2"/>
        </w:rPr>
        <w:t>一般企业财务报表格式的通知》</w:t>
      </w:r>
      <w:r>
        <w:rPr>
          <w:rFonts w:ascii="宋体" w:hAnsi="宋体" w:cs="宋体" w:eastAsia="宋体" w:hint="default"/>
          <w:spacing w:val="-2"/>
        </w:rPr>
        <w:t>(</w:t>
      </w:r>
      <w:r>
        <w:rPr>
          <w:spacing w:val="-2"/>
        </w:rPr>
        <w:t>财会</w:t>
      </w:r>
      <w:r>
        <w:rPr>
          <w:rFonts w:ascii="宋体" w:hAnsi="宋体" w:cs="宋体" w:eastAsia="宋体" w:hint="default"/>
          <w:spacing w:val="-2"/>
        </w:rPr>
        <w:t>(2018)15</w:t>
      </w:r>
      <w:r>
        <w:rPr>
          <w:spacing w:val="-2"/>
        </w:rPr>
        <w:t>号，以下简称“财会</w:t>
      </w:r>
      <w:r>
        <w:rPr>
          <w:rFonts w:ascii="宋体" w:hAnsi="宋体" w:cs="宋体" w:eastAsia="宋体" w:hint="default"/>
          <w:spacing w:val="-2"/>
        </w:rPr>
        <w:t>15</w:t>
      </w:r>
      <w:r>
        <w:rPr>
          <w:spacing w:val="-2"/>
        </w:rPr>
        <w:t>号文件”)。财会</w:t>
      </w:r>
      <w:r>
        <w:rPr>
          <w:rFonts w:ascii="宋体" w:hAnsi="宋体" w:cs="宋体" w:eastAsia="宋体" w:hint="default"/>
          <w:spacing w:val="-2"/>
        </w:rPr>
        <w:t>15</w:t>
      </w:r>
      <w:r>
        <w:rPr>
          <w:spacing w:val="-2"/>
        </w:rPr>
        <w:t>号文件对</w:t>
      </w:r>
      <w:r>
        <w:rPr>
          <w:spacing w:val="-16"/>
        </w:rPr>
        <w:t> </w:t>
      </w:r>
      <w:r>
        <w:rPr>
          <w:spacing w:val="-16"/>
        </w:rPr>
      </w:r>
      <w:r>
        <w:rPr>
          <w:spacing w:val="-2"/>
        </w:rPr>
        <w:t>资产负债表和利润表的列报项目进行了修订，新增了“应收票据及应收账款”“应付票据及应付账</w:t>
      </w:r>
      <w:r>
        <w:rPr>
          <w:spacing w:val="-31"/>
        </w:rPr>
        <w:t> </w:t>
      </w:r>
      <w:r>
        <w:rPr>
          <w:spacing w:val="-31"/>
        </w:rPr>
      </w:r>
      <w:r>
        <w:rPr>
          <w:spacing w:val="-2"/>
        </w:rPr>
        <w:t>款”“研发费用”行项目，修订了“其他应收款”“固定资产”“在建工程”“其他应付款”“长</w:t>
      </w:r>
      <w:r>
        <w:rPr>
          <w:spacing w:val="-30"/>
        </w:rPr>
        <w:t> </w:t>
      </w:r>
      <w:r>
        <w:rPr>
          <w:spacing w:val="-30"/>
        </w:rPr>
      </w:r>
      <w:r>
        <w:rPr>
          <w:spacing w:val="-2"/>
        </w:rPr>
        <w:t>期应付款”“管理费用”行项目的列报内容，减少了“应收票据”“应收账款”“应收股利”“应</w:t>
      </w:r>
      <w:r>
        <w:rPr>
          <w:spacing w:val="-33"/>
        </w:rPr>
        <w:t> </w:t>
      </w:r>
      <w:r>
        <w:rPr>
          <w:spacing w:val="-33"/>
        </w:rPr>
      </w:r>
      <w:r>
        <w:rPr>
          <w:spacing w:val="-2"/>
        </w:rPr>
        <w:t>收利息”“固定资产清理”“工程物资”“应付票据”“应付账款”“应付利息”“应付股利”及</w:t>
      </w:r>
      <w:r>
        <w:rPr>
          <w:spacing w:val="-31"/>
        </w:rPr>
        <w:t> </w:t>
      </w:r>
      <w:r>
        <w:rPr>
          <w:spacing w:val="-31"/>
        </w:rPr>
      </w:r>
      <w:r>
        <w:rPr>
          <w:spacing w:val="-2"/>
        </w:rPr>
        <w:t>“专项应付款”行项目，在“财务费用”项目下增加“其中：利息费用”和“利息收入”行项目进</w:t>
      </w:r>
      <w:r>
        <w:rPr>
          <w:spacing w:val="-34"/>
        </w:rPr>
        <w:t> </w:t>
      </w:r>
      <w:r>
        <w:rPr>
          <w:spacing w:val="-34"/>
        </w:rPr>
      </w:r>
      <w:r>
        <w:rPr>
          <w:spacing w:val="-2"/>
        </w:rPr>
        <w:t>行列报，调整了利润表部分项目的列报位置。对于上述列报项目的变更，本集团对上年比较数据进</w:t>
      </w:r>
      <w:r>
        <w:rPr>
          <w:spacing w:val="-33"/>
        </w:rPr>
        <w:t> </w:t>
      </w:r>
      <w:r>
        <w:rPr>
          <w:spacing w:val="-33"/>
        </w:rPr>
      </w:r>
      <w:r>
        <w:rPr/>
        <w:t>行了调整。</w:t>
      </w:r>
    </w:p>
    <w:p>
      <w:pPr>
        <w:spacing w:after="0" w:line="357" w:lineRule="auto"/>
        <w:jc w:val="both"/>
        <w:sectPr>
          <w:pgSz w:w="11910" w:h="16840"/>
          <w:pgMar w:header="0" w:footer="1195" w:top="1060" w:bottom="1380" w:left="120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tabs>
          <w:tab w:pos="1060" w:val="left" w:leader="none"/>
        </w:tabs>
        <w:spacing w:line="240" w:lineRule="auto" w:before="36"/>
        <w:ind w:right="0"/>
        <w:jc w:val="left"/>
        <w:rPr>
          <w:b w:val="0"/>
          <w:bCs w:val="0"/>
        </w:rPr>
      </w:pPr>
      <w:r>
        <w:rPr/>
        <w:t>（二）</w:t>
        <w:tab/>
        <w:t>公司对重大会计差错更正原因及影响的分析说明</w:t>
      </w:r>
      <w:r>
        <w:rPr>
          <w:b w:val="0"/>
          <w:bCs w:val="0"/>
        </w:rPr>
      </w:r>
    </w:p>
    <w:p>
      <w:pPr>
        <w:pStyle w:val="BodyText"/>
        <w:tabs>
          <w:tab w:pos="1062" w:val="left" w:leader="none"/>
        </w:tabs>
        <w:spacing w:line="240" w:lineRule="auto" w:before="58"/>
        <w:ind w:right="0"/>
        <w:jc w:val="left"/>
      </w:pPr>
      <w:r>
        <w:rPr/>
        <w:t>□适用</w:t>
        <w:tab/>
        <w:t>√不适用</w:t>
      </w:r>
    </w:p>
    <w:p>
      <w:pPr>
        <w:spacing w:line="240" w:lineRule="auto" w:before="3"/>
        <w:rPr>
          <w:rFonts w:ascii="宋体" w:hAnsi="宋体" w:cs="宋体" w:eastAsia="宋体" w:hint="default"/>
          <w:sz w:val="25"/>
          <w:szCs w:val="25"/>
        </w:rPr>
      </w:pPr>
    </w:p>
    <w:p>
      <w:pPr>
        <w:pStyle w:val="Heading2"/>
        <w:tabs>
          <w:tab w:pos="1060" w:val="left" w:leader="none"/>
        </w:tabs>
        <w:spacing w:line="240" w:lineRule="auto"/>
        <w:ind w:right="0"/>
        <w:jc w:val="left"/>
        <w:rPr>
          <w:b w:val="0"/>
          <w:bCs w:val="0"/>
        </w:rPr>
      </w:pPr>
      <w:r>
        <w:rPr/>
        <w:t>（三）</w:t>
        <w:tab/>
        <w:t>与前任会计师事务所进行的沟通情况</w:t>
      </w:r>
      <w:r>
        <w:rPr>
          <w:b w:val="0"/>
          <w:bCs w:val="0"/>
        </w:rPr>
      </w:r>
    </w:p>
    <w:p>
      <w:pPr>
        <w:pStyle w:val="BodyText"/>
        <w:tabs>
          <w:tab w:pos="1062" w:val="left" w:leader="none"/>
        </w:tabs>
        <w:spacing w:line="240" w:lineRule="auto" w:before="56"/>
        <w:ind w:right="0"/>
        <w:jc w:val="left"/>
      </w:pPr>
      <w:r>
        <w:rPr/>
        <w:t>□适用</w:t>
        <w:tab/>
        <w:t>√不适用</w:t>
      </w:r>
    </w:p>
    <w:p>
      <w:pPr>
        <w:spacing w:line="240" w:lineRule="auto" w:before="3"/>
        <w:rPr>
          <w:rFonts w:ascii="宋体" w:hAnsi="宋体" w:cs="宋体" w:eastAsia="宋体" w:hint="default"/>
          <w:sz w:val="25"/>
          <w:szCs w:val="25"/>
        </w:rPr>
      </w:pPr>
    </w:p>
    <w:p>
      <w:pPr>
        <w:pStyle w:val="Heading2"/>
        <w:tabs>
          <w:tab w:pos="1060" w:val="left" w:leader="none"/>
        </w:tabs>
        <w:spacing w:line="240" w:lineRule="auto"/>
        <w:ind w:right="0"/>
        <w:jc w:val="left"/>
        <w:rPr>
          <w:b w:val="0"/>
          <w:bCs w:val="0"/>
        </w:rPr>
      </w:pPr>
      <w:r>
        <w:rPr/>
        <w:t>（四）</w:t>
        <w:tab/>
        <w:t>其他说明</w:t>
      </w:r>
      <w:r>
        <w:rPr>
          <w:b w:val="0"/>
          <w:bCs w:val="0"/>
        </w:rPr>
      </w:r>
    </w:p>
    <w:p>
      <w:pPr>
        <w:pStyle w:val="BodyText"/>
        <w:tabs>
          <w:tab w:pos="1062" w:val="left" w:leader="none"/>
        </w:tabs>
        <w:spacing w:line="240" w:lineRule="auto" w:before="59"/>
        <w:ind w:right="0"/>
        <w:jc w:val="left"/>
      </w:pPr>
      <w:r>
        <w:rPr/>
        <w:t>□适用</w:t>
        <w:tab/>
        <w:t>√不适用</w:t>
      </w:r>
    </w:p>
    <w:p>
      <w:pPr>
        <w:spacing w:line="240" w:lineRule="auto" w:before="6"/>
        <w:rPr>
          <w:rFonts w:ascii="宋体" w:hAnsi="宋体" w:cs="宋体" w:eastAsia="宋体" w:hint="default"/>
          <w:sz w:val="22"/>
          <w:szCs w:val="22"/>
        </w:rPr>
      </w:pPr>
    </w:p>
    <w:p>
      <w:pPr>
        <w:pStyle w:val="Heading2"/>
        <w:spacing w:line="240" w:lineRule="auto" w:before="36"/>
        <w:ind w:right="0"/>
        <w:jc w:val="left"/>
        <w:rPr>
          <w:b w:val="0"/>
          <w:bCs w:val="0"/>
        </w:rPr>
      </w:pPr>
      <w:r>
        <w:rPr/>
        <w:t>六、聘任、解聘会计师事务所情况</w:t>
      </w:r>
      <w:r>
        <w:rPr>
          <w:b w:val="0"/>
          <w:bCs w:val="0"/>
        </w:rPr>
      </w:r>
    </w:p>
    <w:p>
      <w:pPr>
        <w:pStyle w:val="BodyText"/>
        <w:tabs>
          <w:tab w:pos="1051" w:val="left" w:leader="none"/>
        </w:tabs>
        <w:spacing w:line="240" w:lineRule="auto" w:before="56"/>
        <w:ind w:left="0" w:right="113"/>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德勤华永会计师事务所（特殊普通合伙）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2,860,000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r>
    </w:tbl>
    <w:p>
      <w:pPr>
        <w:spacing w:line="240" w:lineRule="auto" w:before="12"/>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德勤华永会计师事务所（特殊</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中银国际证券股份有限公司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sz w:val="15"/>
          <w:szCs w:val="15"/>
        </w:rPr>
      </w:pPr>
    </w:p>
    <w:p>
      <w:pPr>
        <w:pStyle w:val="BodyText"/>
        <w:spacing w:line="273" w:lineRule="exact" w:before="36"/>
        <w:ind w:right="0"/>
        <w:jc w:val="left"/>
      </w:pPr>
      <w:r>
        <w:rPr/>
        <w:t>聘任、解聘会计师事务所的情况说明</w:t>
      </w:r>
    </w:p>
    <w:p>
      <w:pPr>
        <w:pStyle w:val="BodyText"/>
        <w:spacing w:line="272" w:lineRule="exact"/>
        <w:ind w:right="0"/>
        <w:jc w:val="left"/>
      </w:pPr>
      <w:r>
        <w:rPr/>
        <w:t>√适用 □不适用</w:t>
      </w:r>
    </w:p>
    <w:p>
      <w:pPr>
        <w:pStyle w:val="BodyText"/>
        <w:spacing w:line="274" w:lineRule="exact"/>
        <w:ind w:left="645" w:right="0"/>
        <w:jc w:val="left"/>
      </w:pPr>
      <w:r>
        <w:rPr/>
        <w:t>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日，经公司</w:t>
      </w:r>
      <w:r>
        <w:rPr>
          <w:spacing w:val="-52"/>
        </w:rPr>
        <w:t> </w:t>
      </w:r>
      <w:r>
        <w:rPr>
          <w:rFonts w:ascii="宋体" w:hAnsi="宋体" w:cs="宋体" w:eastAsia="宋体" w:hint="default"/>
        </w:rPr>
        <w:t>2017</w:t>
      </w:r>
      <w:r>
        <w:rPr>
          <w:rFonts w:ascii="宋体" w:hAnsi="宋体" w:cs="宋体" w:eastAsia="宋体" w:hint="default"/>
          <w:spacing w:val="-55"/>
        </w:rPr>
        <w:t> </w:t>
      </w:r>
      <w:r>
        <w:rPr/>
        <w:t>年度股东周年大会审议通过，继续聘请德勤华永会计师事</w:t>
      </w:r>
    </w:p>
    <w:p>
      <w:pPr>
        <w:pStyle w:val="BodyText"/>
        <w:spacing w:line="240" w:lineRule="auto" w:before="133"/>
        <w:ind w:right="0"/>
        <w:jc w:val="left"/>
      </w:pPr>
      <w:r>
        <w:rPr/>
        <w:t>务所为本公司</w:t>
      </w:r>
      <w:r>
        <w:rPr>
          <w:spacing w:val="-55"/>
        </w:rPr>
        <w:t> </w:t>
      </w:r>
      <w:r>
        <w:rPr>
          <w:rFonts w:ascii="宋体" w:hAnsi="宋体" w:cs="宋体" w:eastAsia="宋体" w:hint="default"/>
        </w:rPr>
        <w:t>2018</w:t>
      </w:r>
      <w:r>
        <w:rPr>
          <w:rFonts w:ascii="宋体" w:hAnsi="宋体" w:cs="宋体" w:eastAsia="宋体" w:hint="default"/>
          <w:spacing w:val="-57"/>
        </w:rPr>
        <w:t> </w:t>
      </w:r>
      <w:r>
        <w:rPr/>
        <w:t>年度审计师及内控审计机构。</w:t>
      </w:r>
    </w:p>
    <w:p>
      <w:pPr>
        <w:spacing w:line="240" w:lineRule="auto" w:before="0"/>
        <w:rPr>
          <w:rFonts w:ascii="宋体" w:hAnsi="宋体" w:cs="宋体" w:eastAsia="宋体" w:hint="default"/>
          <w:sz w:val="20"/>
          <w:szCs w:val="20"/>
        </w:rPr>
      </w:pPr>
    </w:p>
    <w:p>
      <w:pPr>
        <w:pStyle w:val="BodyText"/>
        <w:spacing w:line="273" w:lineRule="exact" w:before="145"/>
        <w:ind w:right="0"/>
        <w:jc w:val="left"/>
      </w:pPr>
      <w:r>
        <w:rPr/>
        <w:t>审计期间改聘会计师事务所的情况说明</w:t>
      </w:r>
    </w:p>
    <w:p>
      <w:pPr>
        <w:pStyle w:val="BodyText"/>
        <w:tabs>
          <w:tab w:pos="1062" w:val="left" w:leader="none"/>
        </w:tabs>
        <w:spacing w:line="273" w:lineRule="exact"/>
        <w:ind w:right="0"/>
        <w:jc w:val="left"/>
      </w:pPr>
      <w:r>
        <w:rPr/>
        <w:t>□适用</w:t>
        <w:tab/>
        <w:t>√不适用</w:t>
      </w:r>
    </w:p>
    <w:p>
      <w:pPr>
        <w:spacing w:line="240" w:lineRule="auto" w:before="3"/>
        <w:rPr>
          <w:rFonts w:ascii="宋体" w:hAnsi="宋体" w:cs="宋体" w:eastAsia="宋体" w:hint="default"/>
          <w:sz w:val="25"/>
          <w:szCs w:val="25"/>
        </w:rPr>
      </w:pPr>
    </w:p>
    <w:p>
      <w:pPr>
        <w:pStyle w:val="Heading2"/>
        <w:tabs>
          <w:tab w:pos="1060" w:val="left" w:leader="none"/>
        </w:tabs>
        <w:spacing w:line="290" w:lineRule="auto"/>
        <w:ind w:right="6400"/>
        <w:jc w:val="left"/>
        <w:rPr>
          <w:b w:val="0"/>
          <w:bCs w:val="0"/>
        </w:rPr>
      </w:pPr>
      <w:r>
        <w:rPr/>
        <w:t>七、面临暂停上市风险的情况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导致暂停上市的原因</w:t>
      </w:r>
      <w:r>
        <w:rPr>
          <w:b w:val="0"/>
          <w:bCs w:val="0"/>
        </w:rPr>
      </w:r>
    </w:p>
    <w:p>
      <w:pPr>
        <w:pStyle w:val="BodyText"/>
        <w:tabs>
          <w:tab w:pos="1062" w:val="left" w:leader="none"/>
        </w:tabs>
        <w:spacing w:line="240" w:lineRule="auto" w:before="12"/>
        <w:ind w:right="0"/>
        <w:jc w:val="left"/>
      </w:pPr>
      <w:r>
        <w:rPr/>
        <w:t>□适用</w:t>
        <w:tab/>
        <w:t>√不适用</w:t>
      </w:r>
    </w:p>
    <w:p>
      <w:pPr>
        <w:spacing w:line="240" w:lineRule="auto" w:before="3"/>
        <w:rPr>
          <w:rFonts w:ascii="宋体" w:hAnsi="宋体" w:cs="宋体" w:eastAsia="宋体" w:hint="default"/>
          <w:sz w:val="25"/>
          <w:szCs w:val="25"/>
        </w:rPr>
      </w:pPr>
    </w:p>
    <w:p>
      <w:pPr>
        <w:pStyle w:val="Heading2"/>
        <w:tabs>
          <w:tab w:pos="1060" w:val="left" w:leader="none"/>
        </w:tabs>
        <w:spacing w:line="240" w:lineRule="auto"/>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公司拟采取的应对措施</w:t>
      </w:r>
      <w:r>
        <w:rPr>
          <w:b w:val="0"/>
          <w:bCs w:val="0"/>
        </w:rPr>
      </w:r>
    </w:p>
    <w:p>
      <w:pPr>
        <w:pStyle w:val="BodyText"/>
        <w:spacing w:line="240" w:lineRule="auto" w:before="58"/>
        <w:ind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八、面临终止上市的情况和原因</w:t>
      </w:r>
      <w:r>
        <w:rPr>
          <w:b w:val="0"/>
          <w:bCs w:val="0"/>
        </w:rPr>
      </w:r>
    </w:p>
    <w:p>
      <w:pPr>
        <w:pStyle w:val="BodyText"/>
        <w:tabs>
          <w:tab w:pos="1062" w:val="left" w:leader="none"/>
        </w:tabs>
        <w:spacing w:line="240" w:lineRule="auto" w:before="56"/>
        <w:ind w:right="0"/>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九、破产重整相关事项</w:t>
      </w:r>
      <w:r>
        <w:rPr>
          <w:b w:val="0"/>
          <w:bCs w:val="0"/>
        </w:rPr>
      </w:r>
    </w:p>
    <w:p>
      <w:pPr>
        <w:pStyle w:val="BodyText"/>
        <w:spacing w:line="240" w:lineRule="auto" w:before="56"/>
        <w:ind w:right="0"/>
        <w:jc w:val="left"/>
      </w:pPr>
      <w:r>
        <w:rPr/>
        <w:t>□适用 √不适用</w:t>
      </w:r>
    </w:p>
    <w:p>
      <w:pPr>
        <w:spacing w:after="0" w:line="240" w:lineRule="auto"/>
        <w:jc w:val="left"/>
        <w:sectPr>
          <w:footerReference w:type="default" r:id="rId20"/>
          <w:pgSz w:w="11910" w:h="16840"/>
          <w:pgMar w:footer="1195" w:header="0" w:top="1060" w:bottom="1380" w:left="122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36"/>
        <w:ind w:right="0"/>
        <w:jc w:val="left"/>
        <w:rPr>
          <w:b w:val="0"/>
          <w:bCs w:val="0"/>
        </w:rPr>
      </w:pPr>
      <w:r>
        <w:rPr/>
        <w:t>十、重大诉讼、仲裁事项</w:t>
      </w:r>
      <w:r>
        <w:rPr>
          <w:b w:val="0"/>
          <w:bCs w:val="0"/>
        </w:rPr>
      </w:r>
    </w:p>
    <w:p>
      <w:pPr>
        <w:pStyle w:val="BodyText"/>
        <w:spacing w:line="240" w:lineRule="auto" w:before="58"/>
        <w:ind w:right="0"/>
        <w:jc w:val="left"/>
      </w:pPr>
      <w:r>
        <w:rPr/>
        <w:t>□本年度公司有重大诉讼、仲裁事项</w:t>
      </w:r>
      <w:r>
        <w:rPr>
          <w:spacing w:val="-6"/>
        </w:rPr>
        <w:t> </w:t>
      </w:r>
      <w:r>
        <w:rPr/>
        <w:t>√本年度公司无重大诉讼、仲裁事项</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十一、上市公司及其董事、监事、高级管理人员、控股股东、实际控制人、收购人处罚及整改情况</w:t>
      </w:r>
      <w:r>
        <w:rPr>
          <w:b w:val="0"/>
          <w:bCs w:val="0"/>
        </w:rPr>
      </w:r>
    </w:p>
    <w:p>
      <w:pPr>
        <w:pStyle w:val="BodyText"/>
        <w:spacing w:line="240" w:lineRule="auto" w:before="56"/>
        <w:ind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十二、报告期内公司及其控股股东、实际控制人诚信状况的说明</w:t>
      </w:r>
      <w:r>
        <w:rPr>
          <w:b w:val="0"/>
          <w:bCs w:val="0"/>
        </w:rPr>
      </w:r>
    </w:p>
    <w:p>
      <w:pPr>
        <w:pStyle w:val="BodyText"/>
        <w:tabs>
          <w:tab w:pos="1062" w:val="left" w:leader="none"/>
        </w:tabs>
        <w:spacing w:line="240" w:lineRule="auto" w:before="58"/>
        <w:ind w:right="0"/>
        <w:jc w:val="left"/>
      </w:pPr>
      <w:r>
        <w:rPr/>
        <w:t>□适用</w:t>
        <w:tab/>
        <w:t>√不适用</w:t>
      </w:r>
    </w:p>
    <w:p>
      <w:pPr>
        <w:spacing w:line="240" w:lineRule="auto" w:before="3"/>
        <w:rPr>
          <w:rFonts w:ascii="宋体" w:hAnsi="宋体" w:cs="宋体" w:eastAsia="宋体" w:hint="default"/>
          <w:sz w:val="25"/>
          <w:szCs w:val="25"/>
        </w:rPr>
      </w:pPr>
    </w:p>
    <w:p>
      <w:pPr>
        <w:pStyle w:val="Heading2"/>
        <w:spacing w:line="290" w:lineRule="auto"/>
        <w:ind w:right="1650"/>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5"/>
        </w:rPr>
        <w:t> </w:t>
      </w:r>
      <w:r>
        <w:rPr/>
        <w:t>相关激励事项已在临时公告披露且后续实施无进展或变化的</w:t>
      </w:r>
      <w:r>
        <w:rPr>
          <w:b w:val="0"/>
          <w:bCs w:val="0"/>
        </w:rPr>
      </w:r>
    </w:p>
    <w:p>
      <w:pPr>
        <w:pStyle w:val="BodyText"/>
        <w:spacing w:line="240" w:lineRule="auto" w:before="12"/>
        <w:ind w:right="0"/>
        <w:jc w:val="left"/>
      </w:pPr>
      <w:r>
        <w:rPr/>
        <w:t>□适用 √不适用</w:t>
      </w:r>
    </w:p>
    <w:p>
      <w:pPr>
        <w:spacing w:line="290" w:lineRule="auto" w:before="58"/>
        <w:ind w:left="220" w:right="48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8"/>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8" w:lineRule="exact"/>
        <w:ind w:right="0"/>
        <w:jc w:val="left"/>
      </w:pPr>
      <w:r>
        <w:rPr/>
        <w:t>□适用 √不适用</w:t>
      </w:r>
    </w:p>
    <w:p>
      <w:pPr>
        <w:pStyle w:val="BodyText"/>
        <w:spacing w:line="272" w:lineRule="exact"/>
        <w:ind w:right="0"/>
        <w:jc w:val="left"/>
      </w:pPr>
      <w:r>
        <w:rPr/>
        <w:t>其他说明</w:t>
      </w:r>
    </w:p>
    <w:p>
      <w:pPr>
        <w:pStyle w:val="BodyText"/>
        <w:tabs>
          <w:tab w:pos="1062" w:val="left" w:leader="none"/>
        </w:tabs>
        <w:spacing w:line="274" w:lineRule="exact"/>
        <w:ind w:right="0"/>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right="0"/>
        <w:jc w:val="left"/>
      </w:pPr>
      <w:r>
        <w:rPr/>
        <w:t>员工持股计划情况</w:t>
      </w:r>
    </w:p>
    <w:p>
      <w:pPr>
        <w:pStyle w:val="BodyText"/>
        <w:tabs>
          <w:tab w:pos="1062" w:val="left" w:leader="none"/>
        </w:tabs>
        <w:spacing w:line="273" w:lineRule="exact"/>
        <w:ind w:right="0"/>
        <w:jc w:val="left"/>
      </w:pPr>
      <w:r>
        <w:rPr/>
        <w:t>□适用</w:t>
        <w:tab/>
        <w:t>√不适用</w:t>
      </w:r>
    </w:p>
    <w:p>
      <w:pPr>
        <w:spacing w:line="240" w:lineRule="auto" w:before="9"/>
        <w:rPr>
          <w:rFonts w:ascii="宋体" w:hAnsi="宋体" w:cs="宋体" w:eastAsia="宋体" w:hint="default"/>
          <w:sz w:val="20"/>
          <w:szCs w:val="20"/>
        </w:rPr>
      </w:pPr>
    </w:p>
    <w:p>
      <w:pPr>
        <w:pStyle w:val="BodyText"/>
        <w:spacing w:line="274" w:lineRule="exact"/>
        <w:ind w:right="0"/>
        <w:jc w:val="left"/>
      </w:pPr>
      <w:r>
        <w:rPr/>
        <w:t>其他激励措施</w:t>
      </w:r>
    </w:p>
    <w:p>
      <w:pPr>
        <w:pStyle w:val="BodyText"/>
        <w:spacing w:line="274" w:lineRule="exact"/>
        <w:ind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十四、重大关联交易</w:t>
      </w:r>
      <w:r>
        <w:rPr>
          <w:b w:val="0"/>
          <w:bCs w:val="0"/>
        </w:rPr>
      </w:r>
    </w:p>
    <w:p>
      <w:pPr>
        <w:pStyle w:val="Heading2"/>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639"/>
        <w:gridCol w:w="3543"/>
      </w:tblGrid>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7"/>
                <w:sz w:val="21"/>
                <w:szCs w:val="21"/>
              </w:rPr>
              <w:t> </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18</w:t>
            </w:r>
            <w:r>
              <w:rPr>
                <w:rFonts w:ascii="宋体" w:hAnsi="宋体" w:cs="宋体" w:eastAsia="宋体" w:hint="default"/>
                <w:spacing w:val="-49"/>
                <w:sz w:val="21"/>
                <w:szCs w:val="21"/>
              </w:rPr>
              <w:t> </w:t>
            </w:r>
            <w:r>
              <w:rPr>
                <w:rFonts w:ascii="宋体" w:hAnsi="宋体" w:cs="宋体" w:eastAsia="宋体" w:hint="default"/>
                <w:spacing w:val="-10"/>
                <w:sz w:val="21"/>
                <w:szCs w:val="21"/>
              </w:rPr>
              <w:t>日，本公司与四川新华发行集团订立《房</w:t>
            </w:r>
            <w:r>
              <w:rPr>
                <w:rFonts w:ascii="宋体" w:hAnsi="宋体" w:cs="宋体" w:eastAsia="宋体" w:hint="default"/>
                <w:sz w:val="21"/>
                <w:szCs w:val="21"/>
              </w:rPr>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屋租赁框架协议》，协议约定公司自</w:t>
            </w:r>
            <w:r>
              <w:rPr>
                <w:rFonts w:ascii="宋体" w:hAnsi="宋体" w:cs="宋体" w:eastAsia="宋体" w:hint="default"/>
                <w:spacing w:val="-42"/>
                <w:sz w:val="21"/>
                <w:szCs w:val="21"/>
              </w:rPr>
              <w:t> </w:t>
            </w:r>
            <w:r>
              <w:rPr>
                <w:rFonts w:ascii="宋体" w:hAnsi="宋体" w:cs="宋体" w:eastAsia="宋体" w:hint="default"/>
                <w:sz w:val="21"/>
                <w:szCs w:val="21"/>
              </w:rPr>
              <w:t>2019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日起至</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12</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31</w:t>
            </w:r>
            <w:r>
              <w:rPr>
                <w:rFonts w:ascii="宋体" w:hAnsi="宋体" w:cs="宋体" w:eastAsia="宋体" w:hint="default"/>
                <w:spacing w:val="-72"/>
                <w:sz w:val="21"/>
                <w:szCs w:val="21"/>
              </w:rPr>
              <w:t> </w:t>
            </w:r>
            <w:r>
              <w:rPr>
                <w:rFonts w:ascii="宋体" w:hAnsi="宋体" w:cs="宋体" w:eastAsia="宋体" w:hint="default"/>
                <w:sz w:val="21"/>
                <w:szCs w:val="21"/>
              </w:rPr>
              <w:t>日止期间向四川新华发行集团及其子公司租</w:t>
            </w:r>
            <w:r>
              <w:rPr>
                <w:rFonts w:ascii="宋体" w:hAnsi="宋体" w:cs="宋体" w:eastAsia="宋体" w:hint="default"/>
                <w:w w:val="100"/>
                <w:sz w:val="21"/>
                <w:szCs w:val="21"/>
              </w:rPr>
              <w:t> </w:t>
            </w:r>
            <w:r>
              <w:rPr>
                <w:rFonts w:ascii="宋体" w:hAnsi="宋体" w:cs="宋体" w:eastAsia="宋体" w:hint="default"/>
                <w:spacing w:val="-4"/>
                <w:sz w:val="21"/>
                <w:szCs w:val="21"/>
              </w:rPr>
              <w:t>赁房屋。预计</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pacing w:val="-4"/>
                <w:sz w:val="21"/>
                <w:szCs w:val="21"/>
              </w:rPr>
              <w:t>年、</w:t>
            </w:r>
            <w:r>
              <w:rPr>
                <w:rFonts w:ascii="宋体" w:hAnsi="宋体" w:cs="宋体" w:eastAsia="宋体" w:hint="default"/>
                <w:spacing w:val="-4"/>
                <w:sz w:val="21"/>
                <w:szCs w:val="21"/>
              </w:rPr>
              <w:t>2020</w:t>
            </w:r>
            <w:r>
              <w:rPr>
                <w:rFonts w:ascii="宋体" w:hAnsi="宋体" w:cs="宋体" w:eastAsia="宋体" w:hint="default"/>
                <w:spacing w:val="-47"/>
                <w:sz w:val="21"/>
                <w:szCs w:val="21"/>
              </w:rPr>
              <w:t> </w:t>
            </w:r>
            <w:r>
              <w:rPr>
                <w:rFonts w:ascii="宋体" w:hAnsi="宋体" w:cs="宋体" w:eastAsia="宋体" w:hint="default"/>
                <w:spacing w:val="-3"/>
                <w:sz w:val="21"/>
                <w:szCs w:val="21"/>
              </w:rPr>
              <w:t>年、</w:t>
            </w:r>
            <w:r>
              <w:rPr>
                <w:rFonts w:ascii="宋体" w:hAnsi="宋体" w:cs="宋体" w:eastAsia="宋体" w:hint="default"/>
                <w:spacing w:val="-3"/>
                <w:sz w:val="21"/>
                <w:szCs w:val="21"/>
              </w:rPr>
              <w:t>2021</w:t>
            </w:r>
            <w:r>
              <w:rPr>
                <w:rFonts w:ascii="宋体" w:hAnsi="宋体" w:cs="宋体" w:eastAsia="宋体" w:hint="default"/>
                <w:spacing w:val="-50"/>
                <w:sz w:val="21"/>
                <w:szCs w:val="21"/>
              </w:rPr>
              <w:t> </w:t>
            </w:r>
            <w:r>
              <w:rPr>
                <w:rFonts w:ascii="宋体" w:hAnsi="宋体" w:cs="宋体" w:eastAsia="宋体" w:hint="default"/>
                <w:sz w:val="21"/>
                <w:szCs w:val="21"/>
              </w:rPr>
              <w:t>年各年年度交易上限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分别为人民币</w:t>
            </w:r>
            <w:r>
              <w:rPr>
                <w:rFonts w:ascii="宋体" w:hAnsi="宋体" w:cs="宋体" w:eastAsia="宋体" w:hint="default"/>
                <w:spacing w:val="-54"/>
                <w:sz w:val="21"/>
                <w:szCs w:val="21"/>
              </w:rPr>
              <w:t> </w:t>
            </w:r>
            <w:r>
              <w:rPr>
                <w:rFonts w:ascii="宋体" w:hAnsi="宋体" w:cs="宋体" w:eastAsia="宋体" w:hint="default"/>
                <w:sz w:val="21"/>
                <w:szCs w:val="21"/>
              </w:rPr>
              <w:t>5,200</w:t>
            </w:r>
            <w:r>
              <w:rPr>
                <w:rFonts w:ascii="宋体" w:hAnsi="宋体" w:cs="宋体" w:eastAsia="宋体" w:hint="default"/>
                <w:spacing w:val="-56"/>
                <w:sz w:val="21"/>
                <w:szCs w:val="21"/>
              </w:rPr>
              <w:t> </w:t>
            </w:r>
            <w:r>
              <w:rPr>
                <w:rFonts w:ascii="宋体" w:hAnsi="宋体" w:cs="宋体" w:eastAsia="宋体" w:hint="default"/>
                <w:sz w:val="21"/>
                <w:szCs w:val="21"/>
              </w:rPr>
              <w:t>万元、</w:t>
            </w:r>
            <w:r>
              <w:rPr>
                <w:rFonts w:ascii="宋体" w:hAnsi="宋体" w:cs="宋体" w:eastAsia="宋体" w:hint="default"/>
                <w:sz w:val="21"/>
                <w:szCs w:val="21"/>
              </w:rPr>
              <w:t>5,200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5,200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详情请参见公司于</w:t>
            </w:r>
            <w:r>
              <w:rPr>
                <w:rFonts w:ascii="宋体" w:hAnsi="宋体" w:cs="宋体" w:eastAsia="宋体" w:hint="default"/>
                <w:spacing w:val="-28"/>
                <w:sz w:val="21"/>
                <w:szCs w:val="21"/>
              </w:rPr>
              <w:t> </w:t>
            </w:r>
            <w:r>
              <w:rPr>
                <w:rFonts w:ascii="宋体" w:hAnsi="宋体" w:cs="宋体" w:eastAsia="宋体" w:hint="default"/>
                <w:sz w:val="21"/>
                <w:szCs w:val="21"/>
              </w:rPr>
              <w:t>2018</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12</w:t>
            </w:r>
            <w:r>
              <w:rPr>
                <w:rFonts w:ascii="宋体" w:hAnsi="宋体" w:cs="宋体" w:eastAsia="宋体"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宋体" w:hAnsi="宋体" w:cs="宋体" w:eastAsia="宋体" w:hint="default"/>
                <w:sz w:val="21"/>
                <w:szCs w:val="21"/>
              </w:rPr>
              <w:t>19</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4"/>
                <w:sz w:val="21"/>
                <w:szCs w:val="21"/>
              </w:rPr>
              <w:t>日披露的《日常关联交易公告》（公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告编号：</w:t>
            </w:r>
            <w:r>
              <w:rPr>
                <w:rFonts w:ascii="宋体" w:hAnsi="宋体" w:cs="宋体" w:eastAsia="宋体" w:hint="default"/>
                <w:sz w:val="21"/>
                <w:szCs w:val="21"/>
              </w:rPr>
              <w:t>2018-028</w:t>
            </w:r>
            <w:r>
              <w:rPr>
                <w:rFonts w:ascii="宋体" w:hAnsi="宋体" w:cs="宋体" w:eastAsia="宋体" w:hint="default"/>
                <w:spacing w:val="-56"/>
                <w:sz w:val="21"/>
                <w:szCs w:val="21"/>
              </w:rPr>
              <w:t> </w:t>
            </w:r>
            <w:r>
              <w:rPr>
                <w:rFonts w:ascii="宋体" w:hAnsi="宋体" w:cs="宋体" w:eastAsia="宋体" w:hint="default"/>
                <w:sz w:val="21"/>
                <w:szCs w:val="21"/>
              </w:rPr>
              <w:t>号）。</w:t>
            </w:r>
          </w:p>
        </w:tc>
      </w:tr>
      <w:tr>
        <w:trPr>
          <w:trHeight w:val="1644"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3"/>
                <w:sz w:val="21"/>
                <w:szCs w:val="21"/>
              </w:rPr>
              <w:t> </w:t>
            </w:r>
            <w:r>
              <w:rPr>
                <w:rFonts w:ascii="宋体" w:hAnsi="宋体" w:cs="宋体" w:eastAsia="宋体" w:hint="default"/>
                <w:sz w:val="21"/>
                <w:szCs w:val="21"/>
              </w:rPr>
              <w:t>2018</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18</w:t>
            </w:r>
            <w:r>
              <w:rPr>
                <w:rFonts w:ascii="宋体" w:hAnsi="宋体" w:cs="宋体" w:eastAsia="宋体" w:hint="default"/>
                <w:spacing w:val="-43"/>
                <w:sz w:val="21"/>
                <w:szCs w:val="21"/>
              </w:rPr>
              <w:t> </w:t>
            </w:r>
            <w:r>
              <w:rPr>
                <w:rFonts w:ascii="宋体" w:hAnsi="宋体" w:cs="宋体" w:eastAsia="宋体" w:hint="default"/>
                <w:sz w:val="21"/>
                <w:szCs w:val="21"/>
              </w:rPr>
              <w:t>日，本公司与与四川新华发行集团全资</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子公司皇鹏物业签订《物业管理服务框架协议》，协议约定</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公司自</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宋体" w:hAnsi="宋体" w:cs="宋体" w:eastAsia="宋体" w:hint="default"/>
                <w:sz w:val="21"/>
                <w:szCs w:val="21"/>
              </w:rPr>
              <w:t>2021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日止期间接受</w:t>
            </w:r>
            <w:r>
              <w:rPr>
                <w:rFonts w:ascii="宋体" w:hAnsi="宋体" w:cs="宋体" w:eastAsia="宋体" w:hint="default"/>
                <w:w w:val="100"/>
                <w:sz w:val="21"/>
                <w:szCs w:val="21"/>
              </w:rPr>
              <w:t> </w:t>
            </w:r>
            <w:r>
              <w:rPr>
                <w:rFonts w:ascii="宋体" w:hAnsi="宋体" w:cs="宋体" w:eastAsia="宋体" w:hint="default"/>
                <w:spacing w:val="-6"/>
                <w:sz w:val="21"/>
                <w:szCs w:val="21"/>
              </w:rPr>
              <w:t>皇鹏物业提供的物业管理服务。预计</w:t>
            </w:r>
            <w:r>
              <w:rPr>
                <w:rFonts w:ascii="宋体" w:hAnsi="宋体" w:cs="宋体" w:eastAsia="宋体" w:hint="default"/>
                <w:spacing w:val="-44"/>
                <w:sz w:val="21"/>
                <w:szCs w:val="21"/>
              </w:rPr>
              <w:t> </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pacing w:val="-12"/>
                <w:sz w:val="21"/>
                <w:szCs w:val="21"/>
              </w:rPr>
              <w:t>年、</w:t>
            </w:r>
            <w:r>
              <w:rPr>
                <w:rFonts w:ascii="宋体" w:hAnsi="宋体" w:cs="宋体" w:eastAsia="宋体" w:hint="default"/>
                <w:spacing w:val="-12"/>
                <w:sz w:val="21"/>
                <w:szCs w:val="21"/>
              </w:rPr>
              <w:t>2020</w:t>
            </w:r>
            <w:r>
              <w:rPr>
                <w:rFonts w:ascii="宋体" w:hAnsi="宋体" w:cs="宋体" w:eastAsia="宋体" w:hint="default"/>
                <w:spacing w:val="-47"/>
                <w:sz w:val="21"/>
                <w:szCs w:val="21"/>
              </w:rPr>
              <w:t> </w:t>
            </w:r>
            <w:r>
              <w:rPr>
                <w:rFonts w:ascii="宋体" w:hAnsi="宋体" w:cs="宋体" w:eastAsia="宋体" w:hint="default"/>
                <w:spacing w:val="-12"/>
                <w:sz w:val="21"/>
                <w:szCs w:val="21"/>
              </w:rPr>
              <w:t>年、</w:t>
            </w:r>
            <w:r>
              <w:rPr>
                <w:rFonts w:ascii="宋体" w:hAnsi="宋体" w:cs="宋体" w:eastAsia="宋体" w:hint="default"/>
                <w:spacing w:val="-12"/>
                <w:sz w:val="21"/>
                <w:szCs w:val="21"/>
              </w:rPr>
              <w:t>2021</w:t>
            </w:r>
            <w:r>
              <w:rPr>
                <w:rFonts w:ascii="宋体" w:hAnsi="宋体" w:cs="宋体" w:eastAsia="宋体" w:hint="default"/>
                <w:spacing w:val="-86"/>
                <w:sz w:val="21"/>
                <w:szCs w:val="21"/>
              </w:rPr>
              <w:t> </w:t>
            </w:r>
            <w:r>
              <w:rPr>
                <w:rFonts w:ascii="宋体" w:hAnsi="宋体" w:cs="宋体" w:eastAsia="宋体" w:hint="default"/>
                <w:spacing w:val="-2"/>
                <w:w w:val="100"/>
                <w:sz w:val="21"/>
                <w:szCs w:val="21"/>
              </w:rPr>
              <w:t>年各年年度交易上限分别为人民币</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1,350</w:t>
            </w:r>
            <w:r>
              <w:rPr>
                <w:rFonts w:ascii="宋体" w:hAnsi="宋体" w:cs="宋体" w:eastAsia="宋体" w:hint="default"/>
                <w:spacing w:val="-51"/>
                <w:w w:val="100"/>
                <w:sz w:val="21"/>
                <w:szCs w:val="21"/>
              </w:rPr>
              <w:t> </w:t>
            </w:r>
            <w:r>
              <w:rPr>
                <w:rFonts w:ascii="宋体" w:hAnsi="宋体" w:cs="宋体" w:eastAsia="宋体" w:hint="default"/>
                <w:spacing w:val="-13"/>
                <w:w w:val="100"/>
                <w:sz w:val="21"/>
                <w:szCs w:val="21"/>
              </w:rPr>
              <w:t>万元、</w:t>
            </w:r>
            <w:r>
              <w:rPr>
                <w:rFonts w:ascii="宋体" w:hAnsi="宋体" w:cs="宋体" w:eastAsia="宋体" w:hint="default"/>
                <w:spacing w:val="-13"/>
                <w:w w:val="100"/>
                <w:sz w:val="21"/>
                <w:szCs w:val="21"/>
              </w:rPr>
              <w:t>1,400</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1,400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详情请参见公司于</w:t>
            </w:r>
            <w:r>
              <w:rPr>
                <w:rFonts w:ascii="宋体" w:hAnsi="宋体" w:cs="宋体" w:eastAsia="宋体" w:hint="default"/>
                <w:spacing w:val="-28"/>
                <w:sz w:val="21"/>
                <w:szCs w:val="21"/>
              </w:rPr>
              <w:t> </w:t>
            </w:r>
            <w:r>
              <w:rPr>
                <w:rFonts w:ascii="宋体" w:hAnsi="宋体" w:cs="宋体" w:eastAsia="宋体" w:hint="default"/>
                <w:sz w:val="21"/>
                <w:szCs w:val="21"/>
              </w:rPr>
              <w:t>2018</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12</w:t>
            </w:r>
            <w:r>
              <w:rPr>
                <w:rFonts w:ascii="宋体" w:hAnsi="宋体" w:cs="宋体" w:eastAsia="宋体"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宋体" w:hAnsi="宋体" w:cs="宋体" w:eastAsia="宋体" w:hint="default"/>
                <w:sz w:val="21"/>
                <w:szCs w:val="21"/>
              </w:rPr>
              <w:t>19</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日披露的《日常关联交易公告》（公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告编号：</w:t>
            </w:r>
            <w:r>
              <w:rPr>
                <w:rFonts w:ascii="宋体" w:hAnsi="宋体" w:cs="宋体" w:eastAsia="宋体" w:hint="default"/>
                <w:sz w:val="21"/>
                <w:szCs w:val="21"/>
              </w:rPr>
              <w:t>2018-028</w:t>
            </w:r>
            <w:r>
              <w:rPr>
                <w:rFonts w:ascii="宋体" w:hAnsi="宋体" w:cs="宋体" w:eastAsia="宋体" w:hint="default"/>
                <w:spacing w:val="-56"/>
                <w:sz w:val="21"/>
                <w:szCs w:val="21"/>
              </w:rPr>
              <w:t> </w:t>
            </w:r>
            <w:r>
              <w:rPr>
                <w:rFonts w:ascii="宋体" w:hAnsi="宋体" w:cs="宋体" w:eastAsia="宋体" w:hint="default"/>
                <w:sz w:val="21"/>
                <w:szCs w:val="21"/>
              </w:rPr>
              <w:t>号）。</w:t>
            </w:r>
          </w:p>
        </w:tc>
      </w:tr>
    </w:tbl>
    <w:p>
      <w:pPr>
        <w:spacing w:line="240" w:lineRule="auto" w:before="12"/>
        <w:rPr>
          <w:rFonts w:ascii="宋体" w:hAnsi="宋体" w:cs="宋体" w:eastAsia="宋体" w:hint="default"/>
          <w:sz w:val="19"/>
          <w:szCs w:val="19"/>
        </w:rPr>
      </w:pPr>
    </w:p>
    <w:p>
      <w:pPr>
        <w:pStyle w:val="Heading2"/>
        <w:spacing w:line="240" w:lineRule="auto" w:before="36"/>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2" w:val="left" w:leader="none"/>
        </w:tabs>
        <w:spacing w:line="240" w:lineRule="auto" w:before="59"/>
        <w:ind w:right="0"/>
        <w:jc w:val="left"/>
      </w:pPr>
      <w:r>
        <w:rPr/>
        <w:t>√适用</w:t>
        <w:tab/>
        <w:t>□不适用</w:t>
      </w:r>
    </w:p>
    <w:p>
      <w:pPr>
        <w:spacing w:after="0" w:line="240" w:lineRule="auto"/>
        <w:jc w:val="left"/>
        <w:sectPr>
          <w:footerReference w:type="default" r:id="rId21"/>
          <w:pgSz w:w="11910" w:h="16840"/>
          <w:pgMar w:footer="1195" w:header="0" w:top="1060" w:bottom="1380" w:left="1220" w:right="1280"/>
          <w:pgNumType w:start="41"/>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36"/>
        <w:ind w:left="565" w:right="0"/>
        <w:jc w:val="left"/>
      </w:pPr>
      <w:r>
        <w:rPr/>
        <w:t>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日，本公司与四川出版集团订立租赁框架（续订）协议，协议约定公司自</w:t>
      </w:r>
    </w:p>
    <w:p>
      <w:pPr>
        <w:pStyle w:val="BodyText"/>
        <w:spacing w:line="240" w:lineRule="auto" w:before="133"/>
        <w:ind w:left="140" w:right="0"/>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日起至</w:t>
      </w:r>
      <w:r>
        <w:rPr>
          <w:spacing w:val="-53"/>
        </w:rPr>
        <w:t> </w:t>
      </w:r>
      <w:r>
        <w:rPr>
          <w:rFonts w:ascii="宋体" w:hAnsi="宋体" w:cs="宋体" w:eastAsia="宋体" w:hint="default"/>
        </w:rPr>
        <w:t>2019</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日止期间向四川出版集团及其子公司租赁房屋，并接受相应</w:t>
      </w:r>
    </w:p>
    <w:p>
      <w:pPr>
        <w:pStyle w:val="BodyText"/>
        <w:spacing w:line="240" w:lineRule="auto" w:before="133"/>
        <w:ind w:left="140" w:right="0"/>
        <w:jc w:val="left"/>
      </w:pPr>
      <w:r>
        <w:rPr/>
        <w:t>的物业管理配套服务。预计每年年度交易上限为人民币</w:t>
      </w:r>
      <w:r>
        <w:rPr>
          <w:spacing w:val="-56"/>
        </w:rPr>
        <w:t> </w:t>
      </w:r>
      <w:r>
        <w:rPr>
          <w:rFonts w:ascii="宋体" w:hAnsi="宋体" w:cs="宋体" w:eastAsia="宋体" w:hint="default"/>
        </w:rPr>
        <w:t>2,000</w:t>
      </w:r>
      <w:r>
        <w:rPr>
          <w:rFonts w:ascii="宋体" w:hAnsi="宋体" w:cs="宋体" w:eastAsia="宋体" w:hint="default"/>
          <w:spacing w:val="-59"/>
        </w:rPr>
        <w:t> </w:t>
      </w:r>
      <w:r>
        <w:rPr/>
        <w:t>万元。于报告期内，该项交易发生额</w:t>
      </w:r>
    </w:p>
    <w:p>
      <w:pPr>
        <w:pStyle w:val="BodyText"/>
        <w:spacing w:line="357" w:lineRule="auto" w:before="133"/>
        <w:ind w:left="140" w:right="153"/>
        <w:jc w:val="left"/>
      </w:pPr>
      <w:r>
        <w:rPr/>
        <w:t>为人民币</w:t>
      </w:r>
      <w:r>
        <w:rPr>
          <w:spacing w:val="-54"/>
        </w:rPr>
        <w:t> </w:t>
      </w:r>
      <w:r>
        <w:rPr>
          <w:rFonts w:ascii="宋体" w:hAnsi="宋体" w:cs="宋体" w:eastAsia="宋体" w:hint="default"/>
        </w:rPr>
        <w:t>1,629.68</w:t>
      </w:r>
      <w:r>
        <w:rPr>
          <w:rFonts w:ascii="宋体" w:hAnsi="宋体" w:cs="宋体" w:eastAsia="宋体" w:hint="default"/>
          <w:spacing w:val="-56"/>
        </w:rPr>
        <w:t> </w:t>
      </w:r>
      <w:r>
        <w:rPr/>
        <w:t>万元。详情请参见公司于</w:t>
      </w:r>
      <w:r>
        <w:rPr>
          <w:spacing w:val="-53"/>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t>日披露的《日常关联交易公告》（公</w:t>
      </w:r>
      <w:r>
        <w:rPr>
          <w:w w:val="100"/>
        </w:rPr>
        <w:t> </w:t>
      </w:r>
      <w:r>
        <w:rPr/>
        <w:t>告编号：</w:t>
      </w:r>
      <w:r>
        <w:rPr>
          <w:rFonts w:ascii="宋体" w:hAnsi="宋体" w:cs="宋体" w:eastAsia="宋体" w:hint="default"/>
        </w:rPr>
        <w:t>2016-024</w:t>
      </w:r>
      <w:r>
        <w:rPr>
          <w:rFonts w:ascii="宋体" w:hAnsi="宋体" w:cs="宋体" w:eastAsia="宋体" w:hint="default"/>
          <w:spacing w:val="-56"/>
        </w:rPr>
        <w:t> </w:t>
      </w:r>
      <w:r>
        <w:rPr/>
        <w:t>号）。</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060" w:bottom="1380" w:left="1300" w:right="1280"/>
        </w:sectPr>
      </w:pPr>
    </w:p>
    <w:p>
      <w:pPr>
        <w:pStyle w:val="Heading2"/>
        <w:spacing w:line="240" w:lineRule="auto" w:before="36"/>
        <w:ind w:left="140"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4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086" w:val="left" w:leader="none"/>
        </w:tabs>
        <w:spacing w:line="240" w:lineRule="auto"/>
        <w:ind w:left="14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300" w:right="1280"/>
          <w:cols w:num="2" w:equalWidth="0">
            <w:col w:w="2671" w:space="4257"/>
            <w:col w:w="2402"/>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046"/>
        <w:gridCol w:w="446"/>
        <w:gridCol w:w="749"/>
        <w:gridCol w:w="833"/>
        <w:gridCol w:w="1157"/>
        <w:gridCol w:w="540"/>
        <w:gridCol w:w="1344"/>
        <w:gridCol w:w="869"/>
        <w:gridCol w:w="725"/>
        <w:gridCol w:w="578"/>
        <w:gridCol w:w="799"/>
      </w:tblGrid>
      <w:tr>
        <w:trPr>
          <w:trHeight w:val="1176"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5" w:right="38"/>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98" w:right="98"/>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30" w:right="51" w:hanging="181"/>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93" w:right="31" w:hanging="360"/>
              <w:jc w:val="left"/>
              <w:rPr>
                <w:rFonts w:ascii="宋体" w:hAnsi="宋体" w:cs="宋体" w:eastAsia="宋体" w:hint="default"/>
                <w:sz w:val="18"/>
                <w:szCs w:val="18"/>
              </w:rPr>
            </w:pPr>
            <w:r>
              <w:rPr>
                <w:rFonts w:ascii="宋体" w:hAnsi="宋体" w:cs="宋体" w:eastAsia="宋体" w:hint="default"/>
                <w:sz w:val="18"/>
                <w:szCs w:val="18"/>
              </w:rPr>
              <w:t>关联交易定价 原则</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86" w:right="83"/>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67" w:right="7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p>
            <w:pPr>
              <w:pStyle w:val="TableParagraph"/>
              <w:spacing w:line="212" w:lineRule="exact"/>
              <w:ind w:right="0"/>
              <w:jc w:val="center"/>
              <w:rPr>
                <w:rFonts w:ascii="宋体" w:hAnsi="宋体" w:cs="宋体" w:eastAsia="宋体" w:hint="default"/>
                <w:sz w:val="18"/>
                <w:szCs w:val="18"/>
              </w:rPr>
            </w:pPr>
            <w:r>
              <w:rPr>
                <w:rFonts w:ascii="宋体"/>
                <w:sz w:val="18"/>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88" w:right="86"/>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5" w:right="101"/>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37" w:lineRule="auto"/>
              <w:ind w:left="35" w:right="31"/>
              <w:jc w:val="center"/>
              <w:rPr>
                <w:rFonts w:ascii="宋体" w:hAnsi="宋体" w:cs="宋体" w:eastAsia="宋体" w:hint="default"/>
                <w:sz w:val="18"/>
                <w:szCs w:val="18"/>
              </w:rPr>
            </w:pPr>
            <w:r>
              <w:rPr>
                <w:rFonts w:ascii="宋体" w:hAnsi="宋体" w:cs="宋体" w:eastAsia="宋体" w:hint="default"/>
                <w:sz w:val="18"/>
                <w:szCs w:val="18"/>
              </w:rPr>
              <w:t>与市场参 考价格差 异较大的 原因</w:t>
            </w:r>
          </w:p>
        </w:tc>
      </w:tr>
      <w:tr>
        <w:trPr>
          <w:trHeight w:val="478"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四川新华发</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行集团</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租入租</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租入房屋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按照双方协议</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价格进行</w:t>
            </w:r>
          </w:p>
        </w:tc>
        <w:tc>
          <w:tcPr>
            <w:tcW w:w="5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sz w:val="18"/>
              </w:rPr>
              <w:t>38,334,917.02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32.12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 w:right="0"/>
              <w:jc w:val="center"/>
              <w:rPr>
                <w:rFonts w:ascii="宋体" w:hAnsi="宋体" w:cs="宋体" w:eastAsia="宋体" w:hint="default"/>
                <w:sz w:val="18"/>
                <w:szCs w:val="18"/>
              </w:rPr>
            </w:pPr>
            <w:r>
              <w:rPr>
                <w:rFonts w:ascii="宋体" w:hAnsi="宋体" w:cs="宋体" w:eastAsia="宋体" w:hint="default"/>
                <w:sz w:val="18"/>
                <w:szCs w:val="18"/>
              </w:rPr>
              <w:t>转账</w:t>
            </w:r>
          </w:p>
        </w:tc>
        <w:tc>
          <w:tcPr>
            <w:tcW w:w="57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四川新华发</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行集团</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接受劳</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支付酒店</w:t>
            </w:r>
          </w:p>
          <w:p>
            <w:pPr>
              <w:pStyle w:val="TableParagraph"/>
              <w:spacing w:line="240" w:lineRule="auto"/>
              <w:ind w:left="23" w:right="77"/>
              <w:jc w:val="left"/>
              <w:rPr>
                <w:rFonts w:ascii="宋体" w:hAnsi="宋体" w:cs="宋体" w:eastAsia="宋体" w:hint="default"/>
                <w:sz w:val="18"/>
                <w:szCs w:val="18"/>
              </w:rPr>
            </w:pPr>
            <w:r>
              <w:rPr>
                <w:rFonts w:ascii="宋体" w:hAnsi="宋体" w:cs="宋体" w:eastAsia="宋体" w:hint="default"/>
                <w:sz w:val="18"/>
                <w:szCs w:val="18"/>
              </w:rPr>
              <w:t>及会议服 务费</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按照双方协议</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价格进行</w:t>
            </w:r>
          </w:p>
        </w:tc>
        <w:tc>
          <w:tcPr>
            <w:tcW w:w="5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1,715,380.60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6.51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 w:right="0"/>
              <w:jc w:val="center"/>
              <w:rPr>
                <w:rFonts w:ascii="宋体" w:hAnsi="宋体" w:cs="宋体" w:eastAsia="宋体" w:hint="default"/>
                <w:sz w:val="18"/>
                <w:szCs w:val="18"/>
              </w:rPr>
            </w:pPr>
            <w:r>
              <w:rPr>
                <w:rFonts w:ascii="宋体" w:hAnsi="宋体" w:cs="宋体" w:eastAsia="宋体" w:hint="default"/>
                <w:sz w:val="18"/>
                <w:szCs w:val="18"/>
              </w:rPr>
              <w:t>转账</w:t>
            </w:r>
          </w:p>
        </w:tc>
        <w:tc>
          <w:tcPr>
            <w:tcW w:w="57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成都皇鹏物</w:t>
            </w:r>
          </w:p>
          <w:p>
            <w:pPr>
              <w:pStyle w:val="TableParagraph"/>
              <w:spacing w:line="240" w:lineRule="auto"/>
              <w:ind w:left="26" w:right="108"/>
              <w:jc w:val="left"/>
              <w:rPr>
                <w:rFonts w:ascii="宋体" w:hAnsi="宋体" w:cs="宋体" w:eastAsia="宋体" w:hint="default"/>
                <w:sz w:val="18"/>
                <w:szCs w:val="18"/>
              </w:rPr>
            </w:pPr>
            <w:r>
              <w:rPr>
                <w:rFonts w:ascii="宋体" w:hAnsi="宋体" w:cs="宋体" w:eastAsia="宋体" w:hint="default"/>
                <w:sz w:val="18"/>
                <w:szCs w:val="18"/>
              </w:rPr>
              <w:t>业有限责任 公司</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z w:val="18"/>
                <w:szCs w:val="18"/>
              </w:rPr>
              <w:t>母公</w:t>
            </w:r>
          </w:p>
          <w:p>
            <w:pPr>
              <w:pStyle w:val="TableParagraph"/>
              <w:spacing w:line="237" w:lineRule="auto"/>
              <w:ind w:left="23" w:right="50"/>
              <w:jc w:val="both"/>
              <w:rPr>
                <w:rFonts w:ascii="宋体" w:hAnsi="宋体" w:cs="宋体" w:eastAsia="宋体" w:hint="default"/>
                <w:sz w:val="18"/>
                <w:szCs w:val="18"/>
              </w:rPr>
            </w:pPr>
            <w:r>
              <w:rPr>
                <w:rFonts w:ascii="宋体" w:hAnsi="宋体" w:cs="宋体" w:eastAsia="宋体" w:hint="default"/>
                <w:sz w:val="18"/>
                <w:szCs w:val="18"/>
              </w:rPr>
              <w:t>司的 全资 子公 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接受劳</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支付物业</w:t>
            </w:r>
          </w:p>
          <w:p>
            <w:pPr>
              <w:pStyle w:val="TableParagraph"/>
              <w:spacing w:line="240" w:lineRule="auto"/>
              <w:ind w:left="23" w:right="77"/>
              <w:jc w:val="left"/>
              <w:rPr>
                <w:rFonts w:ascii="宋体" w:hAnsi="宋体" w:cs="宋体" w:eastAsia="宋体" w:hint="default"/>
                <w:sz w:val="18"/>
                <w:szCs w:val="18"/>
              </w:rPr>
            </w:pPr>
            <w:r>
              <w:rPr>
                <w:rFonts w:ascii="宋体" w:hAnsi="宋体" w:cs="宋体" w:eastAsia="宋体" w:hint="default"/>
                <w:sz w:val="18"/>
                <w:szCs w:val="18"/>
              </w:rPr>
              <w:t>管理服务 费</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按照双方协议</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价格进行</w:t>
            </w:r>
          </w:p>
        </w:tc>
        <w:tc>
          <w:tcPr>
            <w:tcW w:w="5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9,539,433.06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29.15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 w:right="0"/>
              <w:jc w:val="center"/>
              <w:rPr>
                <w:rFonts w:ascii="宋体" w:hAnsi="宋体" w:cs="宋体" w:eastAsia="宋体" w:hint="default"/>
                <w:sz w:val="18"/>
                <w:szCs w:val="18"/>
              </w:rPr>
            </w:pPr>
            <w:r>
              <w:rPr>
                <w:rFonts w:ascii="宋体" w:hAnsi="宋体" w:cs="宋体" w:eastAsia="宋体" w:hint="default"/>
                <w:sz w:val="18"/>
                <w:szCs w:val="18"/>
              </w:rPr>
              <w:t>转账</w:t>
            </w:r>
          </w:p>
        </w:tc>
        <w:tc>
          <w:tcPr>
            <w:tcW w:w="57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四川新华发</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行集团</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提供劳</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销售出版</w:t>
            </w:r>
          </w:p>
          <w:p>
            <w:pPr>
              <w:pStyle w:val="TableParagraph"/>
              <w:spacing w:line="232" w:lineRule="exact" w:before="23"/>
              <w:ind w:left="23" w:right="77"/>
              <w:jc w:val="left"/>
              <w:rPr>
                <w:rFonts w:ascii="宋体" w:hAnsi="宋体" w:cs="宋体" w:eastAsia="宋体" w:hint="default"/>
                <w:sz w:val="18"/>
                <w:szCs w:val="18"/>
              </w:rPr>
            </w:pPr>
            <w:r>
              <w:rPr>
                <w:rFonts w:ascii="宋体" w:hAnsi="宋体" w:cs="宋体" w:eastAsia="宋体" w:hint="default"/>
                <w:sz w:val="18"/>
                <w:szCs w:val="18"/>
              </w:rPr>
              <w:t>物及提供 劳务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按照双方协议</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价格进行</w:t>
            </w:r>
          </w:p>
        </w:tc>
        <w:tc>
          <w:tcPr>
            <w:tcW w:w="5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6" w:right="0"/>
              <w:jc w:val="left"/>
              <w:rPr>
                <w:rFonts w:ascii="宋体" w:hAnsi="宋体" w:cs="宋体" w:eastAsia="宋体" w:hint="default"/>
                <w:sz w:val="18"/>
                <w:szCs w:val="18"/>
              </w:rPr>
            </w:pPr>
            <w:r>
              <w:rPr>
                <w:rFonts w:ascii="宋体"/>
                <w:sz w:val="18"/>
              </w:rPr>
              <w:t>1,042,461.04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7"/>
              <w:jc w:val="right"/>
              <w:rPr>
                <w:rFonts w:ascii="宋体" w:hAnsi="宋体" w:cs="宋体" w:eastAsia="宋体" w:hint="default"/>
                <w:sz w:val="18"/>
                <w:szCs w:val="18"/>
              </w:rPr>
            </w:pPr>
            <w:r>
              <w:rPr>
                <w:rFonts w:ascii="宋体"/>
                <w:sz w:val="18"/>
              </w:rPr>
              <w:t>0.01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7" w:right="0"/>
              <w:jc w:val="center"/>
              <w:rPr>
                <w:rFonts w:ascii="宋体" w:hAnsi="宋体" w:cs="宋体" w:eastAsia="宋体" w:hint="default"/>
                <w:sz w:val="18"/>
                <w:szCs w:val="18"/>
              </w:rPr>
            </w:pPr>
            <w:r>
              <w:rPr>
                <w:rFonts w:ascii="宋体" w:hAnsi="宋体" w:cs="宋体" w:eastAsia="宋体" w:hint="default"/>
                <w:sz w:val="18"/>
                <w:szCs w:val="18"/>
              </w:rPr>
              <w:t>转账</w:t>
            </w:r>
          </w:p>
        </w:tc>
        <w:tc>
          <w:tcPr>
            <w:tcW w:w="57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四川新华发</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行集团</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租入租</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出</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租出房屋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按照双方协议</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价格进行</w:t>
            </w:r>
          </w:p>
        </w:tc>
        <w:tc>
          <w:tcPr>
            <w:tcW w:w="5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6" w:right="0"/>
              <w:jc w:val="left"/>
              <w:rPr>
                <w:rFonts w:ascii="宋体" w:hAnsi="宋体" w:cs="宋体" w:eastAsia="宋体" w:hint="default"/>
                <w:sz w:val="18"/>
                <w:szCs w:val="18"/>
              </w:rPr>
            </w:pPr>
            <w:r>
              <w:rPr>
                <w:rFonts w:ascii="宋体"/>
                <w:sz w:val="18"/>
              </w:rPr>
              <w:t>2,278,391.38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7"/>
              <w:jc w:val="right"/>
              <w:rPr>
                <w:rFonts w:ascii="宋体" w:hAnsi="宋体" w:cs="宋体" w:eastAsia="宋体" w:hint="default"/>
                <w:sz w:val="18"/>
                <w:szCs w:val="18"/>
              </w:rPr>
            </w:pPr>
            <w:r>
              <w:rPr>
                <w:rFonts w:ascii="宋体"/>
                <w:sz w:val="18"/>
              </w:rPr>
              <w:t>1.46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7" w:right="0"/>
              <w:jc w:val="center"/>
              <w:rPr>
                <w:rFonts w:ascii="宋体" w:hAnsi="宋体" w:cs="宋体" w:eastAsia="宋体" w:hint="default"/>
                <w:sz w:val="18"/>
                <w:szCs w:val="18"/>
              </w:rPr>
            </w:pPr>
            <w:r>
              <w:rPr>
                <w:rFonts w:ascii="宋体" w:hAnsi="宋体" w:cs="宋体" w:eastAsia="宋体" w:hint="default"/>
                <w:sz w:val="18"/>
                <w:szCs w:val="18"/>
              </w:rPr>
              <w:t>转账</w:t>
            </w:r>
          </w:p>
        </w:tc>
        <w:tc>
          <w:tcPr>
            <w:tcW w:w="57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9" w:right="0"/>
              <w:jc w:val="left"/>
              <w:rPr>
                <w:rFonts w:ascii="宋体" w:hAnsi="宋体" w:cs="宋体" w:eastAsia="宋体" w:hint="default"/>
                <w:sz w:val="18"/>
                <w:szCs w:val="18"/>
              </w:rPr>
            </w:pPr>
            <w:r>
              <w:rPr>
                <w:rFonts w:ascii="宋体"/>
                <w:sz w:val="18"/>
              </w:rPr>
              <w:t>52,910,583.10</w:t>
            </w:r>
          </w:p>
        </w:tc>
        <w:tc>
          <w:tcPr>
            <w:tcW w:w="869"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w:t>
            </w:r>
          </w:p>
        </w:tc>
      </w:tr>
      <w:tr>
        <w:trPr>
          <w:trHeight w:val="242" w:hRule="exact"/>
        </w:trPr>
        <w:tc>
          <w:tcPr>
            <w:tcW w:w="4232"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4856" w:type="dxa"/>
            <w:gridSpan w:val="6"/>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关联交易的说明</w:t>
            </w:r>
          </w:p>
        </w:tc>
        <w:tc>
          <w:tcPr>
            <w:tcW w:w="7595" w:type="dxa"/>
            <w:gridSpan w:val="9"/>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上市前，本公司签署上述关联交易协议，期限为三年一期，本公司于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日在上交所</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上市，因此，自</w:t>
            </w:r>
            <w:r>
              <w:rPr>
                <w:rFonts w:ascii="宋体" w:hAnsi="宋体" w:cs="宋体" w:eastAsia="宋体" w:hint="default"/>
                <w:spacing w:val="-44"/>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日起发生的关联交易按照《上市规则》等规定进行了披露。</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spacing w:line="240" w:lineRule="auto" w:before="36"/>
        <w:ind w:left="140" w:right="0"/>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2"/>
        <w:spacing w:line="240" w:lineRule="auto" w:before="56"/>
        <w:ind w:left="140"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140" w:right="0"/>
        <w:jc w:val="left"/>
      </w:pPr>
      <w:r>
        <w:rPr/>
        <w:t>□适用 √不适用</w:t>
      </w:r>
    </w:p>
    <w:p>
      <w:pPr>
        <w:pStyle w:val="Heading2"/>
        <w:spacing w:line="240" w:lineRule="auto" w:before="56"/>
        <w:ind w:left="140"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2" w:val="left" w:leader="none"/>
        </w:tabs>
        <w:spacing w:line="240" w:lineRule="auto" w:before="58"/>
        <w:ind w:left="140" w:right="0"/>
        <w:jc w:val="left"/>
      </w:pPr>
      <w:r>
        <w:rPr/>
        <w:t>□适用</w:t>
        <w:tab/>
        <w:t>√不适用</w:t>
      </w:r>
    </w:p>
    <w:p>
      <w:pPr>
        <w:spacing w:line="240" w:lineRule="auto" w:before="0"/>
        <w:rPr>
          <w:rFonts w:ascii="宋体" w:hAnsi="宋体" w:cs="宋体" w:eastAsia="宋体" w:hint="default"/>
          <w:sz w:val="25"/>
          <w:szCs w:val="25"/>
        </w:rPr>
      </w:pPr>
    </w:p>
    <w:p>
      <w:pPr>
        <w:pStyle w:val="Heading2"/>
        <w:spacing w:line="240" w:lineRule="auto"/>
        <w:ind w:left="140"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40" w:right="0"/>
        <w:jc w:val="left"/>
      </w:pPr>
      <w:r>
        <w:rPr/>
        <w:t>□适用 √不适用</w:t>
      </w:r>
    </w:p>
    <w:p>
      <w:pPr>
        <w:spacing w:after="0" w:line="240" w:lineRule="auto"/>
        <w:jc w:val="left"/>
        <w:sectPr>
          <w:type w:val="continuous"/>
          <w:pgSz w:w="11910" w:h="16840"/>
          <w:pgMar w:top="1060" w:bottom="1380" w:left="130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spacing w:line="240" w:lineRule="auto" w:before="36"/>
        <w:ind w:left="140" w:right="106"/>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982" w:val="left" w:leader="none"/>
        </w:tabs>
        <w:spacing w:line="240" w:lineRule="auto" w:before="56"/>
        <w:ind w:left="140" w:right="106"/>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32"/>
        <w:ind w:left="140" w:right="106"/>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40" w:right="106"/>
        <w:jc w:val="left"/>
      </w:pPr>
      <w:r>
        <w:rPr/>
        <w:t>□适用 √不适用</w:t>
      </w:r>
    </w:p>
    <w:p>
      <w:pPr>
        <w:pStyle w:val="Heading2"/>
        <w:spacing w:line="240" w:lineRule="auto" w:before="58"/>
        <w:ind w:left="140" w:right="106"/>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2" w:val="left" w:leader="none"/>
        </w:tabs>
        <w:spacing w:line="240" w:lineRule="auto" w:before="56"/>
        <w:ind w:left="140" w:right="106"/>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9"/>
        <w:ind w:left="140" w:right="106"/>
        <w:jc w:val="left"/>
      </w:pPr>
      <w:r>
        <w:rPr/>
        <w:t>□适用 √不适用</w:t>
      </w:r>
    </w:p>
    <w:p>
      <w:pPr>
        <w:spacing w:line="240" w:lineRule="auto" w:before="0"/>
        <w:rPr>
          <w:rFonts w:ascii="宋体" w:hAnsi="宋体" w:cs="宋体" w:eastAsia="宋体" w:hint="default"/>
          <w:sz w:val="25"/>
          <w:szCs w:val="25"/>
        </w:rPr>
      </w:pPr>
    </w:p>
    <w:p>
      <w:pPr>
        <w:pStyle w:val="Heading2"/>
        <w:spacing w:line="240" w:lineRule="auto"/>
        <w:ind w:left="140" w:right="106"/>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32"/>
        <w:ind w:left="140" w:right="106"/>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40" w:right="106"/>
        <w:jc w:val="left"/>
      </w:pPr>
      <w:r>
        <w:rPr/>
        <w:t>□适用 √不适用</w:t>
      </w:r>
    </w:p>
    <w:p>
      <w:pPr>
        <w:pStyle w:val="Heading2"/>
        <w:spacing w:line="240" w:lineRule="auto" w:before="58"/>
        <w:ind w:left="140" w:right="106"/>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2" w:val="left" w:leader="none"/>
        </w:tabs>
        <w:spacing w:line="240" w:lineRule="auto" w:before="56"/>
        <w:ind w:left="140" w:right="106"/>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40" w:right="106"/>
        <w:jc w:val="left"/>
      </w:pPr>
      <w:r>
        <w:rPr/>
        <w:t>□适用 √不适用</w:t>
      </w:r>
    </w:p>
    <w:p>
      <w:pPr>
        <w:pStyle w:val="Heading2"/>
        <w:spacing w:line="240" w:lineRule="auto" w:before="56"/>
        <w:ind w:left="140" w:right="106"/>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2" w:val="left" w:leader="none"/>
        </w:tabs>
        <w:spacing w:line="240" w:lineRule="auto" w:before="32"/>
        <w:ind w:left="140" w:right="106"/>
        <w:jc w:val="left"/>
      </w:pPr>
      <w:r>
        <w:rPr/>
        <w:t>□适用</w:t>
        <w:tab/>
        <w:t>√不适用</w:t>
      </w:r>
    </w:p>
    <w:p>
      <w:pPr>
        <w:spacing w:line="240" w:lineRule="auto" w:before="3"/>
        <w:rPr>
          <w:rFonts w:ascii="宋体" w:hAnsi="宋体" w:cs="宋体" w:eastAsia="宋体" w:hint="default"/>
          <w:sz w:val="25"/>
          <w:szCs w:val="25"/>
        </w:rPr>
      </w:pPr>
    </w:p>
    <w:p>
      <w:pPr>
        <w:pStyle w:val="Heading2"/>
        <w:tabs>
          <w:tab w:pos="980" w:val="left" w:leader="none"/>
        </w:tabs>
        <w:spacing w:line="290" w:lineRule="auto"/>
        <w:ind w:left="140" w:right="6194"/>
        <w:jc w:val="left"/>
        <w:rPr>
          <w:b w:val="0"/>
          <w:bCs w:val="0"/>
        </w:rPr>
      </w:pPr>
      <w:r>
        <w:rPr/>
        <w:t>十五、重大合同及其履行情况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w w:val="100"/>
        </w:rPr>
        <w:t> </w:t>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left="140" w:right="10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8"/>
        <w:ind w:left="140" w:right="10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left="140" w:right="106"/>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060" w:bottom="1380" w:left="1300" w:right="1320"/>
        </w:sectPr>
      </w:pPr>
    </w:p>
    <w:p>
      <w:pPr>
        <w:pStyle w:val="Heading2"/>
        <w:tabs>
          <w:tab w:pos="980" w:val="left" w:leader="none"/>
        </w:tabs>
        <w:spacing w:line="240" w:lineRule="auto" w:before="36"/>
        <w:ind w:left="140"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6"/>
        <w:ind w:left="140" w:right="0"/>
        <w:jc w:val="left"/>
      </w:pPr>
      <w:r>
        <w:rPr/>
        <w:t>□适用 √不适用</w:t>
      </w:r>
    </w:p>
    <w:p>
      <w:pPr>
        <w:pStyle w:val="Heading2"/>
        <w:tabs>
          <w:tab w:pos="565" w:val="left" w:leader="none"/>
          <w:tab w:pos="980" w:val="left" w:leader="none"/>
        </w:tabs>
        <w:spacing w:line="290" w:lineRule="auto" w:before="58"/>
        <w:ind w:left="140"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2"/>
        <w:spacing w:line="240" w:lineRule="auto" w:before="14"/>
        <w:ind w:left="140"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982" w:val="left" w:leader="none"/>
        </w:tabs>
        <w:spacing w:line="240" w:lineRule="auto" w:before="56"/>
        <w:ind w:left="14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92" w:val="left" w:leader="none"/>
        </w:tabs>
        <w:spacing w:line="240" w:lineRule="auto" w:before="139"/>
        <w:ind w:left="140" w:right="0"/>
        <w:jc w:val="left"/>
      </w:pPr>
      <w:r>
        <w:rPr>
          <w:spacing w:val="-1"/>
        </w:rPr>
        <w:t>单位：元</w:t>
        <w:tab/>
      </w:r>
      <w:r>
        <w:rPr>
          <w:spacing w:val="-2"/>
        </w:rPr>
        <w:t>币种：人民币</w:t>
      </w:r>
    </w:p>
    <w:p>
      <w:pPr>
        <w:spacing w:after="0" w:line="240" w:lineRule="auto"/>
        <w:jc w:val="left"/>
        <w:sectPr>
          <w:type w:val="continuous"/>
          <w:pgSz w:w="11910" w:h="16840"/>
          <w:pgMar w:top="1060" w:bottom="1380" w:left="1300" w:right="1320"/>
          <w:cols w:num="2" w:equalWidth="0">
            <w:col w:w="4144" w:space="2572"/>
            <w:col w:w="257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601"/>
        <w:gridCol w:w="1633"/>
        <w:gridCol w:w="1896"/>
        <w:gridCol w:w="1896"/>
        <w:gridCol w:w="2218"/>
      </w:tblGrid>
      <w:tr>
        <w:trPr>
          <w:trHeight w:val="281"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未到期余额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5"/>
              <w:jc w:val="right"/>
              <w:rPr>
                <w:rFonts w:ascii="宋体" w:hAnsi="宋体" w:cs="宋体" w:eastAsia="宋体" w:hint="default"/>
                <w:sz w:val="21"/>
                <w:szCs w:val="21"/>
              </w:rPr>
            </w:pPr>
            <w:r>
              <w:rPr>
                <w:rFonts w:ascii="宋体" w:hAnsi="宋体" w:cs="宋体" w:eastAsia="宋体" w:hint="default"/>
                <w:spacing w:val="-1"/>
                <w:sz w:val="21"/>
                <w:szCs w:val="21"/>
              </w:rPr>
              <w:t>逾期未收回金额</w:t>
            </w:r>
          </w:p>
        </w:tc>
      </w:tr>
      <w:tr>
        <w:trPr>
          <w:trHeight w:val="283"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1,290,600,000.00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1,261,790,000.00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7"/>
              <w:jc w:val="right"/>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40" w:lineRule="auto" w:before="36"/>
        <w:ind w:left="645" w:right="205"/>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日，本公司召开第四届董事会</w:t>
      </w:r>
      <w:r>
        <w:rPr>
          <w:spacing w:val="-54"/>
        </w:rPr>
        <w:t> </w:t>
      </w:r>
      <w:r>
        <w:rPr>
          <w:rFonts w:ascii="宋体" w:hAnsi="宋体" w:cs="宋体" w:eastAsia="宋体" w:hint="default"/>
        </w:rPr>
        <w:t>2018</w:t>
      </w:r>
      <w:r>
        <w:rPr>
          <w:rFonts w:ascii="宋体" w:hAnsi="宋体" w:cs="宋体" w:eastAsia="宋体" w:hint="default"/>
          <w:spacing w:val="-56"/>
        </w:rPr>
        <w:t> </w:t>
      </w:r>
      <w:r>
        <w:rPr/>
        <w:t>年第八次会议，审议通过了《关于继续授</w:t>
      </w:r>
    </w:p>
    <w:p>
      <w:pPr>
        <w:pStyle w:val="BodyText"/>
        <w:spacing w:line="240" w:lineRule="auto" w:before="133"/>
        <w:ind w:right="205"/>
        <w:jc w:val="left"/>
      </w:pPr>
      <w:r>
        <w:rPr/>
        <w:t>权本公司使用闲置自有资金购买理财产品的议案》，同意公司使用不超过人民币</w:t>
      </w:r>
      <w:r>
        <w:rPr>
          <w:spacing w:val="-57"/>
        </w:rPr>
        <w:t> </w:t>
      </w:r>
      <w:r>
        <w:rPr>
          <w:rFonts w:ascii="宋体" w:hAnsi="宋体" w:cs="宋体" w:eastAsia="宋体" w:hint="default"/>
        </w:rPr>
        <w:t>13</w:t>
      </w:r>
      <w:r>
        <w:rPr>
          <w:rFonts w:ascii="宋体" w:hAnsi="宋体" w:cs="宋体" w:eastAsia="宋体" w:hint="default"/>
          <w:spacing w:val="-56"/>
        </w:rPr>
        <w:t> </w:t>
      </w:r>
      <w:r>
        <w:rPr/>
        <w:t>亿元闲置自有</w:t>
      </w:r>
    </w:p>
    <w:p>
      <w:pPr>
        <w:pStyle w:val="BodyText"/>
        <w:spacing w:line="240" w:lineRule="auto" w:before="133"/>
        <w:ind w:right="205"/>
        <w:jc w:val="left"/>
      </w:pPr>
      <w:r>
        <w:rPr/>
        <w:t>资金购买理财产品。购买理财产品额度的使用期限为自董事会审议通过之日起不超过</w:t>
      </w:r>
      <w:r>
        <w:rPr>
          <w:spacing w:val="-56"/>
        </w:rPr>
        <w:t> </w:t>
      </w:r>
      <w:r>
        <w:rPr>
          <w:rFonts w:ascii="宋体" w:hAnsi="宋体" w:cs="宋体" w:eastAsia="宋体" w:hint="default"/>
        </w:rPr>
        <w:t>12</w:t>
      </w:r>
      <w:r>
        <w:rPr>
          <w:rFonts w:ascii="宋体" w:hAnsi="宋体" w:cs="宋体" w:eastAsia="宋体" w:hint="default"/>
          <w:spacing w:val="-57"/>
        </w:rPr>
        <w:t> </w:t>
      </w:r>
      <w:r>
        <w:rPr/>
        <w:t>个月，并</w:t>
      </w:r>
    </w:p>
    <w:p>
      <w:pPr>
        <w:pStyle w:val="BodyText"/>
        <w:spacing w:line="240" w:lineRule="auto" w:before="133"/>
        <w:ind w:right="205"/>
        <w:jc w:val="left"/>
      </w:pPr>
      <w:r>
        <w:rPr/>
        <w:t>授权公司经营管理层负责具体实施。详情请见</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日刊登于上海证券交易所网站</w:t>
      </w:r>
    </w:p>
    <w:p>
      <w:pPr>
        <w:pStyle w:val="BodyText"/>
        <w:spacing w:line="410" w:lineRule="atLeast"/>
        <w:ind w:right="195"/>
        <w:jc w:val="left"/>
        <w:rPr>
          <w:rFonts w:ascii="宋体" w:hAnsi="宋体" w:cs="宋体" w:eastAsia="宋体" w:hint="default"/>
        </w:rPr>
      </w:pPr>
      <w:r>
        <w:rPr>
          <w:spacing w:val="-12"/>
          <w:w w:val="100"/>
        </w:rPr>
        <w:t>（</w:t>
      </w:r>
      <w:hyperlink r:id="rId10">
        <w:r>
          <w:rPr>
            <w:rFonts w:ascii="宋体" w:hAnsi="宋体" w:cs="宋体" w:eastAsia="宋体" w:hint="default"/>
            <w:spacing w:val="-12"/>
            <w:w w:val="100"/>
          </w:rPr>
          <w:t>www.sse.com.cn</w:t>
        </w:r>
      </w:hyperlink>
      <w:r>
        <w:rPr>
          <w:spacing w:val="-12"/>
          <w:w w:val="100"/>
        </w:rPr>
        <w:t>）的《关于继续授权使用闲置自有资金购买理财产品公告》（公告编号：</w:t>
      </w:r>
      <w:r>
        <w:rPr>
          <w:rFonts w:ascii="宋体" w:hAnsi="宋体" w:cs="宋体" w:eastAsia="宋体" w:hint="default"/>
          <w:spacing w:val="-12"/>
          <w:w w:val="100"/>
        </w:rPr>
        <w:t>2018-023</w:t>
      </w:r>
      <w:r>
        <w:rPr>
          <w:spacing w:val="-12"/>
          <w:w w:val="100"/>
        </w:rPr>
        <w:t>）。</w:t>
      </w:r>
      <w:r>
        <w:rPr>
          <w:spacing w:val="-92"/>
          <w:w w:val="100"/>
        </w:rPr>
        <w:t> </w:t>
      </w:r>
      <w:r>
        <w:rPr>
          <w:rFonts w:ascii="宋体" w:hAnsi="宋体" w:cs="宋体" w:eastAsia="宋体" w:hint="default"/>
          <w:b/>
          <w:bCs/>
        </w:rPr>
        <w:t>其他情况</w:t>
      </w:r>
      <w:r>
        <w:rPr>
          <w:rFonts w:ascii="宋体" w:hAnsi="宋体" w:cs="宋体" w:eastAsia="宋体" w:hint="default"/>
        </w:rPr>
      </w:r>
    </w:p>
    <w:p>
      <w:pPr>
        <w:pStyle w:val="BodyText"/>
        <w:tabs>
          <w:tab w:pos="1062" w:val="left" w:leader="none"/>
        </w:tabs>
        <w:spacing w:line="271" w:lineRule="exact"/>
        <w:ind w:right="20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062" w:val="left" w:leader="none"/>
        </w:tabs>
        <w:spacing w:line="240" w:lineRule="auto" w:before="58"/>
        <w:ind w:right="205"/>
        <w:jc w:val="left"/>
      </w:pPr>
      <w:r>
        <w:rPr/>
        <w:t>□适用</w:t>
        <w:tab/>
        <w:t>√不适用</w:t>
      </w:r>
    </w:p>
    <w:p>
      <w:pPr>
        <w:spacing w:line="240" w:lineRule="auto" w:before="8"/>
        <w:rPr>
          <w:rFonts w:ascii="宋体" w:hAnsi="宋体" w:cs="宋体" w:eastAsia="宋体" w:hint="default"/>
          <w:sz w:val="20"/>
          <w:szCs w:val="20"/>
        </w:rPr>
      </w:pPr>
    </w:p>
    <w:p>
      <w:pPr>
        <w:pStyle w:val="Heading2"/>
        <w:spacing w:line="273" w:lineRule="exact"/>
        <w:ind w:right="205"/>
        <w:jc w:val="left"/>
        <w:rPr>
          <w:b w:val="0"/>
          <w:bCs w:val="0"/>
        </w:rPr>
      </w:pPr>
      <w:r>
        <w:rPr/>
        <w:t>其他情况</w:t>
      </w:r>
      <w:r>
        <w:rPr>
          <w:b w:val="0"/>
          <w:bCs w:val="0"/>
        </w:rPr>
      </w:r>
    </w:p>
    <w:p>
      <w:pPr>
        <w:pStyle w:val="BodyText"/>
        <w:tabs>
          <w:tab w:pos="1062" w:val="left" w:leader="none"/>
        </w:tabs>
        <w:spacing w:line="273" w:lineRule="exact"/>
        <w:ind w:right="20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1062" w:val="left" w:leader="none"/>
        </w:tabs>
        <w:spacing w:line="240" w:lineRule="auto" w:before="58"/>
        <w:ind w:right="205"/>
        <w:jc w:val="left"/>
      </w:pPr>
      <w:r>
        <w:rPr/>
        <w:t>□适用</w:t>
        <w:tab/>
        <w:t>√不适用</w:t>
      </w:r>
    </w:p>
    <w:p>
      <w:pPr>
        <w:spacing w:line="240" w:lineRule="auto" w:before="1"/>
        <w:rPr>
          <w:rFonts w:ascii="宋体" w:hAnsi="宋体" w:cs="宋体" w:eastAsia="宋体" w:hint="default"/>
          <w:sz w:val="25"/>
          <w:szCs w:val="25"/>
        </w:rPr>
      </w:pPr>
    </w:p>
    <w:p>
      <w:pPr>
        <w:pStyle w:val="Heading2"/>
        <w:tabs>
          <w:tab w:pos="645" w:val="left" w:leader="none"/>
        </w:tabs>
        <w:spacing w:line="240" w:lineRule="auto"/>
        <w:ind w:right="205"/>
        <w:jc w:val="left"/>
        <w:rPr>
          <w:b w:val="0"/>
          <w:bCs w:val="0"/>
        </w:rPr>
      </w:pPr>
      <w:r>
        <w:rPr>
          <w:rFonts w:ascii="宋体" w:hAnsi="宋体" w:cs="宋体" w:eastAsia="宋体" w:hint="default"/>
          <w:w w:val="95"/>
        </w:rPr>
        <w:t>2.</w:t>
        <w:tab/>
      </w:r>
      <w:r>
        <w:rPr/>
        <w:t>委托贷款情况</w:t>
      </w:r>
      <w:r>
        <w:rPr>
          <w:b w:val="0"/>
          <w:bCs w:val="0"/>
        </w:rPr>
      </w:r>
    </w:p>
    <w:p>
      <w:pPr>
        <w:pStyle w:val="Heading2"/>
        <w:spacing w:line="240" w:lineRule="auto" w:before="58"/>
        <w:ind w:right="205"/>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before="56"/>
        <w:ind w:left="220" w:right="7651"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71" w:lineRule="exact"/>
        <w:ind w:right="205"/>
        <w:jc w:val="left"/>
      </w:pPr>
      <w:r>
        <w:rPr/>
        <w:t>□适用 √不适用</w:t>
      </w:r>
    </w:p>
    <w:p>
      <w:pPr>
        <w:pStyle w:val="Heading2"/>
        <w:spacing w:line="240" w:lineRule="auto" w:before="58"/>
        <w:ind w:right="205"/>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before="56"/>
        <w:ind w:left="220" w:right="7651"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71" w:lineRule="exact"/>
        <w:ind w:right="20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(3)</w:t>
      </w:r>
      <w:r>
        <w:rPr>
          <w:rFonts w:ascii="宋体" w:hAnsi="宋体" w:cs="宋体" w:eastAsia="宋体" w:hint="default"/>
          <w:spacing w:val="-62"/>
        </w:rPr>
        <w:t> </w:t>
      </w:r>
      <w:r>
        <w:rPr/>
        <w:t>委托贷款减值准备</w:t>
      </w:r>
      <w:r>
        <w:rPr>
          <w:b w:val="0"/>
          <w:bCs w:val="0"/>
        </w:rPr>
      </w:r>
    </w:p>
    <w:p>
      <w:pPr>
        <w:pStyle w:val="BodyText"/>
        <w:spacing w:line="240" w:lineRule="auto" w:before="58"/>
        <w:ind w:right="205"/>
        <w:jc w:val="left"/>
      </w:pPr>
      <w:r>
        <w:rPr/>
        <w:t>□适用 √不适用</w:t>
      </w:r>
    </w:p>
    <w:p>
      <w:pPr>
        <w:spacing w:line="240" w:lineRule="auto" w:before="3"/>
        <w:rPr>
          <w:rFonts w:ascii="宋体" w:hAnsi="宋体" w:cs="宋体" w:eastAsia="宋体" w:hint="default"/>
          <w:sz w:val="25"/>
          <w:szCs w:val="25"/>
        </w:rPr>
      </w:pPr>
    </w:p>
    <w:p>
      <w:pPr>
        <w:pStyle w:val="Heading2"/>
        <w:tabs>
          <w:tab w:pos="645" w:val="left" w:leader="none"/>
        </w:tabs>
        <w:spacing w:line="240" w:lineRule="auto"/>
        <w:ind w:right="205"/>
        <w:jc w:val="left"/>
        <w:rPr>
          <w:b w:val="0"/>
          <w:bCs w:val="0"/>
        </w:rPr>
      </w:pPr>
      <w:r>
        <w:rPr>
          <w:rFonts w:ascii="宋体" w:hAnsi="宋体" w:cs="宋体" w:eastAsia="宋体" w:hint="default"/>
          <w:w w:val="95"/>
        </w:rPr>
        <w:t>3.</w:t>
        <w:tab/>
      </w:r>
      <w:r>
        <w:rPr/>
        <w:t>其他情况</w:t>
      </w:r>
      <w:r>
        <w:rPr>
          <w:b w:val="0"/>
          <w:bCs w:val="0"/>
        </w:rPr>
      </w:r>
    </w:p>
    <w:p>
      <w:pPr>
        <w:pStyle w:val="BodyText"/>
        <w:tabs>
          <w:tab w:pos="1165" w:val="left" w:leader="none"/>
        </w:tabs>
        <w:spacing w:line="240" w:lineRule="auto" w:before="56"/>
        <w:ind w:right="205"/>
        <w:jc w:val="left"/>
      </w:pPr>
      <w:r>
        <w:rPr/>
        <w:t>□适用</w:t>
        <w:tab/>
        <w:t>√不适用</w:t>
      </w:r>
    </w:p>
    <w:p>
      <w:pPr>
        <w:spacing w:line="240" w:lineRule="auto" w:before="3"/>
        <w:rPr>
          <w:rFonts w:ascii="宋体" w:hAnsi="宋体" w:cs="宋体" w:eastAsia="宋体" w:hint="default"/>
          <w:sz w:val="25"/>
          <w:szCs w:val="25"/>
        </w:rPr>
      </w:pPr>
    </w:p>
    <w:p>
      <w:pPr>
        <w:pStyle w:val="Heading2"/>
        <w:tabs>
          <w:tab w:pos="1060" w:val="left" w:leader="none"/>
        </w:tabs>
        <w:spacing w:line="240" w:lineRule="auto"/>
        <w:ind w:right="205"/>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pStyle w:val="BodyText"/>
        <w:tabs>
          <w:tab w:pos="1062" w:val="left" w:leader="none"/>
        </w:tabs>
        <w:spacing w:line="273" w:lineRule="exact" w:before="58"/>
        <w:ind w:right="205"/>
        <w:jc w:val="left"/>
      </w:pPr>
      <w:r>
        <w:rPr/>
        <w:t>√适用</w:t>
        <w:tab/>
        <w:t>□不适用</w:t>
      </w:r>
    </w:p>
    <w:p>
      <w:pPr>
        <w:pStyle w:val="BodyText"/>
        <w:spacing w:line="273" w:lineRule="exact"/>
        <w:ind w:left="640" w:right="205"/>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月，本公司与四川省教育厅直属事业单位四川省学生资助管理中心签订了《四川省</w:t>
      </w:r>
    </w:p>
    <w:p>
      <w:pPr>
        <w:pStyle w:val="BodyText"/>
        <w:spacing w:line="240" w:lineRule="auto" w:before="133"/>
        <w:ind w:right="107"/>
        <w:jc w:val="left"/>
      </w:pPr>
      <w:r>
        <w:rPr>
          <w:rFonts w:ascii="宋体" w:hAnsi="宋体" w:cs="宋体" w:eastAsia="宋体" w:hint="default"/>
        </w:rPr>
        <w:t>2018-2019</w:t>
      </w:r>
      <w:r>
        <w:rPr>
          <w:rFonts w:ascii="宋体" w:hAnsi="宋体" w:cs="宋体" w:eastAsia="宋体" w:hint="default"/>
          <w:spacing w:val="-10"/>
        </w:rPr>
        <w:t> </w:t>
      </w:r>
      <w:r>
        <w:rPr/>
        <w:t>学年义务教育阶段学生免费教科书采购合同书》，四川省学生资助管理中心以单一来源</w:t>
      </w:r>
    </w:p>
    <w:p>
      <w:pPr>
        <w:pStyle w:val="BodyText"/>
        <w:spacing w:line="240" w:lineRule="auto" w:before="133"/>
        <w:ind w:right="205"/>
        <w:jc w:val="left"/>
      </w:pPr>
      <w:r>
        <w:rPr/>
        <w:t>采购的采购方式，向公司采购 </w:t>
      </w:r>
      <w:r>
        <w:rPr>
          <w:rFonts w:ascii="宋体" w:hAnsi="宋体" w:cs="宋体" w:eastAsia="宋体" w:hint="default"/>
        </w:rPr>
        <w:t>2018-2019</w:t>
      </w:r>
      <w:r>
        <w:rPr>
          <w:rFonts w:ascii="宋体" w:hAnsi="宋体" w:cs="宋体" w:eastAsia="宋体" w:hint="default"/>
          <w:spacing w:val="-7"/>
        </w:rPr>
        <w:t> </w:t>
      </w:r>
      <w:r>
        <w:rPr/>
        <w:t>学年四川省义务教育阶段学生国家课程、省地方课程教</w:t>
      </w:r>
    </w:p>
    <w:p>
      <w:pPr>
        <w:spacing w:after="0" w:line="240" w:lineRule="auto"/>
        <w:jc w:val="left"/>
        <w:sectPr>
          <w:pgSz w:w="11910" w:h="16840"/>
          <w:pgMar w:header="0" w:footer="1195" w:top="1060" w:bottom="1380" w:left="122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6"/>
        <w:ind w:left="540" w:right="259"/>
        <w:jc w:val="left"/>
      </w:pPr>
      <w:r>
        <w:rPr/>
        <w:t>科书和小学生字典，合同总金额约</w:t>
      </w:r>
      <w:r>
        <w:rPr>
          <w:spacing w:val="-53"/>
        </w:rPr>
        <w:t> </w:t>
      </w:r>
      <w:r>
        <w:rPr>
          <w:rFonts w:ascii="宋体" w:hAnsi="宋体" w:cs="宋体" w:eastAsia="宋体" w:hint="default"/>
        </w:rPr>
        <w:t>10 </w:t>
      </w:r>
      <w:r>
        <w:rPr/>
        <w:t>亿元。详情请见</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日刊登于上海证券交易所网</w:t>
      </w:r>
      <w:r>
        <w:rPr>
          <w:w w:val="100"/>
        </w:rPr>
        <w:t> </w:t>
      </w:r>
      <w:r>
        <w:rPr>
          <w:spacing w:val="-1"/>
        </w:rPr>
        <w:t>站（</w:t>
      </w:r>
      <w:hyperlink r:id="rId22">
        <w:r>
          <w:rPr>
            <w:rFonts w:ascii="宋体" w:hAnsi="宋体" w:cs="宋体" w:eastAsia="宋体" w:hint="default"/>
            <w:spacing w:val="-1"/>
          </w:rPr>
          <w:t>www.see.com.cn</w:t>
        </w:r>
      </w:hyperlink>
      <w:r>
        <w:rPr>
          <w:spacing w:val="-1"/>
        </w:rPr>
        <w:t>）的《关于签订</w:t>
      </w:r>
      <w:r>
        <w:rPr>
          <w:rFonts w:ascii="宋体" w:hAnsi="宋体" w:cs="宋体" w:eastAsia="宋体" w:hint="default"/>
          <w:spacing w:val="-1"/>
        </w:rPr>
        <w:t>&lt;</w:t>
      </w:r>
      <w:r>
        <w:rPr>
          <w:spacing w:val="-1"/>
        </w:rPr>
        <w:t>采购合同</w:t>
      </w:r>
      <w:r>
        <w:rPr>
          <w:rFonts w:ascii="宋体" w:hAnsi="宋体" w:cs="宋体" w:eastAsia="宋体" w:hint="default"/>
          <w:spacing w:val="-1"/>
        </w:rPr>
        <w:t>&gt;</w:t>
      </w:r>
      <w:r>
        <w:rPr>
          <w:spacing w:val="-1"/>
        </w:rPr>
        <w:t>的公告》（公告编号：</w:t>
      </w:r>
      <w:r>
        <w:rPr>
          <w:rFonts w:ascii="宋体" w:hAnsi="宋体" w:cs="宋体" w:eastAsia="宋体" w:hint="default"/>
          <w:spacing w:val="-1"/>
        </w:rPr>
        <w:t>2018-016</w:t>
      </w:r>
      <w:r>
        <w:rPr>
          <w:rFonts w:ascii="宋体" w:hAnsi="宋体" w:cs="宋体" w:eastAsia="宋体" w:hint="default"/>
          <w:spacing w:val="-9"/>
        </w:rPr>
        <w:t> </w:t>
      </w:r>
      <w:r>
        <w:rPr>
          <w:spacing w:val="-1"/>
        </w:rPr>
        <w:t>号）。</w:t>
      </w:r>
    </w:p>
    <w:p>
      <w:pPr>
        <w:pStyle w:val="Heading2"/>
        <w:spacing w:line="240" w:lineRule="auto" w:before="92"/>
        <w:ind w:left="540" w:right="259"/>
        <w:jc w:val="left"/>
        <w:rPr>
          <w:b w:val="0"/>
          <w:bCs w:val="0"/>
        </w:rPr>
      </w:pPr>
      <w:r>
        <w:rPr/>
        <w:t>十六、其他重大事项的说明</w:t>
      </w:r>
      <w:r>
        <w:rPr>
          <w:b w:val="0"/>
          <w:bCs w:val="0"/>
        </w:rPr>
      </w:r>
    </w:p>
    <w:p>
      <w:pPr>
        <w:pStyle w:val="BodyText"/>
        <w:spacing w:line="240" w:lineRule="auto" w:before="58"/>
        <w:ind w:left="540" w:right="259"/>
        <w:jc w:val="left"/>
      </w:pPr>
      <w:r>
        <w:rPr/>
        <w:t>□适用 √不适用</w:t>
      </w:r>
    </w:p>
    <w:p>
      <w:pPr>
        <w:spacing w:line="240" w:lineRule="auto" w:before="3"/>
        <w:rPr>
          <w:rFonts w:ascii="宋体" w:hAnsi="宋体" w:cs="宋体" w:eastAsia="宋体" w:hint="default"/>
          <w:sz w:val="25"/>
          <w:szCs w:val="25"/>
        </w:rPr>
      </w:pPr>
    </w:p>
    <w:p>
      <w:pPr>
        <w:pStyle w:val="Heading2"/>
        <w:tabs>
          <w:tab w:pos="1392" w:val="left" w:leader="none"/>
        </w:tabs>
        <w:spacing w:line="290" w:lineRule="auto"/>
        <w:ind w:left="540" w:right="5869"/>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w w:val="95"/>
        </w:rPr>
        <w:t>(</w:t>
      </w:r>
      <w:r>
        <w:rPr>
          <w:w w:val="95"/>
        </w:rPr>
        <w:t>一</w:t>
      </w:r>
      <w:r>
        <w:rPr>
          <w:rFonts w:ascii="宋体" w:hAnsi="宋体" w:cs="宋体" w:eastAsia="宋体" w:hint="default"/>
          <w:w w:val="95"/>
        </w:rPr>
        <w:t>)</w:t>
        <w:tab/>
      </w:r>
      <w:r>
        <w:rPr/>
        <w:t>上市公司扶贫工作情况</w:t>
      </w:r>
      <w:r>
        <w:rPr>
          <w:b w:val="0"/>
          <w:bCs w:val="0"/>
        </w:rPr>
      </w:r>
    </w:p>
    <w:p>
      <w:pPr>
        <w:pStyle w:val="BodyText"/>
        <w:spacing w:line="240" w:lineRule="auto" w:before="14"/>
        <w:ind w:left="540" w:right="259"/>
        <w:jc w:val="left"/>
      </w:pPr>
      <w:r>
        <w:rPr/>
        <w:t>□适用 √不适用</w:t>
      </w:r>
    </w:p>
    <w:p>
      <w:pPr>
        <w:spacing w:line="240" w:lineRule="auto" w:before="3"/>
        <w:rPr>
          <w:rFonts w:ascii="宋体" w:hAnsi="宋体" w:cs="宋体" w:eastAsia="宋体" w:hint="default"/>
          <w:sz w:val="25"/>
          <w:szCs w:val="25"/>
        </w:rPr>
      </w:pPr>
    </w:p>
    <w:p>
      <w:pPr>
        <w:pStyle w:val="Heading2"/>
        <w:tabs>
          <w:tab w:pos="1183" w:val="left" w:leader="none"/>
        </w:tabs>
        <w:spacing w:line="240" w:lineRule="auto"/>
        <w:ind w:left="540" w:right="25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社会责任工作情况</w:t>
      </w:r>
      <w:r>
        <w:rPr>
          <w:b w:val="0"/>
          <w:bCs w:val="0"/>
        </w:rPr>
      </w:r>
    </w:p>
    <w:p>
      <w:pPr>
        <w:pStyle w:val="BodyText"/>
        <w:tabs>
          <w:tab w:pos="1382" w:val="left" w:leader="none"/>
        </w:tabs>
        <w:spacing w:line="272" w:lineRule="exact" w:before="84"/>
        <w:ind w:left="960" w:right="213" w:hanging="420"/>
        <w:jc w:val="left"/>
      </w:pPr>
      <w:r>
        <w:rPr/>
        <w:t>√适用</w:t>
        <w:tab/>
        <w:t>□不适用</w:t>
      </w:r>
      <w:r>
        <w:rPr>
          <w:w w:val="100"/>
        </w:rPr>
        <w:t> </w:t>
      </w:r>
      <w:r>
        <w:rPr>
          <w:spacing w:val="-2"/>
        </w:rPr>
        <w:t>本公司作为文化传媒企业，以传承优秀中华文化、服务社会为己任，密切关注企业社会责任的</w:t>
      </w:r>
    </w:p>
    <w:p>
      <w:pPr>
        <w:pStyle w:val="BodyText"/>
        <w:spacing w:line="355" w:lineRule="auto" w:before="110"/>
        <w:ind w:left="540" w:right="0"/>
        <w:jc w:val="left"/>
      </w:pPr>
      <w:r>
        <w:rPr>
          <w:spacing w:val="-4"/>
        </w:rPr>
        <w:t>履行与可持续发展。在稳健提升经营业绩的同时，将承担企业社会责任融入到公司的经营发展之中，</w:t>
      </w:r>
      <w:r>
        <w:rPr>
          <w:spacing w:val="-44"/>
        </w:rPr>
        <w:t> </w:t>
      </w:r>
      <w:r>
        <w:rPr>
          <w:spacing w:val="-44"/>
        </w:rPr>
      </w:r>
      <w:r>
        <w:rPr/>
        <w:t>追求公司与客户、员工、股东和社会的共同进步和发展。“社会责任工作情况”详见</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p>
    <w:p>
      <w:pPr>
        <w:pStyle w:val="BodyText"/>
        <w:spacing w:line="240" w:lineRule="auto" w:before="32"/>
        <w:ind w:left="540" w:right="259"/>
        <w:jc w:val="left"/>
      </w:pPr>
      <w:r>
        <w:rPr>
          <w:rFonts w:ascii="宋体" w:hAnsi="宋体" w:cs="宋体" w:eastAsia="宋体" w:hint="default"/>
        </w:rPr>
        <w:t>28</w:t>
      </w:r>
      <w:r>
        <w:rPr>
          <w:rFonts w:ascii="宋体" w:hAnsi="宋体" w:cs="宋体" w:eastAsia="宋体" w:hint="default"/>
          <w:spacing w:val="-56"/>
        </w:rPr>
        <w:t> </w:t>
      </w:r>
      <w:r>
        <w:rPr/>
        <w:t>日于公司网站及上交所网站刊登的《社会责任报告》。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tabs>
          <w:tab w:pos="1183" w:val="left" w:leader="none"/>
        </w:tabs>
        <w:spacing w:line="240" w:lineRule="auto"/>
        <w:ind w:left="540" w:right="259"/>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环境信息情况</w:t>
      </w:r>
      <w:r>
        <w:rPr>
          <w:b w:val="0"/>
          <w:bCs w:val="0"/>
        </w:rPr>
      </w:r>
    </w:p>
    <w:p>
      <w:pPr>
        <w:pStyle w:val="Heading2"/>
        <w:tabs>
          <w:tab w:pos="965" w:val="left" w:leader="none"/>
        </w:tabs>
        <w:spacing w:line="240" w:lineRule="auto" w:before="56"/>
        <w:ind w:left="540" w:right="259"/>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spacing w:line="290" w:lineRule="auto" w:before="59"/>
        <w:ind w:left="540" w:right="7651"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4"/>
          <w:sz w:val="21"/>
          <w:szCs w:val="21"/>
        </w:rPr>
        <w:t> </w:t>
      </w:r>
      <w:r>
        <w:rPr>
          <w:rFonts w:ascii="宋体" w:hAnsi="宋体" w:cs="宋体" w:eastAsia="宋体" w:hint="default"/>
          <w:b/>
          <w:bCs/>
          <w:sz w:val="21"/>
          <w:szCs w:val="21"/>
        </w:rPr>
        <w:t>排污信息</w:t>
      </w:r>
      <w:r>
        <w:rPr>
          <w:rFonts w:ascii="宋体" w:hAnsi="宋体" w:cs="宋体" w:eastAsia="宋体" w:hint="default"/>
          <w:sz w:val="21"/>
          <w:szCs w:val="21"/>
        </w:rPr>
      </w:r>
    </w:p>
    <w:p>
      <w:pPr>
        <w:pStyle w:val="BodyText"/>
        <w:spacing w:line="273" w:lineRule="exact" w:before="14"/>
        <w:ind w:left="540" w:right="259"/>
        <w:jc w:val="left"/>
      </w:pPr>
      <w:r>
        <w:rPr/>
        <w:t>√适用 □不适用</w:t>
      </w:r>
    </w:p>
    <w:p>
      <w:pPr>
        <w:pStyle w:val="BodyText"/>
        <w:spacing w:line="340" w:lineRule="auto"/>
        <w:ind w:left="540" w:right="211" w:firstLine="420"/>
        <w:jc w:val="both"/>
      </w:pPr>
      <w:r>
        <w:rPr>
          <w:spacing w:val="-2"/>
          <w:w w:val="100"/>
        </w:rPr>
        <w:t>根据四川省环境保护厅发布的《</w:t>
      </w:r>
      <w:r>
        <w:rPr>
          <w:rFonts w:ascii="Calibri" w:hAnsi="Calibri" w:cs="Calibri" w:eastAsia="Calibri" w:hint="default"/>
          <w:spacing w:val="-2"/>
          <w:w w:val="100"/>
        </w:rPr>
        <w:t>2018</w:t>
      </w:r>
      <w:r>
        <w:rPr>
          <w:rFonts w:ascii="Calibri" w:hAnsi="Calibri" w:cs="Calibri" w:eastAsia="Calibri" w:hint="default"/>
          <w:spacing w:val="15"/>
          <w:w w:val="100"/>
        </w:rPr>
        <w:t> </w:t>
      </w:r>
      <w:r>
        <w:rPr>
          <w:spacing w:val="-6"/>
          <w:w w:val="100"/>
        </w:rPr>
        <w:t>年四川省重点排污单位名录》，本公司的子公司四川新华</w:t>
      </w:r>
      <w:r>
        <w:rPr>
          <w:w w:val="100"/>
        </w:rPr>
        <w:t> </w:t>
      </w:r>
      <w:r>
        <w:rPr>
          <w:spacing w:val="-2"/>
        </w:rPr>
        <w:t>印刷有限责任公司为四川省重点排污单位。报告期内，本公司严格遵守相关环保法律法规，自觉履</w:t>
      </w:r>
      <w:r>
        <w:rPr>
          <w:spacing w:val="-30"/>
        </w:rPr>
        <w:t> </w:t>
      </w:r>
      <w:r>
        <w:rPr>
          <w:spacing w:val="-30"/>
        </w:rPr>
      </w:r>
      <w:r>
        <w:rPr/>
        <w:t>行社会责任，切实保障环境质量。四川新华印刷有限责任公司的排污信息如下：</w:t>
      </w:r>
    </w:p>
    <w:p>
      <w:pPr>
        <w:spacing w:line="240" w:lineRule="auto" w:before="1"/>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912"/>
        <w:gridCol w:w="982"/>
        <w:gridCol w:w="622"/>
        <w:gridCol w:w="1174"/>
        <w:gridCol w:w="1270"/>
        <w:gridCol w:w="948"/>
        <w:gridCol w:w="1186"/>
        <w:gridCol w:w="1513"/>
        <w:gridCol w:w="946"/>
      </w:tblGrid>
      <w:tr>
        <w:trPr>
          <w:trHeight w:val="787"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主</w:t>
            </w:r>
            <w:r>
              <w:rPr>
                <w:rFonts w:ascii="宋体" w:hAnsi="宋体" w:cs="宋体" w:eastAsia="宋体" w:hint="default"/>
                <w:spacing w:val="-43"/>
                <w:sz w:val="15"/>
                <w:szCs w:val="15"/>
              </w:rPr>
              <w:t> </w:t>
            </w:r>
            <w:r>
              <w:rPr>
                <w:rFonts w:ascii="宋体" w:hAnsi="宋体" w:cs="宋体" w:eastAsia="宋体" w:hint="default"/>
                <w:sz w:val="15"/>
                <w:szCs w:val="15"/>
              </w:rPr>
              <w:t>要</w:t>
            </w:r>
            <w:r>
              <w:rPr>
                <w:rFonts w:ascii="宋体" w:hAnsi="宋体" w:cs="宋体" w:eastAsia="宋体" w:hint="default"/>
                <w:spacing w:val="-43"/>
                <w:sz w:val="15"/>
                <w:szCs w:val="15"/>
              </w:rPr>
              <w:t> </w:t>
            </w:r>
            <w:r>
              <w:rPr>
                <w:rFonts w:ascii="宋体" w:hAnsi="宋体" w:cs="宋体" w:eastAsia="宋体" w:hint="default"/>
                <w:sz w:val="15"/>
                <w:szCs w:val="15"/>
              </w:rPr>
              <w:t>污</w:t>
            </w:r>
            <w:r>
              <w:rPr>
                <w:rFonts w:ascii="宋体" w:hAnsi="宋体" w:cs="宋体" w:eastAsia="宋体" w:hint="default"/>
                <w:spacing w:val="-46"/>
                <w:sz w:val="15"/>
                <w:szCs w:val="15"/>
              </w:rPr>
              <w:t> </w:t>
            </w:r>
            <w:r>
              <w:rPr>
                <w:rFonts w:ascii="宋体" w:hAnsi="宋体" w:cs="宋体" w:eastAsia="宋体" w:hint="default"/>
                <w:sz w:val="15"/>
                <w:szCs w:val="15"/>
              </w:rPr>
              <w:t>染</w:t>
            </w:r>
          </w:p>
          <w:p>
            <w:pPr>
              <w:pStyle w:val="TableParagraph"/>
              <w:spacing w:line="240" w:lineRule="auto"/>
              <w:ind w:left="103" w:right="102"/>
              <w:jc w:val="both"/>
              <w:rPr>
                <w:rFonts w:ascii="宋体" w:hAnsi="宋体" w:cs="宋体" w:eastAsia="宋体" w:hint="default"/>
                <w:sz w:val="15"/>
                <w:szCs w:val="15"/>
              </w:rPr>
            </w:pPr>
            <w:r>
              <w:rPr>
                <w:rFonts w:ascii="宋体" w:hAnsi="宋体" w:cs="宋体" w:eastAsia="宋体" w:hint="default"/>
                <w:sz w:val="15"/>
                <w:szCs w:val="15"/>
              </w:rPr>
              <w:t>物</w:t>
            </w:r>
            <w:r>
              <w:rPr>
                <w:rFonts w:ascii="宋体" w:hAnsi="宋体" w:cs="宋体" w:eastAsia="宋体" w:hint="default"/>
                <w:spacing w:val="-43"/>
                <w:sz w:val="15"/>
                <w:szCs w:val="15"/>
              </w:rPr>
              <w:t> </w:t>
            </w:r>
            <w:r>
              <w:rPr>
                <w:rFonts w:ascii="宋体" w:hAnsi="宋体" w:cs="宋体" w:eastAsia="宋体" w:hint="default"/>
                <w:sz w:val="15"/>
                <w:szCs w:val="15"/>
              </w:rPr>
              <w:t>及</w:t>
            </w:r>
            <w:r>
              <w:rPr>
                <w:rFonts w:ascii="宋体" w:hAnsi="宋体" w:cs="宋体" w:eastAsia="宋体" w:hint="default"/>
                <w:spacing w:val="-43"/>
                <w:sz w:val="15"/>
                <w:szCs w:val="15"/>
              </w:rPr>
              <w:t> </w:t>
            </w:r>
            <w:r>
              <w:rPr>
                <w:rFonts w:ascii="宋体" w:hAnsi="宋体" w:cs="宋体" w:eastAsia="宋体" w:hint="default"/>
                <w:sz w:val="15"/>
                <w:szCs w:val="15"/>
              </w:rPr>
              <w:t>特</w:t>
            </w:r>
            <w:r>
              <w:rPr>
                <w:rFonts w:ascii="宋体" w:hAnsi="宋体" w:cs="宋体" w:eastAsia="宋体" w:hint="default"/>
                <w:spacing w:val="-46"/>
                <w:sz w:val="15"/>
                <w:szCs w:val="15"/>
              </w:rPr>
              <w:t> </w:t>
            </w:r>
            <w:r>
              <w:rPr>
                <w:rFonts w:ascii="宋体" w:hAnsi="宋体" w:cs="宋体" w:eastAsia="宋体" w:hint="default"/>
                <w:sz w:val="15"/>
                <w:szCs w:val="15"/>
              </w:rPr>
              <w:t>征</w:t>
            </w:r>
            <w:r>
              <w:rPr>
                <w:rFonts w:ascii="宋体" w:hAnsi="宋体" w:cs="宋体" w:eastAsia="宋体" w:hint="default"/>
                <w:w w:val="100"/>
                <w:sz w:val="15"/>
                <w:szCs w:val="15"/>
              </w:rPr>
              <w:t> </w:t>
            </w:r>
            <w:r>
              <w:rPr>
                <w:rFonts w:ascii="宋体" w:hAnsi="宋体" w:cs="宋体" w:eastAsia="宋体" w:hint="default"/>
                <w:sz w:val="15"/>
                <w:szCs w:val="15"/>
              </w:rPr>
              <w:t>污</w:t>
            </w:r>
            <w:r>
              <w:rPr>
                <w:rFonts w:ascii="宋体" w:hAnsi="宋体" w:cs="宋体" w:eastAsia="宋体" w:hint="default"/>
                <w:spacing w:val="-43"/>
                <w:sz w:val="15"/>
                <w:szCs w:val="15"/>
              </w:rPr>
              <w:t> </w:t>
            </w:r>
            <w:r>
              <w:rPr>
                <w:rFonts w:ascii="宋体" w:hAnsi="宋体" w:cs="宋体" w:eastAsia="宋体" w:hint="default"/>
                <w:sz w:val="15"/>
                <w:szCs w:val="15"/>
              </w:rPr>
              <w:t>染</w:t>
            </w:r>
            <w:r>
              <w:rPr>
                <w:rFonts w:ascii="宋体" w:hAnsi="宋体" w:cs="宋体" w:eastAsia="宋体" w:hint="default"/>
                <w:spacing w:val="-43"/>
                <w:sz w:val="15"/>
                <w:szCs w:val="15"/>
              </w:rPr>
              <w:t> </w:t>
            </w:r>
            <w:r>
              <w:rPr>
                <w:rFonts w:ascii="宋体" w:hAnsi="宋体" w:cs="宋体" w:eastAsia="宋体" w:hint="default"/>
                <w:sz w:val="15"/>
                <w:szCs w:val="15"/>
              </w:rPr>
              <w:t>物</w:t>
            </w:r>
            <w:r>
              <w:rPr>
                <w:rFonts w:ascii="宋体" w:hAnsi="宋体" w:cs="宋体" w:eastAsia="宋体" w:hint="default"/>
                <w:spacing w:val="-46"/>
                <w:sz w:val="15"/>
                <w:szCs w:val="15"/>
              </w:rPr>
              <w:t> </w:t>
            </w:r>
            <w:r>
              <w:rPr>
                <w:rFonts w:ascii="宋体" w:hAnsi="宋体" w:cs="宋体" w:eastAsia="宋体" w:hint="default"/>
                <w:sz w:val="15"/>
                <w:szCs w:val="15"/>
              </w:rPr>
              <w:t>的</w:t>
            </w:r>
            <w:r>
              <w:rPr>
                <w:rFonts w:ascii="宋体" w:hAnsi="宋体" w:cs="宋体" w:eastAsia="宋体" w:hint="default"/>
                <w:w w:val="100"/>
                <w:sz w:val="15"/>
                <w:szCs w:val="15"/>
              </w:rPr>
              <w:t> </w:t>
            </w:r>
            <w:r>
              <w:rPr>
                <w:rFonts w:ascii="宋体" w:hAnsi="宋体" w:cs="宋体" w:eastAsia="宋体" w:hint="default"/>
                <w:sz w:val="15"/>
                <w:szCs w:val="15"/>
              </w:rPr>
              <w:t>名称</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排放方式</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排</w:t>
            </w:r>
            <w:r>
              <w:rPr>
                <w:rFonts w:ascii="宋体" w:hAnsi="宋体" w:cs="宋体" w:eastAsia="宋体" w:hint="default"/>
                <w:spacing w:val="35"/>
                <w:sz w:val="15"/>
                <w:szCs w:val="15"/>
              </w:rPr>
              <w:t> </w:t>
            </w:r>
            <w:r>
              <w:rPr>
                <w:rFonts w:ascii="宋体" w:hAnsi="宋体" w:cs="宋体" w:eastAsia="宋体" w:hint="default"/>
                <w:sz w:val="15"/>
                <w:szCs w:val="15"/>
              </w:rPr>
              <w:t>放</w:t>
            </w:r>
          </w:p>
          <w:p>
            <w:pPr>
              <w:pStyle w:val="TableParagraph"/>
              <w:spacing w:line="240" w:lineRule="auto"/>
              <w:ind w:left="103" w:right="96"/>
              <w:jc w:val="left"/>
              <w:rPr>
                <w:rFonts w:ascii="宋体" w:hAnsi="宋体" w:cs="宋体" w:eastAsia="宋体" w:hint="default"/>
                <w:sz w:val="15"/>
                <w:szCs w:val="15"/>
              </w:rPr>
            </w:pPr>
            <w:r>
              <w:rPr>
                <w:rFonts w:ascii="宋体" w:hAnsi="宋体" w:cs="宋体" w:eastAsia="宋体" w:hint="default"/>
                <w:sz w:val="15"/>
                <w:szCs w:val="15"/>
              </w:rPr>
              <w:t>口</w:t>
            </w:r>
            <w:r>
              <w:rPr>
                <w:rFonts w:ascii="宋体" w:hAnsi="宋体" w:cs="宋体" w:eastAsia="宋体" w:hint="default"/>
                <w:spacing w:val="35"/>
                <w:sz w:val="15"/>
                <w:szCs w:val="15"/>
              </w:rPr>
              <w:t> </w:t>
            </w:r>
            <w:r>
              <w:rPr>
                <w:rFonts w:ascii="宋体" w:hAnsi="宋体" w:cs="宋体" w:eastAsia="宋体" w:hint="default"/>
                <w:sz w:val="15"/>
                <w:szCs w:val="15"/>
              </w:rPr>
              <w:t>数</w:t>
            </w:r>
            <w:r>
              <w:rPr>
                <w:rFonts w:ascii="宋体" w:hAnsi="宋体" w:cs="宋体" w:eastAsia="宋体" w:hint="default"/>
                <w:w w:val="100"/>
                <w:sz w:val="15"/>
                <w:szCs w:val="15"/>
              </w:rPr>
              <w:t> </w:t>
            </w:r>
            <w:r>
              <w:rPr>
                <w:rFonts w:ascii="宋体" w:hAnsi="宋体" w:cs="宋体" w:eastAsia="宋体" w:hint="default"/>
                <w:sz w:val="15"/>
                <w:szCs w:val="15"/>
              </w:rPr>
              <w:t>量</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排放口分布情</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况</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排放浓度</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31"/>
                <w:sz w:val="15"/>
                <w:szCs w:val="15"/>
              </w:rPr>
              <w:t>执行的污</w:t>
            </w:r>
            <w:r>
              <w:rPr>
                <w:rFonts w:ascii="宋体" w:hAnsi="宋体" w:cs="宋体" w:eastAsia="宋体" w:hint="default"/>
                <w:spacing w:val="-32"/>
                <w:sz w:val="15"/>
                <w:szCs w:val="15"/>
              </w:rPr>
              <w:t> </w:t>
            </w:r>
            <w:r>
              <w:rPr>
                <w:rFonts w:ascii="宋体" w:hAnsi="宋体" w:cs="宋体" w:eastAsia="宋体" w:hint="default"/>
                <w:sz w:val="15"/>
                <w:szCs w:val="15"/>
              </w:rPr>
            </w:r>
          </w:p>
          <w:p>
            <w:pPr>
              <w:pStyle w:val="TableParagraph"/>
              <w:spacing w:line="240" w:lineRule="auto"/>
              <w:ind w:left="103" w:right="57"/>
              <w:jc w:val="left"/>
              <w:rPr>
                <w:rFonts w:ascii="宋体" w:hAnsi="宋体" w:cs="宋体" w:eastAsia="宋体" w:hint="default"/>
                <w:sz w:val="15"/>
                <w:szCs w:val="15"/>
              </w:rPr>
            </w:pPr>
            <w:r>
              <w:rPr>
                <w:rFonts w:ascii="宋体" w:hAnsi="宋体" w:cs="宋体" w:eastAsia="宋体" w:hint="default"/>
                <w:spacing w:val="31"/>
                <w:sz w:val="15"/>
                <w:szCs w:val="15"/>
              </w:rPr>
              <w:t>染物排放</w:t>
            </w:r>
            <w:r>
              <w:rPr>
                <w:rFonts w:ascii="宋体" w:hAnsi="宋体" w:cs="宋体" w:eastAsia="宋体" w:hint="default"/>
                <w:spacing w:val="-66"/>
                <w:sz w:val="15"/>
                <w:szCs w:val="15"/>
              </w:rPr>
              <w:t> </w:t>
            </w:r>
            <w:r>
              <w:rPr>
                <w:rFonts w:ascii="宋体" w:hAnsi="宋体" w:cs="宋体" w:eastAsia="宋体" w:hint="default"/>
                <w:sz w:val="15"/>
                <w:szCs w:val="15"/>
              </w:rPr>
              <w:t>标准</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排放总量</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核定的排放总量</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超</w:t>
            </w:r>
            <w:r>
              <w:rPr>
                <w:rFonts w:ascii="宋体" w:hAnsi="宋体" w:cs="宋体" w:eastAsia="宋体" w:hint="default"/>
                <w:spacing w:val="-31"/>
                <w:sz w:val="15"/>
                <w:szCs w:val="15"/>
              </w:rPr>
              <w:t> </w:t>
            </w:r>
            <w:r>
              <w:rPr>
                <w:rFonts w:ascii="宋体" w:hAnsi="宋体" w:cs="宋体" w:eastAsia="宋体" w:hint="default"/>
                <w:sz w:val="15"/>
                <w:szCs w:val="15"/>
              </w:rPr>
              <w:t>标</w:t>
            </w:r>
            <w:r>
              <w:rPr>
                <w:rFonts w:ascii="宋体" w:hAnsi="宋体" w:cs="宋体" w:eastAsia="宋体" w:hint="default"/>
                <w:spacing w:val="-34"/>
                <w:sz w:val="15"/>
                <w:szCs w:val="15"/>
              </w:rPr>
              <w:t> </w:t>
            </w:r>
            <w:r>
              <w:rPr>
                <w:rFonts w:ascii="宋体" w:hAnsi="宋体" w:cs="宋体" w:eastAsia="宋体" w:hint="default"/>
                <w:sz w:val="15"/>
                <w:szCs w:val="15"/>
              </w:rPr>
              <w:t>排</w:t>
            </w:r>
            <w:r>
              <w:rPr>
                <w:rFonts w:ascii="宋体" w:hAnsi="宋体" w:cs="宋体" w:eastAsia="宋体" w:hint="default"/>
                <w:spacing w:val="-31"/>
                <w:sz w:val="15"/>
                <w:szCs w:val="15"/>
              </w:rPr>
              <w:t> </w:t>
            </w:r>
            <w:r>
              <w:rPr>
                <w:rFonts w:ascii="宋体" w:hAnsi="宋体" w:cs="宋体" w:eastAsia="宋体" w:hint="default"/>
                <w:sz w:val="15"/>
                <w:szCs w:val="15"/>
              </w:rPr>
              <w:t>放</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情况</w:t>
            </w:r>
          </w:p>
        </w:tc>
      </w:tr>
      <w:tr>
        <w:trPr>
          <w:trHeight w:val="1179"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废水</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有组织排入</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市政雨、污</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水管网</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w w:val="100"/>
                <w:sz w:val="15"/>
              </w:rPr>
              <w:t>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spacing w:val="7"/>
                <w:sz w:val="15"/>
                <w:szCs w:val="15"/>
              </w:rPr>
              <w:t>总排口：东经</w:t>
            </w:r>
          </w:p>
          <w:p>
            <w:pPr>
              <w:pStyle w:val="TableParagraph"/>
              <w:spacing w:line="240" w:lineRule="auto"/>
              <w:ind w:left="103" w:right="84"/>
              <w:jc w:val="both"/>
              <w:rPr>
                <w:rFonts w:ascii="宋体" w:hAnsi="宋体" w:cs="宋体" w:eastAsia="宋体" w:hint="default"/>
                <w:sz w:val="15"/>
                <w:szCs w:val="15"/>
              </w:rPr>
            </w:pPr>
            <w:r>
              <w:rPr>
                <w:rFonts w:ascii="宋体" w:hAnsi="宋体" w:cs="宋体" w:eastAsia="宋体" w:hint="default"/>
                <w:spacing w:val="-2"/>
                <w:sz w:val="15"/>
                <w:szCs w:val="15"/>
              </w:rPr>
              <w:t>104</w:t>
            </w:r>
            <w:r>
              <w:rPr>
                <w:rFonts w:ascii="宋体" w:hAnsi="宋体" w:cs="宋体" w:eastAsia="宋体" w:hint="default"/>
                <w:spacing w:val="-2"/>
                <w:sz w:val="15"/>
                <w:szCs w:val="15"/>
              </w:rPr>
              <w:t>º</w:t>
            </w:r>
            <w:r>
              <w:rPr>
                <w:rFonts w:ascii="宋体" w:hAnsi="宋体" w:cs="宋体" w:eastAsia="宋体" w:hint="default"/>
                <w:spacing w:val="-2"/>
                <w:sz w:val="15"/>
                <w:szCs w:val="15"/>
              </w:rPr>
              <w:t>10</w:t>
            </w:r>
            <w:r>
              <w:rPr>
                <w:rFonts w:ascii="宋体" w:hAnsi="宋体" w:cs="宋体" w:eastAsia="宋体" w:hint="default"/>
                <w:spacing w:val="-2"/>
                <w:sz w:val="15"/>
                <w:szCs w:val="15"/>
              </w:rPr>
              <w:t>′</w:t>
            </w:r>
            <w:r>
              <w:rPr>
                <w:rFonts w:ascii="宋体" w:hAnsi="宋体" w:cs="宋体" w:eastAsia="宋体" w:hint="default"/>
                <w:spacing w:val="-2"/>
                <w:sz w:val="15"/>
                <w:szCs w:val="15"/>
              </w:rPr>
              <w:t>8</w:t>
            </w:r>
            <w:r>
              <w:rPr>
                <w:rFonts w:ascii="宋体" w:hAnsi="宋体" w:cs="宋体" w:eastAsia="宋体" w:hint="default"/>
                <w:spacing w:val="-2"/>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北纬</w:t>
            </w:r>
            <w:r>
              <w:rPr>
                <w:rFonts w:ascii="宋体" w:hAnsi="宋体" w:cs="宋体" w:eastAsia="宋体" w:hint="default"/>
                <w:spacing w:val="-21"/>
                <w:sz w:val="15"/>
                <w:szCs w:val="15"/>
              </w:rPr>
              <w:t> </w:t>
            </w:r>
            <w:r>
              <w:rPr>
                <w:rFonts w:ascii="宋体" w:hAnsi="宋体" w:cs="宋体" w:eastAsia="宋体" w:hint="default"/>
                <w:sz w:val="15"/>
                <w:szCs w:val="15"/>
              </w:rPr>
              <w:t>30</w:t>
            </w:r>
            <w:r>
              <w:rPr>
                <w:rFonts w:ascii="宋体" w:hAnsi="宋体" w:cs="宋体" w:eastAsia="宋体" w:hint="default"/>
                <w:sz w:val="15"/>
                <w:szCs w:val="15"/>
              </w:rPr>
              <w:t>°</w:t>
            </w:r>
            <w:r>
              <w:rPr>
                <w:rFonts w:ascii="宋体" w:hAnsi="宋体" w:cs="宋体" w:eastAsia="宋体" w:hint="default"/>
                <w:sz w:val="15"/>
                <w:szCs w:val="15"/>
              </w:rPr>
              <w:t>41</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38</w:t>
            </w:r>
            <w:r>
              <w:rPr>
                <w:rFonts w:ascii="宋体" w:hAnsi="宋体" w:cs="宋体" w:eastAsia="宋体" w:hint="default"/>
                <w:sz w:val="15"/>
                <w:szCs w:val="15"/>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化学需氧量</w:t>
            </w:r>
          </w:p>
          <w:p>
            <w:pPr>
              <w:pStyle w:val="TableParagraph"/>
              <w:spacing w:line="240" w:lineRule="auto"/>
              <w:ind w:left="103" w:right="290"/>
              <w:jc w:val="left"/>
              <w:rPr>
                <w:rFonts w:ascii="宋体" w:hAnsi="宋体" w:cs="宋体" w:eastAsia="宋体" w:hint="default"/>
                <w:sz w:val="15"/>
                <w:szCs w:val="15"/>
              </w:rPr>
            </w:pPr>
            <w:r>
              <w:rPr>
                <w:rFonts w:ascii="宋体" w:hAnsi="宋体" w:cs="宋体" w:eastAsia="宋体" w:hint="default"/>
                <w:sz w:val="15"/>
                <w:szCs w:val="15"/>
              </w:rPr>
              <w:t>131</w:t>
            </w:r>
            <w:r>
              <w:rPr>
                <w:rFonts w:ascii="宋体" w:hAnsi="宋体" w:cs="宋体" w:eastAsia="宋体" w:hint="default"/>
                <w:spacing w:val="-38"/>
                <w:sz w:val="15"/>
                <w:szCs w:val="15"/>
              </w:rPr>
              <w:t> </w:t>
            </w:r>
            <w:r>
              <w:rPr>
                <w:rFonts w:ascii="宋体" w:hAnsi="宋体" w:cs="宋体" w:eastAsia="宋体" w:hint="default"/>
                <w:sz w:val="15"/>
                <w:szCs w:val="15"/>
              </w:rPr>
              <w:t>毫克</w:t>
            </w:r>
            <w:r>
              <w:rPr>
                <w:rFonts w:ascii="宋体" w:hAnsi="宋体" w:cs="宋体" w:eastAsia="宋体" w:hint="default"/>
                <w:sz w:val="15"/>
                <w:szCs w:val="15"/>
              </w:rPr>
              <w:t>/</w:t>
            </w:r>
            <w:r>
              <w:rPr>
                <w:rFonts w:ascii="宋体" w:hAnsi="宋体" w:cs="宋体" w:eastAsia="宋体" w:hint="default"/>
                <w:sz w:val="15"/>
                <w:szCs w:val="15"/>
              </w:rPr>
              <w:t>升</w:t>
            </w:r>
            <w:r>
              <w:rPr>
                <w:rFonts w:ascii="宋体" w:hAnsi="宋体" w:cs="宋体" w:eastAsia="宋体" w:hint="default"/>
                <w:w w:val="100"/>
                <w:sz w:val="15"/>
                <w:szCs w:val="15"/>
              </w:rPr>
              <w:t> </w:t>
            </w:r>
            <w:r>
              <w:rPr>
                <w:rFonts w:ascii="宋体" w:hAnsi="宋体" w:cs="宋体" w:eastAsia="宋体" w:hint="default"/>
                <w:sz w:val="15"/>
                <w:szCs w:val="15"/>
              </w:rPr>
              <w:t>动植物油</w:t>
            </w:r>
            <w:r>
              <w:rPr>
                <w:rFonts w:ascii="宋体" w:hAnsi="宋体" w:cs="宋体" w:eastAsia="宋体" w:hint="default"/>
                <w:w w:val="100"/>
                <w:sz w:val="15"/>
                <w:szCs w:val="15"/>
              </w:rPr>
              <w:t> </w:t>
            </w:r>
            <w:r>
              <w:rPr>
                <w:rFonts w:ascii="宋体" w:hAnsi="宋体" w:cs="宋体" w:eastAsia="宋体" w:hint="default"/>
                <w:sz w:val="15"/>
                <w:szCs w:val="15"/>
              </w:rPr>
              <w:t>1.67</w:t>
            </w:r>
            <w:r>
              <w:rPr>
                <w:rFonts w:ascii="宋体" w:hAnsi="宋体" w:cs="宋体" w:eastAsia="宋体" w:hint="default"/>
                <w:spacing w:val="-39"/>
                <w:sz w:val="15"/>
                <w:szCs w:val="15"/>
              </w:rPr>
              <w:t> </w:t>
            </w:r>
            <w:r>
              <w:rPr>
                <w:rFonts w:ascii="宋体" w:hAnsi="宋体" w:cs="宋体" w:eastAsia="宋体" w:hint="default"/>
                <w:sz w:val="15"/>
                <w:szCs w:val="15"/>
              </w:rPr>
              <w:t>毫克</w:t>
            </w:r>
            <w:r>
              <w:rPr>
                <w:rFonts w:ascii="宋体" w:hAnsi="宋体" w:cs="宋体" w:eastAsia="宋体" w:hint="default"/>
                <w:sz w:val="15"/>
                <w:szCs w:val="15"/>
              </w:rPr>
              <w:t>/</w:t>
            </w:r>
            <w:r>
              <w:rPr>
                <w:rFonts w:ascii="宋体" w:hAnsi="宋体" w:cs="宋体" w:eastAsia="宋体" w:hint="default"/>
                <w:sz w:val="15"/>
                <w:szCs w:val="15"/>
              </w:rPr>
              <w:t>升</w:t>
            </w:r>
            <w:r>
              <w:rPr>
                <w:rFonts w:ascii="宋体" w:hAnsi="宋体" w:cs="宋体" w:eastAsia="宋体" w:hint="default"/>
                <w:w w:val="100"/>
                <w:sz w:val="15"/>
                <w:szCs w:val="15"/>
              </w:rPr>
              <w:t> </w:t>
            </w:r>
            <w:r>
              <w:rPr>
                <w:rFonts w:ascii="宋体" w:hAnsi="宋体" w:cs="宋体" w:eastAsia="宋体" w:hint="default"/>
                <w:sz w:val="15"/>
                <w:szCs w:val="15"/>
              </w:rPr>
              <w:t>悬浮物</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44</w:t>
            </w:r>
            <w:r>
              <w:rPr>
                <w:rFonts w:ascii="宋体" w:hAnsi="宋体" w:cs="宋体" w:eastAsia="宋体" w:hint="default"/>
                <w:spacing w:val="-38"/>
                <w:sz w:val="15"/>
                <w:szCs w:val="15"/>
              </w:rPr>
              <w:t> </w:t>
            </w:r>
            <w:r>
              <w:rPr>
                <w:rFonts w:ascii="宋体" w:hAnsi="宋体" w:cs="宋体" w:eastAsia="宋体" w:hint="default"/>
                <w:sz w:val="15"/>
                <w:szCs w:val="15"/>
              </w:rPr>
              <w:t>毫克</w:t>
            </w:r>
            <w:r>
              <w:rPr>
                <w:rFonts w:ascii="宋体" w:hAnsi="宋体" w:cs="宋体" w:eastAsia="宋体" w:hint="default"/>
                <w:sz w:val="15"/>
                <w:szCs w:val="15"/>
              </w:rPr>
              <w:t>/</w:t>
            </w:r>
            <w:r>
              <w:rPr>
                <w:rFonts w:ascii="宋体" w:hAnsi="宋体" w:cs="宋体" w:eastAsia="宋体" w:hint="default"/>
                <w:sz w:val="15"/>
                <w:szCs w:val="15"/>
              </w:rPr>
              <w:t>升</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GB8978-19</w:t>
            </w:r>
          </w:p>
          <w:p>
            <w:pPr>
              <w:pStyle w:val="TableParagraph"/>
              <w:spacing w:line="196" w:lineRule="exact"/>
              <w:ind w:left="103" w:right="0"/>
              <w:jc w:val="left"/>
              <w:rPr>
                <w:rFonts w:ascii="宋体" w:hAnsi="宋体" w:cs="宋体" w:eastAsia="宋体" w:hint="default"/>
                <w:sz w:val="15"/>
                <w:szCs w:val="15"/>
              </w:rPr>
            </w:pPr>
            <w:r>
              <w:rPr>
                <w:rFonts w:ascii="宋体"/>
                <w:sz w:val="15"/>
              </w:rPr>
              <w:t>96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化学需氧量</w:t>
            </w:r>
          </w:p>
          <w:p>
            <w:pPr>
              <w:pStyle w:val="TableParagraph"/>
              <w:spacing w:line="240" w:lineRule="auto"/>
              <w:ind w:left="103" w:right="355"/>
              <w:jc w:val="left"/>
              <w:rPr>
                <w:rFonts w:ascii="宋体" w:hAnsi="宋体" w:cs="宋体" w:eastAsia="宋体" w:hint="default"/>
                <w:sz w:val="15"/>
                <w:szCs w:val="15"/>
              </w:rPr>
            </w:pPr>
            <w:r>
              <w:rPr>
                <w:rFonts w:ascii="宋体" w:hAnsi="宋体" w:cs="宋体" w:eastAsia="宋体" w:hint="default"/>
                <w:sz w:val="15"/>
                <w:szCs w:val="15"/>
              </w:rPr>
              <w:t>1.99</w:t>
            </w:r>
            <w:r>
              <w:rPr>
                <w:rFonts w:ascii="宋体" w:hAnsi="宋体" w:cs="宋体" w:eastAsia="宋体" w:hint="default"/>
                <w:spacing w:val="-38"/>
                <w:sz w:val="15"/>
                <w:szCs w:val="15"/>
              </w:rPr>
              <w:t> </w:t>
            </w:r>
            <w:r>
              <w:rPr>
                <w:rFonts w:ascii="宋体" w:hAnsi="宋体" w:cs="宋体" w:eastAsia="宋体" w:hint="default"/>
                <w:sz w:val="15"/>
                <w:szCs w:val="15"/>
              </w:rPr>
              <w:t>吨</w:t>
            </w:r>
            <w:r>
              <w:rPr>
                <w:rFonts w:ascii="宋体" w:hAnsi="宋体" w:cs="宋体" w:eastAsia="宋体" w:hint="default"/>
                <w:sz w:val="15"/>
                <w:szCs w:val="15"/>
              </w:rPr>
              <w:t>/</w:t>
            </w:r>
            <w:r>
              <w:rPr>
                <w:rFonts w:ascii="宋体" w:hAnsi="宋体" w:cs="宋体" w:eastAsia="宋体" w:hint="default"/>
                <w:sz w:val="15"/>
                <w:szCs w:val="15"/>
              </w:rPr>
              <w:t>年</w:t>
            </w:r>
            <w:r>
              <w:rPr>
                <w:rFonts w:ascii="宋体" w:hAnsi="宋体" w:cs="宋体" w:eastAsia="宋体" w:hint="default"/>
                <w:w w:val="100"/>
                <w:sz w:val="15"/>
                <w:szCs w:val="15"/>
              </w:rPr>
              <w:t> </w:t>
            </w:r>
            <w:r>
              <w:rPr>
                <w:rFonts w:ascii="宋体" w:hAnsi="宋体" w:cs="宋体" w:eastAsia="宋体" w:hint="default"/>
                <w:sz w:val="15"/>
                <w:szCs w:val="15"/>
              </w:rPr>
              <w:t>动植物油</w:t>
            </w: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z w:val="15"/>
                <w:szCs w:val="15"/>
              </w:rPr>
              <w:t>0.025</w:t>
            </w:r>
            <w:r>
              <w:rPr>
                <w:rFonts w:ascii="宋体" w:hAnsi="宋体" w:cs="宋体" w:eastAsia="宋体" w:hint="default"/>
                <w:spacing w:val="-39"/>
                <w:sz w:val="15"/>
                <w:szCs w:val="15"/>
              </w:rPr>
              <w:t> </w:t>
            </w:r>
            <w:r>
              <w:rPr>
                <w:rFonts w:ascii="宋体" w:hAnsi="宋体" w:cs="宋体" w:eastAsia="宋体" w:hint="default"/>
                <w:sz w:val="15"/>
                <w:szCs w:val="15"/>
              </w:rPr>
              <w:t>吨</w:t>
            </w:r>
            <w:r>
              <w:rPr>
                <w:rFonts w:ascii="宋体" w:hAnsi="宋体" w:cs="宋体" w:eastAsia="宋体" w:hint="default"/>
                <w:sz w:val="15"/>
                <w:szCs w:val="15"/>
              </w:rPr>
              <w:t>/</w:t>
            </w:r>
            <w:r>
              <w:rPr>
                <w:rFonts w:ascii="宋体" w:hAnsi="宋体" w:cs="宋体" w:eastAsia="宋体" w:hint="default"/>
                <w:sz w:val="15"/>
                <w:szCs w:val="15"/>
              </w:rPr>
              <w:t>年</w:t>
            </w:r>
            <w:r>
              <w:rPr>
                <w:rFonts w:ascii="宋体" w:hAnsi="宋体" w:cs="宋体" w:eastAsia="宋体" w:hint="default"/>
                <w:w w:val="100"/>
                <w:sz w:val="15"/>
                <w:szCs w:val="15"/>
              </w:rPr>
              <w:t> </w:t>
            </w:r>
            <w:r>
              <w:rPr>
                <w:rFonts w:ascii="宋体" w:hAnsi="宋体" w:cs="宋体" w:eastAsia="宋体" w:hint="default"/>
                <w:sz w:val="15"/>
                <w:szCs w:val="15"/>
              </w:rPr>
              <w:t>悬浮物</w:t>
            </w:r>
            <w:r>
              <w:rPr>
                <w:rFonts w:ascii="宋体" w:hAnsi="宋体" w:cs="宋体" w:eastAsia="宋体" w:hint="default"/>
                <w:spacing w:val="-42"/>
                <w:sz w:val="15"/>
                <w:szCs w:val="15"/>
              </w:rPr>
              <w:t> </w:t>
            </w:r>
            <w:r>
              <w:rPr>
                <w:rFonts w:ascii="宋体" w:hAnsi="宋体" w:cs="宋体" w:eastAsia="宋体" w:hint="default"/>
                <w:sz w:val="15"/>
                <w:szCs w:val="15"/>
              </w:rPr>
              <w:t>0668</w:t>
            </w:r>
            <w:r>
              <w:rPr>
                <w:rFonts w:ascii="宋体" w:hAnsi="宋体" w:cs="宋体" w:eastAsia="宋体" w:hint="default"/>
                <w:spacing w:val="-39"/>
                <w:sz w:val="15"/>
                <w:szCs w:val="15"/>
              </w:rPr>
              <w:t> </w:t>
            </w:r>
            <w:r>
              <w:rPr>
                <w:rFonts w:ascii="宋体" w:hAnsi="宋体" w:cs="宋体" w:eastAsia="宋体" w:hint="default"/>
                <w:sz w:val="15"/>
                <w:szCs w:val="15"/>
              </w:rPr>
              <w:t>吨</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年</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化学需氧量</w:t>
            </w:r>
          </w:p>
          <w:p>
            <w:pPr>
              <w:pStyle w:val="TableParagraph"/>
              <w:spacing w:line="240" w:lineRule="auto"/>
              <w:ind w:left="103" w:right="682"/>
              <w:jc w:val="left"/>
              <w:rPr>
                <w:rFonts w:ascii="宋体" w:hAnsi="宋体" w:cs="宋体" w:eastAsia="宋体" w:hint="default"/>
                <w:sz w:val="15"/>
                <w:szCs w:val="15"/>
              </w:rPr>
            </w:pPr>
            <w:r>
              <w:rPr>
                <w:rFonts w:ascii="宋体" w:hAnsi="宋体" w:cs="宋体" w:eastAsia="宋体" w:hint="default"/>
                <w:sz w:val="15"/>
                <w:szCs w:val="15"/>
              </w:rPr>
              <w:t>7.6</w:t>
            </w:r>
            <w:r>
              <w:rPr>
                <w:rFonts w:ascii="宋体" w:hAnsi="宋体" w:cs="宋体" w:eastAsia="宋体" w:hint="default"/>
                <w:spacing w:val="-38"/>
                <w:sz w:val="15"/>
                <w:szCs w:val="15"/>
              </w:rPr>
              <w:t> </w:t>
            </w:r>
            <w:r>
              <w:rPr>
                <w:rFonts w:ascii="宋体" w:hAnsi="宋体" w:cs="宋体" w:eastAsia="宋体" w:hint="default"/>
                <w:sz w:val="15"/>
                <w:szCs w:val="15"/>
              </w:rPr>
              <w:t>吨</w:t>
            </w:r>
            <w:r>
              <w:rPr>
                <w:rFonts w:ascii="宋体" w:hAnsi="宋体" w:cs="宋体" w:eastAsia="宋体" w:hint="default"/>
                <w:sz w:val="15"/>
                <w:szCs w:val="15"/>
              </w:rPr>
              <w:t>/</w:t>
            </w:r>
            <w:r>
              <w:rPr>
                <w:rFonts w:ascii="宋体" w:hAnsi="宋体" w:cs="宋体" w:eastAsia="宋体" w:hint="default"/>
                <w:sz w:val="15"/>
                <w:szCs w:val="15"/>
              </w:rPr>
              <w:t>年</w:t>
            </w:r>
            <w:r>
              <w:rPr>
                <w:rFonts w:ascii="宋体" w:hAnsi="宋体" w:cs="宋体" w:eastAsia="宋体" w:hint="default"/>
                <w:w w:val="100"/>
                <w:sz w:val="15"/>
                <w:szCs w:val="15"/>
              </w:rPr>
              <w:t> </w:t>
            </w:r>
            <w:r>
              <w:rPr>
                <w:rFonts w:ascii="宋体" w:hAnsi="宋体" w:cs="宋体" w:eastAsia="宋体" w:hint="default"/>
                <w:sz w:val="15"/>
                <w:szCs w:val="15"/>
              </w:rPr>
              <w:t>动植物油</w:t>
            </w:r>
          </w:p>
          <w:p>
            <w:pPr>
              <w:pStyle w:val="TableParagraph"/>
              <w:spacing w:line="240" w:lineRule="auto" w:before="12"/>
              <w:ind w:right="0"/>
              <w:jc w:val="left"/>
              <w:rPr>
                <w:rFonts w:ascii="宋体" w:hAnsi="宋体" w:cs="宋体" w:eastAsia="宋体" w:hint="default"/>
                <w:sz w:val="14"/>
                <w:szCs w:val="14"/>
              </w:rPr>
            </w:pP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1.52</w:t>
            </w:r>
            <w:r>
              <w:rPr>
                <w:rFonts w:ascii="宋体" w:hAnsi="宋体" w:cs="宋体" w:eastAsia="宋体" w:hint="default"/>
                <w:spacing w:val="-38"/>
                <w:sz w:val="15"/>
                <w:szCs w:val="15"/>
              </w:rPr>
              <w:t> </w:t>
            </w:r>
            <w:r>
              <w:rPr>
                <w:rFonts w:ascii="宋体" w:hAnsi="宋体" w:cs="宋体" w:eastAsia="宋体" w:hint="default"/>
                <w:sz w:val="15"/>
                <w:szCs w:val="15"/>
              </w:rPr>
              <w:t>吨</w:t>
            </w:r>
            <w:r>
              <w:rPr>
                <w:rFonts w:ascii="宋体" w:hAnsi="宋体" w:cs="宋体" w:eastAsia="宋体" w:hint="default"/>
                <w:sz w:val="15"/>
                <w:szCs w:val="15"/>
              </w:rPr>
              <w:t>/</w:t>
            </w:r>
            <w:r>
              <w:rPr>
                <w:rFonts w:ascii="宋体" w:hAnsi="宋体" w:cs="宋体" w:eastAsia="宋体" w:hint="default"/>
                <w:sz w:val="15"/>
                <w:szCs w:val="15"/>
              </w:rPr>
              <w:t>年</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悬浮物</w:t>
            </w:r>
            <w:r>
              <w:rPr>
                <w:rFonts w:ascii="宋体" w:hAnsi="宋体" w:cs="宋体" w:eastAsia="宋体" w:hint="default"/>
                <w:spacing w:val="-41"/>
                <w:sz w:val="15"/>
                <w:szCs w:val="15"/>
              </w:rPr>
              <w:t> </w:t>
            </w:r>
            <w:r>
              <w:rPr>
                <w:rFonts w:ascii="宋体" w:hAnsi="宋体" w:cs="宋体" w:eastAsia="宋体" w:hint="default"/>
                <w:sz w:val="15"/>
                <w:szCs w:val="15"/>
              </w:rPr>
              <w:t>6.078</w:t>
            </w:r>
            <w:r>
              <w:rPr>
                <w:rFonts w:ascii="宋体" w:hAnsi="宋体" w:cs="宋体" w:eastAsia="宋体" w:hint="default"/>
                <w:spacing w:val="-37"/>
                <w:sz w:val="15"/>
                <w:szCs w:val="15"/>
              </w:rPr>
              <w:t> </w:t>
            </w:r>
            <w:r>
              <w:rPr>
                <w:rFonts w:ascii="宋体" w:hAnsi="宋体" w:cs="宋体" w:eastAsia="宋体" w:hint="default"/>
                <w:sz w:val="15"/>
                <w:szCs w:val="15"/>
              </w:rPr>
              <w:t>吨</w:t>
            </w:r>
            <w:r>
              <w:rPr>
                <w:rFonts w:ascii="宋体" w:hAnsi="宋体" w:cs="宋体" w:eastAsia="宋体" w:hint="default"/>
                <w:sz w:val="15"/>
                <w:szCs w:val="15"/>
              </w:rPr>
              <w:t>/</w:t>
            </w:r>
            <w:r>
              <w:rPr>
                <w:rFonts w:ascii="宋体" w:hAnsi="宋体" w:cs="宋体" w:eastAsia="宋体" w:hint="default"/>
                <w:sz w:val="15"/>
                <w:szCs w:val="15"/>
              </w:rPr>
              <w:t>年</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达标排放</w:t>
            </w:r>
          </w:p>
        </w:tc>
      </w:tr>
      <w:tr>
        <w:trPr>
          <w:trHeight w:val="1759"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胶装废气</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有组织排气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筒排放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w w:val="100"/>
                <w:sz w:val="15"/>
              </w:rPr>
              <w:t>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pacing w:val="7"/>
                <w:sz w:val="15"/>
                <w:szCs w:val="15"/>
              </w:rPr>
              <w:t>分布在装订车</w:t>
            </w:r>
          </w:p>
          <w:p>
            <w:pPr>
              <w:pStyle w:val="TableParagraph"/>
              <w:spacing w:line="240" w:lineRule="auto"/>
              <w:ind w:left="103" w:right="102"/>
              <w:jc w:val="both"/>
              <w:rPr>
                <w:rFonts w:ascii="宋体" w:hAnsi="宋体" w:cs="宋体" w:eastAsia="宋体" w:hint="default"/>
                <w:sz w:val="15"/>
                <w:szCs w:val="15"/>
              </w:rPr>
            </w:pPr>
            <w:r>
              <w:rPr>
                <w:rFonts w:ascii="宋体" w:hAnsi="宋体" w:cs="宋体" w:eastAsia="宋体" w:hint="default"/>
                <w:spacing w:val="7"/>
                <w:sz w:val="15"/>
                <w:szCs w:val="15"/>
              </w:rPr>
              <w:t>间屋面，排气</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筒高度</w:t>
            </w:r>
            <w:r>
              <w:rPr>
                <w:rFonts w:ascii="宋体" w:hAnsi="宋体" w:cs="宋体" w:eastAsia="宋体" w:hint="default"/>
                <w:spacing w:val="-48"/>
                <w:sz w:val="15"/>
                <w:szCs w:val="15"/>
              </w:rPr>
              <w:t> </w:t>
            </w:r>
            <w:r>
              <w:rPr>
                <w:rFonts w:ascii="宋体" w:hAnsi="宋体" w:cs="宋体" w:eastAsia="宋体" w:hint="default"/>
                <w:sz w:val="15"/>
                <w:szCs w:val="15"/>
              </w:rPr>
              <w:t>15</w:t>
            </w:r>
            <w:r>
              <w:rPr>
                <w:rFonts w:ascii="宋体" w:hAnsi="宋体" w:cs="宋体" w:eastAsia="宋体" w:hint="default"/>
                <w:spacing w:val="-45"/>
                <w:sz w:val="15"/>
                <w:szCs w:val="15"/>
              </w:rPr>
              <w:t> </w:t>
            </w:r>
            <w:r>
              <w:rPr>
                <w:rFonts w:ascii="宋体" w:hAnsi="宋体" w:cs="宋体" w:eastAsia="宋体" w:hint="default"/>
                <w:spacing w:val="-3"/>
                <w:sz w:val="15"/>
                <w:szCs w:val="15"/>
              </w:rPr>
              <w:t>米以</w:t>
            </w:r>
            <w:r>
              <w:rPr>
                <w:rFonts w:ascii="宋体" w:hAnsi="宋体" w:cs="宋体" w:eastAsia="宋体" w:hint="default"/>
                <w:spacing w:val="-3"/>
                <w:w w:val="100"/>
                <w:sz w:val="15"/>
                <w:szCs w:val="15"/>
              </w:rPr>
              <w:t> </w:t>
            </w:r>
            <w:r>
              <w:rPr>
                <w:rFonts w:ascii="宋体" w:hAnsi="宋体" w:cs="宋体" w:eastAsia="宋体" w:hint="default"/>
                <w:sz w:val="15"/>
                <w:szCs w:val="15"/>
              </w:rPr>
              <w:t>上</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非甲烷总烃浓度</w:t>
            </w:r>
          </w:p>
          <w:p>
            <w:pPr>
              <w:pStyle w:val="TableParagraph"/>
              <w:spacing w:line="240" w:lineRule="auto"/>
              <w:ind w:left="103" w:right="96"/>
              <w:jc w:val="both"/>
              <w:rPr>
                <w:rFonts w:ascii="宋体" w:hAnsi="宋体" w:cs="宋体" w:eastAsia="宋体" w:hint="default"/>
                <w:sz w:val="15"/>
                <w:szCs w:val="15"/>
              </w:rPr>
            </w:pPr>
            <w:r>
              <w:rPr>
                <w:rFonts w:ascii="宋体" w:hAnsi="宋体" w:cs="宋体" w:eastAsia="宋体" w:hint="default"/>
                <w:sz w:val="15"/>
                <w:szCs w:val="15"/>
              </w:rPr>
              <w:t>分别为：</w:t>
            </w:r>
            <w:r>
              <w:rPr>
                <w:rFonts w:ascii="宋体" w:hAnsi="宋体" w:cs="宋体" w:eastAsia="宋体" w:hint="default"/>
                <w:sz w:val="15"/>
                <w:szCs w:val="15"/>
              </w:rPr>
              <w:t>2.63</w:t>
            </w:r>
            <w:r>
              <w:rPr>
                <w:rFonts w:ascii="宋体" w:hAnsi="宋体" w:cs="宋体" w:eastAsia="宋体" w:hint="default"/>
                <w:sz w:val="15"/>
                <w:szCs w:val="15"/>
              </w:rPr>
              <w:t>、</w:t>
            </w:r>
            <w:r>
              <w:rPr>
                <w:rFonts w:ascii="宋体" w:hAnsi="宋体" w:cs="宋体" w:eastAsia="宋体" w:hint="default"/>
                <w:spacing w:val="-69"/>
                <w:sz w:val="15"/>
                <w:szCs w:val="15"/>
              </w:rPr>
              <w:t> </w:t>
            </w:r>
            <w:r>
              <w:rPr>
                <w:rFonts w:ascii="宋体" w:hAnsi="宋体" w:cs="宋体" w:eastAsia="宋体" w:hint="default"/>
                <w:sz w:val="15"/>
                <w:szCs w:val="15"/>
              </w:rPr>
              <w:t>27.8</w:t>
            </w:r>
            <w:r>
              <w:rPr>
                <w:rFonts w:ascii="宋体" w:hAnsi="宋体" w:cs="宋体" w:eastAsia="宋体" w:hint="default"/>
                <w:sz w:val="15"/>
                <w:szCs w:val="15"/>
              </w:rPr>
              <w:t>、</w:t>
            </w:r>
            <w:r>
              <w:rPr>
                <w:rFonts w:ascii="宋体" w:hAnsi="宋体" w:cs="宋体" w:eastAsia="宋体" w:hint="default"/>
                <w:sz w:val="15"/>
                <w:szCs w:val="15"/>
              </w:rPr>
              <w:t>14.4</w:t>
            </w:r>
            <w:r>
              <w:rPr>
                <w:rFonts w:ascii="宋体" w:hAnsi="宋体" w:cs="宋体" w:eastAsia="宋体" w:hint="default"/>
                <w:sz w:val="15"/>
                <w:szCs w:val="15"/>
              </w:rPr>
              <w:t>、</w:t>
            </w:r>
          </w:p>
          <w:p>
            <w:pPr>
              <w:pStyle w:val="TableParagraph"/>
              <w:spacing w:line="240" w:lineRule="auto"/>
              <w:ind w:left="103" w:right="96"/>
              <w:jc w:val="both"/>
              <w:rPr>
                <w:rFonts w:ascii="宋体" w:hAnsi="宋体" w:cs="宋体" w:eastAsia="宋体" w:hint="default"/>
                <w:sz w:val="15"/>
                <w:szCs w:val="15"/>
              </w:rPr>
            </w:pPr>
            <w:r>
              <w:rPr>
                <w:rFonts w:ascii="宋体" w:hAnsi="宋体" w:cs="宋体" w:eastAsia="宋体" w:hint="default"/>
                <w:sz w:val="15"/>
                <w:szCs w:val="15"/>
              </w:rPr>
              <w:t>7.42</w:t>
            </w:r>
            <w:r>
              <w:rPr>
                <w:rFonts w:ascii="宋体" w:hAnsi="宋体" w:cs="宋体" w:eastAsia="宋体" w:hint="default"/>
                <w:spacing w:val="5"/>
                <w:sz w:val="15"/>
                <w:szCs w:val="15"/>
              </w:rPr>
              <w:t> </w:t>
            </w:r>
            <w:r>
              <w:rPr>
                <w:rFonts w:ascii="宋体" w:hAnsi="宋体" w:cs="宋体" w:eastAsia="宋体" w:hint="default"/>
                <w:sz w:val="15"/>
                <w:szCs w:val="15"/>
              </w:rPr>
              <w:t>毫克</w:t>
            </w:r>
            <w:r>
              <w:rPr>
                <w:rFonts w:ascii="宋体" w:hAnsi="宋体" w:cs="宋体" w:eastAsia="宋体" w:hint="default"/>
                <w:sz w:val="15"/>
                <w:szCs w:val="15"/>
              </w:rPr>
              <w:t>/</w:t>
            </w:r>
            <w:r>
              <w:rPr>
                <w:rFonts w:ascii="宋体" w:hAnsi="宋体" w:cs="宋体" w:eastAsia="宋体" w:hint="default"/>
                <w:sz w:val="15"/>
                <w:szCs w:val="15"/>
              </w:rPr>
              <w:t>立方</w:t>
            </w:r>
            <w:r>
              <w:rPr>
                <w:rFonts w:ascii="宋体" w:hAnsi="宋体" w:cs="宋体" w:eastAsia="宋体" w:hint="default"/>
                <w:w w:val="100"/>
                <w:sz w:val="15"/>
                <w:szCs w:val="15"/>
              </w:rPr>
              <w:t> </w:t>
            </w:r>
            <w:r>
              <w:rPr>
                <w:rFonts w:ascii="宋体" w:hAnsi="宋体" w:cs="宋体" w:eastAsia="宋体" w:hint="default"/>
                <w:sz w:val="15"/>
                <w:szCs w:val="15"/>
              </w:rPr>
              <w:t>米 ， 苯 浓</w:t>
            </w:r>
            <w:r>
              <w:rPr>
                <w:rFonts w:ascii="宋体" w:hAnsi="宋体" w:cs="宋体" w:eastAsia="宋体" w:hint="default"/>
                <w:spacing w:val="5"/>
                <w:sz w:val="15"/>
                <w:szCs w:val="15"/>
              </w:rPr>
              <w:t> </w:t>
            </w:r>
            <w:r>
              <w:rPr>
                <w:rFonts w:ascii="宋体" w:hAnsi="宋体" w:cs="宋体" w:eastAsia="宋体" w:hint="default"/>
                <w:sz w:val="15"/>
                <w:szCs w:val="15"/>
              </w:rPr>
              <w:t>度</w:t>
            </w:r>
            <w:r>
              <w:rPr>
                <w:rFonts w:ascii="宋体" w:hAnsi="宋体" w:cs="宋体" w:eastAsia="宋体" w:hint="default"/>
                <w:w w:val="100"/>
                <w:sz w:val="15"/>
                <w:szCs w:val="15"/>
              </w:rPr>
              <w:t> </w:t>
            </w:r>
            <w:r>
              <w:rPr>
                <w:rFonts w:ascii="宋体" w:hAnsi="宋体" w:cs="宋体" w:eastAsia="宋体" w:hint="default"/>
                <w:spacing w:val="-8"/>
                <w:w w:val="100"/>
                <w:sz w:val="15"/>
                <w:szCs w:val="15"/>
              </w:rPr>
              <w:t>0.013</w:t>
            </w:r>
            <w:r>
              <w:rPr>
                <w:rFonts w:ascii="宋体" w:hAnsi="宋体" w:cs="宋体" w:eastAsia="宋体" w:hint="default"/>
                <w:spacing w:val="-8"/>
                <w:w w:val="100"/>
                <w:sz w:val="15"/>
                <w:szCs w:val="15"/>
              </w:rPr>
              <w:t>、甲苯浓度</w:t>
            </w:r>
          </w:p>
          <w:p>
            <w:pPr>
              <w:pStyle w:val="TableParagraph"/>
              <w:spacing w:line="193" w:lineRule="exact"/>
              <w:ind w:left="103" w:right="0"/>
              <w:jc w:val="both"/>
              <w:rPr>
                <w:rFonts w:ascii="宋体" w:hAnsi="宋体" w:cs="宋体" w:eastAsia="宋体" w:hint="default"/>
                <w:sz w:val="15"/>
                <w:szCs w:val="15"/>
              </w:rPr>
            </w:pPr>
            <w:r>
              <w:rPr>
                <w:rFonts w:ascii="宋体" w:hAnsi="宋体" w:cs="宋体" w:eastAsia="宋体" w:hint="default"/>
                <w:sz w:val="15"/>
                <w:szCs w:val="15"/>
              </w:rPr>
              <w:t>0.235</w:t>
            </w:r>
            <w:r>
              <w:rPr>
                <w:rFonts w:ascii="宋体" w:hAnsi="宋体" w:cs="宋体" w:eastAsia="宋体" w:hint="default"/>
                <w:spacing w:val="4"/>
                <w:sz w:val="15"/>
                <w:szCs w:val="15"/>
              </w:rPr>
              <w:t> </w:t>
            </w:r>
            <w:r>
              <w:rPr>
                <w:rFonts w:ascii="宋体" w:hAnsi="宋体" w:cs="宋体" w:eastAsia="宋体" w:hint="default"/>
                <w:sz w:val="15"/>
                <w:szCs w:val="15"/>
              </w:rPr>
              <w:t>二甲苯浓</w:t>
            </w:r>
          </w:p>
          <w:p>
            <w:pPr>
              <w:pStyle w:val="TableParagraph"/>
              <w:spacing w:line="240" w:lineRule="auto"/>
              <w:ind w:left="103" w:right="97"/>
              <w:jc w:val="both"/>
              <w:rPr>
                <w:rFonts w:ascii="宋体" w:hAnsi="宋体" w:cs="宋体" w:eastAsia="宋体" w:hint="default"/>
                <w:sz w:val="15"/>
                <w:szCs w:val="15"/>
              </w:rPr>
            </w:pPr>
            <w:r>
              <w:rPr>
                <w:rFonts w:ascii="宋体" w:hAnsi="宋体" w:cs="宋体" w:eastAsia="宋体" w:hint="default"/>
                <w:sz w:val="15"/>
                <w:szCs w:val="15"/>
              </w:rPr>
              <w:t>度 </w:t>
            </w:r>
            <w:r>
              <w:rPr>
                <w:rFonts w:ascii="宋体" w:hAnsi="宋体" w:cs="宋体" w:eastAsia="宋体" w:hint="default"/>
                <w:sz w:val="15"/>
                <w:szCs w:val="15"/>
              </w:rPr>
              <w:t>0.197</w:t>
            </w:r>
            <w:r>
              <w:rPr>
                <w:rFonts w:ascii="宋体" w:hAnsi="宋体" w:cs="宋体" w:eastAsia="宋体" w:hint="default"/>
                <w:spacing w:val="2"/>
                <w:sz w:val="15"/>
                <w:szCs w:val="15"/>
              </w:rPr>
              <w:t> </w:t>
            </w:r>
            <w:r>
              <w:rPr>
                <w:rFonts w:ascii="宋体" w:hAnsi="宋体" w:cs="宋体" w:eastAsia="宋体" w:hint="default"/>
                <w:sz w:val="15"/>
                <w:szCs w:val="15"/>
              </w:rPr>
              <w:t>毫克</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立方米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GB16297-1</w:t>
            </w:r>
          </w:p>
          <w:p>
            <w:pPr>
              <w:pStyle w:val="TableParagraph"/>
              <w:tabs>
                <w:tab w:pos="686" w:val="left" w:leader="none"/>
              </w:tabs>
              <w:spacing w:line="240" w:lineRule="auto"/>
              <w:ind w:left="103" w:right="98"/>
              <w:jc w:val="left"/>
              <w:rPr>
                <w:rFonts w:ascii="宋体" w:hAnsi="宋体" w:cs="宋体" w:eastAsia="宋体" w:hint="default"/>
                <w:sz w:val="15"/>
                <w:szCs w:val="15"/>
              </w:rPr>
            </w:pPr>
            <w:r>
              <w:rPr>
                <w:rFonts w:ascii="宋体" w:hAnsi="宋体" w:cs="宋体" w:eastAsia="宋体" w:hint="default"/>
                <w:spacing w:val="-1"/>
                <w:sz w:val="15"/>
                <w:szCs w:val="15"/>
              </w:rPr>
              <w:t>996</w:t>
              <w:tab/>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HJ/T38-19</w:t>
            </w:r>
            <w:r>
              <w:rPr>
                <w:rFonts w:ascii="宋体" w:hAnsi="宋体" w:cs="宋体" w:eastAsia="宋体" w:hint="default"/>
                <w:spacing w:val="-2"/>
                <w:w w:val="100"/>
                <w:sz w:val="15"/>
                <w:szCs w:val="15"/>
              </w:rPr>
              <w:t> </w:t>
            </w:r>
            <w:r>
              <w:rPr>
                <w:rFonts w:ascii="宋体" w:hAnsi="宋体" w:cs="宋体" w:eastAsia="宋体" w:hint="default"/>
                <w:sz w:val="15"/>
                <w:szCs w:val="15"/>
              </w:rPr>
              <w:t>99</w:t>
            </w:r>
          </w:p>
          <w:p>
            <w:pPr>
              <w:pStyle w:val="TableParagraph"/>
              <w:spacing w:line="193" w:lineRule="exact"/>
              <w:ind w:left="103" w:right="0"/>
              <w:jc w:val="left"/>
              <w:rPr>
                <w:rFonts w:ascii="宋体" w:hAnsi="宋体" w:cs="宋体" w:eastAsia="宋体" w:hint="default"/>
                <w:sz w:val="15"/>
                <w:szCs w:val="15"/>
              </w:rPr>
            </w:pPr>
            <w:r>
              <w:rPr>
                <w:rFonts w:ascii="宋体"/>
                <w:sz w:val="15"/>
              </w:rPr>
              <w:t>DB51/2377</w:t>
            </w:r>
          </w:p>
          <w:p>
            <w:pPr>
              <w:pStyle w:val="TableParagraph"/>
              <w:spacing w:line="195" w:lineRule="exact"/>
              <w:ind w:left="103" w:right="0"/>
              <w:jc w:val="left"/>
              <w:rPr>
                <w:rFonts w:ascii="宋体" w:hAnsi="宋体" w:cs="宋体" w:eastAsia="宋体" w:hint="default"/>
                <w:sz w:val="15"/>
                <w:szCs w:val="15"/>
              </w:rPr>
            </w:pPr>
            <w:r>
              <w:rPr>
                <w:rFonts w:ascii="宋体"/>
                <w:sz w:val="15"/>
              </w:rPr>
              <w:t>-2017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非</w:t>
            </w:r>
            <w:r>
              <w:rPr>
                <w:rFonts w:ascii="宋体" w:hAnsi="宋体" w:cs="宋体" w:eastAsia="宋体" w:hint="default"/>
                <w:spacing w:val="-19"/>
                <w:sz w:val="15"/>
                <w:szCs w:val="15"/>
              </w:rPr>
              <w:t> </w:t>
            </w:r>
            <w:r>
              <w:rPr>
                <w:rFonts w:ascii="宋体" w:hAnsi="宋体" w:cs="宋体" w:eastAsia="宋体" w:hint="default"/>
                <w:sz w:val="15"/>
                <w:szCs w:val="15"/>
              </w:rPr>
              <w:t>甲</w:t>
            </w:r>
            <w:r>
              <w:rPr>
                <w:rFonts w:ascii="宋体" w:hAnsi="宋体" w:cs="宋体" w:eastAsia="宋体" w:hint="default"/>
                <w:spacing w:val="-22"/>
                <w:sz w:val="15"/>
                <w:szCs w:val="15"/>
              </w:rPr>
              <w:t> </w:t>
            </w:r>
            <w:r>
              <w:rPr>
                <w:rFonts w:ascii="宋体" w:hAnsi="宋体" w:cs="宋体" w:eastAsia="宋体" w:hint="default"/>
                <w:sz w:val="15"/>
                <w:szCs w:val="15"/>
              </w:rPr>
              <w:t>烷</w:t>
            </w:r>
            <w:r>
              <w:rPr>
                <w:rFonts w:ascii="宋体" w:hAnsi="宋体" w:cs="宋体" w:eastAsia="宋体" w:hint="default"/>
                <w:spacing w:val="-22"/>
                <w:sz w:val="15"/>
                <w:szCs w:val="15"/>
              </w:rPr>
              <w:t> </w:t>
            </w:r>
            <w:r>
              <w:rPr>
                <w:rFonts w:ascii="宋体" w:hAnsi="宋体" w:cs="宋体" w:eastAsia="宋体" w:hint="default"/>
                <w:sz w:val="15"/>
                <w:szCs w:val="15"/>
              </w:rPr>
              <w:t>总</w:t>
            </w:r>
            <w:r>
              <w:rPr>
                <w:rFonts w:ascii="宋体" w:hAnsi="宋体" w:cs="宋体" w:eastAsia="宋体" w:hint="default"/>
                <w:spacing w:val="-19"/>
                <w:sz w:val="15"/>
                <w:szCs w:val="15"/>
              </w:rPr>
              <w:t> </w:t>
            </w:r>
            <w:r>
              <w:rPr>
                <w:rFonts w:ascii="宋体" w:hAnsi="宋体" w:cs="宋体" w:eastAsia="宋体" w:hint="default"/>
                <w:sz w:val="15"/>
                <w:szCs w:val="15"/>
              </w:rPr>
              <w:t>烃</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20.82</w:t>
            </w:r>
            <w:r>
              <w:rPr>
                <w:rFonts w:ascii="宋体" w:hAnsi="宋体" w:cs="宋体" w:eastAsia="宋体" w:hint="default"/>
                <w:spacing w:val="-38"/>
                <w:sz w:val="15"/>
                <w:szCs w:val="15"/>
              </w:rPr>
              <w:t> </w:t>
            </w:r>
            <w:r>
              <w:rPr>
                <w:rFonts w:ascii="宋体" w:hAnsi="宋体" w:cs="宋体" w:eastAsia="宋体" w:hint="default"/>
                <w:sz w:val="15"/>
                <w:szCs w:val="15"/>
              </w:rPr>
              <w:t>千克</w:t>
            </w:r>
            <w:r>
              <w:rPr>
                <w:rFonts w:ascii="宋体" w:hAnsi="宋体" w:cs="宋体" w:eastAsia="宋体" w:hint="default"/>
                <w:sz w:val="15"/>
                <w:szCs w:val="15"/>
              </w:rPr>
              <w:t>/</w:t>
            </w:r>
            <w:r>
              <w:rPr>
                <w:rFonts w:ascii="宋体" w:hAnsi="宋体" w:cs="宋体" w:eastAsia="宋体" w:hint="default"/>
                <w:sz w:val="15"/>
                <w:szCs w:val="15"/>
              </w:rPr>
              <w:t>年</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甲苯</w:t>
            </w:r>
            <w:r>
              <w:rPr>
                <w:rFonts w:ascii="宋体" w:hAnsi="宋体" w:cs="宋体" w:eastAsia="宋体" w:hint="default"/>
                <w:spacing w:val="-40"/>
                <w:sz w:val="15"/>
                <w:szCs w:val="15"/>
              </w:rPr>
              <w:t> </w:t>
            </w:r>
            <w:r>
              <w:rPr>
                <w:rFonts w:ascii="宋体" w:hAnsi="宋体" w:cs="宋体" w:eastAsia="宋体" w:hint="default"/>
                <w:sz w:val="15"/>
                <w:szCs w:val="15"/>
              </w:rPr>
              <w:t>0.11</w:t>
            </w:r>
            <w:r>
              <w:rPr>
                <w:rFonts w:ascii="宋体" w:hAnsi="宋体" w:cs="宋体" w:eastAsia="宋体" w:hint="default"/>
                <w:spacing w:val="-41"/>
                <w:sz w:val="15"/>
                <w:szCs w:val="15"/>
              </w:rPr>
              <w:t> </w:t>
            </w:r>
            <w:r>
              <w:rPr>
                <w:rFonts w:ascii="宋体" w:hAnsi="宋体" w:cs="宋体" w:eastAsia="宋体" w:hint="default"/>
                <w:sz w:val="15"/>
                <w:szCs w:val="15"/>
              </w:rPr>
              <w:t>千克</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年</w:t>
            </w:r>
          </w:p>
          <w:p>
            <w:pPr>
              <w:pStyle w:val="TableParagraph"/>
              <w:spacing w:line="240" w:lineRule="auto"/>
              <w:ind w:left="103" w:right="206"/>
              <w:jc w:val="left"/>
              <w:rPr>
                <w:rFonts w:ascii="宋体" w:hAnsi="宋体" w:cs="宋体" w:eastAsia="宋体" w:hint="default"/>
                <w:sz w:val="15"/>
                <w:szCs w:val="15"/>
              </w:rPr>
            </w:pPr>
            <w:r>
              <w:rPr>
                <w:rFonts w:ascii="宋体" w:hAnsi="宋体" w:cs="宋体" w:eastAsia="宋体" w:hint="default"/>
                <w:sz w:val="15"/>
                <w:szCs w:val="15"/>
              </w:rPr>
              <w:t>，二甲苯</w:t>
            </w:r>
            <w:r>
              <w:rPr>
                <w:rFonts w:ascii="宋体" w:hAnsi="宋体" w:cs="宋体" w:eastAsia="宋体" w:hint="default"/>
                <w:w w:val="100"/>
                <w:sz w:val="15"/>
                <w:szCs w:val="15"/>
              </w:rPr>
              <w:t> </w:t>
            </w:r>
            <w:r>
              <w:rPr>
                <w:rFonts w:ascii="宋体" w:hAnsi="宋体" w:cs="宋体" w:eastAsia="宋体" w:hint="default"/>
                <w:sz w:val="15"/>
                <w:szCs w:val="15"/>
              </w:rPr>
              <w:t>0.06</w:t>
            </w:r>
            <w:r>
              <w:rPr>
                <w:rFonts w:ascii="宋体" w:hAnsi="宋体" w:cs="宋体" w:eastAsia="宋体" w:hint="default"/>
                <w:spacing w:val="-40"/>
                <w:sz w:val="15"/>
                <w:szCs w:val="15"/>
              </w:rPr>
              <w:t> </w:t>
            </w:r>
            <w:r>
              <w:rPr>
                <w:rFonts w:ascii="宋体" w:hAnsi="宋体" w:cs="宋体" w:eastAsia="宋体" w:hint="default"/>
                <w:sz w:val="15"/>
                <w:szCs w:val="15"/>
              </w:rPr>
              <w:t>千克</w:t>
            </w:r>
            <w:r>
              <w:rPr>
                <w:rFonts w:ascii="宋体" w:hAnsi="宋体" w:cs="宋体" w:eastAsia="宋体" w:hint="default"/>
                <w:sz w:val="15"/>
                <w:szCs w:val="15"/>
              </w:rPr>
              <w:t>/</w:t>
            </w:r>
            <w:r>
              <w:rPr>
                <w:rFonts w:ascii="宋体" w:hAnsi="宋体" w:cs="宋体" w:eastAsia="宋体" w:hint="default"/>
                <w:sz w:val="15"/>
                <w:szCs w:val="15"/>
              </w:rPr>
              <w:t>年</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非甲烷总烃 </w:t>
            </w:r>
            <w:r>
              <w:rPr>
                <w:rFonts w:ascii="宋体" w:hAnsi="宋体" w:cs="宋体" w:eastAsia="宋体" w:hint="default"/>
                <w:sz w:val="15"/>
                <w:szCs w:val="15"/>
              </w:rPr>
              <w:t>61</w:t>
            </w:r>
            <w:r>
              <w:rPr>
                <w:rFonts w:ascii="宋体" w:hAnsi="宋体" w:cs="宋体" w:eastAsia="宋体" w:hint="default"/>
                <w:spacing w:val="20"/>
                <w:sz w:val="15"/>
                <w:szCs w:val="15"/>
              </w:rPr>
              <w:t> </w:t>
            </w:r>
            <w:r>
              <w:rPr>
                <w:rFonts w:ascii="宋体" w:hAnsi="宋体" w:cs="宋体" w:eastAsia="宋体" w:hint="default"/>
                <w:sz w:val="15"/>
                <w:szCs w:val="15"/>
              </w:rPr>
              <w:t>吨</w:t>
            </w:r>
            <w:r>
              <w:rPr>
                <w:rFonts w:ascii="宋体" w:hAnsi="宋体" w:cs="宋体" w:eastAsia="宋体" w:hint="default"/>
                <w:sz w:val="15"/>
                <w:szCs w:val="15"/>
              </w:rPr>
              <w:t>/</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年</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苯</w:t>
            </w:r>
            <w:r>
              <w:rPr>
                <w:rFonts w:ascii="宋体" w:hAnsi="宋体" w:cs="宋体" w:eastAsia="宋体" w:hint="default"/>
                <w:spacing w:val="-41"/>
                <w:sz w:val="15"/>
                <w:szCs w:val="15"/>
              </w:rPr>
              <w:t> </w:t>
            </w:r>
            <w:r>
              <w:rPr>
                <w:rFonts w:ascii="宋体" w:hAnsi="宋体" w:cs="宋体" w:eastAsia="宋体" w:hint="default"/>
                <w:sz w:val="15"/>
                <w:szCs w:val="15"/>
              </w:rPr>
              <w:t>326.48</w:t>
            </w:r>
            <w:r>
              <w:rPr>
                <w:rFonts w:ascii="宋体" w:hAnsi="宋体" w:cs="宋体" w:eastAsia="宋体" w:hint="default"/>
                <w:spacing w:val="-37"/>
                <w:sz w:val="15"/>
                <w:szCs w:val="15"/>
              </w:rPr>
              <w:t> </w:t>
            </w:r>
            <w:r>
              <w:rPr>
                <w:rFonts w:ascii="宋体" w:hAnsi="宋体" w:cs="宋体" w:eastAsia="宋体" w:hint="default"/>
                <w:sz w:val="15"/>
                <w:szCs w:val="15"/>
              </w:rPr>
              <w:t>千克</w:t>
            </w:r>
            <w:r>
              <w:rPr>
                <w:rFonts w:ascii="宋体" w:hAnsi="宋体" w:cs="宋体" w:eastAsia="宋体" w:hint="default"/>
                <w:sz w:val="15"/>
                <w:szCs w:val="15"/>
              </w:rPr>
              <w:t>/</w:t>
            </w:r>
            <w:r>
              <w:rPr>
                <w:rFonts w:ascii="宋体" w:hAnsi="宋体" w:cs="宋体" w:eastAsia="宋体" w:hint="default"/>
                <w:sz w:val="15"/>
                <w:szCs w:val="15"/>
              </w:rPr>
              <w:t>年</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甲苯</w:t>
            </w:r>
            <w:r>
              <w:rPr>
                <w:rFonts w:ascii="宋体" w:hAnsi="宋体" w:cs="宋体" w:eastAsia="宋体" w:hint="default"/>
                <w:spacing w:val="-40"/>
                <w:sz w:val="15"/>
                <w:szCs w:val="15"/>
              </w:rPr>
              <w:t> </w:t>
            </w:r>
            <w:r>
              <w:rPr>
                <w:rFonts w:ascii="宋体" w:hAnsi="宋体" w:cs="宋体" w:eastAsia="宋体" w:hint="default"/>
                <w:sz w:val="15"/>
                <w:szCs w:val="15"/>
              </w:rPr>
              <w:t>1100</w:t>
            </w:r>
            <w:r>
              <w:rPr>
                <w:rFonts w:ascii="宋体" w:hAnsi="宋体" w:cs="宋体" w:eastAsia="宋体" w:hint="default"/>
                <w:spacing w:val="-37"/>
                <w:sz w:val="15"/>
                <w:szCs w:val="15"/>
              </w:rPr>
              <w:t> </w:t>
            </w:r>
            <w:r>
              <w:rPr>
                <w:rFonts w:ascii="宋体" w:hAnsi="宋体" w:cs="宋体" w:eastAsia="宋体" w:hint="default"/>
                <w:sz w:val="15"/>
                <w:szCs w:val="15"/>
              </w:rPr>
              <w:t>千克</w:t>
            </w:r>
            <w:r>
              <w:rPr>
                <w:rFonts w:ascii="宋体" w:hAnsi="宋体" w:cs="宋体" w:eastAsia="宋体" w:hint="default"/>
                <w:sz w:val="15"/>
                <w:szCs w:val="15"/>
              </w:rPr>
              <w:t>/</w:t>
            </w:r>
            <w:r>
              <w:rPr>
                <w:rFonts w:ascii="宋体" w:hAnsi="宋体" w:cs="宋体" w:eastAsia="宋体" w:hint="default"/>
                <w:sz w:val="15"/>
                <w:szCs w:val="15"/>
              </w:rPr>
              <w:t>年</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，二甲苯</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1490.8</w:t>
            </w:r>
            <w:r>
              <w:rPr>
                <w:rFonts w:ascii="宋体" w:hAnsi="宋体" w:cs="宋体" w:eastAsia="宋体" w:hint="default"/>
                <w:spacing w:val="-40"/>
                <w:sz w:val="15"/>
                <w:szCs w:val="15"/>
              </w:rPr>
              <w:t> </w:t>
            </w:r>
            <w:r>
              <w:rPr>
                <w:rFonts w:ascii="宋体" w:hAnsi="宋体" w:cs="宋体" w:eastAsia="宋体" w:hint="default"/>
                <w:sz w:val="15"/>
                <w:szCs w:val="15"/>
              </w:rPr>
              <w:t>千克</w:t>
            </w:r>
            <w:r>
              <w:rPr>
                <w:rFonts w:ascii="宋体" w:hAnsi="宋体" w:cs="宋体" w:eastAsia="宋体" w:hint="default"/>
                <w:sz w:val="15"/>
                <w:szCs w:val="15"/>
              </w:rPr>
              <w:t>/</w:t>
            </w:r>
            <w:r>
              <w:rPr>
                <w:rFonts w:ascii="宋体" w:hAnsi="宋体" w:cs="宋体" w:eastAsia="宋体" w:hint="default"/>
                <w:sz w:val="15"/>
                <w:szCs w:val="15"/>
              </w:rPr>
              <w:t>年</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达标排放</w:t>
            </w:r>
          </w:p>
        </w:tc>
      </w:tr>
      <w:tr>
        <w:trPr>
          <w:trHeight w:val="790"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废</w:t>
            </w:r>
            <w:r>
              <w:rPr>
                <w:rFonts w:ascii="宋体" w:hAnsi="宋体" w:cs="宋体" w:eastAsia="宋体" w:hint="default"/>
                <w:spacing w:val="-43"/>
                <w:sz w:val="15"/>
                <w:szCs w:val="15"/>
              </w:rPr>
              <w:t> </w:t>
            </w:r>
            <w:r>
              <w:rPr>
                <w:rFonts w:ascii="宋体" w:hAnsi="宋体" w:cs="宋体" w:eastAsia="宋体" w:hint="default"/>
                <w:sz w:val="15"/>
                <w:szCs w:val="15"/>
              </w:rPr>
              <w:t>气</w:t>
            </w:r>
            <w:r>
              <w:rPr>
                <w:rFonts w:ascii="宋体" w:hAnsi="宋体" w:cs="宋体" w:eastAsia="宋体" w:hint="default"/>
                <w:spacing w:val="-43"/>
                <w:sz w:val="15"/>
                <w:szCs w:val="15"/>
              </w:rPr>
              <w:t> </w:t>
            </w:r>
            <w:r>
              <w:rPr>
                <w:rFonts w:ascii="宋体" w:hAnsi="宋体" w:cs="宋体" w:eastAsia="宋体" w:hint="default"/>
                <w:sz w:val="15"/>
                <w:szCs w:val="15"/>
              </w:rPr>
              <w:t>颗</w:t>
            </w:r>
            <w:r>
              <w:rPr>
                <w:rFonts w:ascii="宋体" w:hAnsi="宋体" w:cs="宋体" w:eastAsia="宋体" w:hint="default"/>
                <w:spacing w:val="-46"/>
                <w:sz w:val="15"/>
                <w:szCs w:val="15"/>
              </w:rPr>
              <w:t> </w:t>
            </w:r>
            <w:r>
              <w:rPr>
                <w:rFonts w:ascii="宋体" w:hAnsi="宋体" w:cs="宋体" w:eastAsia="宋体" w:hint="default"/>
                <w:sz w:val="15"/>
                <w:szCs w:val="15"/>
              </w:rPr>
              <w:t>粒</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有组织排气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筒排放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w w:val="100"/>
                <w:sz w:val="15"/>
              </w:rPr>
              <w:t>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50"/>
                <w:sz w:val="15"/>
                <w:szCs w:val="15"/>
              </w:rPr>
              <w:t> </w:t>
            </w:r>
            <w:r>
              <w:rPr>
                <w:rFonts w:ascii="宋体" w:hAnsi="宋体" w:cs="宋体" w:eastAsia="宋体" w:hint="default"/>
                <w:sz w:val="15"/>
                <w:szCs w:val="15"/>
              </w:rPr>
              <w:t>台</w:t>
            </w:r>
            <w:r>
              <w:rPr>
                <w:rFonts w:ascii="宋体" w:hAnsi="宋体" w:cs="宋体" w:eastAsia="宋体" w:hint="default"/>
                <w:spacing w:val="-50"/>
                <w:sz w:val="15"/>
                <w:szCs w:val="15"/>
              </w:rPr>
              <w:t> </w:t>
            </w:r>
            <w:r>
              <w:rPr>
                <w:rFonts w:ascii="宋体" w:hAnsi="宋体" w:cs="宋体" w:eastAsia="宋体" w:hint="default"/>
                <w:sz w:val="15"/>
                <w:szCs w:val="15"/>
              </w:rPr>
              <w:t>Donaldson</w:t>
            </w:r>
          </w:p>
          <w:p>
            <w:pPr>
              <w:pStyle w:val="TableParagraph"/>
              <w:spacing w:line="240" w:lineRule="auto"/>
              <w:ind w:left="103" w:right="158"/>
              <w:jc w:val="left"/>
              <w:rPr>
                <w:rFonts w:ascii="宋体" w:hAnsi="宋体" w:cs="宋体" w:eastAsia="宋体" w:hint="default"/>
                <w:sz w:val="15"/>
                <w:szCs w:val="15"/>
              </w:rPr>
            </w:pPr>
            <w:r>
              <w:rPr>
                <w:rFonts w:ascii="宋体" w:hAnsi="宋体" w:cs="宋体" w:eastAsia="宋体" w:hint="default"/>
                <w:sz w:val="15"/>
                <w:szCs w:val="15"/>
              </w:rPr>
              <w:t>除尘器</w:t>
            </w:r>
            <w:r>
              <w:rPr>
                <w:rFonts w:ascii="宋体" w:hAnsi="宋体" w:cs="宋体" w:eastAsia="宋体" w:hint="default"/>
                <w:spacing w:val="4"/>
                <w:sz w:val="15"/>
                <w:szCs w:val="15"/>
              </w:rPr>
              <w:t> </w:t>
            </w:r>
            <w:r>
              <w:rPr>
                <w:rFonts w:ascii="宋体" w:hAnsi="宋体" w:cs="宋体" w:eastAsia="宋体" w:hint="default"/>
                <w:spacing w:val="-3"/>
                <w:sz w:val="15"/>
                <w:szCs w:val="15"/>
              </w:rPr>
              <w:t>，联</w:t>
            </w:r>
            <w:r>
              <w:rPr>
                <w:rFonts w:ascii="宋体" w:hAnsi="宋体" w:cs="宋体" w:eastAsia="宋体" w:hint="default"/>
                <w:spacing w:val="-3"/>
                <w:w w:val="100"/>
                <w:sz w:val="15"/>
                <w:szCs w:val="15"/>
              </w:rPr>
              <w:t> </w:t>
            </w:r>
            <w:r>
              <w:rPr>
                <w:rFonts w:ascii="宋体" w:hAnsi="宋体" w:cs="宋体" w:eastAsia="宋体" w:hint="default"/>
                <w:sz w:val="15"/>
                <w:szCs w:val="15"/>
              </w:rPr>
              <w:t>合车间屋面</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颗粒物</w:t>
            </w:r>
          </w:p>
          <w:p>
            <w:pPr>
              <w:pStyle w:val="TableParagraph"/>
              <w:spacing w:line="240" w:lineRule="auto"/>
              <w:ind w:left="103" w:right="79"/>
              <w:jc w:val="left"/>
              <w:rPr>
                <w:rFonts w:ascii="宋体" w:hAnsi="宋体" w:cs="宋体" w:eastAsia="宋体" w:hint="default"/>
                <w:sz w:val="15"/>
                <w:szCs w:val="15"/>
              </w:rPr>
            </w:pPr>
            <w:r>
              <w:rPr>
                <w:rFonts w:ascii="宋体" w:hAnsi="宋体" w:cs="宋体" w:eastAsia="宋体" w:hint="default"/>
                <w:sz w:val="15"/>
                <w:szCs w:val="15"/>
              </w:rPr>
              <w:t>8.8</w:t>
            </w:r>
            <w:r>
              <w:rPr>
                <w:rFonts w:ascii="宋体" w:hAnsi="宋体" w:cs="宋体" w:eastAsia="宋体" w:hint="default"/>
                <w:spacing w:val="22"/>
                <w:sz w:val="15"/>
                <w:szCs w:val="15"/>
              </w:rPr>
              <w:t> </w:t>
            </w:r>
            <w:r>
              <w:rPr>
                <w:rFonts w:ascii="宋体" w:hAnsi="宋体" w:cs="宋体" w:eastAsia="宋体" w:hint="default"/>
                <w:spacing w:val="8"/>
                <w:sz w:val="15"/>
                <w:szCs w:val="15"/>
              </w:rPr>
              <w:t>毫克</w:t>
            </w:r>
            <w:r>
              <w:rPr>
                <w:rFonts w:ascii="宋体" w:hAnsi="宋体" w:cs="宋体" w:eastAsia="宋体" w:hint="default"/>
                <w:spacing w:val="8"/>
                <w:sz w:val="15"/>
                <w:szCs w:val="15"/>
              </w:rPr>
              <w:t>/</w:t>
            </w:r>
            <w:r>
              <w:rPr>
                <w:rFonts w:ascii="宋体" w:hAnsi="宋体" w:cs="宋体" w:eastAsia="宋体" w:hint="default"/>
                <w:spacing w:val="-59"/>
                <w:sz w:val="15"/>
                <w:szCs w:val="15"/>
              </w:rPr>
              <w:t> </w:t>
            </w:r>
            <w:r>
              <w:rPr>
                <w:rFonts w:ascii="宋体" w:hAnsi="宋体" w:cs="宋体" w:eastAsia="宋体" w:hint="default"/>
                <w:spacing w:val="7"/>
                <w:sz w:val="15"/>
                <w:szCs w:val="15"/>
              </w:rPr>
              <w:t>立方</w:t>
            </w:r>
            <w:r>
              <w:rPr>
                <w:rFonts w:ascii="宋体" w:hAnsi="宋体" w:cs="宋体" w:eastAsia="宋体" w:hint="default"/>
                <w:spacing w:val="-73"/>
                <w:sz w:val="15"/>
                <w:szCs w:val="15"/>
              </w:rPr>
              <w:t> </w:t>
            </w:r>
            <w:r>
              <w:rPr>
                <w:rFonts w:ascii="宋体" w:hAnsi="宋体" w:cs="宋体" w:eastAsia="宋体" w:hint="default"/>
                <w:sz w:val="15"/>
                <w:szCs w:val="15"/>
              </w:rPr>
              <w:t>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sz w:val="15"/>
              </w:rPr>
              <w:t>GB16297-1</w:t>
            </w:r>
          </w:p>
          <w:p>
            <w:pPr>
              <w:pStyle w:val="TableParagraph"/>
              <w:tabs>
                <w:tab w:pos="686" w:val="left" w:leader="none"/>
              </w:tabs>
              <w:spacing w:line="240" w:lineRule="auto"/>
              <w:ind w:left="103" w:right="98"/>
              <w:jc w:val="left"/>
              <w:rPr>
                <w:rFonts w:ascii="宋体" w:hAnsi="宋体" w:cs="宋体" w:eastAsia="宋体" w:hint="default"/>
                <w:sz w:val="15"/>
                <w:szCs w:val="15"/>
              </w:rPr>
            </w:pPr>
            <w:r>
              <w:rPr>
                <w:rFonts w:ascii="宋体" w:hAnsi="宋体" w:cs="宋体" w:eastAsia="宋体" w:hint="default"/>
                <w:spacing w:val="-1"/>
                <w:sz w:val="15"/>
                <w:szCs w:val="15"/>
              </w:rPr>
              <w:t>996</w:t>
              <w:tab/>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HJ/T397-2</w:t>
            </w:r>
            <w:r>
              <w:rPr>
                <w:rFonts w:ascii="宋体" w:hAnsi="宋体" w:cs="宋体" w:eastAsia="宋体" w:hint="default"/>
                <w:w w:val="100"/>
                <w:sz w:val="15"/>
                <w:szCs w:val="15"/>
              </w:rPr>
              <w:t> </w:t>
            </w:r>
            <w:r>
              <w:rPr>
                <w:rFonts w:ascii="宋体" w:hAnsi="宋体" w:cs="宋体" w:eastAsia="宋体" w:hint="default"/>
                <w:sz w:val="15"/>
                <w:szCs w:val="15"/>
              </w:rPr>
              <w:t>007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颗粒物</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1305</w:t>
            </w:r>
            <w:r>
              <w:rPr>
                <w:rFonts w:ascii="宋体" w:hAnsi="宋体" w:cs="宋体" w:eastAsia="宋体" w:hint="default"/>
                <w:spacing w:val="-40"/>
                <w:sz w:val="15"/>
                <w:szCs w:val="15"/>
              </w:rPr>
              <w:t> </w:t>
            </w:r>
            <w:r>
              <w:rPr>
                <w:rFonts w:ascii="宋体" w:hAnsi="宋体" w:cs="宋体" w:eastAsia="宋体" w:hint="default"/>
                <w:sz w:val="15"/>
                <w:szCs w:val="15"/>
              </w:rPr>
              <w:t>千克</w:t>
            </w:r>
            <w:r>
              <w:rPr>
                <w:rFonts w:ascii="宋体" w:hAnsi="宋体" w:cs="宋体" w:eastAsia="宋体" w:hint="default"/>
                <w:sz w:val="15"/>
                <w:szCs w:val="15"/>
              </w:rPr>
              <w:t>/</w:t>
            </w:r>
            <w:r>
              <w:rPr>
                <w:rFonts w:ascii="宋体" w:hAnsi="宋体" w:cs="宋体" w:eastAsia="宋体" w:hint="default"/>
                <w:sz w:val="15"/>
                <w:szCs w:val="15"/>
              </w:rPr>
              <w:t>年</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颗粒物</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12.2</w:t>
            </w:r>
            <w:r>
              <w:rPr>
                <w:rFonts w:ascii="宋体" w:hAnsi="宋体" w:cs="宋体" w:eastAsia="宋体" w:hint="default"/>
                <w:spacing w:val="-38"/>
                <w:sz w:val="15"/>
                <w:szCs w:val="15"/>
              </w:rPr>
              <w:t> </w:t>
            </w:r>
            <w:r>
              <w:rPr>
                <w:rFonts w:ascii="宋体" w:hAnsi="宋体" w:cs="宋体" w:eastAsia="宋体" w:hint="default"/>
                <w:sz w:val="15"/>
                <w:szCs w:val="15"/>
              </w:rPr>
              <w:t>吨</w:t>
            </w:r>
            <w:r>
              <w:rPr>
                <w:rFonts w:ascii="宋体" w:hAnsi="宋体" w:cs="宋体" w:eastAsia="宋体" w:hint="default"/>
                <w:sz w:val="15"/>
                <w:szCs w:val="15"/>
              </w:rPr>
              <w:t>/</w:t>
            </w:r>
            <w:r>
              <w:rPr>
                <w:rFonts w:ascii="宋体" w:hAnsi="宋体" w:cs="宋体" w:eastAsia="宋体" w:hint="default"/>
                <w:sz w:val="15"/>
                <w:szCs w:val="15"/>
              </w:rPr>
              <w:t>年</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达标排放</w:t>
            </w:r>
          </w:p>
        </w:tc>
      </w:tr>
      <w:tr>
        <w:trPr>
          <w:trHeight w:val="20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油烟废气</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有组织排气</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w w:val="100"/>
                <w:sz w:val="15"/>
              </w:rPr>
              <w:t>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JYJ</w:t>
            </w:r>
            <w:r>
              <w:rPr>
                <w:rFonts w:ascii="宋体" w:hAnsi="宋体" w:cs="宋体" w:eastAsia="宋体" w:hint="default"/>
                <w:spacing w:val="22"/>
                <w:sz w:val="15"/>
                <w:szCs w:val="15"/>
              </w:rPr>
              <w:t> </w:t>
            </w:r>
            <w:r>
              <w:rPr>
                <w:rFonts w:ascii="宋体" w:hAnsi="宋体" w:cs="宋体" w:eastAsia="宋体" w:hint="default"/>
                <w:spacing w:val="8"/>
                <w:sz w:val="15"/>
                <w:szCs w:val="15"/>
              </w:rPr>
              <w:t>型油烟净</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油烟</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GB18483-2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油烟</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油烟</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达标排放</w:t>
            </w:r>
          </w:p>
        </w:tc>
      </w:tr>
    </w:tbl>
    <w:p>
      <w:pPr>
        <w:spacing w:after="0" w:line="172" w:lineRule="exact"/>
        <w:jc w:val="left"/>
        <w:rPr>
          <w:rFonts w:ascii="宋体" w:hAnsi="宋体" w:cs="宋体" w:eastAsia="宋体" w:hint="default"/>
          <w:sz w:val="15"/>
          <w:szCs w:val="15"/>
        </w:rPr>
        <w:sectPr>
          <w:pgSz w:w="11910" w:h="16840"/>
          <w:pgMar w:header="0" w:footer="1195" w:top="1060" w:bottom="1380" w:left="9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912"/>
        <w:gridCol w:w="982"/>
        <w:gridCol w:w="622"/>
        <w:gridCol w:w="1174"/>
        <w:gridCol w:w="1270"/>
        <w:gridCol w:w="948"/>
        <w:gridCol w:w="1186"/>
        <w:gridCol w:w="1513"/>
        <w:gridCol w:w="946"/>
      </w:tblGrid>
      <w:tr>
        <w:trPr>
          <w:trHeight w:val="398" w:hRule="exact"/>
        </w:trPr>
        <w:tc>
          <w:tcPr>
            <w:tcW w:w="912"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筒排放</w:t>
            </w:r>
          </w:p>
        </w:tc>
        <w:tc>
          <w:tcPr>
            <w:tcW w:w="62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2"/>
                <w:sz w:val="15"/>
                <w:szCs w:val="15"/>
              </w:rPr>
              <w:t>化器  </w:t>
            </w:r>
            <w:r>
              <w:rPr>
                <w:rFonts w:ascii="宋体" w:hAnsi="宋体" w:cs="宋体" w:eastAsia="宋体" w:hint="default"/>
                <w:sz w:val="15"/>
                <w:szCs w:val="15"/>
              </w:rPr>
              <w:t>,</w:t>
            </w:r>
            <w:r>
              <w:rPr>
                <w:rFonts w:ascii="宋体" w:hAnsi="宋体" w:cs="宋体" w:eastAsia="宋体" w:hint="default"/>
                <w:spacing w:val="-14"/>
                <w:sz w:val="15"/>
                <w:szCs w:val="15"/>
              </w:rPr>
              <w:t> </w:t>
            </w:r>
            <w:r>
              <w:rPr>
                <w:rFonts w:ascii="宋体" w:hAnsi="宋体" w:cs="宋体" w:eastAsia="宋体" w:hint="default"/>
                <w:spacing w:val="11"/>
                <w:sz w:val="15"/>
                <w:szCs w:val="15"/>
              </w:rPr>
              <w:t>食堂</w:t>
            </w:r>
            <w:r>
              <w:rPr>
                <w:rFonts w:ascii="宋体" w:hAnsi="宋体" w:cs="宋体" w:eastAsia="宋体" w:hint="default"/>
                <w:spacing w:val="-51"/>
                <w:sz w:val="15"/>
                <w:szCs w:val="15"/>
              </w:rPr>
              <w:t> </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楼顶</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0.68</w:t>
            </w:r>
            <w:r>
              <w:rPr>
                <w:rFonts w:ascii="宋体" w:hAnsi="宋体" w:cs="宋体" w:eastAsia="宋体" w:hint="default"/>
                <w:spacing w:val="5"/>
                <w:sz w:val="15"/>
                <w:szCs w:val="15"/>
              </w:rPr>
              <w:t> </w:t>
            </w:r>
            <w:r>
              <w:rPr>
                <w:rFonts w:ascii="宋体" w:hAnsi="宋体" w:cs="宋体" w:eastAsia="宋体" w:hint="default"/>
                <w:sz w:val="15"/>
                <w:szCs w:val="15"/>
              </w:rPr>
              <w:t>毫克</w:t>
            </w:r>
            <w:r>
              <w:rPr>
                <w:rFonts w:ascii="宋体" w:hAnsi="宋体" w:cs="宋体" w:eastAsia="宋体" w:hint="default"/>
                <w:sz w:val="15"/>
                <w:szCs w:val="15"/>
              </w:rPr>
              <w:t>/</w:t>
            </w:r>
            <w:r>
              <w:rPr>
                <w:rFonts w:ascii="宋体" w:hAnsi="宋体" w:cs="宋体" w:eastAsia="宋体" w:hint="default"/>
                <w:sz w:val="15"/>
                <w:szCs w:val="15"/>
              </w:rPr>
              <w:t>立方</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001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4.83</w:t>
            </w:r>
            <w:r>
              <w:rPr>
                <w:rFonts w:ascii="宋体" w:hAnsi="宋体" w:cs="宋体" w:eastAsia="宋体" w:hint="default"/>
                <w:spacing w:val="-40"/>
                <w:sz w:val="15"/>
                <w:szCs w:val="15"/>
              </w:rPr>
              <w:t> </w:t>
            </w:r>
            <w:r>
              <w:rPr>
                <w:rFonts w:ascii="宋体" w:hAnsi="宋体" w:cs="宋体" w:eastAsia="宋体" w:hint="default"/>
                <w:sz w:val="15"/>
                <w:szCs w:val="15"/>
              </w:rPr>
              <w:t>千克</w:t>
            </w:r>
            <w:r>
              <w:rPr>
                <w:rFonts w:ascii="宋体" w:hAnsi="宋体" w:cs="宋体" w:eastAsia="宋体" w:hint="default"/>
                <w:sz w:val="15"/>
                <w:szCs w:val="15"/>
              </w:rPr>
              <w:t>/</w:t>
            </w:r>
            <w:r>
              <w:rPr>
                <w:rFonts w:ascii="宋体" w:hAnsi="宋体" w:cs="宋体" w:eastAsia="宋体" w:hint="default"/>
                <w:sz w:val="15"/>
                <w:szCs w:val="15"/>
              </w:rPr>
              <w:t>年</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5.4</w:t>
            </w:r>
            <w:r>
              <w:rPr>
                <w:rFonts w:ascii="宋体" w:hAnsi="宋体" w:cs="宋体" w:eastAsia="宋体" w:hint="default"/>
                <w:spacing w:val="-37"/>
                <w:sz w:val="15"/>
                <w:szCs w:val="15"/>
              </w:rPr>
              <w:t> </w:t>
            </w:r>
            <w:r>
              <w:rPr>
                <w:rFonts w:ascii="宋体" w:hAnsi="宋体" w:cs="宋体" w:eastAsia="宋体" w:hint="default"/>
                <w:sz w:val="15"/>
                <w:szCs w:val="15"/>
              </w:rPr>
              <w:t>吨</w:t>
            </w:r>
            <w:r>
              <w:rPr>
                <w:rFonts w:ascii="宋体" w:hAnsi="宋体" w:cs="宋体" w:eastAsia="宋体" w:hint="default"/>
                <w:sz w:val="15"/>
                <w:szCs w:val="15"/>
              </w:rPr>
              <w:t>/</w:t>
            </w:r>
            <w:r>
              <w:rPr>
                <w:rFonts w:ascii="宋体" w:hAnsi="宋体" w:cs="宋体" w:eastAsia="宋体" w:hint="default"/>
                <w:sz w:val="15"/>
                <w:szCs w:val="15"/>
              </w:rPr>
              <w:t>年</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345"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天</w:t>
            </w:r>
            <w:r>
              <w:rPr>
                <w:rFonts w:ascii="宋体" w:hAnsi="宋体" w:cs="宋体" w:eastAsia="宋体" w:hint="default"/>
                <w:spacing w:val="-43"/>
                <w:sz w:val="15"/>
                <w:szCs w:val="15"/>
              </w:rPr>
              <w:t> </w:t>
            </w:r>
            <w:r>
              <w:rPr>
                <w:rFonts w:ascii="宋体" w:hAnsi="宋体" w:cs="宋体" w:eastAsia="宋体" w:hint="default"/>
                <w:sz w:val="15"/>
                <w:szCs w:val="15"/>
              </w:rPr>
              <w:t>然</w:t>
            </w:r>
            <w:r>
              <w:rPr>
                <w:rFonts w:ascii="宋体" w:hAnsi="宋体" w:cs="宋体" w:eastAsia="宋体" w:hint="default"/>
                <w:spacing w:val="-43"/>
                <w:sz w:val="15"/>
                <w:szCs w:val="15"/>
              </w:rPr>
              <w:t> </w:t>
            </w:r>
            <w:r>
              <w:rPr>
                <w:rFonts w:ascii="宋体" w:hAnsi="宋体" w:cs="宋体" w:eastAsia="宋体" w:hint="default"/>
                <w:sz w:val="15"/>
                <w:szCs w:val="15"/>
              </w:rPr>
              <w:t>气</w:t>
            </w:r>
            <w:r>
              <w:rPr>
                <w:rFonts w:ascii="宋体" w:hAnsi="宋体" w:cs="宋体" w:eastAsia="宋体" w:hint="default"/>
                <w:spacing w:val="-46"/>
                <w:sz w:val="15"/>
                <w:szCs w:val="15"/>
              </w:rPr>
              <w:t> </w:t>
            </w:r>
            <w:r>
              <w:rPr>
                <w:rFonts w:ascii="宋体" w:hAnsi="宋体" w:cs="宋体" w:eastAsia="宋体" w:hint="default"/>
                <w:sz w:val="15"/>
                <w:szCs w:val="15"/>
              </w:rPr>
              <w:t>废</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气</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有组织排气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筒排放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w w:val="100"/>
                <w:sz w:val="15"/>
              </w:rPr>
              <w:t>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pacing w:val="7"/>
                <w:sz w:val="15"/>
                <w:szCs w:val="15"/>
              </w:rPr>
              <w:t>分布在商轮车</w:t>
            </w:r>
          </w:p>
          <w:p>
            <w:pPr>
              <w:pStyle w:val="TableParagraph"/>
              <w:spacing w:line="240" w:lineRule="auto"/>
              <w:ind w:left="103" w:right="102"/>
              <w:jc w:val="both"/>
              <w:rPr>
                <w:rFonts w:ascii="宋体" w:hAnsi="宋体" w:cs="宋体" w:eastAsia="宋体" w:hint="default"/>
                <w:sz w:val="15"/>
                <w:szCs w:val="15"/>
              </w:rPr>
            </w:pPr>
            <w:r>
              <w:rPr>
                <w:rFonts w:ascii="宋体" w:hAnsi="宋体" w:cs="宋体" w:eastAsia="宋体" w:hint="default"/>
                <w:spacing w:val="7"/>
                <w:sz w:val="15"/>
                <w:szCs w:val="15"/>
              </w:rPr>
              <w:t>间屋面，排气</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筒高度</w:t>
            </w:r>
            <w:r>
              <w:rPr>
                <w:rFonts w:ascii="宋体" w:hAnsi="宋体" w:cs="宋体" w:eastAsia="宋体" w:hint="default"/>
                <w:spacing w:val="-48"/>
                <w:sz w:val="15"/>
                <w:szCs w:val="15"/>
              </w:rPr>
              <w:t> </w:t>
            </w:r>
            <w:r>
              <w:rPr>
                <w:rFonts w:ascii="宋体" w:hAnsi="宋体" w:cs="宋体" w:eastAsia="宋体" w:hint="default"/>
                <w:sz w:val="15"/>
                <w:szCs w:val="15"/>
              </w:rPr>
              <w:t>15</w:t>
            </w:r>
            <w:r>
              <w:rPr>
                <w:rFonts w:ascii="宋体" w:hAnsi="宋体" w:cs="宋体" w:eastAsia="宋体" w:hint="default"/>
                <w:spacing w:val="-45"/>
                <w:sz w:val="15"/>
                <w:szCs w:val="15"/>
              </w:rPr>
              <w:t> </w:t>
            </w:r>
            <w:r>
              <w:rPr>
                <w:rFonts w:ascii="宋体" w:hAnsi="宋体" w:cs="宋体" w:eastAsia="宋体" w:hint="default"/>
                <w:spacing w:val="-3"/>
                <w:sz w:val="15"/>
                <w:szCs w:val="15"/>
              </w:rPr>
              <w:t>米以</w:t>
            </w:r>
            <w:r>
              <w:rPr>
                <w:rFonts w:ascii="宋体" w:hAnsi="宋体" w:cs="宋体" w:eastAsia="宋体" w:hint="default"/>
                <w:spacing w:val="-3"/>
                <w:w w:val="100"/>
                <w:sz w:val="15"/>
                <w:szCs w:val="15"/>
              </w:rPr>
              <w:t> </w:t>
            </w:r>
            <w:r>
              <w:rPr>
                <w:rFonts w:ascii="宋体" w:hAnsi="宋体" w:cs="宋体" w:eastAsia="宋体" w:hint="default"/>
                <w:sz w:val="15"/>
                <w:szCs w:val="15"/>
              </w:rPr>
              <w:t>上</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颗粒物</w:t>
            </w:r>
          </w:p>
          <w:p>
            <w:pPr>
              <w:pStyle w:val="TableParagraph"/>
              <w:spacing w:line="240" w:lineRule="auto"/>
              <w:ind w:left="103" w:right="97"/>
              <w:jc w:val="left"/>
              <w:rPr>
                <w:rFonts w:ascii="宋体" w:hAnsi="宋体" w:cs="宋体" w:eastAsia="宋体" w:hint="default"/>
                <w:sz w:val="15"/>
                <w:szCs w:val="15"/>
              </w:rPr>
            </w:pPr>
            <w:r>
              <w:rPr>
                <w:rFonts w:ascii="宋体" w:hAnsi="宋体" w:cs="宋体" w:eastAsia="宋体" w:hint="default"/>
                <w:sz w:val="15"/>
                <w:szCs w:val="15"/>
              </w:rPr>
              <w:t>1.2-2.3 </w:t>
            </w:r>
            <w:r>
              <w:rPr>
                <w:rFonts w:ascii="宋体" w:hAnsi="宋体" w:cs="宋体" w:eastAsia="宋体" w:hint="default"/>
                <w:spacing w:val="11"/>
                <w:sz w:val="15"/>
                <w:szCs w:val="15"/>
              </w:rPr>
              <w:t>毫克</w:t>
            </w:r>
            <w:r>
              <w:rPr>
                <w:rFonts w:ascii="宋体" w:hAnsi="宋体" w:cs="宋体" w:eastAsia="宋体" w:hint="default"/>
                <w:spacing w:val="-20"/>
                <w:sz w:val="15"/>
                <w:szCs w:val="15"/>
              </w:rPr>
              <w:t> </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立方米</w:t>
            </w:r>
          </w:p>
          <w:p>
            <w:pPr>
              <w:pStyle w:val="TableParagraph"/>
              <w:spacing w:line="193" w:lineRule="exact"/>
              <w:ind w:left="103" w:right="0"/>
              <w:jc w:val="left"/>
              <w:rPr>
                <w:rFonts w:ascii="宋体" w:hAnsi="宋体" w:cs="宋体" w:eastAsia="宋体" w:hint="default"/>
                <w:sz w:val="15"/>
                <w:szCs w:val="15"/>
              </w:rPr>
            </w:pPr>
            <w:r>
              <w:rPr>
                <w:rFonts w:ascii="宋体"/>
                <w:sz w:val="15"/>
              </w:rPr>
              <w:t>SO2</w:t>
            </w:r>
          </w:p>
          <w:p>
            <w:pPr>
              <w:pStyle w:val="TableParagraph"/>
              <w:spacing w:line="240" w:lineRule="auto"/>
              <w:ind w:left="103" w:right="96"/>
              <w:jc w:val="left"/>
              <w:rPr>
                <w:rFonts w:ascii="宋体" w:hAnsi="宋体" w:cs="宋体" w:eastAsia="宋体" w:hint="default"/>
                <w:sz w:val="15"/>
                <w:szCs w:val="15"/>
              </w:rPr>
            </w:pPr>
            <w:r>
              <w:rPr>
                <w:rFonts w:ascii="宋体" w:hAnsi="宋体" w:cs="宋体" w:eastAsia="宋体" w:hint="default"/>
                <w:sz w:val="15"/>
                <w:szCs w:val="15"/>
              </w:rPr>
              <w:t>5.877 </w:t>
            </w:r>
            <w:r>
              <w:rPr>
                <w:rFonts w:ascii="宋体" w:hAnsi="宋体" w:cs="宋体" w:eastAsia="宋体" w:hint="default"/>
                <w:spacing w:val="11"/>
                <w:sz w:val="15"/>
                <w:szCs w:val="15"/>
              </w:rPr>
              <w:t>毫克</w:t>
            </w:r>
            <w:r>
              <w:rPr>
                <w:rFonts w:ascii="宋体" w:hAnsi="宋体" w:cs="宋体" w:eastAsia="宋体" w:hint="default"/>
                <w:spacing w:val="11"/>
                <w:sz w:val="15"/>
                <w:szCs w:val="15"/>
              </w:rPr>
              <w:t>/</w:t>
            </w:r>
            <w:r>
              <w:rPr>
                <w:rFonts w:ascii="宋体" w:hAnsi="宋体" w:cs="宋体" w:eastAsia="宋体" w:hint="default"/>
                <w:spacing w:val="-30"/>
                <w:sz w:val="15"/>
                <w:szCs w:val="15"/>
              </w:rPr>
              <w:t> </w:t>
            </w:r>
            <w:r>
              <w:rPr>
                <w:rFonts w:ascii="宋体" w:hAnsi="宋体" w:cs="宋体" w:eastAsia="宋体" w:hint="default"/>
                <w:sz w:val="15"/>
                <w:szCs w:val="15"/>
              </w:rPr>
              <w:t>立</w:t>
            </w:r>
            <w:r>
              <w:rPr>
                <w:rFonts w:ascii="宋体" w:hAnsi="宋体" w:cs="宋体" w:eastAsia="宋体" w:hint="default"/>
                <w:w w:val="100"/>
                <w:sz w:val="15"/>
                <w:szCs w:val="15"/>
              </w:rPr>
              <w:t> </w:t>
            </w:r>
            <w:r>
              <w:rPr>
                <w:rFonts w:ascii="宋体" w:hAnsi="宋体" w:cs="宋体" w:eastAsia="宋体" w:hint="default"/>
                <w:sz w:val="15"/>
                <w:szCs w:val="15"/>
              </w:rPr>
              <w:t>方米</w:t>
            </w:r>
          </w:p>
          <w:p>
            <w:pPr>
              <w:pStyle w:val="TableParagraph"/>
              <w:spacing w:line="195" w:lineRule="exact"/>
              <w:ind w:left="103" w:right="0"/>
              <w:jc w:val="left"/>
              <w:rPr>
                <w:rFonts w:ascii="宋体" w:hAnsi="宋体" w:cs="宋体" w:eastAsia="宋体" w:hint="default"/>
                <w:sz w:val="15"/>
                <w:szCs w:val="15"/>
              </w:rPr>
            </w:pPr>
            <w:r>
              <w:rPr>
                <w:rFonts w:ascii="宋体"/>
                <w:sz w:val="15"/>
              </w:rPr>
              <w:t>NO2</w:t>
            </w:r>
          </w:p>
          <w:p>
            <w:pPr>
              <w:pStyle w:val="TableParagraph"/>
              <w:spacing w:line="240" w:lineRule="auto"/>
              <w:ind w:left="103" w:right="96"/>
              <w:jc w:val="left"/>
              <w:rPr>
                <w:rFonts w:ascii="宋体" w:hAnsi="宋体" w:cs="宋体" w:eastAsia="宋体" w:hint="default"/>
                <w:sz w:val="15"/>
                <w:szCs w:val="15"/>
              </w:rPr>
            </w:pPr>
            <w:r>
              <w:rPr>
                <w:rFonts w:ascii="宋体" w:hAnsi="宋体" w:cs="宋体" w:eastAsia="宋体" w:hint="default"/>
                <w:sz w:val="15"/>
                <w:szCs w:val="15"/>
              </w:rPr>
              <w:t>16-33 </w:t>
            </w:r>
            <w:r>
              <w:rPr>
                <w:rFonts w:ascii="宋体" w:hAnsi="宋体" w:cs="宋体" w:eastAsia="宋体" w:hint="default"/>
                <w:spacing w:val="11"/>
                <w:sz w:val="15"/>
                <w:szCs w:val="15"/>
              </w:rPr>
              <w:t>毫克</w:t>
            </w:r>
            <w:r>
              <w:rPr>
                <w:rFonts w:ascii="宋体" w:hAnsi="宋体" w:cs="宋体" w:eastAsia="宋体" w:hint="default"/>
                <w:spacing w:val="11"/>
                <w:sz w:val="15"/>
                <w:szCs w:val="15"/>
              </w:rPr>
              <w:t>/</w:t>
            </w:r>
            <w:r>
              <w:rPr>
                <w:rFonts w:ascii="宋体" w:hAnsi="宋体" w:cs="宋体" w:eastAsia="宋体" w:hint="default"/>
                <w:spacing w:val="-30"/>
                <w:sz w:val="15"/>
                <w:szCs w:val="15"/>
              </w:rPr>
              <w:t> </w:t>
            </w:r>
            <w:r>
              <w:rPr>
                <w:rFonts w:ascii="宋体" w:hAnsi="宋体" w:cs="宋体" w:eastAsia="宋体" w:hint="default"/>
                <w:sz w:val="15"/>
                <w:szCs w:val="15"/>
              </w:rPr>
              <w:t>立</w:t>
            </w:r>
            <w:r>
              <w:rPr>
                <w:rFonts w:ascii="宋体" w:hAnsi="宋体" w:cs="宋体" w:eastAsia="宋体" w:hint="default"/>
                <w:w w:val="100"/>
                <w:sz w:val="15"/>
                <w:szCs w:val="15"/>
              </w:rPr>
              <w:t> </w:t>
            </w:r>
            <w:r>
              <w:rPr>
                <w:rFonts w:ascii="宋体" w:hAnsi="宋体" w:cs="宋体" w:eastAsia="宋体" w:hint="default"/>
                <w:sz w:val="15"/>
                <w:szCs w:val="15"/>
              </w:rPr>
              <w:t>方米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GB13271-2</w:t>
            </w:r>
          </w:p>
          <w:p>
            <w:pPr>
              <w:pStyle w:val="TableParagraph"/>
              <w:spacing w:line="195" w:lineRule="exact"/>
              <w:ind w:left="103" w:right="0"/>
              <w:jc w:val="left"/>
              <w:rPr>
                <w:rFonts w:ascii="宋体" w:hAnsi="宋体" w:cs="宋体" w:eastAsia="宋体" w:hint="default"/>
                <w:sz w:val="15"/>
                <w:szCs w:val="15"/>
              </w:rPr>
            </w:pPr>
            <w:r>
              <w:rPr>
                <w:rFonts w:ascii="宋体"/>
                <w:sz w:val="15"/>
              </w:rPr>
              <w:t>014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颗粒物</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252.89 </w:t>
            </w:r>
            <w:r>
              <w:rPr>
                <w:rFonts w:ascii="宋体" w:hAnsi="宋体" w:cs="宋体" w:eastAsia="宋体" w:hint="default"/>
                <w:spacing w:val="11"/>
                <w:sz w:val="15"/>
                <w:szCs w:val="15"/>
              </w:rPr>
              <w:t>千克</w:t>
            </w:r>
            <w:r>
              <w:rPr>
                <w:rFonts w:ascii="宋体" w:hAnsi="宋体" w:cs="宋体" w:eastAsia="宋体" w:hint="default"/>
                <w:spacing w:val="-31"/>
                <w:sz w:val="15"/>
                <w:szCs w:val="15"/>
              </w:rPr>
              <w:t> </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年</w:t>
            </w:r>
          </w:p>
          <w:p>
            <w:pPr>
              <w:pStyle w:val="TableParagraph"/>
              <w:spacing w:line="240" w:lineRule="auto" w:before="9"/>
              <w:ind w:right="0"/>
              <w:jc w:val="left"/>
              <w:rPr>
                <w:rFonts w:ascii="宋体" w:hAnsi="宋体" w:cs="宋体" w:eastAsia="宋体" w:hint="default"/>
                <w:sz w:val="14"/>
                <w:szCs w:val="14"/>
              </w:rPr>
            </w:pPr>
          </w:p>
          <w:p>
            <w:pPr>
              <w:pStyle w:val="TableParagraph"/>
              <w:spacing w:line="195" w:lineRule="exact"/>
              <w:ind w:left="103" w:right="0"/>
              <w:jc w:val="left"/>
              <w:rPr>
                <w:rFonts w:ascii="宋体" w:hAnsi="宋体" w:cs="宋体" w:eastAsia="宋体" w:hint="default"/>
                <w:sz w:val="15"/>
                <w:szCs w:val="15"/>
              </w:rPr>
            </w:pPr>
            <w:r>
              <w:rPr>
                <w:rFonts w:ascii="宋体"/>
                <w:sz w:val="15"/>
              </w:rPr>
              <w:t>SO2</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90.37</w:t>
            </w:r>
            <w:r>
              <w:rPr>
                <w:rFonts w:ascii="宋体" w:hAnsi="宋体" w:cs="宋体" w:eastAsia="宋体" w:hint="default"/>
                <w:spacing w:val="-38"/>
                <w:sz w:val="15"/>
                <w:szCs w:val="15"/>
              </w:rPr>
              <w:t> </w:t>
            </w:r>
            <w:r>
              <w:rPr>
                <w:rFonts w:ascii="宋体" w:hAnsi="宋体" w:cs="宋体" w:eastAsia="宋体" w:hint="default"/>
                <w:sz w:val="15"/>
                <w:szCs w:val="15"/>
              </w:rPr>
              <w:t>千克</w:t>
            </w:r>
            <w:r>
              <w:rPr>
                <w:rFonts w:ascii="宋体" w:hAnsi="宋体" w:cs="宋体" w:eastAsia="宋体" w:hint="default"/>
                <w:sz w:val="15"/>
                <w:szCs w:val="15"/>
              </w:rPr>
              <w:t>/</w:t>
            </w:r>
            <w:r>
              <w:rPr>
                <w:rFonts w:ascii="宋体" w:hAnsi="宋体" w:cs="宋体" w:eastAsia="宋体" w:hint="default"/>
                <w:sz w:val="15"/>
                <w:szCs w:val="15"/>
              </w:rPr>
              <w:t>年</w:t>
            </w:r>
          </w:p>
          <w:p>
            <w:pPr>
              <w:pStyle w:val="TableParagraph"/>
              <w:spacing w:line="240" w:lineRule="auto" w:before="12"/>
              <w:ind w:right="0"/>
              <w:jc w:val="left"/>
              <w:rPr>
                <w:rFonts w:ascii="宋体" w:hAnsi="宋体" w:cs="宋体" w:eastAsia="宋体" w:hint="default"/>
                <w:sz w:val="14"/>
                <w:szCs w:val="14"/>
              </w:rPr>
            </w:pPr>
          </w:p>
          <w:p>
            <w:pPr>
              <w:pStyle w:val="TableParagraph"/>
              <w:spacing w:line="195" w:lineRule="exact"/>
              <w:ind w:left="103" w:right="0"/>
              <w:jc w:val="left"/>
              <w:rPr>
                <w:rFonts w:ascii="宋体" w:hAnsi="宋体" w:cs="宋体" w:eastAsia="宋体" w:hint="default"/>
                <w:sz w:val="15"/>
                <w:szCs w:val="15"/>
              </w:rPr>
            </w:pPr>
            <w:r>
              <w:rPr>
                <w:rFonts w:ascii="宋体"/>
                <w:sz w:val="15"/>
              </w:rPr>
              <w:t>NO2</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1344.11</w:t>
            </w:r>
            <w:r>
              <w:rPr>
                <w:rFonts w:ascii="宋体" w:hAnsi="宋体" w:cs="宋体" w:eastAsia="宋体" w:hint="default"/>
                <w:spacing w:val="-9"/>
                <w:sz w:val="15"/>
                <w:szCs w:val="15"/>
              </w:rPr>
              <w:t> </w:t>
            </w:r>
            <w:r>
              <w:rPr>
                <w:rFonts w:ascii="宋体" w:hAnsi="宋体" w:cs="宋体" w:eastAsia="宋体" w:hint="default"/>
                <w:sz w:val="15"/>
                <w:szCs w:val="15"/>
              </w:rPr>
              <w:t>千克</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年</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颗粒物</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29.9</w:t>
            </w:r>
            <w:r>
              <w:rPr>
                <w:rFonts w:ascii="宋体" w:hAnsi="宋体" w:cs="宋体" w:eastAsia="宋体" w:hint="default"/>
                <w:spacing w:val="-38"/>
                <w:sz w:val="15"/>
                <w:szCs w:val="15"/>
              </w:rPr>
              <w:t> </w:t>
            </w:r>
            <w:r>
              <w:rPr>
                <w:rFonts w:ascii="宋体" w:hAnsi="宋体" w:cs="宋体" w:eastAsia="宋体" w:hint="default"/>
                <w:sz w:val="15"/>
                <w:szCs w:val="15"/>
              </w:rPr>
              <w:t>吨</w:t>
            </w:r>
            <w:r>
              <w:rPr>
                <w:rFonts w:ascii="宋体" w:hAnsi="宋体" w:cs="宋体" w:eastAsia="宋体" w:hint="default"/>
                <w:sz w:val="15"/>
                <w:szCs w:val="15"/>
              </w:rPr>
              <w:t>/</w:t>
            </w:r>
            <w:r>
              <w:rPr>
                <w:rFonts w:ascii="宋体" w:hAnsi="宋体" w:cs="宋体" w:eastAsia="宋体" w:hint="default"/>
                <w:sz w:val="15"/>
                <w:szCs w:val="15"/>
              </w:rPr>
              <w:t>年</w:t>
            </w:r>
          </w:p>
          <w:p>
            <w:pPr>
              <w:pStyle w:val="TableParagraph"/>
              <w:spacing w:line="240" w:lineRule="auto" w:before="9"/>
              <w:ind w:right="0"/>
              <w:jc w:val="left"/>
              <w:rPr>
                <w:rFonts w:ascii="宋体" w:hAnsi="宋体" w:cs="宋体" w:eastAsia="宋体" w:hint="default"/>
                <w:sz w:val="14"/>
                <w:szCs w:val="14"/>
              </w:rPr>
            </w:pPr>
          </w:p>
          <w:p>
            <w:pPr>
              <w:pStyle w:val="TableParagraph"/>
              <w:spacing w:line="195" w:lineRule="exact"/>
              <w:ind w:left="103" w:right="0"/>
              <w:jc w:val="left"/>
              <w:rPr>
                <w:rFonts w:ascii="宋体" w:hAnsi="宋体" w:cs="宋体" w:eastAsia="宋体" w:hint="default"/>
                <w:sz w:val="15"/>
                <w:szCs w:val="15"/>
              </w:rPr>
            </w:pPr>
            <w:r>
              <w:rPr>
                <w:rFonts w:ascii="宋体"/>
                <w:sz w:val="15"/>
              </w:rPr>
              <w:t>SO2</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21.98</w:t>
            </w:r>
            <w:r>
              <w:rPr>
                <w:rFonts w:ascii="宋体" w:hAnsi="宋体" w:cs="宋体" w:eastAsia="宋体" w:hint="default"/>
                <w:spacing w:val="-39"/>
                <w:sz w:val="15"/>
                <w:szCs w:val="15"/>
              </w:rPr>
              <w:t> </w:t>
            </w:r>
            <w:r>
              <w:rPr>
                <w:rFonts w:ascii="宋体" w:hAnsi="宋体" w:cs="宋体" w:eastAsia="宋体" w:hint="default"/>
                <w:sz w:val="15"/>
                <w:szCs w:val="15"/>
              </w:rPr>
              <w:t>吨</w:t>
            </w:r>
            <w:r>
              <w:rPr>
                <w:rFonts w:ascii="宋体" w:hAnsi="宋体" w:cs="宋体" w:eastAsia="宋体" w:hint="default"/>
                <w:sz w:val="15"/>
                <w:szCs w:val="15"/>
              </w:rPr>
              <w:t>/</w:t>
            </w:r>
            <w:r>
              <w:rPr>
                <w:rFonts w:ascii="宋体" w:hAnsi="宋体" w:cs="宋体" w:eastAsia="宋体" w:hint="default"/>
                <w:sz w:val="15"/>
                <w:szCs w:val="15"/>
              </w:rPr>
              <w:t>年</w:t>
            </w:r>
          </w:p>
          <w:p>
            <w:pPr>
              <w:pStyle w:val="TableParagraph"/>
              <w:spacing w:line="240" w:lineRule="auto" w:before="12"/>
              <w:ind w:right="0"/>
              <w:jc w:val="left"/>
              <w:rPr>
                <w:rFonts w:ascii="宋体" w:hAnsi="宋体" w:cs="宋体" w:eastAsia="宋体" w:hint="default"/>
                <w:sz w:val="14"/>
                <w:szCs w:val="14"/>
              </w:rPr>
            </w:pPr>
          </w:p>
          <w:p>
            <w:pPr>
              <w:pStyle w:val="TableParagraph"/>
              <w:spacing w:line="195" w:lineRule="exact"/>
              <w:ind w:left="103" w:right="0"/>
              <w:jc w:val="left"/>
              <w:rPr>
                <w:rFonts w:ascii="宋体" w:hAnsi="宋体" w:cs="宋体" w:eastAsia="宋体" w:hint="default"/>
                <w:sz w:val="15"/>
                <w:szCs w:val="15"/>
              </w:rPr>
            </w:pPr>
            <w:r>
              <w:rPr>
                <w:rFonts w:ascii="宋体"/>
                <w:sz w:val="15"/>
              </w:rPr>
              <w:t>NO2</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6.714</w:t>
            </w:r>
            <w:r>
              <w:rPr>
                <w:rFonts w:ascii="宋体" w:hAnsi="宋体" w:cs="宋体" w:eastAsia="宋体" w:hint="default"/>
                <w:spacing w:val="-39"/>
                <w:sz w:val="15"/>
                <w:szCs w:val="15"/>
              </w:rPr>
              <w:t> </w:t>
            </w:r>
            <w:r>
              <w:rPr>
                <w:rFonts w:ascii="宋体" w:hAnsi="宋体" w:cs="宋体" w:eastAsia="宋体" w:hint="default"/>
                <w:sz w:val="15"/>
                <w:szCs w:val="15"/>
              </w:rPr>
              <w:t>吨</w:t>
            </w:r>
            <w:r>
              <w:rPr>
                <w:rFonts w:ascii="宋体" w:hAnsi="宋体" w:cs="宋体" w:eastAsia="宋体" w:hint="default"/>
                <w:sz w:val="15"/>
                <w:szCs w:val="15"/>
              </w:rPr>
              <w:t>/</w:t>
            </w:r>
            <w:r>
              <w:rPr>
                <w:rFonts w:ascii="宋体" w:hAnsi="宋体" w:cs="宋体" w:eastAsia="宋体" w:hint="default"/>
                <w:sz w:val="15"/>
                <w:szCs w:val="15"/>
              </w:rPr>
              <w:t>年</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达标排放</w:t>
            </w:r>
          </w:p>
        </w:tc>
      </w:tr>
      <w:tr>
        <w:trPr>
          <w:trHeight w:val="399"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噪声</w:t>
            </w:r>
          </w:p>
        </w:tc>
        <w:tc>
          <w:tcPr>
            <w:tcW w:w="98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厂区边界</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昼间</w:t>
            </w:r>
            <w:r>
              <w:rPr>
                <w:rFonts w:ascii="宋体" w:hAnsi="宋体" w:cs="宋体" w:eastAsia="宋体" w:hint="default"/>
                <w:spacing w:val="-39"/>
                <w:sz w:val="15"/>
                <w:szCs w:val="15"/>
              </w:rPr>
              <w:t> </w:t>
            </w:r>
            <w:r>
              <w:rPr>
                <w:rFonts w:ascii="宋体" w:hAnsi="宋体" w:cs="宋体" w:eastAsia="宋体" w:hint="default"/>
                <w:spacing w:val="-2"/>
                <w:w w:val="100"/>
                <w:sz w:val="15"/>
                <w:szCs w:val="15"/>
              </w:rPr>
              <w:t>5</w:t>
            </w:r>
            <w:r>
              <w:rPr>
                <w:rFonts w:ascii="宋体" w:hAnsi="宋体" w:cs="宋体" w:eastAsia="宋体" w:hint="default"/>
                <w:w w:val="100"/>
                <w:sz w:val="15"/>
                <w:szCs w:val="15"/>
              </w:rPr>
              <w:t>5</w:t>
            </w:r>
            <w:r>
              <w:rPr>
                <w:rFonts w:ascii="宋体" w:hAnsi="宋体" w:cs="宋体" w:eastAsia="宋体" w:hint="default"/>
                <w:spacing w:val="-38"/>
                <w:sz w:val="15"/>
                <w:szCs w:val="15"/>
              </w:rPr>
              <w:t> </w:t>
            </w:r>
            <w:r>
              <w:rPr>
                <w:rFonts w:ascii="宋体" w:hAnsi="宋体" w:cs="宋体" w:eastAsia="宋体" w:hint="default"/>
                <w:w w:val="100"/>
                <w:sz w:val="15"/>
                <w:szCs w:val="15"/>
              </w:rPr>
              <w:t>贝</w:t>
            </w:r>
            <w:r>
              <w:rPr>
                <w:rFonts w:ascii="宋体" w:hAnsi="宋体" w:cs="宋体" w:eastAsia="宋体" w:hint="default"/>
                <w:spacing w:val="-3"/>
                <w:w w:val="100"/>
                <w:sz w:val="15"/>
                <w:szCs w:val="15"/>
              </w:rPr>
              <w:t>数</w:t>
            </w:r>
            <w:r>
              <w:rPr>
                <w:rFonts w:ascii="宋体" w:hAnsi="宋体" w:cs="宋体" w:eastAsia="宋体" w:hint="default"/>
                <w:spacing w:val="-70"/>
                <w:w w:val="100"/>
                <w:sz w:val="15"/>
                <w:szCs w:val="15"/>
              </w:rPr>
              <w:t>，</w:t>
            </w:r>
            <w:r>
              <w:rPr>
                <w:rFonts w:ascii="宋体" w:hAnsi="宋体" w:cs="宋体" w:eastAsia="宋体" w:hint="default"/>
                <w:w w:val="100"/>
                <w:sz w:val="15"/>
                <w:szCs w:val="15"/>
              </w:rPr>
              <w:t>夜</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间</w:t>
            </w:r>
            <w:r>
              <w:rPr>
                <w:rFonts w:ascii="宋体" w:hAnsi="宋体" w:cs="宋体" w:eastAsia="宋体" w:hint="default"/>
                <w:spacing w:val="-38"/>
                <w:sz w:val="15"/>
                <w:szCs w:val="15"/>
              </w:rPr>
              <w:t> </w:t>
            </w:r>
            <w:r>
              <w:rPr>
                <w:rFonts w:ascii="宋体" w:hAnsi="宋体" w:cs="宋体" w:eastAsia="宋体" w:hint="default"/>
                <w:sz w:val="15"/>
                <w:szCs w:val="15"/>
              </w:rPr>
              <w:t>52</w:t>
            </w:r>
            <w:r>
              <w:rPr>
                <w:rFonts w:ascii="宋体" w:hAnsi="宋体" w:cs="宋体" w:eastAsia="宋体" w:hint="default"/>
                <w:spacing w:val="-35"/>
                <w:sz w:val="15"/>
                <w:szCs w:val="15"/>
              </w:rPr>
              <w:t> </w:t>
            </w:r>
            <w:r>
              <w:rPr>
                <w:rFonts w:ascii="宋体" w:hAnsi="宋体" w:cs="宋体" w:eastAsia="宋体" w:hint="default"/>
                <w:spacing w:val="-3"/>
                <w:sz w:val="15"/>
                <w:szCs w:val="15"/>
              </w:rPr>
              <w:t>分贝</w:t>
            </w:r>
            <w:r>
              <w:rPr>
                <w:rFonts w:ascii="宋体" w:hAnsi="宋体" w:cs="宋体" w:eastAsia="宋体" w:hint="default"/>
                <w:sz w:val="15"/>
                <w:szCs w:val="15"/>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GB12348-2</w:t>
            </w:r>
          </w:p>
          <w:p>
            <w:pPr>
              <w:pStyle w:val="TableParagraph"/>
              <w:spacing w:line="196" w:lineRule="exact"/>
              <w:ind w:left="103" w:right="0"/>
              <w:jc w:val="left"/>
              <w:rPr>
                <w:rFonts w:ascii="宋体" w:hAnsi="宋体" w:cs="宋体" w:eastAsia="宋体" w:hint="default"/>
                <w:sz w:val="15"/>
                <w:szCs w:val="15"/>
              </w:rPr>
            </w:pPr>
            <w:r>
              <w:rPr>
                <w:rFonts w:ascii="宋体"/>
                <w:sz w:val="15"/>
              </w:rPr>
              <w:t>008</w:t>
            </w:r>
          </w:p>
        </w:tc>
        <w:tc>
          <w:tcPr>
            <w:tcW w:w="118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昼间 </w:t>
            </w:r>
            <w:r>
              <w:rPr>
                <w:rFonts w:ascii="宋体" w:hAnsi="宋体" w:cs="宋体" w:eastAsia="宋体" w:hint="default"/>
                <w:sz w:val="15"/>
                <w:szCs w:val="15"/>
              </w:rPr>
              <w:t>65</w:t>
            </w:r>
            <w:r>
              <w:rPr>
                <w:rFonts w:ascii="宋体" w:hAnsi="宋体" w:cs="宋体" w:eastAsia="宋体" w:hint="default"/>
                <w:spacing w:val="-55"/>
                <w:sz w:val="15"/>
                <w:szCs w:val="15"/>
              </w:rPr>
              <w:t> </w:t>
            </w:r>
            <w:r>
              <w:rPr>
                <w:rFonts w:ascii="宋体" w:hAnsi="宋体" w:cs="宋体" w:eastAsia="宋体" w:hint="default"/>
                <w:sz w:val="15"/>
                <w:szCs w:val="15"/>
              </w:rPr>
              <w:t>贝数，夜间</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55</w:t>
            </w:r>
            <w:r>
              <w:rPr>
                <w:rFonts w:ascii="宋体" w:hAnsi="宋体" w:cs="宋体" w:eastAsia="宋体" w:hint="default"/>
                <w:spacing w:val="-35"/>
                <w:sz w:val="15"/>
                <w:szCs w:val="15"/>
              </w:rPr>
              <w:t> </w:t>
            </w:r>
            <w:r>
              <w:rPr>
                <w:rFonts w:ascii="宋体" w:hAnsi="宋体" w:cs="宋体" w:eastAsia="宋体" w:hint="default"/>
                <w:spacing w:val="-3"/>
                <w:sz w:val="15"/>
                <w:szCs w:val="15"/>
              </w:rPr>
              <w:t>分贝</w:t>
            </w:r>
            <w:r>
              <w:rPr>
                <w:rFonts w:ascii="宋体" w:hAnsi="宋体" w:cs="宋体" w:eastAsia="宋体" w:hint="default"/>
                <w:sz w:val="15"/>
                <w:szCs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达标排放</w:t>
            </w:r>
          </w:p>
        </w:tc>
      </w:tr>
    </w:tbl>
    <w:p>
      <w:pPr>
        <w:spacing w:line="240" w:lineRule="auto" w:before="11"/>
        <w:rPr>
          <w:rFonts w:ascii="宋体" w:hAnsi="宋体" w:cs="宋体" w:eastAsia="宋体" w:hint="default"/>
          <w:sz w:val="18"/>
          <w:szCs w:val="18"/>
        </w:rPr>
      </w:pPr>
    </w:p>
    <w:p>
      <w:pPr>
        <w:pStyle w:val="Heading2"/>
        <w:spacing w:line="240" w:lineRule="auto" w:before="36"/>
        <w:ind w:left="540" w:right="0"/>
        <w:jc w:val="left"/>
        <w:rPr>
          <w:b w:val="0"/>
          <w:bCs w:val="0"/>
        </w:rPr>
      </w:pPr>
      <w:r>
        <w:rPr>
          <w:rFonts w:ascii="宋体" w:hAnsi="宋体" w:cs="宋体" w:eastAsia="宋体" w:hint="default"/>
        </w:rPr>
        <w:t>(2)</w:t>
      </w:r>
      <w:r>
        <w:rPr>
          <w:rFonts w:ascii="宋体" w:hAnsi="宋体" w:cs="宋体" w:eastAsia="宋体" w:hint="default"/>
          <w:spacing w:val="-66"/>
        </w:rPr>
        <w:t> </w:t>
      </w:r>
      <w:r>
        <w:rPr/>
        <w:t>防治污染设施的建设和运行情况</w:t>
      </w:r>
      <w:r>
        <w:rPr>
          <w:b w:val="0"/>
          <w:bCs w:val="0"/>
        </w:rPr>
      </w:r>
    </w:p>
    <w:p>
      <w:pPr>
        <w:pStyle w:val="BodyText"/>
        <w:spacing w:line="272" w:lineRule="exact" w:before="86"/>
        <w:ind w:left="960" w:right="0" w:hanging="420"/>
        <w:jc w:val="left"/>
      </w:pPr>
      <w:r>
        <w:rPr/>
        <w:t>√适用</w:t>
      </w:r>
      <w:r>
        <w:rPr>
          <w:spacing w:val="-2"/>
        </w:rPr>
        <w:t> </w:t>
      </w:r>
      <w:r>
        <w:rPr/>
        <w:t>□不适用</w:t>
      </w:r>
      <w:r>
        <w:rPr>
          <w:spacing w:val="-103"/>
        </w:rPr>
        <w:t> </w:t>
      </w:r>
      <w:r>
        <w:rPr>
          <w:spacing w:val="-103"/>
        </w:rPr>
      </w:r>
      <w:r>
        <w:rPr>
          <w:spacing w:val="-2"/>
        </w:rPr>
        <w:t>四川新华印刷有限责任公司主要从事出版物的生产印刷，其在生产过程中严格管理自身排放物，</w:t>
      </w:r>
    </w:p>
    <w:p>
      <w:pPr>
        <w:pStyle w:val="BodyText"/>
        <w:spacing w:line="357" w:lineRule="auto" w:before="108"/>
        <w:ind w:left="540" w:right="311"/>
        <w:jc w:val="both"/>
      </w:pPr>
      <w:r>
        <w:rPr>
          <w:spacing w:val="-2"/>
        </w:rPr>
        <w:t>通过装备集气罩、除尘器和显影液冲板水循环净化设备，使用低挥发性的油墨及热熔胶等措施，有</w:t>
      </w:r>
      <w:r>
        <w:rPr>
          <w:spacing w:val="-30"/>
        </w:rPr>
        <w:t> </w:t>
      </w:r>
      <w:r>
        <w:rPr>
          <w:spacing w:val="-30"/>
        </w:rPr>
      </w:r>
      <w:r>
        <w:rPr>
          <w:spacing w:val="-2"/>
        </w:rPr>
        <w:t>效降低了油烟、粉尘和废水等污染物的产生及排放。同时，对废弃物进行统一的安全处理，通过修</w:t>
      </w:r>
      <w:r>
        <w:rPr>
          <w:spacing w:val="-32"/>
        </w:rPr>
        <w:t> </w:t>
      </w:r>
      <w:r>
        <w:rPr>
          <w:spacing w:val="-32"/>
        </w:rPr>
      </w:r>
      <w:r>
        <w:rPr>
          <w:spacing w:val="-2"/>
        </w:rPr>
        <w:t>建危险废物堆放场所，将危险废物按照环保要求分类堆放，并委托有资质的机构进行处理，有效的</w:t>
      </w:r>
      <w:r>
        <w:rPr>
          <w:spacing w:val="-29"/>
        </w:rPr>
        <w:t> </w:t>
      </w:r>
      <w:r>
        <w:rPr>
          <w:spacing w:val="-29"/>
        </w:rPr>
      </w:r>
      <w:r>
        <w:rPr/>
        <w:t>控制了危险废物的危害。</w:t>
      </w:r>
    </w:p>
    <w:p>
      <w:pPr>
        <w:pStyle w:val="BodyText"/>
        <w:spacing w:line="357" w:lineRule="auto" w:before="30"/>
        <w:ind w:left="540" w:right="311" w:firstLine="420"/>
        <w:jc w:val="left"/>
      </w:pPr>
      <w:r>
        <w:rPr>
          <w:rFonts w:ascii="宋体" w:hAnsi="宋体" w:cs="宋体" w:eastAsia="宋体" w:hint="default"/>
        </w:rPr>
        <w:t>2018</w:t>
      </w:r>
      <w:r>
        <w:rPr>
          <w:rFonts w:ascii="宋体" w:hAnsi="宋体" w:cs="宋体" w:eastAsia="宋体" w:hint="default"/>
          <w:spacing w:val="-49"/>
        </w:rPr>
        <w:t> </w:t>
      </w:r>
      <w:r>
        <w:rPr>
          <w:spacing w:val="-4"/>
        </w:rPr>
        <w:t>年，四川新华印刷有限责任公司投资</w:t>
      </w:r>
      <w:r>
        <w:rPr>
          <w:spacing w:val="-46"/>
        </w:rPr>
        <w:t> </w:t>
      </w:r>
      <w:r>
        <w:rPr>
          <w:rFonts w:ascii="宋体" w:hAnsi="宋体" w:cs="宋体" w:eastAsia="宋体" w:hint="default"/>
        </w:rPr>
        <w:t>14</w:t>
      </w:r>
      <w:r>
        <w:rPr>
          <w:rFonts w:ascii="宋体" w:hAnsi="宋体" w:cs="宋体" w:eastAsia="宋体" w:hint="default"/>
          <w:spacing w:val="-49"/>
        </w:rPr>
        <w:t> </w:t>
      </w:r>
      <w:r>
        <w:rPr/>
        <w:t>万安装了</w:t>
      </w:r>
      <w:r>
        <w:rPr>
          <w:spacing w:val="-45"/>
        </w:rPr>
        <w:t> </w:t>
      </w:r>
      <w:r>
        <w:rPr>
          <w:rFonts w:ascii="宋体" w:hAnsi="宋体" w:cs="宋体" w:eastAsia="宋体" w:hint="default"/>
        </w:rPr>
        <w:t>16</w:t>
      </w:r>
      <w:r>
        <w:rPr>
          <w:rFonts w:ascii="宋体" w:hAnsi="宋体" w:cs="宋体" w:eastAsia="宋体" w:hint="default"/>
          <w:spacing w:val="-49"/>
        </w:rPr>
        <w:t> </w:t>
      </w:r>
      <w:r>
        <w:rPr>
          <w:spacing w:val="-4"/>
        </w:rPr>
        <w:t>套润版液监测装置，投资</w:t>
      </w:r>
      <w:r>
        <w:rPr>
          <w:spacing w:val="-46"/>
        </w:rPr>
        <w:t> </w:t>
      </w:r>
      <w:r>
        <w:rPr>
          <w:rFonts w:ascii="宋体" w:hAnsi="宋体" w:cs="宋体" w:eastAsia="宋体" w:hint="default"/>
        </w:rPr>
        <w:t>200</w:t>
      </w:r>
      <w:r>
        <w:rPr>
          <w:rFonts w:ascii="宋体" w:hAnsi="宋体" w:cs="宋体" w:eastAsia="宋体" w:hint="default"/>
          <w:spacing w:val="-46"/>
        </w:rPr>
        <w:t> </w:t>
      </w:r>
      <w:r>
        <w:rPr/>
        <w:t>万元用</w:t>
      </w:r>
      <w:r>
        <w:rPr>
          <w:w w:val="100"/>
        </w:rPr>
        <w:t> </w:t>
      </w:r>
      <w:r>
        <w:rPr/>
        <w:t>于推进</w:t>
      </w:r>
      <w:r>
        <w:rPr>
          <w:spacing w:val="-55"/>
        </w:rPr>
        <w:t> </w:t>
      </w:r>
      <w:r>
        <w:rPr>
          <w:rFonts w:ascii="宋体" w:hAnsi="宋体" w:cs="宋体" w:eastAsia="宋体" w:hint="default"/>
        </w:rPr>
        <w:t>VOCS</w:t>
      </w:r>
      <w:r>
        <w:rPr>
          <w:rFonts w:ascii="宋体" w:hAnsi="宋体" w:cs="宋体" w:eastAsia="宋体" w:hint="default"/>
          <w:spacing w:val="-55"/>
        </w:rPr>
        <w:t> </w:t>
      </w:r>
      <w:r>
        <w:rPr/>
        <w:t>大气挥发性有机物污染治理工作，于</w:t>
      </w:r>
      <w:r>
        <w:rPr>
          <w:spacing w:val="-55"/>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月，治理设备、设施安装完毕，目前</w:t>
      </w:r>
      <w:r>
        <w:rPr>
          <w:w w:val="100"/>
        </w:rPr>
        <w:t> </w:t>
      </w:r>
      <w:r>
        <w:rPr>
          <w:spacing w:val="-2"/>
        </w:rPr>
        <w:t>正在试运行等待验收阶段。通过第三方检测，挥发性有机物（</w:t>
      </w:r>
      <w:r>
        <w:rPr>
          <w:rFonts w:ascii="宋体" w:hAnsi="宋体" w:cs="宋体" w:eastAsia="宋体" w:hint="default"/>
          <w:spacing w:val="-2"/>
        </w:rPr>
        <w:t>VOCs</w:t>
      </w:r>
      <w:r>
        <w:rPr>
          <w:spacing w:val="-2"/>
        </w:rPr>
        <w:t>）已经达到《四川省固定源大气</w:t>
      </w:r>
      <w:r>
        <w:rPr>
          <w:spacing w:val="-28"/>
        </w:rPr>
        <w:t> </w:t>
      </w:r>
      <w:r>
        <w:rPr>
          <w:spacing w:val="-28"/>
        </w:rPr>
      </w:r>
      <w:r>
        <w:rPr/>
        <w:t>挥发性有机污染排放标准》</w:t>
      </w:r>
      <w:r>
        <w:rPr>
          <w:rFonts w:ascii="宋体" w:hAnsi="宋体" w:cs="宋体" w:eastAsia="宋体" w:hint="default"/>
        </w:rPr>
        <w:t>(DB51/2377-2017</w:t>
      </w:r>
      <w:r>
        <w:rPr/>
        <w:t>）的排放标准，为减轻空气污染、保护环境做出了积</w:t>
      </w:r>
      <w:r>
        <w:rPr>
          <w:w w:val="100"/>
        </w:rPr>
        <w:t> </w:t>
      </w:r>
      <w:r>
        <w:rPr/>
        <w:t>极努力。</w:t>
      </w:r>
      <w:r>
        <w:rPr>
          <w:rFonts w:ascii="宋体" w:hAnsi="宋体" w:cs="宋体" w:eastAsia="宋体" w:hint="default"/>
        </w:rPr>
        <w:t>2018</w:t>
      </w:r>
      <w:r>
        <w:rPr>
          <w:rFonts w:ascii="宋体" w:hAnsi="宋体" w:cs="宋体" w:eastAsia="宋体" w:hint="default"/>
          <w:spacing w:val="-57"/>
        </w:rPr>
        <w:t> </w:t>
      </w:r>
      <w:r>
        <w:rPr/>
        <w:t>年，四川新华印刷有限责任公司被四川省环境保护厅评审为“四川省</w:t>
      </w:r>
      <w:r>
        <w:rPr>
          <w:spacing w:val="-54"/>
        </w:rPr>
        <w:t> </w:t>
      </w:r>
      <w:r>
        <w:rPr>
          <w:rFonts w:ascii="宋体" w:hAnsi="宋体" w:cs="宋体" w:eastAsia="宋体" w:hint="default"/>
        </w:rPr>
        <w:t>2017</w:t>
      </w:r>
      <w:r>
        <w:rPr>
          <w:rFonts w:ascii="宋体" w:hAnsi="宋体" w:cs="宋体" w:eastAsia="宋体" w:hint="default"/>
          <w:spacing w:val="-55"/>
        </w:rPr>
        <w:t> </w:t>
      </w:r>
      <w:r>
        <w:rPr/>
        <w:t>年度企业</w:t>
      </w:r>
      <w:r>
        <w:rPr>
          <w:w w:val="100"/>
        </w:rPr>
        <w:t> </w:t>
      </w:r>
      <w:r>
        <w:rPr/>
        <w:t>环境信用评价诚信企业”。</w:t>
      </w:r>
    </w:p>
    <w:p>
      <w:pPr>
        <w:spacing w:line="240" w:lineRule="auto" w:before="11"/>
        <w:rPr>
          <w:rFonts w:ascii="宋体" w:hAnsi="宋体" w:cs="宋体" w:eastAsia="宋体" w:hint="default"/>
          <w:sz w:val="27"/>
          <w:szCs w:val="27"/>
        </w:rPr>
      </w:pPr>
    </w:p>
    <w:p>
      <w:pPr>
        <w:pStyle w:val="Heading2"/>
        <w:spacing w:line="240" w:lineRule="auto"/>
        <w:ind w:left="540" w:right="0"/>
        <w:jc w:val="left"/>
        <w:rPr>
          <w:b w:val="0"/>
          <w:bCs w:val="0"/>
        </w:rPr>
      </w:pPr>
      <w:r>
        <w:rPr>
          <w:rFonts w:ascii="宋体" w:hAnsi="宋体" w:cs="宋体" w:eastAsia="宋体" w:hint="default"/>
        </w:rPr>
        <w:t>(3)</w:t>
      </w:r>
      <w:r>
        <w:rPr>
          <w:rFonts w:ascii="宋体" w:hAnsi="宋体" w:cs="宋体" w:eastAsia="宋体" w:hint="default"/>
          <w:spacing w:val="-67"/>
        </w:rPr>
        <w:t> </w:t>
      </w:r>
      <w:r>
        <w:rPr/>
        <w:t>建设项目环境影响评价及其他环境保护行政许可情况</w:t>
      </w:r>
      <w:r>
        <w:rPr>
          <w:b w:val="0"/>
          <w:bCs w:val="0"/>
        </w:rPr>
      </w:r>
    </w:p>
    <w:p>
      <w:pPr>
        <w:pStyle w:val="BodyText"/>
        <w:spacing w:line="275" w:lineRule="exact" w:before="56"/>
        <w:ind w:left="540" w:right="0"/>
        <w:jc w:val="left"/>
      </w:pPr>
      <w:r>
        <w:rPr/>
        <w:t>√适用 □不适用</w:t>
      </w:r>
    </w:p>
    <w:p>
      <w:pPr>
        <w:pStyle w:val="BodyText"/>
        <w:spacing w:line="324" w:lineRule="auto"/>
        <w:ind w:left="960" w:right="0"/>
        <w:jc w:val="left"/>
      </w:pPr>
      <w:r>
        <w:rPr/>
        <w:t>四川新华印刷有限责任公司已取得主要污染物排污许可证，编号：川环许</w:t>
      </w:r>
      <w:r>
        <w:rPr>
          <w:spacing w:val="-55"/>
        </w:rPr>
        <w:t> </w:t>
      </w:r>
      <w:r>
        <w:rPr>
          <w:rFonts w:ascii="Calibri" w:hAnsi="Calibri" w:cs="Calibri" w:eastAsia="Calibri" w:hint="default"/>
        </w:rPr>
        <w:t>A</w:t>
      </w:r>
      <w:r>
        <w:rPr>
          <w:rFonts w:ascii="Calibri" w:hAnsi="Calibri" w:cs="Calibri" w:eastAsia="Calibri" w:hint="default"/>
          <w:spacing w:val="3"/>
        </w:rPr>
        <w:t> </w:t>
      </w:r>
      <w:r>
        <w:rPr/>
        <w:t>成华</w:t>
      </w:r>
      <w:r>
        <w:rPr>
          <w:spacing w:val="-54"/>
        </w:rPr>
        <w:t> </w:t>
      </w:r>
      <w:r>
        <w:rPr>
          <w:rFonts w:ascii="Calibri" w:hAnsi="Calibri" w:cs="Calibri" w:eastAsia="Calibri" w:hint="default"/>
        </w:rPr>
        <w:t>0150</w:t>
      </w:r>
      <w:r>
        <w:rPr/>
        <w:t>。</w:t>
      </w:r>
      <w:r>
        <w:rPr>
          <w:w w:val="100"/>
        </w:rPr>
        <w:t> </w:t>
      </w:r>
      <w:r>
        <w:rPr>
          <w:spacing w:val="-7"/>
          <w:w w:val="100"/>
        </w:rPr>
        <w:t>四川新华印刷有限责任公司《生产基地项目环境影响报告表》《新增书刊生产线技术改造项目》</w:t>
      </w:r>
    </w:p>
    <w:p>
      <w:pPr>
        <w:pStyle w:val="BodyText"/>
        <w:spacing w:line="240" w:lineRule="auto" w:before="59"/>
        <w:ind w:left="540" w:right="0"/>
        <w:jc w:val="left"/>
      </w:pPr>
      <w:r>
        <w:rPr/>
        <w:t>符合“三同时”制度，取得了相关环保部门的环评批复和环保验收。</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ind w:left="540" w:right="0"/>
        <w:jc w:val="left"/>
        <w:rPr>
          <w:b w:val="0"/>
          <w:bCs w:val="0"/>
        </w:rPr>
      </w:pPr>
      <w:r>
        <w:rPr>
          <w:rFonts w:ascii="宋体" w:hAnsi="宋体" w:cs="宋体" w:eastAsia="宋体" w:hint="default"/>
        </w:rPr>
        <w:t>(4)</w:t>
      </w:r>
      <w:r>
        <w:rPr>
          <w:rFonts w:ascii="宋体" w:hAnsi="宋体" w:cs="宋体" w:eastAsia="宋体" w:hint="default"/>
          <w:spacing w:val="-63"/>
        </w:rPr>
        <w:t> </w:t>
      </w:r>
      <w:r>
        <w:rPr/>
        <w:t>突发环境事件应急预案</w:t>
      </w:r>
      <w:r>
        <w:rPr>
          <w:b w:val="0"/>
          <w:bCs w:val="0"/>
        </w:rPr>
      </w:r>
    </w:p>
    <w:p>
      <w:pPr>
        <w:pStyle w:val="BodyText"/>
        <w:spacing w:line="272" w:lineRule="exact" w:before="86"/>
        <w:ind w:left="960" w:right="411" w:hanging="420"/>
        <w:jc w:val="left"/>
      </w:pPr>
      <w:r>
        <w:rPr/>
        <w:t>√适用</w:t>
      </w:r>
      <w:r>
        <w:rPr>
          <w:spacing w:val="-2"/>
        </w:rPr>
        <w:t> </w:t>
      </w:r>
      <w:r>
        <w:rPr/>
        <w:t>□不适用</w:t>
      </w:r>
      <w:r>
        <w:rPr>
          <w:spacing w:val="-103"/>
        </w:rPr>
        <w:t> </w:t>
      </w:r>
      <w:r>
        <w:rPr>
          <w:spacing w:val="-103"/>
        </w:rPr>
      </w:r>
      <w:r>
        <w:rPr>
          <w:spacing w:val="-4"/>
          <w:w w:val="100"/>
        </w:rPr>
        <w:t>四川新华印刷有限责任公司已编制《突发环境事件应急预案》，经过评审，成都市成华区环保</w:t>
      </w:r>
    </w:p>
    <w:p>
      <w:pPr>
        <w:pStyle w:val="BodyText"/>
        <w:spacing w:line="240" w:lineRule="auto" w:before="108"/>
        <w:ind w:left="540" w:right="0"/>
        <w:jc w:val="left"/>
      </w:pPr>
      <w:r>
        <w:rPr/>
        <w:t>局已对该预案进行备案，目前未发生突发环境事件，未启用该预案。</w:t>
      </w:r>
    </w:p>
    <w:p>
      <w:pPr>
        <w:spacing w:after="0" w:line="240" w:lineRule="auto"/>
        <w:jc w:val="left"/>
        <w:sectPr>
          <w:pgSz w:w="11910" w:h="16840"/>
          <w:pgMar w:header="0" w:footer="1195" w:top="1060" w:bottom="1380" w:left="90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spacing w:line="240" w:lineRule="auto" w:before="36"/>
        <w:ind w:left="140" w:right="117"/>
        <w:jc w:val="left"/>
        <w:rPr>
          <w:b w:val="0"/>
          <w:bCs w:val="0"/>
        </w:rPr>
      </w:pPr>
      <w:r>
        <w:rPr>
          <w:rFonts w:ascii="宋体" w:hAnsi="宋体" w:cs="宋体" w:eastAsia="宋体" w:hint="default"/>
        </w:rPr>
        <w:t>(5)</w:t>
      </w:r>
      <w:r>
        <w:rPr>
          <w:rFonts w:ascii="宋体" w:hAnsi="宋体" w:cs="宋体" w:eastAsia="宋体" w:hint="default"/>
          <w:spacing w:val="-61"/>
        </w:rPr>
        <w:t> </w:t>
      </w:r>
      <w:r>
        <w:rPr/>
        <w:t>环境自行监测方案</w:t>
      </w:r>
      <w:r>
        <w:rPr>
          <w:b w:val="0"/>
          <w:bCs w:val="0"/>
        </w:rPr>
      </w:r>
    </w:p>
    <w:p>
      <w:pPr>
        <w:pStyle w:val="BodyText"/>
        <w:spacing w:line="240" w:lineRule="auto" w:before="56"/>
        <w:ind w:left="560" w:right="117" w:hanging="420"/>
        <w:jc w:val="left"/>
      </w:pPr>
      <w:r>
        <w:rPr/>
        <w:t>√适用</w:t>
      </w:r>
      <w:r>
        <w:rPr>
          <w:spacing w:val="-2"/>
        </w:rPr>
        <w:t> </w:t>
      </w:r>
      <w:r>
        <w:rPr/>
        <w:t>□不适用</w:t>
      </w:r>
      <w:r>
        <w:rPr>
          <w:spacing w:val="-103"/>
        </w:rPr>
        <w:t> </w:t>
      </w:r>
      <w:r>
        <w:rPr>
          <w:spacing w:val="-103"/>
        </w:rPr>
      </w:r>
      <w:r>
        <w:rPr>
          <w:spacing w:val="-2"/>
        </w:rPr>
        <w:t>四川新华印刷有限责任公司每年根据环保局的要求，对废水、废气、噪声、颗粒物、油烟委托</w:t>
      </w:r>
    </w:p>
    <w:p>
      <w:pPr>
        <w:pStyle w:val="BodyText"/>
        <w:spacing w:line="240" w:lineRule="auto" w:before="133"/>
        <w:ind w:left="140" w:right="117"/>
        <w:jc w:val="left"/>
      </w:pPr>
      <w:r>
        <w:rPr/>
        <w:t>有资质的中介机构进行监测，并将检测结果上报成都市成华区环保局。</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2"/>
        <w:spacing w:line="240" w:lineRule="auto"/>
        <w:ind w:left="140" w:right="117"/>
        <w:jc w:val="left"/>
        <w:rPr>
          <w:b w:val="0"/>
          <w:bCs w:val="0"/>
        </w:rPr>
      </w:pPr>
      <w:r>
        <w:rPr>
          <w:rFonts w:ascii="宋体" w:hAnsi="宋体" w:cs="宋体" w:eastAsia="宋体" w:hint="default"/>
        </w:rPr>
        <w:t>(6)</w:t>
      </w:r>
      <w:r>
        <w:rPr>
          <w:rFonts w:ascii="宋体" w:hAnsi="宋体" w:cs="宋体" w:eastAsia="宋体" w:hint="default"/>
          <w:spacing w:val="-63"/>
        </w:rPr>
        <w:t> </w:t>
      </w:r>
      <w:r>
        <w:rPr/>
        <w:t>其他应当公开的环境信息</w:t>
      </w:r>
      <w:r>
        <w:rPr>
          <w:b w:val="0"/>
          <w:bCs w:val="0"/>
        </w:rPr>
      </w:r>
    </w:p>
    <w:p>
      <w:pPr>
        <w:pStyle w:val="BodyText"/>
        <w:spacing w:line="273" w:lineRule="exact" w:before="58"/>
        <w:ind w:left="140" w:right="117"/>
        <w:jc w:val="left"/>
      </w:pPr>
      <w:r>
        <w:rPr/>
        <w:t>√适用 □不适用</w:t>
      </w:r>
    </w:p>
    <w:p>
      <w:pPr>
        <w:pStyle w:val="BodyText"/>
        <w:spacing w:line="340" w:lineRule="auto"/>
        <w:ind w:left="140" w:right="262" w:firstLine="420"/>
        <w:jc w:val="left"/>
      </w:pPr>
      <w:r>
        <w:rPr/>
        <w:t>四川新华印刷有限责任公司从</w:t>
      </w:r>
      <w:r>
        <w:rPr>
          <w:spacing w:val="-57"/>
        </w:rPr>
        <w:t> </w:t>
      </w:r>
      <w:r>
        <w:rPr>
          <w:rFonts w:ascii="Arial" w:hAnsi="Arial" w:cs="Arial" w:eastAsia="Arial" w:hint="default"/>
        </w:rPr>
        <w:t>2013</w:t>
      </w:r>
      <w:r>
        <w:rPr>
          <w:rFonts w:ascii="Arial" w:hAnsi="Arial" w:cs="Arial" w:eastAsia="Arial" w:hint="default"/>
          <w:spacing w:val="-10"/>
        </w:rPr>
        <w:t> </w:t>
      </w:r>
      <w:r>
        <w:rPr/>
        <w:t>年开始，每年均取得中环联合（北京）认证中心绿色印刷</w:t>
      </w:r>
      <w:r>
        <w:rPr>
          <w:w w:val="100"/>
        </w:rPr>
        <w:t> </w:t>
      </w:r>
      <w:r>
        <w:rPr/>
        <w:t>证书认证，编号为：</w:t>
      </w:r>
      <w:r>
        <w:rPr>
          <w:rFonts w:ascii="Arial" w:hAnsi="Arial" w:cs="Arial" w:eastAsia="Arial" w:hint="default"/>
        </w:rPr>
        <w:t>CEC08391510108201809308E</w:t>
      </w:r>
      <w:r>
        <w:rPr/>
        <w:t>。</w:t>
      </w:r>
    </w:p>
    <w:p>
      <w:pPr>
        <w:pStyle w:val="BodyText"/>
        <w:spacing w:line="338" w:lineRule="auto" w:before="19"/>
        <w:ind w:left="140" w:right="262" w:firstLine="420"/>
        <w:jc w:val="left"/>
      </w:pPr>
      <w:r>
        <w:rPr/>
        <w:t>四川新华印刷有限责任公司从</w:t>
      </w:r>
      <w:r>
        <w:rPr>
          <w:spacing w:val="-57"/>
        </w:rPr>
        <w:t> </w:t>
      </w:r>
      <w:r>
        <w:rPr>
          <w:rFonts w:ascii="Arial" w:hAnsi="Arial" w:cs="Arial" w:eastAsia="Arial" w:hint="default"/>
        </w:rPr>
        <w:t>2015</w:t>
      </w:r>
      <w:r>
        <w:rPr>
          <w:rFonts w:ascii="Arial" w:hAnsi="Arial" w:cs="Arial" w:eastAsia="Arial" w:hint="default"/>
          <w:spacing w:val="-10"/>
        </w:rPr>
        <w:t> </w:t>
      </w:r>
      <w:r>
        <w:rPr/>
        <w:t>年开始，每年均取得质量、环境、职业健康安全管理体系</w:t>
      </w:r>
      <w:r>
        <w:rPr>
          <w:w w:val="100"/>
        </w:rPr>
        <w:t> </w:t>
      </w:r>
      <w:r>
        <w:rPr/>
        <w:t>证书认证，编号如下：</w:t>
      </w:r>
    </w:p>
    <w:p>
      <w:pPr>
        <w:pStyle w:val="BodyText"/>
        <w:spacing w:line="240" w:lineRule="auto" w:before="47"/>
        <w:ind w:left="560" w:right="117"/>
        <w:jc w:val="left"/>
        <w:rPr>
          <w:rFonts w:ascii="Arial" w:hAnsi="Arial" w:cs="Arial" w:eastAsia="Arial" w:hint="default"/>
        </w:rPr>
      </w:pPr>
      <w:r>
        <w:rPr>
          <w:rFonts w:ascii="Arial" w:hAnsi="Arial" w:cs="Arial" w:eastAsia="Arial" w:hint="default"/>
        </w:rPr>
        <w:t>1</w:t>
      </w:r>
      <w:r>
        <w:rPr/>
        <w:t>、质量管理体系认证证书，编号：</w:t>
      </w:r>
      <w:r>
        <w:rPr>
          <w:rFonts w:ascii="Arial" w:hAnsi="Arial" w:cs="Arial" w:eastAsia="Arial" w:hint="default"/>
        </w:rPr>
        <w:t>00117Q35232R1M/5100</w:t>
      </w:r>
    </w:p>
    <w:p>
      <w:pPr>
        <w:pStyle w:val="BodyText"/>
        <w:spacing w:line="240" w:lineRule="auto" w:before="118"/>
        <w:ind w:left="560" w:right="117"/>
        <w:jc w:val="left"/>
        <w:rPr>
          <w:rFonts w:ascii="Arial" w:hAnsi="Arial" w:cs="Arial" w:eastAsia="Arial" w:hint="default"/>
        </w:rPr>
      </w:pPr>
      <w:r>
        <w:rPr>
          <w:rFonts w:ascii="Arial" w:hAnsi="Arial" w:cs="Arial" w:eastAsia="Arial" w:hint="default"/>
        </w:rPr>
        <w:t>2</w:t>
      </w:r>
      <w:r>
        <w:rPr/>
        <w:t>、环境管理体系认证证书，编号：</w:t>
      </w:r>
      <w:r>
        <w:rPr>
          <w:rFonts w:ascii="Arial" w:hAnsi="Arial" w:cs="Arial" w:eastAsia="Arial" w:hint="default"/>
        </w:rPr>
        <w:t>00117E31847R1M/5100</w:t>
      </w:r>
    </w:p>
    <w:p>
      <w:pPr>
        <w:pStyle w:val="BodyText"/>
        <w:spacing w:line="240" w:lineRule="auto" w:before="120"/>
        <w:ind w:left="560" w:right="117"/>
        <w:jc w:val="left"/>
        <w:rPr>
          <w:rFonts w:ascii="Arial" w:hAnsi="Arial" w:cs="Arial" w:eastAsia="Arial" w:hint="default"/>
        </w:rPr>
      </w:pPr>
      <w:r>
        <w:rPr>
          <w:rFonts w:ascii="Arial" w:hAnsi="Arial" w:cs="Arial" w:eastAsia="Arial" w:hint="default"/>
        </w:rPr>
        <w:t>3</w:t>
      </w:r>
      <w:r>
        <w:rPr/>
        <w:t>、职业健康安全管理体系认证证书，编号：</w:t>
      </w:r>
      <w:r>
        <w:rPr>
          <w:rFonts w:ascii="Arial" w:hAnsi="Arial" w:cs="Arial" w:eastAsia="Arial" w:hint="default"/>
        </w:rPr>
        <w:t>00117S21255R1M/5100</w:t>
      </w:r>
    </w:p>
    <w:p>
      <w:pPr>
        <w:pStyle w:val="BodyText"/>
        <w:spacing w:line="240" w:lineRule="auto" w:before="118"/>
        <w:ind w:left="560" w:right="117"/>
        <w:jc w:val="left"/>
      </w:pPr>
      <w:r>
        <w:rPr>
          <w:rFonts w:ascii="Arial" w:hAnsi="Arial" w:cs="Arial" w:eastAsia="Arial" w:hint="default"/>
          <w:w w:val="100"/>
        </w:rPr>
        <w:t>2018</w:t>
      </w:r>
      <w:r>
        <w:rPr>
          <w:rFonts w:ascii="Arial" w:hAnsi="Arial" w:cs="Arial" w:eastAsia="Arial" w:hint="default"/>
          <w:spacing w:val="-8"/>
        </w:rPr>
        <w:t> </w:t>
      </w:r>
      <w:r>
        <w:rPr>
          <w:w w:val="100"/>
        </w:rPr>
        <w:t>年</w:t>
      </w:r>
      <w:r>
        <w:rPr>
          <w:spacing w:val="-108"/>
          <w:w w:val="100"/>
        </w:rPr>
        <w:t>，</w:t>
      </w:r>
      <w:r>
        <w:rPr>
          <w:w w:val="100"/>
        </w:rPr>
        <w:t>四川</w:t>
      </w:r>
      <w:r>
        <w:rPr>
          <w:spacing w:val="-3"/>
          <w:w w:val="100"/>
        </w:rPr>
        <w:t>新</w:t>
      </w:r>
      <w:r>
        <w:rPr>
          <w:w w:val="100"/>
        </w:rPr>
        <w:t>华</w:t>
      </w:r>
      <w:r>
        <w:rPr>
          <w:spacing w:val="-3"/>
          <w:w w:val="100"/>
        </w:rPr>
        <w:t>印</w:t>
      </w:r>
      <w:r>
        <w:rPr>
          <w:w w:val="100"/>
        </w:rPr>
        <w:t>刷</w:t>
      </w:r>
      <w:r>
        <w:rPr>
          <w:spacing w:val="-3"/>
          <w:w w:val="100"/>
        </w:rPr>
        <w:t>有</w:t>
      </w:r>
      <w:r>
        <w:rPr>
          <w:w w:val="100"/>
        </w:rPr>
        <w:t>限责</w:t>
      </w:r>
      <w:r>
        <w:rPr>
          <w:spacing w:val="-3"/>
          <w:w w:val="100"/>
        </w:rPr>
        <w:t>任</w:t>
      </w:r>
      <w:r>
        <w:rPr>
          <w:w w:val="100"/>
        </w:rPr>
        <w:t>公</w:t>
      </w:r>
      <w:r>
        <w:rPr>
          <w:spacing w:val="-108"/>
          <w:w w:val="100"/>
        </w:rPr>
        <w:t>司</w:t>
      </w:r>
      <w:r>
        <w:rPr>
          <w:w w:val="100"/>
        </w:rPr>
        <w:t>《</w:t>
      </w:r>
      <w:r>
        <w:rPr>
          <w:spacing w:val="-3"/>
          <w:w w:val="100"/>
        </w:rPr>
        <w:t>清</w:t>
      </w:r>
      <w:r>
        <w:rPr>
          <w:w w:val="100"/>
        </w:rPr>
        <w:t>洁生</w:t>
      </w:r>
      <w:r>
        <w:rPr>
          <w:spacing w:val="-3"/>
          <w:w w:val="100"/>
        </w:rPr>
        <w:t>产</w:t>
      </w:r>
      <w:r>
        <w:rPr>
          <w:w w:val="100"/>
        </w:rPr>
        <w:t>审</w:t>
      </w:r>
      <w:r>
        <w:rPr>
          <w:spacing w:val="-3"/>
          <w:w w:val="100"/>
        </w:rPr>
        <w:t>核</w:t>
      </w:r>
      <w:r>
        <w:rPr>
          <w:w w:val="100"/>
        </w:rPr>
        <w:t>报告</w:t>
      </w:r>
      <w:r>
        <w:rPr>
          <w:spacing w:val="-108"/>
          <w:w w:val="100"/>
        </w:rPr>
        <w:t>》</w:t>
      </w:r>
      <w:r>
        <w:rPr>
          <w:w w:val="100"/>
        </w:rPr>
        <w:t>已</w:t>
      </w:r>
      <w:r>
        <w:rPr>
          <w:spacing w:val="-3"/>
          <w:w w:val="100"/>
        </w:rPr>
        <w:t>被</w:t>
      </w:r>
      <w:r>
        <w:rPr>
          <w:w w:val="100"/>
        </w:rPr>
        <w:t>成</w:t>
      </w:r>
      <w:r>
        <w:rPr>
          <w:spacing w:val="-3"/>
          <w:w w:val="100"/>
        </w:rPr>
        <w:t>都</w:t>
      </w:r>
      <w:r>
        <w:rPr>
          <w:w w:val="100"/>
        </w:rPr>
        <w:t>市成</w:t>
      </w:r>
      <w:r>
        <w:rPr>
          <w:spacing w:val="-3"/>
          <w:w w:val="100"/>
        </w:rPr>
        <w:t>华</w:t>
      </w:r>
      <w:r>
        <w:rPr>
          <w:w w:val="100"/>
        </w:rPr>
        <w:t>区</w:t>
      </w:r>
      <w:r>
        <w:rPr>
          <w:spacing w:val="-3"/>
          <w:w w:val="100"/>
        </w:rPr>
        <w:t>环</w:t>
      </w:r>
      <w:r>
        <w:rPr>
          <w:w w:val="100"/>
        </w:rPr>
        <w:t>保局</w:t>
      </w:r>
      <w:r>
        <w:rPr>
          <w:spacing w:val="-3"/>
          <w:w w:val="100"/>
        </w:rPr>
        <w:t>送</w:t>
      </w:r>
      <w:r>
        <w:rPr>
          <w:w w:val="100"/>
        </w:rPr>
        <w:t>审</w:t>
      </w:r>
      <w:r>
        <w:rPr>
          <w:spacing w:val="-3"/>
          <w:w w:val="100"/>
        </w:rPr>
        <w:t>通过</w:t>
      </w:r>
      <w:r>
        <w:rPr>
          <w:w w:val="100"/>
        </w:rPr>
        <w:t>，</w:t>
      </w:r>
    </w:p>
    <w:p>
      <w:pPr>
        <w:pStyle w:val="BodyText"/>
        <w:spacing w:line="240" w:lineRule="auto" w:before="118"/>
        <w:ind w:left="140" w:right="117"/>
        <w:jc w:val="left"/>
      </w:pPr>
      <w:r>
        <w:rPr>
          <w:rFonts w:ascii="Arial" w:hAnsi="Arial" w:cs="Arial" w:eastAsia="Arial" w:hint="default"/>
        </w:rPr>
        <w:t>2019</w:t>
      </w:r>
      <w:r>
        <w:rPr>
          <w:rFonts w:ascii="Arial" w:hAnsi="Arial" w:cs="Arial" w:eastAsia="Arial" w:hint="default"/>
          <w:spacing w:val="-5"/>
        </w:rPr>
        <w:t> </w:t>
      </w:r>
      <w:r>
        <w:rPr/>
        <w:t>年准备验收。</w:t>
      </w:r>
    </w:p>
    <w:p>
      <w:pPr>
        <w:pStyle w:val="BodyText"/>
        <w:spacing w:line="338" w:lineRule="auto" w:before="118"/>
        <w:ind w:left="140" w:right="117" w:firstLine="420"/>
        <w:jc w:val="left"/>
      </w:pPr>
      <w:r>
        <w:rPr>
          <w:rFonts w:ascii="Arial" w:hAnsi="Arial" w:cs="Arial" w:eastAsia="Arial" w:hint="default"/>
        </w:rPr>
        <w:t>2018</w:t>
      </w:r>
      <w:r>
        <w:rPr>
          <w:rFonts w:ascii="Arial" w:hAnsi="Arial" w:cs="Arial" w:eastAsia="Arial" w:hint="default"/>
          <w:spacing w:val="-3"/>
        </w:rPr>
        <w:t> </w:t>
      </w:r>
      <w:r>
        <w:rPr/>
        <w:t>年</w:t>
      </w:r>
      <w:r>
        <w:rPr>
          <w:spacing w:val="-50"/>
        </w:rPr>
        <w:t> </w:t>
      </w:r>
      <w:r>
        <w:rPr>
          <w:rFonts w:ascii="Arial" w:hAnsi="Arial" w:cs="Arial" w:eastAsia="Arial" w:hint="default"/>
        </w:rPr>
        <w:t>6</w:t>
      </w:r>
      <w:r>
        <w:rPr>
          <w:rFonts w:ascii="Arial" w:hAnsi="Arial" w:cs="Arial" w:eastAsia="Arial" w:hint="default"/>
          <w:spacing w:val="-1"/>
        </w:rPr>
        <w:t> </w:t>
      </w:r>
      <w:r>
        <w:rPr/>
        <w:t>月</w:t>
      </w:r>
      <w:r>
        <w:rPr>
          <w:spacing w:val="-48"/>
        </w:rPr>
        <w:t> </w:t>
      </w:r>
      <w:r>
        <w:rPr>
          <w:rFonts w:ascii="Arial" w:hAnsi="Arial" w:cs="Arial" w:eastAsia="Arial" w:hint="default"/>
        </w:rPr>
        <w:t>12</w:t>
      </w:r>
      <w:r>
        <w:rPr>
          <w:rFonts w:ascii="Arial" w:hAnsi="Arial" w:cs="Arial" w:eastAsia="Arial" w:hint="default"/>
          <w:spacing w:val="-1"/>
        </w:rPr>
        <w:t> </w:t>
      </w:r>
      <w:r>
        <w:rPr>
          <w:spacing w:val="-3"/>
        </w:rPr>
        <w:t>日，四川新华印刷有限责任公司被四川省环境保护厅评审为</w:t>
      </w:r>
      <w:r>
        <w:rPr>
          <w:rFonts w:ascii="Arial" w:hAnsi="Arial" w:cs="Arial" w:eastAsia="Arial" w:hint="default"/>
          <w:spacing w:val="-3"/>
        </w:rPr>
        <w:t>“</w:t>
      </w:r>
      <w:r>
        <w:rPr>
          <w:spacing w:val="-3"/>
        </w:rPr>
        <w:t>四川省</w:t>
      </w:r>
      <w:r>
        <w:rPr>
          <w:spacing w:val="-46"/>
        </w:rPr>
        <w:t> </w:t>
      </w:r>
      <w:r>
        <w:rPr>
          <w:rFonts w:ascii="Arial" w:hAnsi="Arial" w:cs="Arial" w:eastAsia="Arial" w:hint="default"/>
        </w:rPr>
        <w:t>2017</w:t>
      </w:r>
      <w:r>
        <w:rPr>
          <w:rFonts w:ascii="Arial" w:hAnsi="Arial" w:cs="Arial" w:eastAsia="Arial" w:hint="default"/>
          <w:spacing w:val="-3"/>
        </w:rPr>
        <w:t> </w:t>
      </w:r>
      <w:r>
        <w:rPr/>
        <w:t>年度</w:t>
      </w:r>
      <w:r>
        <w:rPr>
          <w:w w:val="100"/>
        </w:rPr>
        <w:t> </w:t>
      </w:r>
      <w:r>
        <w:rPr/>
        <w:t>企业环境信用评价诚信企业</w:t>
      </w:r>
      <w:r>
        <w:rPr>
          <w:rFonts w:ascii="Arial" w:hAnsi="Arial" w:cs="Arial" w:eastAsia="Arial" w:hint="default"/>
        </w:rPr>
        <w:t>”</w:t>
      </w:r>
      <w:r>
        <w:rPr/>
        <w:t>。</w:t>
      </w:r>
    </w:p>
    <w:p>
      <w:pPr>
        <w:pStyle w:val="BodyText"/>
        <w:spacing w:line="240" w:lineRule="auto" w:before="24"/>
        <w:ind w:left="560" w:right="117"/>
        <w:jc w:val="left"/>
      </w:pPr>
      <w:r>
        <w:rPr>
          <w:rFonts w:ascii="Arial" w:hAnsi="Arial" w:cs="Arial" w:eastAsia="Arial" w:hint="default"/>
        </w:rPr>
        <w:t>2018</w:t>
      </w:r>
      <w:r>
        <w:rPr>
          <w:rFonts w:ascii="Arial" w:hAnsi="Arial" w:cs="Arial" w:eastAsia="Arial" w:hint="default"/>
          <w:spacing w:val="-8"/>
        </w:rPr>
        <w:t> </w:t>
      </w:r>
      <w:r>
        <w:rPr/>
        <w:t>年完成水平衡报告编制工作。</w:t>
      </w:r>
    </w:p>
    <w:p>
      <w:pPr>
        <w:spacing w:line="240" w:lineRule="auto" w:before="0"/>
        <w:rPr>
          <w:rFonts w:ascii="宋体" w:hAnsi="宋体" w:cs="宋体" w:eastAsia="宋体" w:hint="default"/>
          <w:sz w:val="22"/>
          <w:szCs w:val="22"/>
        </w:rPr>
      </w:pPr>
    </w:p>
    <w:p>
      <w:pPr>
        <w:pStyle w:val="Heading2"/>
        <w:tabs>
          <w:tab w:pos="565" w:val="left" w:leader="none"/>
        </w:tabs>
        <w:spacing w:line="240" w:lineRule="auto" w:before="147"/>
        <w:ind w:left="140" w:right="117"/>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56"/>
        <w:ind w:left="560" w:right="1088" w:hanging="420"/>
        <w:jc w:val="left"/>
      </w:pPr>
      <w:r>
        <w:rPr/>
        <w:t>√适用</w:t>
      </w:r>
      <w:r>
        <w:rPr>
          <w:spacing w:val="-2"/>
        </w:rPr>
        <w:t> </w:t>
      </w:r>
      <w:r>
        <w:rPr/>
        <w:t>□不适用</w:t>
      </w:r>
      <w:r>
        <w:rPr>
          <w:spacing w:val="-103"/>
        </w:rPr>
        <w:t> </w:t>
      </w:r>
      <w:r>
        <w:rPr>
          <w:spacing w:val="-103"/>
        </w:rPr>
      </w:r>
      <w:r>
        <w:rPr>
          <w:spacing w:val="-2"/>
        </w:rPr>
        <w:t>除新华印刷外，本公司及所属子公司均不属于环保部门公布的重点排污单位。</w:t>
      </w:r>
    </w:p>
    <w:p>
      <w:pPr>
        <w:pStyle w:val="BodyText"/>
        <w:spacing w:line="357" w:lineRule="auto" w:before="133"/>
        <w:ind w:left="140" w:right="117" w:firstLine="420"/>
        <w:jc w:val="left"/>
      </w:pPr>
      <w:r>
        <w:rPr/>
        <w:t>本公司严格遵守《环境保护法》《清洁生产促进法》等法律、法规，自觉履行社会责任，切实</w:t>
      </w:r>
      <w:r>
        <w:rPr>
          <w:w w:val="100"/>
        </w:rPr>
        <w:t> </w:t>
      </w:r>
      <w:r>
        <w:rPr/>
        <w:t>保障环境质量。本公司坚持将绿色理念贯穿始终，充分管理自身在运营与办公环节对环境的影响，</w:t>
      </w:r>
      <w:r>
        <w:rPr>
          <w:spacing w:val="-9"/>
        </w:rPr>
        <w:t> </w:t>
      </w:r>
      <w:r>
        <w:rPr>
          <w:spacing w:val="-9"/>
        </w:rPr>
      </w:r>
      <w:r>
        <w:rPr/>
        <w:t>积极向员工及社会传播绿色文明理念，践行绿色运营。报告期内，本公司未发生任何影响环境及自</w:t>
      </w:r>
      <w:r>
        <w:rPr>
          <w:w w:val="100"/>
        </w:rPr>
        <w:t> </w:t>
      </w:r>
      <w:r>
        <w:rPr/>
        <w:t>然资源的重大事故以及环境方面的处罚及诉讼。</w:t>
      </w:r>
    </w:p>
    <w:p>
      <w:pPr>
        <w:spacing w:line="240" w:lineRule="auto" w:before="7"/>
        <w:rPr>
          <w:rFonts w:ascii="宋体" w:hAnsi="宋体" w:cs="宋体" w:eastAsia="宋体" w:hint="default"/>
          <w:sz w:val="26"/>
          <w:szCs w:val="26"/>
        </w:rPr>
      </w:pPr>
    </w:p>
    <w:p>
      <w:pPr>
        <w:pStyle w:val="Heading2"/>
        <w:tabs>
          <w:tab w:pos="565" w:val="left" w:leader="none"/>
        </w:tabs>
        <w:spacing w:line="240" w:lineRule="auto"/>
        <w:ind w:left="140" w:right="117"/>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6"/>
        <w:ind w:left="140" w:right="117"/>
        <w:jc w:val="left"/>
      </w:pPr>
      <w:r>
        <w:rPr/>
        <w:t>□适用 √不适用</w:t>
      </w:r>
    </w:p>
    <w:p>
      <w:pPr>
        <w:spacing w:line="240" w:lineRule="auto" w:before="12"/>
        <w:rPr>
          <w:rFonts w:ascii="宋体" w:hAnsi="宋体" w:cs="宋体" w:eastAsia="宋体" w:hint="default"/>
          <w:sz w:val="23"/>
          <w:szCs w:val="23"/>
        </w:rPr>
      </w:pPr>
    </w:p>
    <w:p>
      <w:pPr>
        <w:pStyle w:val="Heading2"/>
        <w:tabs>
          <w:tab w:pos="565" w:val="left" w:leader="none"/>
        </w:tabs>
        <w:spacing w:line="240" w:lineRule="auto"/>
        <w:ind w:left="140" w:right="117"/>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58"/>
        <w:ind w:left="140" w:right="117"/>
        <w:jc w:val="left"/>
      </w:pPr>
      <w:r>
        <w:rPr/>
        <w:t>□适用 √不适用</w:t>
      </w:r>
    </w:p>
    <w:p>
      <w:pPr>
        <w:spacing w:line="240" w:lineRule="auto" w:before="12"/>
        <w:rPr>
          <w:rFonts w:ascii="宋体" w:hAnsi="宋体" w:cs="宋体" w:eastAsia="宋体" w:hint="default"/>
          <w:sz w:val="23"/>
          <w:szCs w:val="23"/>
        </w:rPr>
      </w:pPr>
    </w:p>
    <w:p>
      <w:pPr>
        <w:pStyle w:val="Heading2"/>
        <w:tabs>
          <w:tab w:pos="783" w:val="left" w:leader="none"/>
        </w:tabs>
        <w:spacing w:line="240" w:lineRule="auto"/>
        <w:ind w:left="140" w:right="117"/>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其他说明</w:t>
      </w:r>
      <w:r>
        <w:rPr>
          <w:b w:val="0"/>
          <w:bCs w:val="0"/>
        </w:rPr>
      </w:r>
    </w:p>
    <w:p>
      <w:pPr>
        <w:pStyle w:val="BodyText"/>
        <w:tabs>
          <w:tab w:pos="982" w:val="left" w:leader="none"/>
        </w:tabs>
        <w:spacing w:line="240" w:lineRule="auto" w:before="59"/>
        <w:ind w:left="140" w:right="117"/>
        <w:jc w:val="left"/>
      </w:pPr>
      <w:r>
        <w:rPr/>
        <w:t>□适用</w:t>
        <w:tab/>
        <w:t>√不适用</w:t>
      </w:r>
    </w:p>
    <w:p>
      <w:pPr>
        <w:spacing w:after="0" w:line="240" w:lineRule="auto"/>
        <w:jc w:val="left"/>
        <w:sectPr>
          <w:pgSz w:w="11910" w:h="16840"/>
          <w:pgMar w:header="0" w:footer="1195" w:top="106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36"/>
        <w:ind w:left="140" w:right="106"/>
        <w:jc w:val="left"/>
        <w:rPr>
          <w:b w:val="0"/>
          <w:bCs w:val="0"/>
        </w:rPr>
      </w:pPr>
      <w:r>
        <w:rPr/>
        <w:t>十八、可转换公司债券情况</w:t>
      </w:r>
      <w:r>
        <w:rPr>
          <w:b w:val="0"/>
          <w:bCs w:val="0"/>
        </w:rPr>
      </w:r>
    </w:p>
    <w:p>
      <w:pPr>
        <w:pStyle w:val="Heading2"/>
        <w:spacing w:line="240" w:lineRule="auto" w:before="58"/>
        <w:ind w:left="140" w:right="10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2" w:val="left" w:leader="none"/>
        </w:tabs>
        <w:spacing w:line="240" w:lineRule="auto" w:before="29"/>
        <w:ind w:left="140" w:right="106"/>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left="140" w:right="106"/>
        <w:jc w:val="left"/>
      </w:pPr>
      <w:r>
        <w:rPr/>
        <w:t>□适用 √不适用</w:t>
      </w:r>
    </w:p>
    <w:p>
      <w:pPr>
        <w:pStyle w:val="Heading2"/>
        <w:spacing w:line="240" w:lineRule="auto" w:before="56"/>
        <w:ind w:left="140" w:right="10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left="140" w:right="6402"/>
        <w:jc w:val="left"/>
      </w:pPr>
      <w:r>
        <w:rPr/>
        <w:t>□适用</w:t>
      </w:r>
      <w:r>
        <w:rPr>
          <w:spacing w:val="-2"/>
        </w:rPr>
        <w:t> </w:t>
      </w:r>
      <w:r>
        <w:rPr/>
        <w:t>√不适用</w:t>
      </w:r>
      <w:r>
        <w:rPr>
          <w:spacing w:val="-103"/>
        </w:rPr>
        <w:t> </w:t>
      </w:r>
      <w:r>
        <w:rPr>
          <w:spacing w:val="-103"/>
        </w:rPr>
      </w:r>
      <w:r>
        <w:rPr>
          <w:spacing w:val="-2"/>
        </w:rPr>
        <w:t>报告期转债累计转股情况</w:t>
      </w:r>
    </w:p>
    <w:p>
      <w:pPr>
        <w:pStyle w:val="BodyText"/>
        <w:spacing w:line="249" w:lineRule="exact"/>
        <w:ind w:left="140" w:right="106"/>
        <w:jc w:val="left"/>
      </w:pPr>
      <w:r>
        <w:rPr/>
        <w:t>□适用 √不适用</w:t>
      </w:r>
    </w:p>
    <w:p>
      <w:pPr>
        <w:pStyle w:val="Heading2"/>
        <w:spacing w:line="240" w:lineRule="auto" w:before="56"/>
        <w:ind w:left="140" w:right="106"/>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29"/>
        <w:ind w:left="140" w:right="106"/>
        <w:jc w:val="left"/>
      </w:pPr>
      <w:r>
        <w:rPr/>
        <w:t>□适用 √不适用</w:t>
      </w:r>
    </w:p>
    <w:p>
      <w:pPr>
        <w:pStyle w:val="Heading2"/>
        <w:spacing w:line="240" w:lineRule="auto" w:before="58"/>
        <w:ind w:left="140" w:right="106"/>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2" w:val="left" w:leader="none"/>
        </w:tabs>
        <w:spacing w:line="240" w:lineRule="auto" w:before="29"/>
        <w:ind w:left="140" w:right="106"/>
        <w:jc w:val="left"/>
      </w:pPr>
      <w:r>
        <w:rPr/>
        <w:t>□适用</w:t>
        <w:tab/>
        <w:t>√不适用</w:t>
      </w:r>
    </w:p>
    <w:p>
      <w:pPr>
        <w:pStyle w:val="Heading2"/>
        <w:spacing w:line="240" w:lineRule="auto" w:before="58"/>
        <w:ind w:left="140" w:right="106"/>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2" w:val="left" w:leader="none"/>
        </w:tabs>
        <w:spacing w:line="240" w:lineRule="auto" w:before="29"/>
        <w:ind w:left="140" w:right="106"/>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1"/>
        <w:tabs>
          <w:tab w:pos="3596" w:val="left" w:leader="none"/>
        </w:tabs>
        <w:spacing w:line="240" w:lineRule="auto"/>
        <w:ind w:left="2336" w:right="106"/>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5"/>
        <w:rPr>
          <w:rFonts w:ascii="黑体" w:hAnsi="黑体" w:cs="黑体" w:eastAsia="黑体" w:hint="default"/>
          <w:b/>
          <w:bCs/>
          <w:sz w:val="19"/>
          <w:szCs w:val="19"/>
        </w:rPr>
      </w:pPr>
    </w:p>
    <w:p>
      <w:pPr>
        <w:pStyle w:val="Heading2"/>
        <w:tabs>
          <w:tab w:pos="706" w:val="left" w:leader="none"/>
        </w:tabs>
        <w:spacing w:line="278" w:lineRule="auto"/>
        <w:ind w:left="140" w:right="6467"/>
        <w:jc w:val="left"/>
        <w:rPr>
          <w:b w:val="0"/>
          <w:bCs w:val="0"/>
        </w:rPr>
      </w:pPr>
      <w:r>
        <w:rPr/>
        <w:t>一、</w:t>
      </w:r>
      <w:r>
        <w:rPr>
          <w:spacing w:val="-78"/>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pStyle w:val="BodyText"/>
        <w:spacing w:line="240" w:lineRule="auto" w:before="22"/>
        <w:ind w:left="140" w:right="106"/>
        <w:jc w:val="left"/>
      </w:pPr>
      <w:r>
        <w:rPr/>
        <w:t>报告期内，公司普通股股份总数及股本结构未发生变化。</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宋体" w:hAnsi="宋体" w:cs="宋体" w:eastAsia="宋体" w:hint="default"/>
        </w:rPr>
        <w:t>2</w:t>
      </w:r>
      <w:r>
        <w:rPr/>
        <w:t>、</w:t>
      </w:r>
      <w:r>
        <w:rPr>
          <w:spacing w:val="-3"/>
        </w:rPr>
        <w:t> </w:t>
      </w:r>
      <w:r>
        <w:rPr/>
        <w:t>普通股股份变动情况说明</w:t>
      </w:r>
      <w:r>
        <w:rPr>
          <w:b w:val="0"/>
          <w:bCs w:val="0"/>
        </w:rPr>
      </w:r>
    </w:p>
    <w:p>
      <w:pPr>
        <w:pStyle w:val="BodyText"/>
        <w:tabs>
          <w:tab w:pos="982" w:val="left" w:leader="none"/>
        </w:tabs>
        <w:spacing w:line="240" w:lineRule="auto" w:before="58"/>
        <w:ind w:left="140" w:right="106"/>
        <w:jc w:val="left"/>
      </w:pPr>
      <w:r>
        <w:rPr/>
        <w:t>□适用</w:t>
        <w:tab/>
        <w:t>√不适用</w:t>
      </w:r>
    </w:p>
    <w:p>
      <w:pPr>
        <w:pStyle w:val="Heading2"/>
        <w:spacing w:line="240" w:lineRule="auto" w:before="56"/>
        <w:ind w:left="140" w:right="106"/>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982" w:val="left" w:leader="none"/>
        </w:tabs>
        <w:spacing w:line="240" w:lineRule="auto" w:before="58"/>
        <w:ind w:left="140" w:right="106"/>
        <w:jc w:val="left"/>
      </w:pPr>
      <w:r>
        <w:rPr/>
        <w:t>□适用</w:t>
        <w:tab/>
        <w:t>√不适用</w:t>
      </w:r>
    </w:p>
    <w:p>
      <w:pPr>
        <w:pStyle w:val="Heading2"/>
        <w:spacing w:line="240" w:lineRule="auto" w:before="57"/>
        <w:ind w:left="140" w:right="106"/>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982" w:val="left" w:leader="none"/>
        </w:tabs>
        <w:spacing w:line="240" w:lineRule="auto" w:before="58"/>
        <w:ind w:left="140" w:right="106"/>
        <w:jc w:val="left"/>
      </w:pPr>
      <w:r>
        <w:rPr/>
        <w:t>□适用</w:t>
        <w:tab/>
        <w:t>√不适用</w:t>
      </w:r>
    </w:p>
    <w:p>
      <w:pPr>
        <w:pStyle w:val="Heading2"/>
        <w:tabs>
          <w:tab w:pos="706" w:val="left" w:leader="none"/>
        </w:tabs>
        <w:spacing w:line="240" w:lineRule="auto" w:before="56"/>
        <w:ind w:left="140" w:right="106"/>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140" w:right="106"/>
        <w:jc w:val="left"/>
      </w:pPr>
      <w:r>
        <w:rPr/>
        <w:t>□适用 √不适用</w:t>
      </w:r>
    </w:p>
    <w:p>
      <w:pPr>
        <w:pStyle w:val="Heading2"/>
        <w:spacing w:line="290" w:lineRule="auto" w:before="58"/>
        <w:ind w:left="140" w:right="6174"/>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left="140" w:right="1388"/>
        <w:jc w:val="left"/>
      </w:pPr>
      <w:r>
        <w:rPr/>
        <w:t>□适用</w:t>
      </w:r>
      <w:r>
        <w:rPr>
          <w:spacing w:val="-2"/>
        </w:rPr>
        <w:t> </w:t>
      </w:r>
      <w:r>
        <w:rPr/>
        <w:t>√不适用</w:t>
      </w:r>
      <w:r>
        <w:rPr>
          <w:spacing w:val="-103"/>
        </w:rPr>
        <w:t> </w:t>
      </w:r>
      <w:r>
        <w:rPr>
          <w:spacing w:val="-103"/>
        </w:rPr>
      </w:r>
      <w:r>
        <w:rPr>
          <w:spacing w:val="-2"/>
        </w:rPr>
        <w:t>截至报告期内证券发行情况的说明（存续期内利率不同的债券，请分别说明）：</w:t>
      </w:r>
    </w:p>
    <w:p>
      <w:pPr>
        <w:pStyle w:val="BodyText"/>
        <w:tabs>
          <w:tab w:pos="982" w:val="left" w:leader="none"/>
        </w:tabs>
        <w:spacing w:line="249" w:lineRule="exact"/>
        <w:ind w:left="140" w:right="106"/>
        <w:jc w:val="left"/>
      </w:pPr>
      <w:r>
        <w:rPr/>
        <w:t>□适用</w:t>
        <w:tab/>
        <w:t>√不适用</w:t>
      </w:r>
    </w:p>
    <w:p>
      <w:pPr>
        <w:spacing w:after="0" w:line="249" w:lineRule="exact"/>
        <w:jc w:val="left"/>
        <w:sectPr>
          <w:pgSz w:w="11910" w:h="16840"/>
          <w:pgMar w:header="0" w:footer="1195" w:top="1060" w:bottom="1380" w:left="130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spacing w:line="240" w:lineRule="auto" w:before="36"/>
        <w:ind w:left="400" w:right="2009"/>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242" w:val="left" w:leader="none"/>
        </w:tabs>
        <w:spacing w:line="240" w:lineRule="auto" w:before="56"/>
        <w:ind w:left="400" w:right="2009"/>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400" w:right="2009"/>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left="400" w:right="2009"/>
        <w:jc w:val="left"/>
      </w:pPr>
      <w:r>
        <w:rPr/>
        <w:t>□适用 √不适用</w:t>
      </w:r>
    </w:p>
    <w:p>
      <w:pPr>
        <w:pStyle w:val="Heading2"/>
        <w:spacing w:line="240" w:lineRule="auto" w:before="56"/>
        <w:ind w:left="400" w:right="2009"/>
        <w:jc w:val="left"/>
        <w:rPr>
          <w:b w:val="0"/>
          <w:bCs w:val="0"/>
        </w:rPr>
      </w:pPr>
      <w:r>
        <w:rPr/>
        <w:t>三、</w:t>
      </w:r>
      <w:r>
        <w:rPr>
          <w:spacing w:val="-81"/>
        </w:rPr>
        <w:t> </w:t>
      </w:r>
      <w:r>
        <w:rPr/>
        <w:t>股东和实际控制人情况</w:t>
      </w:r>
      <w:r>
        <w:rPr>
          <w:b w:val="0"/>
          <w:bCs w:val="0"/>
        </w:rPr>
      </w:r>
    </w:p>
    <w:p>
      <w:pPr>
        <w:pStyle w:val="Heading2"/>
        <w:spacing w:line="240" w:lineRule="auto" w:before="58"/>
        <w:ind w:left="400" w:right="200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287" w:type="dxa"/>
        <w:tblLayout w:type="fixed"/>
        <w:tblCellMar>
          <w:top w:w="0" w:type="dxa"/>
          <w:left w:w="0" w:type="dxa"/>
          <w:bottom w:w="0" w:type="dxa"/>
          <w:right w:w="0" w:type="dxa"/>
        </w:tblCellMar>
        <w:tblLook w:val="01E0"/>
      </w:tblPr>
      <w:tblGrid>
        <w:gridCol w:w="5072"/>
        <w:gridCol w:w="3977"/>
      </w:tblGrid>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32,447</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32,774</w:t>
            </w:r>
          </w:p>
        </w:tc>
      </w:tr>
    </w:tbl>
    <w:p>
      <w:pPr>
        <w:spacing w:line="240" w:lineRule="auto" w:before="13"/>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0" w:footer="1195" w:top="1060" w:bottom="1380" w:left="1040" w:right="1260"/>
        </w:sectPr>
      </w:pPr>
    </w:p>
    <w:p>
      <w:pPr>
        <w:pStyle w:val="Heading2"/>
        <w:spacing w:line="240" w:lineRule="auto" w:before="36"/>
        <w:ind w:left="400"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400"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060" w:bottom="1380" w:left="1040" w:right="1260"/>
          <w:cols w:num="2" w:equalWidth="0">
            <w:col w:w="7995" w:space="298"/>
            <w:col w:w="131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85"/>
        <w:gridCol w:w="905"/>
        <w:gridCol w:w="370"/>
        <w:gridCol w:w="1418"/>
        <w:gridCol w:w="245"/>
        <w:gridCol w:w="605"/>
        <w:gridCol w:w="1418"/>
        <w:gridCol w:w="192"/>
        <w:gridCol w:w="518"/>
        <w:gridCol w:w="567"/>
        <w:gridCol w:w="1154"/>
      </w:tblGrid>
      <w:tr>
        <w:trPr>
          <w:trHeight w:val="269" w:hRule="exact"/>
        </w:trPr>
        <w:tc>
          <w:tcPr>
            <w:tcW w:w="937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3"/>
              <w:jc w:val="center"/>
              <w:rPr>
                <w:rFonts w:ascii="宋体" w:hAnsi="宋体" w:cs="宋体" w:eastAsia="宋体" w:hint="default"/>
                <w:sz w:val="20"/>
                <w:szCs w:val="20"/>
              </w:rPr>
            </w:pPr>
            <w:r>
              <w:rPr>
                <w:rFonts w:ascii="宋体" w:hAnsi="宋体" w:cs="宋体" w:eastAsia="宋体" w:hint="default"/>
                <w:sz w:val="20"/>
                <w:szCs w:val="20"/>
              </w:rPr>
              <w:t>前十名股东持股情况</w:t>
            </w:r>
          </w:p>
        </w:tc>
      </w:tr>
      <w:tr>
        <w:trPr>
          <w:trHeight w:val="530"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60" w:lineRule="exact"/>
              <w:ind w:left="588" w:right="0"/>
              <w:jc w:val="left"/>
              <w:rPr>
                <w:rFonts w:ascii="宋体" w:hAnsi="宋体" w:cs="宋体" w:eastAsia="宋体" w:hint="default"/>
                <w:sz w:val="20"/>
                <w:szCs w:val="20"/>
              </w:rPr>
            </w:pPr>
            <w:r>
              <w:rPr>
                <w:rFonts w:ascii="宋体" w:hAnsi="宋体" w:cs="宋体" w:eastAsia="宋体" w:hint="default"/>
                <w:sz w:val="20"/>
                <w:szCs w:val="20"/>
              </w:rPr>
              <w:t>股东名称</w:t>
            </w:r>
          </w:p>
          <w:p>
            <w:pPr>
              <w:pStyle w:val="TableParagraph"/>
              <w:spacing w:line="260" w:lineRule="exact"/>
              <w:ind w:left="588" w:right="0"/>
              <w:jc w:val="left"/>
              <w:rPr>
                <w:rFonts w:ascii="宋体" w:hAnsi="宋体" w:cs="宋体" w:eastAsia="宋体" w:hint="default"/>
                <w:sz w:val="20"/>
                <w:szCs w:val="20"/>
              </w:rPr>
            </w:pPr>
            <w:r>
              <w:rPr>
                <w:rFonts w:ascii="宋体" w:hAnsi="宋体" w:cs="宋体" w:eastAsia="宋体" w:hint="default"/>
                <w:sz w:val="20"/>
                <w:szCs w:val="20"/>
              </w:rPr>
              <w:t>（全称）</w:t>
            </w:r>
          </w:p>
        </w:tc>
        <w:tc>
          <w:tcPr>
            <w:tcW w:w="1275"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60" w:lineRule="exact"/>
              <w:ind w:left="532" w:right="133" w:hanging="401"/>
              <w:jc w:val="left"/>
              <w:rPr>
                <w:rFonts w:ascii="宋体" w:hAnsi="宋体" w:cs="宋体" w:eastAsia="宋体" w:hint="default"/>
                <w:sz w:val="20"/>
                <w:szCs w:val="20"/>
              </w:rPr>
            </w:pPr>
            <w:r>
              <w:rPr>
                <w:rFonts w:ascii="宋体" w:hAnsi="宋体" w:cs="宋体" w:eastAsia="宋体" w:hint="default"/>
                <w:sz w:val="20"/>
                <w:szCs w:val="20"/>
              </w:rPr>
              <w:t>报告期内增</w:t>
            </w:r>
            <w:r>
              <w:rPr>
                <w:rFonts w:ascii="宋体" w:hAnsi="宋体" w:cs="宋体" w:eastAsia="宋体" w:hint="default"/>
                <w:w w:val="99"/>
                <w:sz w:val="20"/>
                <w:szCs w:val="20"/>
              </w:rPr>
              <w:t> </w:t>
            </w:r>
            <w:r>
              <w:rPr>
                <w:rFonts w:ascii="宋体" w:hAnsi="宋体" w:cs="宋体" w:eastAsia="宋体" w:hint="default"/>
                <w:sz w:val="20"/>
                <w:szCs w:val="20"/>
              </w:rPr>
              <w:t>减</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期末持股数量</w:t>
            </w:r>
          </w:p>
        </w:tc>
        <w:tc>
          <w:tcPr>
            <w:tcW w:w="850"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60" w:lineRule="exact"/>
              <w:ind w:left="268" w:right="221" w:hanging="5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w w:val="99"/>
                <w:sz w:val="20"/>
                <w:szCs w:val="20"/>
              </w:rPr>
              <w:t> </w:t>
            </w:r>
            <w:r>
              <w:rPr>
                <w:rFonts w:ascii="宋体" w:hAnsi="宋体" w:cs="宋体" w:eastAsia="宋体" w:hint="default"/>
                <w:sz w:val="20"/>
                <w:szCs w:val="20"/>
              </w:rPr>
              <w:t>(%)</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60" w:lineRule="exact"/>
              <w:ind w:left="204" w:right="106" w:hanging="101"/>
              <w:jc w:val="left"/>
              <w:rPr>
                <w:rFonts w:ascii="宋体" w:hAnsi="宋体" w:cs="宋体" w:eastAsia="宋体" w:hint="default"/>
                <w:sz w:val="20"/>
                <w:szCs w:val="20"/>
              </w:rPr>
            </w:pPr>
            <w:r>
              <w:rPr>
                <w:rFonts w:ascii="宋体" w:hAnsi="宋体" w:cs="宋体" w:eastAsia="宋体" w:hint="default"/>
                <w:sz w:val="20"/>
                <w:szCs w:val="20"/>
              </w:rPr>
              <w:t>持有有限售条</w:t>
            </w:r>
            <w:r>
              <w:rPr>
                <w:rFonts w:ascii="宋体" w:hAnsi="宋体" w:cs="宋体" w:eastAsia="宋体" w:hint="default"/>
                <w:w w:val="99"/>
                <w:sz w:val="20"/>
                <w:szCs w:val="20"/>
              </w:rPr>
              <w:t> </w:t>
            </w:r>
            <w:r>
              <w:rPr>
                <w:rFonts w:ascii="宋体" w:hAnsi="宋体" w:cs="宋体" w:eastAsia="宋体" w:hint="default"/>
                <w:sz w:val="20"/>
                <w:szCs w:val="20"/>
              </w:rPr>
              <w:t>件股份数量</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3"/>
              <w:jc w:val="center"/>
              <w:rPr>
                <w:rFonts w:ascii="宋体" w:hAnsi="宋体" w:cs="宋体" w:eastAsia="宋体" w:hint="default"/>
                <w:sz w:val="20"/>
                <w:szCs w:val="20"/>
              </w:rPr>
            </w:pPr>
            <w:r>
              <w:rPr>
                <w:rFonts w:ascii="宋体" w:hAnsi="宋体" w:cs="宋体" w:eastAsia="宋体" w:hint="default"/>
                <w:sz w:val="20"/>
                <w:szCs w:val="20"/>
              </w:rPr>
              <w:t>质押或冻结</w:t>
            </w:r>
          </w:p>
          <w:p>
            <w:pPr>
              <w:pStyle w:val="TableParagraph"/>
              <w:spacing w:line="260" w:lineRule="exact"/>
              <w:ind w:right="3"/>
              <w:jc w:val="center"/>
              <w:rPr>
                <w:rFonts w:ascii="宋体" w:hAnsi="宋体" w:cs="宋体" w:eastAsia="宋体" w:hint="default"/>
                <w:sz w:val="20"/>
                <w:szCs w:val="20"/>
              </w:rPr>
            </w:pPr>
            <w:r>
              <w:rPr>
                <w:rFonts w:ascii="宋体" w:hAnsi="宋体" w:cs="宋体" w:eastAsia="宋体" w:hint="default"/>
                <w:sz w:val="20"/>
                <w:szCs w:val="20"/>
              </w:rPr>
              <w:t>情况</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60" w:lineRule="exact"/>
              <w:ind w:left="372" w:right="372"/>
              <w:jc w:val="left"/>
              <w:rPr>
                <w:rFonts w:ascii="宋体" w:hAnsi="宋体" w:cs="宋体" w:eastAsia="宋体" w:hint="default"/>
                <w:sz w:val="20"/>
                <w:szCs w:val="20"/>
              </w:rPr>
            </w:pPr>
            <w:r>
              <w:rPr>
                <w:rFonts w:ascii="宋体" w:hAnsi="宋体" w:cs="宋体" w:eastAsia="宋体" w:hint="default"/>
                <w:sz w:val="20"/>
                <w:szCs w:val="20"/>
              </w:rPr>
              <w:t>股东</w:t>
            </w:r>
            <w:r>
              <w:rPr>
                <w:rFonts w:ascii="宋体" w:hAnsi="宋体" w:cs="宋体" w:eastAsia="宋体" w:hint="default"/>
                <w:w w:val="99"/>
                <w:sz w:val="20"/>
                <w:szCs w:val="20"/>
              </w:rPr>
              <w:t> </w:t>
            </w:r>
            <w:r>
              <w:rPr>
                <w:rFonts w:ascii="宋体" w:hAnsi="宋体" w:cs="宋体" w:eastAsia="宋体" w:hint="default"/>
                <w:sz w:val="20"/>
                <w:szCs w:val="20"/>
              </w:rPr>
              <w:t>性质</w:t>
            </w:r>
          </w:p>
        </w:tc>
      </w:tr>
      <w:tr>
        <w:trPr>
          <w:trHeight w:val="528" w:hRule="exact"/>
        </w:trPr>
        <w:tc>
          <w:tcPr>
            <w:tcW w:w="1985" w:type="dxa"/>
            <w:vMerge/>
            <w:tcBorders>
              <w:left w:val="single" w:sz="4" w:space="0" w:color="000000"/>
              <w:bottom w:val="single" w:sz="4" w:space="0" w:color="000000"/>
              <w:right w:val="single" w:sz="4" w:space="0" w:color="000000"/>
            </w:tcBorders>
          </w:tcPr>
          <w:p>
            <w:pPr/>
          </w:p>
        </w:tc>
        <w:tc>
          <w:tcPr>
            <w:tcW w:w="1275" w:type="dxa"/>
            <w:gridSpan w:val="2"/>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850" w:type="dxa"/>
            <w:gridSpan w:val="2"/>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8" w:right="0"/>
              <w:jc w:val="left"/>
              <w:rPr>
                <w:rFonts w:ascii="宋体" w:hAnsi="宋体" w:cs="宋体" w:eastAsia="宋体" w:hint="default"/>
                <w:sz w:val="20"/>
                <w:szCs w:val="20"/>
              </w:rPr>
            </w:pPr>
            <w:r>
              <w:rPr>
                <w:rFonts w:ascii="宋体" w:hAnsi="宋体" w:cs="宋体" w:eastAsia="宋体" w:hint="default"/>
                <w:sz w:val="20"/>
                <w:szCs w:val="20"/>
              </w:rPr>
              <w:t>股份</w:t>
            </w:r>
          </w:p>
          <w:p>
            <w:pPr>
              <w:pStyle w:val="TableParagraph"/>
              <w:spacing w:line="260" w:lineRule="exact"/>
              <w:ind w:left="148" w:right="0"/>
              <w:jc w:val="left"/>
              <w:rPr>
                <w:rFonts w:ascii="宋体" w:hAnsi="宋体" w:cs="宋体" w:eastAsia="宋体" w:hint="default"/>
                <w:sz w:val="20"/>
                <w:szCs w:val="20"/>
              </w:rPr>
            </w:pPr>
            <w:r>
              <w:rPr>
                <w:rFonts w:ascii="宋体" w:hAnsi="宋体" w:cs="宋体" w:eastAsia="宋体" w:hint="default"/>
                <w:sz w:val="20"/>
                <w:szCs w:val="20"/>
              </w:rPr>
              <w:t>状态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78" w:right="0"/>
              <w:jc w:val="left"/>
              <w:rPr>
                <w:rFonts w:ascii="宋体" w:hAnsi="宋体" w:cs="宋体" w:eastAsia="宋体" w:hint="default"/>
                <w:sz w:val="20"/>
                <w:szCs w:val="20"/>
              </w:rPr>
            </w:pPr>
            <w:r>
              <w:rPr>
                <w:rFonts w:ascii="宋体" w:hAnsi="宋体" w:cs="宋体" w:eastAsia="宋体" w:hint="default"/>
                <w:w w:val="99"/>
                <w:sz w:val="20"/>
                <w:szCs w:val="20"/>
              </w:rPr>
              <w:t>数</w:t>
            </w:r>
            <w:r>
              <w:rPr>
                <w:rFonts w:ascii="宋体" w:hAnsi="宋体" w:cs="宋体" w:eastAsia="宋体" w:hint="default"/>
                <w:sz w:val="20"/>
                <w:szCs w:val="20"/>
              </w:rPr>
            </w:r>
          </w:p>
          <w:p>
            <w:pPr>
              <w:pStyle w:val="TableParagraph"/>
              <w:spacing w:line="260" w:lineRule="exact"/>
              <w:ind w:left="178" w:right="0"/>
              <w:jc w:val="left"/>
              <w:rPr>
                <w:rFonts w:ascii="宋体" w:hAnsi="宋体" w:cs="宋体" w:eastAsia="宋体" w:hint="default"/>
                <w:sz w:val="20"/>
                <w:szCs w:val="20"/>
              </w:rPr>
            </w:pPr>
            <w:r>
              <w:rPr>
                <w:rFonts w:ascii="宋体" w:hAnsi="宋体" w:cs="宋体" w:eastAsia="宋体" w:hint="default"/>
                <w:w w:val="99"/>
                <w:sz w:val="20"/>
                <w:szCs w:val="20"/>
              </w:rPr>
              <w:t>量</w:t>
            </w:r>
            <w:r>
              <w:rPr>
                <w:rFonts w:ascii="宋体" w:hAnsi="宋体" w:cs="宋体" w:eastAsia="宋体" w:hint="default"/>
                <w:sz w:val="20"/>
                <w:szCs w:val="20"/>
              </w:rPr>
            </w:r>
          </w:p>
        </w:tc>
        <w:tc>
          <w:tcPr>
            <w:tcW w:w="1154" w:type="dxa"/>
            <w:vMerge/>
            <w:tcBorders>
              <w:left w:val="single" w:sz="4" w:space="0" w:color="000000"/>
              <w:bottom w:val="single" w:sz="4" w:space="0" w:color="000000"/>
              <w:right w:val="single" w:sz="4" w:space="0" w:color="000000"/>
            </w:tcBorders>
          </w:tcPr>
          <w:p>
            <w:pPr/>
          </w:p>
        </w:tc>
      </w:tr>
      <w:tr>
        <w:trPr>
          <w:trHeight w:val="26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四川新华发行集团</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9"/>
                <w:sz w:val="20"/>
              </w:rPr>
              <w:t>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605,942,525</w:t>
            </w:r>
            <w:r>
              <w:rPr>
                <w:rFonts w:ascii="宋体"/>
                <w:sz w:val="20"/>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7" w:right="0"/>
              <w:jc w:val="left"/>
              <w:rPr>
                <w:rFonts w:ascii="宋体" w:hAnsi="宋体" w:cs="宋体" w:eastAsia="宋体" w:hint="default"/>
                <w:sz w:val="20"/>
                <w:szCs w:val="20"/>
              </w:rPr>
            </w:pPr>
            <w:r>
              <w:rPr>
                <w:rFonts w:ascii="宋体"/>
                <w:sz w:val="20"/>
              </w:rPr>
              <w:t>49.11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592,809,525</w:t>
            </w:r>
            <w:r>
              <w:rPr>
                <w:rFonts w:ascii="宋体"/>
                <w:sz w:val="20"/>
              </w:rPr>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国家</w:t>
            </w:r>
          </w:p>
        </w:tc>
      </w:tr>
      <w:tr>
        <w:trPr>
          <w:trHeight w:val="5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香港中央结算有限</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3" w:right="0"/>
              <w:jc w:val="left"/>
              <w:rPr>
                <w:rFonts w:ascii="宋体" w:hAnsi="宋体" w:cs="宋体" w:eastAsia="宋体" w:hint="default"/>
                <w:sz w:val="20"/>
                <w:szCs w:val="20"/>
              </w:rPr>
            </w:pPr>
            <w:r>
              <w:rPr>
                <w:rFonts w:ascii="宋体"/>
                <w:sz w:val="20"/>
              </w:rPr>
              <w:t>-2,694,011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414,685,927</w:t>
            </w:r>
            <w:r>
              <w:rPr>
                <w:rFonts w:ascii="宋体"/>
                <w:sz w:val="20"/>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7" w:right="0"/>
              <w:jc w:val="left"/>
              <w:rPr>
                <w:rFonts w:ascii="宋体" w:hAnsi="宋体" w:cs="宋体" w:eastAsia="宋体" w:hint="default"/>
                <w:sz w:val="20"/>
                <w:szCs w:val="20"/>
              </w:rPr>
            </w:pPr>
            <w:r>
              <w:rPr>
                <w:rFonts w:ascii="宋体"/>
                <w:sz w:val="20"/>
              </w:rPr>
              <w:t>33.61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9"/>
                <w:sz w:val="20"/>
              </w:rPr>
              <w:t>0</w:t>
            </w:r>
            <w:r>
              <w:rPr>
                <w:rFonts w:ascii="宋体"/>
                <w:sz w:val="20"/>
              </w:rPr>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8" w:right="0"/>
              <w:jc w:val="left"/>
              <w:rPr>
                <w:rFonts w:ascii="宋体" w:hAnsi="宋体" w:cs="宋体" w:eastAsia="宋体" w:hint="default"/>
                <w:sz w:val="20"/>
                <w:szCs w:val="20"/>
              </w:rPr>
            </w:pPr>
            <w:r>
              <w:rPr>
                <w:rFonts w:ascii="宋体" w:hAnsi="宋体" w:cs="宋体" w:eastAsia="宋体" w:hint="default"/>
                <w:sz w:val="20"/>
                <w:szCs w:val="20"/>
              </w:rPr>
              <w:t>未知</w:t>
            </w:r>
          </w:p>
        </w:tc>
        <w:tc>
          <w:tcPr>
            <w:tcW w:w="56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境外法人</w:t>
            </w:r>
          </w:p>
        </w:tc>
      </w:tr>
      <w:tr>
        <w:trPr>
          <w:trHeight w:val="53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成都华盛</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9"/>
                <w:sz w:val="20"/>
              </w:rPr>
              <w:t>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53,336,000</w:t>
            </w:r>
            <w:r>
              <w:rPr>
                <w:rFonts w:ascii="宋体"/>
                <w:sz w:val="20"/>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36" w:right="0"/>
              <w:jc w:val="left"/>
              <w:rPr>
                <w:rFonts w:ascii="宋体" w:hAnsi="宋体" w:cs="宋体" w:eastAsia="宋体" w:hint="default"/>
                <w:sz w:val="20"/>
                <w:szCs w:val="20"/>
              </w:rPr>
            </w:pPr>
            <w:r>
              <w:rPr>
                <w:rFonts w:ascii="宋体"/>
                <w:sz w:val="20"/>
              </w:rPr>
              <w:t>4.32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9"/>
                <w:sz w:val="20"/>
              </w:rPr>
              <w:t>0</w:t>
            </w:r>
            <w:r>
              <w:rPr>
                <w:rFonts w:ascii="宋体"/>
                <w:sz w:val="20"/>
              </w:rPr>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境内非国</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有法人</w:t>
            </w:r>
          </w:p>
        </w:tc>
      </w:tr>
      <w:tr>
        <w:trPr>
          <w:trHeight w:val="26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四川出版集团</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3" w:right="0"/>
              <w:jc w:val="left"/>
              <w:rPr>
                <w:rFonts w:ascii="宋体" w:hAnsi="宋体" w:cs="宋体" w:eastAsia="宋体" w:hint="default"/>
                <w:sz w:val="20"/>
                <w:szCs w:val="20"/>
              </w:rPr>
            </w:pPr>
            <w:r>
              <w:rPr>
                <w:rFonts w:ascii="宋体"/>
                <w:sz w:val="20"/>
              </w:rPr>
              <w:t>4,554,000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36,522,893</w:t>
            </w:r>
            <w:r>
              <w:rPr>
                <w:rFonts w:ascii="宋体"/>
                <w:sz w:val="20"/>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36" w:right="0"/>
              <w:jc w:val="left"/>
              <w:rPr>
                <w:rFonts w:ascii="宋体" w:hAnsi="宋体" w:cs="宋体" w:eastAsia="宋体" w:hint="default"/>
                <w:sz w:val="20"/>
                <w:szCs w:val="20"/>
              </w:rPr>
            </w:pPr>
            <w:r>
              <w:rPr>
                <w:rFonts w:ascii="宋体"/>
                <w:sz w:val="20"/>
              </w:rPr>
              <w:t>2.96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9"/>
                <w:sz w:val="20"/>
              </w:rPr>
              <w:t>0</w:t>
            </w:r>
            <w:r>
              <w:rPr>
                <w:rFonts w:ascii="宋体"/>
                <w:sz w:val="20"/>
              </w:rPr>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国有法人</w:t>
            </w:r>
          </w:p>
        </w:tc>
      </w:tr>
      <w:tr>
        <w:trPr>
          <w:trHeight w:val="26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四川日报报业集团</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9"/>
                <w:sz w:val="20"/>
              </w:rPr>
              <w:t>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9,264,513</w:t>
            </w:r>
            <w:r>
              <w:rPr>
                <w:rFonts w:ascii="宋体"/>
                <w:sz w:val="20"/>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36" w:right="0"/>
              <w:jc w:val="left"/>
              <w:rPr>
                <w:rFonts w:ascii="宋体" w:hAnsi="宋体" w:cs="宋体" w:eastAsia="宋体" w:hint="default"/>
                <w:sz w:val="20"/>
                <w:szCs w:val="20"/>
              </w:rPr>
            </w:pPr>
            <w:r>
              <w:rPr>
                <w:rFonts w:ascii="宋体"/>
                <w:sz w:val="20"/>
              </w:rPr>
              <w:t>0.75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9"/>
                <w:sz w:val="20"/>
              </w:rPr>
              <w:t>0</w:t>
            </w:r>
            <w:r>
              <w:rPr>
                <w:rFonts w:ascii="宋体"/>
                <w:sz w:val="20"/>
              </w:rPr>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国有法人</w:t>
            </w:r>
          </w:p>
        </w:tc>
      </w:tr>
      <w:tr>
        <w:trPr>
          <w:trHeight w:val="5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辽宁出版集团有限</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9"/>
                <w:sz w:val="20"/>
              </w:rPr>
              <w:t>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6,485,160</w:t>
            </w:r>
            <w:r>
              <w:rPr>
                <w:rFonts w:ascii="宋体"/>
                <w:sz w:val="20"/>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36" w:right="0"/>
              <w:jc w:val="left"/>
              <w:rPr>
                <w:rFonts w:ascii="宋体" w:hAnsi="宋体" w:cs="宋体" w:eastAsia="宋体" w:hint="default"/>
                <w:sz w:val="20"/>
                <w:szCs w:val="20"/>
              </w:rPr>
            </w:pPr>
            <w:r>
              <w:rPr>
                <w:rFonts w:ascii="宋体"/>
                <w:sz w:val="20"/>
              </w:rPr>
              <w:t>0.53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9"/>
                <w:sz w:val="20"/>
              </w:rPr>
              <w:t>0</w:t>
            </w:r>
            <w:r>
              <w:rPr>
                <w:rFonts w:ascii="宋体"/>
                <w:sz w:val="20"/>
              </w:rPr>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国有法人</w:t>
            </w:r>
          </w:p>
        </w:tc>
      </w:tr>
      <w:tr>
        <w:trPr>
          <w:trHeight w:val="27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sz w:val="20"/>
              </w:rPr>
              <w:t>LEUNG YOK</w:t>
            </w:r>
            <w:r>
              <w:rPr>
                <w:rFonts w:ascii="宋体"/>
                <w:spacing w:val="-3"/>
                <w:sz w:val="20"/>
              </w:rPr>
              <w:t> </w:t>
            </w:r>
            <w:r>
              <w:rPr>
                <w:rFonts w:ascii="宋体"/>
                <w:sz w:val="20"/>
              </w:rPr>
              <w:t>FUN</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63" w:right="0"/>
              <w:jc w:val="left"/>
              <w:rPr>
                <w:rFonts w:ascii="宋体" w:hAnsi="宋体" w:cs="宋体" w:eastAsia="宋体" w:hint="default"/>
                <w:sz w:val="20"/>
                <w:szCs w:val="20"/>
              </w:rPr>
            </w:pPr>
            <w:r>
              <w:rPr>
                <w:rFonts w:ascii="宋体"/>
                <w:sz w:val="20"/>
              </w:rPr>
              <w:t>-2,000,000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3,000,000</w:t>
            </w:r>
            <w:r>
              <w:rPr>
                <w:rFonts w:ascii="宋体"/>
                <w:sz w:val="20"/>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36" w:right="0"/>
              <w:jc w:val="left"/>
              <w:rPr>
                <w:rFonts w:ascii="宋体" w:hAnsi="宋体" w:cs="宋体" w:eastAsia="宋体" w:hint="default"/>
                <w:sz w:val="20"/>
                <w:szCs w:val="20"/>
              </w:rPr>
            </w:pPr>
            <w:r>
              <w:rPr>
                <w:rFonts w:ascii="宋体"/>
                <w:sz w:val="20"/>
              </w:rPr>
              <w:t>0.24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9"/>
                <w:sz w:val="20"/>
              </w:rPr>
              <w:t>0</w:t>
            </w:r>
            <w:r>
              <w:rPr>
                <w:rFonts w:ascii="宋体"/>
                <w:sz w:val="20"/>
              </w:rPr>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48" w:right="0"/>
              <w:jc w:val="left"/>
              <w:rPr>
                <w:rFonts w:ascii="宋体" w:hAnsi="宋体" w:cs="宋体" w:eastAsia="宋体" w:hint="default"/>
                <w:sz w:val="20"/>
                <w:szCs w:val="20"/>
              </w:rPr>
            </w:pPr>
            <w:r>
              <w:rPr>
                <w:rFonts w:ascii="宋体" w:hAnsi="宋体" w:cs="宋体" w:eastAsia="宋体" w:hint="default"/>
                <w:sz w:val="20"/>
                <w:szCs w:val="20"/>
              </w:rPr>
              <w:t>未知</w:t>
            </w:r>
          </w:p>
        </w:tc>
        <w:tc>
          <w:tcPr>
            <w:tcW w:w="56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未知</w:t>
            </w:r>
          </w:p>
        </w:tc>
      </w:tr>
      <w:tr>
        <w:trPr>
          <w:trHeight w:val="10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领航投资澳洲有限</w:t>
            </w:r>
          </w:p>
          <w:p>
            <w:pPr>
              <w:pStyle w:val="TableParagraph"/>
              <w:spacing w:line="260" w:lineRule="exact" w:before="24"/>
              <w:ind w:left="103" w:right="272"/>
              <w:jc w:val="both"/>
              <w:rPr>
                <w:rFonts w:ascii="宋体" w:hAnsi="宋体" w:cs="宋体" w:eastAsia="宋体" w:hint="default"/>
                <w:sz w:val="20"/>
                <w:szCs w:val="20"/>
              </w:rPr>
            </w:pPr>
            <w:r>
              <w:rPr>
                <w:rFonts w:ascii="宋体" w:hAnsi="宋体" w:cs="宋体" w:eastAsia="宋体" w:hint="default"/>
                <w:sz w:val="20"/>
                <w:szCs w:val="20"/>
              </w:rPr>
              <w:t>公司－领航新兴市</w:t>
            </w:r>
            <w:r>
              <w:rPr>
                <w:rFonts w:ascii="宋体" w:hAnsi="宋体" w:cs="宋体" w:eastAsia="宋体" w:hint="default"/>
                <w:w w:val="99"/>
                <w:sz w:val="20"/>
                <w:szCs w:val="20"/>
              </w:rPr>
              <w:t> </w:t>
            </w:r>
            <w:r>
              <w:rPr>
                <w:rFonts w:ascii="宋体" w:hAnsi="宋体" w:cs="宋体" w:eastAsia="宋体" w:hint="default"/>
                <w:sz w:val="20"/>
                <w:szCs w:val="20"/>
              </w:rPr>
              <w:t>场股指基金（交易</w:t>
            </w:r>
            <w:r>
              <w:rPr>
                <w:rFonts w:ascii="宋体" w:hAnsi="宋体" w:cs="宋体" w:eastAsia="宋体" w:hint="default"/>
                <w:w w:val="99"/>
                <w:sz w:val="20"/>
                <w:szCs w:val="20"/>
              </w:rPr>
              <w:t> </w:t>
            </w:r>
            <w:r>
              <w:rPr>
                <w:rFonts w:ascii="宋体" w:hAnsi="宋体" w:cs="宋体" w:eastAsia="宋体" w:hint="default"/>
                <w:sz w:val="20"/>
                <w:szCs w:val="20"/>
              </w:rPr>
              <w:t>所）</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9"/>
                <w:sz w:val="20"/>
              </w:rPr>
              <w:t>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1,796,153</w:t>
            </w:r>
            <w:r>
              <w:rPr>
                <w:rFonts w:ascii="宋体"/>
                <w:sz w:val="20"/>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36" w:right="0"/>
              <w:jc w:val="left"/>
              <w:rPr>
                <w:rFonts w:ascii="宋体" w:hAnsi="宋体" w:cs="宋体" w:eastAsia="宋体" w:hint="default"/>
                <w:sz w:val="20"/>
                <w:szCs w:val="20"/>
              </w:rPr>
            </w:pPr>
            <w:r>
              <w:rPr>
                <w:rFonts w:ascii="宋体"/>
                <w:sz w:val="20"/>
              </w:rPr>
              <w:t>0.15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9"/>
                <w:sz w:val="20"/>
              </w:rPr>
              <w:t>0</w:t>
            </w:r>
            <w:r>
              <w:rPr>
                <w:rFonts w:ascii="宋体"/>
                <w:sz w:val="20"/>
              </w:rPr>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未知</w:t>
            </w:r>
          </w:p>
        </w:tc>
      </w:tr>
      <w:tr>
        <w:trPr>
          <w:trHeight w:val="104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中国农业银行股份</w:t>
            </w:r>
          </w:p>
          <w:p>
            <w:pPr>
              <w:pStyle w:val="TableParagraph"/>
              <w:spacing w:line="240" w:lineRule="auto"/>
              <w:ind w:left="103" w:right="120"/>
              <w:jc w:val="left"/>
              <w:rPr>
                <w:rFonts w:ascii="宋体" w:hAnsi="宋体" w:cs="宋体" w:eastAsia="宋体" w:hint="default"/>
                <w:sz w:val="20"/>
                <w:szCs w:val="20"/>
              </w:rPr>
            </w:pPr>
            <w:r>
              <w:rPr>
                <w:rFonts w:ascii="宋体" w:hAnsi="宋体" w:cs="宋体" w:eastAsia="宋体" w:hint="default"/>
                <w:sz w:val="20"/>
                <w:szCs w:val="20"/>
              </w:rPr>
              <w:t>有限公司－中证</w:t>
            </w:r>
            <w:r>
              <w:rPr>
                <w:rFonts w:ascii="宋体" w:hAnsi="宋体" w:cs="宋体" w:eastAsia="宋体" w:hint="default"/>
                <w:spacing w:val="-51"/>
                <w:sz w:val="20"/>
                <w:szCs w:val="20"/>
              </w:rPr>
              <w:t> </w:t>
            </w:r>
            <w:r>
              <w:rPr>
                <w:rFonts w:ascii="宋体" w:hAnsi="宋体" w:cs="宋体" w:eastAsia="宋体" w:hint="default"/>
                <w:sz w:val="20"/>
                <w:szCs w:val="20"/>
              </w:rPr>
              <w:t>500</w:t>
            </w:r>
            <w:r>
              <w:rPr>
                <w:rFonts w:ascii="宋体" w:hAnsi="宋体" w:cs="宋体" w:eastAsia="宋体" w:hint="default"/>
                <w:spacing w:val="1"/>
                <w:w w:val="99"/>
                <w:sz w:val="20"/>
                <w:szCs w:val="20"/>
              </w:rPr>
              <w:t> </w:t>
            </w:r>
            <w:r>
              <w:rPr>
                <w:rFonts w:ascii="宋体" w:hAnsi="宋体" w:cs="宋体" w:eastAsia="宋体" w:hint="default"/>
                <w:sz w:val="20"/>
                <w:szCs w:val="20"/>
              </w:rPr>
              <w:t>交易型开放式指数</w:t>
            </w:r>
            <w:r>
              <w:rPr>
                <w:rFonts w:ascii="宋体" w:hAnsi="宋体" w:cs="宋体" w:eastAsia="宋体" w:hint="default"/>
                <w:w w:val="99"/>
                <w:sz w:val="20"/>
                <w:szCs w:val="20"/>
              </w:rPr>
              <w:t> </w:t>
            </w:r>
            <w:r>
              <w:rPr>
                <w:rFonts w:ascii="宋体" w:hAnsi="宋体" w:cs="宋体" w:eastAsia="宋体" w:hint="default"/>
                <w:sz w:val="20"/>
                <w:szCs w:val="20"/>
              </w:rPr>
              <w:t>证券投资基金</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3" w:right="0"/>
              <w:jc w:val="left"/>
              <w:rPr>
                <w:rFonts w:ascii="宋体" w:hAnsi="宋体" w:cs="宋体" w:eastAsia="宋体" w:hint="default"/>
                <w:sz w:val="20"/>
                <w:szCs w:val="20"/>
              </w:rPr>
            </w:pPr>
            <w:r>
              <w:rPr>
                <w:rFonts w:ascii="宋体"/>
                <w:sz w:val="20"/>
              </w:rPr>
              <w:t>1,115,723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1,785,723</w:t>
            </w:r>
            <w:r>
              <w:rPr>
                <w:rFonts w:ascii="宋体"/>
                <w:sz w:val="20"/>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36" w:right="0"/>
              <w:jc w:val="left"/>
              <w:rPr>
                <w:rFonts w:ascii="宋体" w:hAnsi="宋体" w:cs="宋体" w:eastAsia="宋体" w:hint="default"/>
                <w:sz w:val="20"/>
                <w:szCs w:val="20"/>
              </w:rPr>
            </w:pPr>
            <w:r>
              <w:rPr>
                <w:rFonts w:ascii="宋体"/>
                <w:sz w:val="20"/>
              </w:rPr>
              <w:t>0.14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9"/>
                <w:sz w:val="20"/>
              </w:rPr>
              <w:t>0</w:t>
            </w:r>
            <w:r>
              <w:rPr>
                <w:rFonts w:ascii="宋体"/>
                <w:sz w:val="20"/>
              </w:rPr>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未知</w:t>
            </w:r>
          </w:p>
        </w:tc>
      </w:tr>
      <w:tr>
        <w:trPr>
          <w:trHeight w:val="26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唐永信</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sz w:val="20"/>
              </w:rPr>
              <w:t>780,000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780,000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36" w:right="0"/>
              <w:jc w:val="left"/>
              <w:rPr>
                <w:rFonts w:ascii="宋体" w:hAnsi="宋体" w:cs="宋体" w:eastAsia="宋体" w:hint="default"/>
                <w:sz w:val="20"/>
                <w:szCs w:val="20"/>
              </w:rPr>
            </w:pPr>
            <w:r>
              <w:rPr>
                <w:rFonts w:ascii="宋体"/>
                <w:sz w:val="20"/>
              </w:rPr>
              <w:t>0.06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9"/>
                <w:sz w:val="20"/>
              </w:rPr>
              <w:t>0</w:t>
            </w:r>
            <w:r>
              <w:rPr>
                <w:rFonts w:ascii="宋体"/>
                <w:sz w:val="20"/>
              </w:rPr>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未知</w:t>
            </w:r>
          </w:p>
        </w:tc>
      </w:tr>
      <w:tr>
        <w:trPr>
          <w:trHeight w:val="269" w:hRule="exact"/>
        </w:trPr>
        <w:tc>
          <w:tcPr>
            <w:tcW w:w="937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1"/>
              <w:jc w:val="center"/>
              <w:rPr>
                <w:rFonts w:ascii="宋体" w:hAnsi="宋体" w:cs="宋体" w:eastAsia="宋体" w:hint="default"/>
                <w:sz w:val="20"/>
                <w:szCs w:val="20"/>
              </w:rPr>
            </w:pPr>
            <w:r>
              <w:rPr>
                <w:rFonts w:ascii="宋体" w:hAnsi="宋体" w:cs="宋体" w:eastAsia="宋体" w:hint="default"/>
                <w:sz w:val="20"/>
                <w:szCs w:val="20"/>
              </w:rPr>
              <w:t>前十名无限售条件股东持股情况</w:t>
            </w:r>
          </w:p>
        </w:tc>
      </w:tr>
      <w:tr>
        <w:trPr>
          <w:trHeight w:val="269" w:hRule="exact"/>
        </w:trPr>
        <w:tc>
          <w:tcPr>
            <w:tcW w:w="2891" w:type="dxa"/>
            <w:gridSpan w:val="2"/>
            <w:vMerge w:val="restart"/>
            <w:tcBorders>
              <w:top w:val="single" w:sz="4" w:space="0" w:color="000000"/>
              <w:left w:val="single" w:sz="4" w:space="0" w:color="000000"/>
              <w:right w:val="single" w:sz="4" w:space="0" w:color="000000"/>
            </w:tcBorders>
          </w:tcPr>
          <w:p>
            <w:pPr>
              <w:pStyle w:val="TableParagraph"/>
              <w:spacing w:line="240" w:lineRule="auto" w:before="102"/>
              <w:ind w:right="4"/>
              <w:jc w:val="center"/>
              <w:rPr>
                <w:rFonts w:ascii="宋体" w:hAnsi="宋体" w:cs="宋体" w:eastAsia="宋体" w:hint="default"/>
                <w:sz w:val="20"/>
                <w:szCs w:val="20"/>
              </w:rPr>
            </w:pPr>
            <w:r>
              <w:rPr>
                <w:rFonts w:ascii="宋体" w:hAnsi="宋体" w:cs="宋体" w:eastAsia="宋体" w:hint="default"/>
                <w:sz w:val="20"/>
                <w:szCs w:val="20"/>
              </w:rPr>
              <w:t>股东名称</w:t>
            </w:r>
          </w:p>
        </w:tc>
        <w:tc>
          <w:tcPr>
            <w:tcW w:w="2033" w:type="dxa"/>
            <w:gridSpan w:val="3"/>
            <w:vMerge w:val="restart"/>
            <w:tcBorders>
              <w:top w:val="single" w:sz="4" w:space="0" w:color="000000"/>
              <w:left w:val="single" w:sz="4" w:space="0" w:color="000000"/>
              <w:right w:val="single" w:sz="4" w:space="0" w:color="000000"/>
            </w:tcBorders>
          </w:tcPr>
          <w:p>
            <w:pPr>
              <w:pStyle w:val="TableParagraph"/>
              <w:spacing w:line="233" w:lineRule="exact"/>
              <w:ind w:right="3"/>
              <w:jc w:val="center"/>
              <w:rPr>
                <w:rFonts w:ascii="宋体" w:hAnsi="宋体" w:cs="宋体" w:eastAsia="宋体" w:hint="default"/>
                <w:sz w:val="20"/>
                <w:szCs w:val="20"/>
              </w:rPr>
            </w:pPr>
            <w:r>
              <w:rPr>
                <w:rFonts w:ascii="宋体" w:hAnsi="宋体" w:cs="宋体" w:eastAsia="宋体" w:hint="default"/>
                <w:sz w:val="20"/>
                <w:szCs w:val="20"/>
              </w:rPr>
              <w:t>持有无限售条件流通</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股的数量</w:t>
            </w:r>
          </w:p>
        </w:tc>
        <w:tc>
          <w:tcPr>
            <w:tcW w:w="4455" w:type="dxa"/>
            <w:gridSpan w:val="6"/>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z w:val="20"/>
                <w:szCs w:val="20"/>
              </w:rPr>
              <w:t>股份种类及数量</w:t>
            </w:r>
          </w:p>
        </w:tc>
      </w:tr>
      <w:tr>
        <w:trPr>
          <w:trHeight w:val="271" w:hRule="exact"/>
        </w:trPr>
        <w:tc>
          <w:tcPr>
            <w:tcW w:w="2891" w:type="dxa"/>
            <w:gridSpan w:val="2"/>
            <w:vMerge/>
            <w:tcBorders>
              <w:left w:val="single" w:sz="4" w:space="0" w:color="000000"/>
              <w:bottom w:val="single" w:sz="4" w:space="0" w:color="000000"/>
              <w:right w:val="single" w:sz="4" w:space="0" w:color="000000"/>
            </w:tcBorders>
          </w:tcPr>
          <w:p>
            <w:pPr/>
          </w:p>
        </w:tc>
        <w:tc>
          <w:tcPr>
            <w:tcW w:w="2033" w:type="dxa"/>
            <w:gridSpan w:val="3"/>
            <w:vMerge/>
            <w:tcBorders>
              <w:left w:val="single" w:sz="4" w:space="0" w:color="000000"/>
              <w:bottom w:val="single" w:sz="4" w:space="0" w:color="000000"/>
              <w:right w:val="single" w:sz="4" w:space="0" w:color="000000"/>
            </w:tcBorders>
          </w:tcPr>
          <w:p>
            <w:pPr/>
          </w:p>
        </w:tc>
        <w:tc>
          <w:tcPr>
            <w:tcW w:w="22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
              <w:jc w:val="center"/>
              <w:rPr>
                <w:rFonts w:ascii="宋体" w:hAnsi="宋体" w:cs="宋体" w:eastAsia="宋体" w:hint="default"/>
                <w:sz w:val="20"/>
                <w:szCs w:val="20"/>
              </w:rPr>
            </w:pPr>
            <w:r>
              <w:rPr>
                <w:rFonts w:ascii="宋体" w:hAnsi="宋体" w:cs="宋体" w:eastAsia="宋体" w:hint="default"/>
                <w:sz w:val="20"/>
                <w:szCs w:val="20"/>
              </w:rPr>
              <w:t>种类</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数量</w:t>
            </w:r>
          </w:p>
        </w:tc>
      </w:tr>
      <w:tr>
        <w:trPr>
          <w:trHeight w:val="269" w:hRule="exact"/>
        </w:trPr>
        <w:tc>
          <w:tcPr>
            <w:tcW w:w="28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香港中央结算有限公司</w:t>
            </w:r>
          </w:p>
        </w:tc>
        <w:tc>
          <w:tcPr>
            <w:tcW w:w="20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20" w:right="0"/>
              <w:jc w:val="left"/>
              <w:rPr>
                <w:rFonts w:ascii="宋体" w:hAnsi="宋体" w:cs="宋体" w:eastAsia="宋体" w:hint="default"/>
                <w:sz w:val="20"/>
                <w:szCs w:val="20"/>
              </w:rPr>
            </w:pPr>
            <w:r>
              <w:rPr>
                <w:rFonts w:ascii="宋体"/>
                <w:sz w:val="20"/>
              </w:rPr>
              <w:t>414,685,927</w:t>
            </w:r>
          </w:p>
        </w:tc>
        <w:tc>
          <w:tcPr>
            <w:tcW w:w="22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01" w:right="0"/>
              <w:jc w:val="left"/>
              <w:rPr>
                <w:rFonts w:ascii="宋体" w:hAnsi="宋体" w:cs="宋体" w:eastAsia="宋体" w:hint="default"/>
                <w:sz w:val="20"/>
                <w:szCs w:val="20"/>
              </w:rPr>
            </w:pPr>
            <w:r>
              <w:rPr>
                <w:rFonts w:ascii="宋体" w:hAnsi="宋体" w:cs="宋体" w:eastAsia="宋体" w:hint="default"/>
                <w:sz w:val="20"/>
                <w:szCs w:val="20"/>
              </w:rPr>
              <w:t>境外上市外资股</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7" w:right="0"/>
              <w:jc w:val="left"/>
              <w:rPr>
                <w:rFonts w:ascii="宋体" w:hAnsi="宋体" w:cs="宋体" w:eastAsia="宋体" w:hint="default"/>
                <w:sz w:val="20"/>
                <w:szCs w:val="20"/>
              </w:rPr>
            </w:pPr>
            <w:r>
              <w:rPr>
                <w:rFonts w:ascii="宋体"/>
                <w:sz w:val="20"/>
              </w:rPr>
              <w:t>414,685,927</w:t>
            </w:r>
          </w:p>
        </w:tc>
      </w:tr>
      <w:tr>
        <w:trPr>
          <w:trHeight w:val="269" w:hRule="exact"/>
        </w:trPr>
        <w:tc>
          <w:tcPr>
            <w:tcW w:w="28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成都市华盛</w:t>
            </w:r>
          </w:p>
        </w:tc>
        <w:tc>
          <w:tcPr>
            <w:tcW w:w="20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19" w:right="0"/>
              <w:jc w:val="left"/>
              <w:rPr>
                <w:rFonts w:ascii="宋体" w:hAnsi="宋体" w:cs="宋体" w:eastAsia="宋体" w:hint="default"/>
                <w:sz w:val="20"/>
                <w:szCs w:val="20"/>
              </w:rPr>
            </w:pPr>
            <w:r>
              <w:rPr>
                <w:rFonts w:ascii="宋体"/>
                <w:sz w:val="20"/>
              </w:rPr>
              <w:t>53,336,000</w:t>
            </w:r>
          </w:p>
        </w:tc>
        <w:tc>
          <w:tcPr>
            <w:tcW w:w="22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26" w:right="0"/>
              <w:jc w:val="left"/>
              <w:rPr>
                <w:rFonts w:ascii="宋体" w:hAnsi="宋体" w:cs="宋体" w:eastAsia="宋体" w:hint="default"/>
                <w:sz w:val="20"/>
                <w:szCs w:val="20"/>
              </w:rPr>
            </w:pPr>
            <w:r>
              <w:rPr>
                <w:rFonts w:ascii="宋体"/>
                <w:sz w:val="20"/>
              </w:rPr>
              <w:t>53,336,000</w:t>
            </w:r>
          </w:p>
        </w:tc>
      </w:tr>
      <w:tr>
        <w:trPr>
          <w:trHeight w:val="269" w:hRule="exact"/>
        </w:trPr>
        <w:tc>
          <w:tcPr>
            <w:tcW w:w="2891" w:type="dxa"/>
            <w:gridSpan w:val="2"/>
            <w:vMerge w:val="restart"/>
            <w:tcBorders>
              <w:top w:val="single" w:sz="4" w:space="0" w:color="000000"/>
              <w:left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四川出版集团（注）</w:t>
            </w:r>
          </w:p>
        </w:tc>
        <w:tc>
          <w:tcPr>
            <w:tcW w:w="2033" w:type="dxa"/>
            <w:gridSpan w:val="3"/>
            <w:vMerge w:val="restart"/>
            <w:tcBorders>
              <w:top w:val="single" w:sz="4" w:space="0" w:color="000000"/>
              <w:left w:val="single" w:sz="4" w:space="0" w:color="000000"/>
              <w:right w:val="single" w:sz="4" w:space="0" w:color="000000"/>
            </w:tcBorders>
          </w:tcPr>
          <w:p>
            <w:pPr>
              <w:pStyle w:val="TableParagraph"/>
              <w:spacing w:line="230" w:lineRule="exact"/>
              <w:ind w:left="919" w:right="0"/>
              <w:jc w:val="left"/>
              <w:rPr>
                <w:rFonts w:ascii="宋体" w:hAnsi="宋体" w:cs="宋体" w:eastAsia="宋体" w:hint="default"/>
                <w:sz w:val="20"/>
                <w:szCs w:val="20"/>
              </w:rPr>
            </w:pPr>
            <w:r>
              <w:rPr>
                <w:rFonts w:ascii="宋体"/>
                <w:sz w:val="20"/>
              </w:rPr>
              <w:t>36,522,893</w:t>
            </w:r>
          </w:p>
        </w:tc>
        <w:tc>
          <w:tcPr>
            <w:tcW w:w="22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26" w:right="0"/>
              <w:jc w:val="left"/>
              <w:rPr>
                <w:rFonts w:ascii="宋体" w:hAnsi="宋体" w:cs="宋体" w:eastAsia="宋体" w:hint="default"/>
                <w:sz w:val="20"/>
                <w:szCs w:val="20"/>
              </w:rPr>
            </w:pPr>
            <w:r>
              <w:rPr>
                <w:rFonts w:ascii="宋体"/>
                <w:sz w:val="20"/>
              </w:rPr>
              <w:t>30,572,893</w:t>
            </w:r>
          </w:p>
        </w:tc>
      </w:tr>
      <w:tr>
        <w:trPr>
          <w:trHeight w:val="271" w:hRule="exact"/>
        </w:trPr>
        <w:tc>
          <w:tcPr>
            <w:tcW w:w="2891" w:type="dxa"/>
            <w:gridSpan w:val="2"/>
            <w:vMerge/>
            <w:tcBorders>
              <w:left w:val="single" w:sz="4" w:space="0" w:color="000000"/>
              <w:bottom w:val="single" w:sz="4" w:space="0" w:color="000000"/>
              <w:right w:val="single" w:sz="4" w:space="0" w:color="000000"/>
            </w:tcBorders>
          </w:tcPr>
          <w:p>
            <w:pPr/>
          </w:p>
        </w:tc>
        <w:tc>
          <w:tcPr>
            <w:tcW w:w="2033" w:type="dxa"/>
            <w:gridSpan w:val="3"/>
            <w:vMerge/>
            <w:tcBorders>
              <w:left w:val="single" w:sz="4" w:space="0" w:color="000000"/>
              <w:bottom w:val="single" w:sz="4" w:space="0" w:color="000000"/>
              <w:right w:val="single" w:sz="4" w:space="0" w:color="000000"/>
            </w:tcBorders>
          </w:tcPr>
          <w:p>
            <w:pPr/>
          </w:p>
        </w:tc>
        <w:tc>
          <w:tcPr>
            <w:tcW w:w="22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01" w:right="0"/>
              <w:jc w:val="left"/>
              <w:rPr>
                <w:rFonts w:ascii="宋体" w:hAnsi="宋体" w:cs="宋体" w:eastAsia="宋体" w:hint="default"/>
                <w:sz w:val="20"/>
                <w:szCs w:val="20"/>
              </w:rPr>
            </w:pPr>
            <w:r>
              <w:rPr>
                <w:rFonts w:ascii="宋体" w:hAnsi="宋体" w:cs="宋体" w:eastAsia="宋体" w:hint="default"/>
                <w:sz w:val="20"/>
                <w:szCs w:val="20"/>
              </w:rPr>
              <w:t>境外上市外资股</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26" w:right="0"/>
              <w:jc w:val="left"/>
              <w:rPr>
                <w:rFonts w:ascii="宋体" w:hAnsi="宋体" w:cs="宋体" w:eastAsia="宋体" w:hint="default"/>
                <w:sz w:val="20"/>
                <w:szCs w:val="20"/>
              </w:rPr>
            </w:pPr>
            <w:r>
              <w:rPr>
                <w:rFonts w:ascii="宋体"/>
                <w:sz w:val="20"/>
              </w:rPr>
              <w:t>5,950,000</w:t>
            </w:r>
          </w:p>
        </w:tc>
      </w:tr>
      <w:tr>
        <w:trPr>
          <w:trHeight w:val="269" w:hRule="exact"/>
        </w:trPr>
        <w:tc>
          <w:tcPr>
            <w:tcW w:w="28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四川新华发行集团（注）</w:t>
            </w:r>
          </w:p>
        </w:tc>
        <w:tc>
          <w:tcPr>
            <w:tcW w:w="20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19" w:right="0"/>
              <w:jc w:val="left"/>
              <w:rPr>
                <w:rFonts w:ascii="宋体" w:hAnsi="宋体" w:cs="宋体" w:eastAsia="宋体" w:hint="default"/>
                <w:sz w:val="20"/>
                <w:szCs w:val="20"/>
              </w:rPr>
            </w:pPr>
            <w:r>
              <w:rPr>
                <w:rFonts w:ascii="宋体"/>
                <w:sz w:val="20"/>
              </w:rPr>
              <w:t>13,133,000</w:t>
            </w:r>
          </w:p>
        </w:tc>
        <w:tc>
          <w:tcPr>
            <w:tcW w:w="22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01" w:right="0"/>
              <w:jc w:val="left"/>
              <w:rPr>
                <w:rFonts w:ascii="宋体" w:hAnsi="宋体" w:cs="宋体" w:eastAsia="宋体" w:hint="default"/>
                <w:sz w:val="20"/>
                <w:szCs w:val="20"/>
              </w:rPr>
            </w:pPr>
            <w:r>
              <w:rPr>
                <w:rFonts w:ascii="宋体" w:hAnsi="宋体" w:cs="宋体" w:eastAsia="宋体" w:hint="default"/>
                <w:sz w:val="20"/>
                <w:szCs w:val="20"/>
              </w:rPr>
              <w:t>境外上市外资股</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26" w:right="0"/>
              <w:jc w:val="left"/>
              <w:rPr>
                <w:rFonts w:ascii="宋体" w:hAnsi="宋体" w:cs="宋体" w:eastAsia="宋体" w:hint="default"/>
                <w:sz w:val="20"/>
                <w:szCs w:val="20"/>
              </w:rPr>
            </w:pPr>
            <w:r>
              <w:rPr>
                <w:rFonts w:ascii="宋体"/>
                <w:sz w:val="20"/>
              </w:rPr>
              <w:t>13,133,000</w:t>
            </w:r>
          </w:p>
        </w:tc>
      </w:tr>
      <w:tr>
        <w:trPr>
          <w:trHeight w:val="269" w:hRule="exact"/>
        </w:trPr>
        <w:tc>
          <w:tcPr>
            <w:tcW w:w="28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四川日报报业集团</w:t>
            </w:r>
          </w:p>
        </w:tc>
        <w:tc>
          <w:tcPr>
            <w:tcW w:w="20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0" w:right="0"/>
              <w:jc w:val="left"/>
              <w:rPr>
                <w:rFonts w:ascii="宋体" w:hAnsi="宋体" w:cs="宋体" w:eastAsia="宋体" w:hint="default"/>
                <w:sz w:val="20"/>
                <w:szCs w:val="20"/>
              </w:rPr>
            </w:pPr>
            <w:r>
              <w:rPr>
                <w:rFonts w:ascii="宋体"/>
                <w:sz w:val="20"/>
              </w:rPr>
              <w:t>9,264,513</w:t>
            </w:r>
          </w:p>
        </w:tc>
        <w:tc>
          <w:tcPr>
            <w:tcW w:w="22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26" w:right="0"/>
              <w:jc w:val="left"/>
              <w:rPr>
                <w:rFonts w:ascii="宋体" w:hAnsi="宋体" w:cs="宋体" w:eastAsia="宋体" w:hint="default"/>
                <w:sz w:val="20"/>
                <w:szCs w:val="20"/>
              </w:rPr>
            </w:pPr>
            <w:r>
              <w:rPr>
                <w:rFonts w:ascii="宋体"/>
                <w:sz w:val="20"/>
              </w:rPr>
              <w:t>9,264,513</w:t>
            </w:r>
          </w:p>
        </w:tc>
      </w:tr>
      <w:tr>
        <w:trPr>
          <w:trHeight w:val="269" w:hRule="exact"/>
        </w:trPr>
        <w:tc>
          <w:tcPr>
            <w:tcW w:w="28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辽宁出版集团有限公司</w:t>
            </w:r>
          </w:p>
        </w:tc>
        <w:tc>
          <w:tcPr>
            <w:tcW w:w="20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0" w:right="0"/>
              <w:jc w:val="left"/>
              <w:rPr>
                <w:rFonts w:ascii="宋体" w:hAnsi="宋体" w:cs="宋体" w:eastAsia="宋体" w:hint="default"/>
                <w:sz w:val="20"/>
                <w:szCs w:val="20"/>
              </w:rPr>
            </w:pPr>
            <w:r>
              <w:rPr>
                <w:rFonts w:ascii="宋体"/>
                <w:sz w:val="20"/>
              </w:rPr>
              <w:t>6,485,160</w:t>
            </w:r>
          </w:p>
        </w:tc>
        <w:tc>
          <w:tcPr>
            <w:tcW w:w="22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26" w:right="0"/>
              <w:jc w:val="left"/>
              <w:rPr>
                <w:rFonts w:ascii="宋体" w:hAnsi="宋体" w:cs="宋体" w:eastAsia="宋体" w:hint="default"/>
                <w:sz w:val="20"/>
                <w:szCs w:val="20"/>
              </w:rPr>
            </w:pPr>
            <w:r>
              <w:rPr>
                <w:rFonts w:ascii="宋体"/>
                <w:sz w:val="20"/>
              </w:rPr>
              <w:t>6,485,160</w:t>
            </w:r>
          </w:p>
        </w:tc>
      </w:tr>
      <w:tr>
        <w:trPr>
          <w:trHeight w:val="272" w:hRule="exact"/>
        </w:trPr>
        <w:tc>
          <w:tcPr>
            <w:tcW w:w="2891" w:type="dxa"/>
            <w:gridSpan w:val="2"/>
            <w:tcBorders>
              <w:top w:val="single" w:sz="4" w:space="0" w:color="000000"/>
              <w:left w:val="single" w:sz="4" w:space="0" w:color="000000"/>
              <w:bottom w:val="single" w:sz="4" w:space="0" w:color="000000"/>
              <w:right w:val="single" w:sz="4" w:space="0" w:color="000000"/>
            </w:tcBorders>
          </w:tcPr>
          <w:p>
            <w:pPr>
              <w:pStyle w:val="TableParagraph"/>
              <w:tabs>
                <w:tab w:pos="903" w:val="left" w:leader="none"/>
              </w:tabs>
              <w:spacing w:line="230" w:lineRule="exact"/>
              <w:ind w:left="103" w:right="0"/>
              <w:jc w:val="left"/>
              <w:rPr>
                <w:rFonts w:ascii="宋体" w:hAnsi="宋体" w:cs="宋体" w:eastAsia="宋体" w:hint="default"/>
                <w:sz w:val="20"/>
                <w:szCs w:val="20"/>
              </w:rPr>
            </w:pPr>
            <w:r>
              <w:rPr>
                <w:rFonts w:ascii="宋体"/>
                <w:w w:val="95"/>
                <w:sz w:val="20"/>
              </w:rPr>
              <w:t>LEUNG</w:t>
              <w:tab/>
            </w:r>
            <w:r>
              <w:rPr>
                <w:rFonts w:ascii="宋体"/>
                <w:sz w:val="20"/>
              </w:rPr>
              <w:t>YOK</w:t>
            </w:r>
            <w:r>
              <w:rPr>
                <w:rFonts w:ascii="宋体"/>
                <w:spacing w:val="-4"/>
                <w:sz w:val="20"/>
              </w:rPr>
              <w:t> </w:t>
            </w:r>
            <w:r>
              <w:rPr>
                <w:rFonts w:ascii="宋体"/>
                <w:sz w:val="20"/>
              </w:rPr>
              <w:t>FUN</w:t>
            </w:r>
          </w:p>
        </w:tc>
        <w:tc>
          <w:tcPr>
            <w:tcW w:w="20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0" w:right="0"/>
              <w:jc w:val="left"/>
              <w:rPr>
                <w:rFonts w:ascii="宋体" w:hAnsi="宋体" w:cs="宋体" w:eastAsia="宋体" w:hint="default"/>
                <w:sz w:val="20"/>
                <w:szCs w:val="20"/>
              </w:rPr>
            </w:pPr>
            <w:r>
              <w:rPr>
                <w:rFonts w:ascii="宋体"/>
                <w:sz w:val="20"/>
              </w:rPr>
              <w:t>3,000,000</w:t>
            </w:r>
          </w:p>
        </w:tc>
        <w:tc>
          <w:tcPr>
            <w:tcW w:w="22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01" w:right="0"/>
              <w:jc w:val="left"/>
              <w:rPr>
                <w:rFonts w:ascii="宋体" w:hAnsi="宋体" w:cs="宋体" w:eastAsia="宋体" w:hint="default"/>
                <w:sz w:val="20"/>
                <w:szCs w:val="20"/>
              </w:rPr>
            </w:pPr>
            <w:r>
              <w:rPr>
                <w:rFonts w:ascii="宋体" w:hAnsi="宋体" w:cs="宋体" w:eastAsia="宋体" w:hint="default"/>
                <w:sz w:val="20"/>
                <w:szCs w:val="20"/>
              </w:rPr>
              <w:t>境外上市外资股</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26" w:right="0"/>
              <w:jc w:val="left"/>
              <w:rPr>
                <w:rFonts w:ascii="宋体" w:hAnsi="宋体" w:cs="宋体" w:eastAsia="宋体" w:hint="default"/>
                <w:sz w:val="20"/>
                <w:szCs w:val="20"/>
              </w:rPr>
            </w:pPr>
            <w:r>
              <w:rPr>
                <w:rFonts w:ascii="宋体"/>
                <w:sz w:val="20"/>
              </w:rPr>
              <w:t>3,000,000</w:t>
            </w:r>
          </w:p>
        </w:tc>
      </w:tr>
    </w:tbl>
    <w:p>
      <w:pPr>
        <w:spacing w:after="0" w:line="230" w:lineRule="exact"/>
        <w:jc w:val="left"/>
        <w:rPr>
          <w:rFonts w:ascii="宋体" w:hAnsi="宋体" w:cs="宋体" w:eastAsia="宋体" w:hint="default"/>
          <w:sz w:val="20"/>
          <w:szCs w:val="20"/>
        </w:rPr>
        <w:sectPr>
          <w:type w:val="continuous"/>
          <w:pgSz w:w="11910" w:h="16840"/>
          <w:pgMar w:top="1060" w:bottom="1380" w:left="104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2891"/>
        <w:gridCol w:w="2033"/>
        <w:gridCol w:w="2216"/>
        <w:gridCol w:w="2240"/>
      </w:tblGrid>
      <w:tr>
        <w:trPr>
          <w:trHeight w:val="528"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领航投资澳洲有限公司－领航</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新兴市场股指基金（交易所）</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1,796,153</w:t>
            </w:r>
            <w:r>
              <w:rPr>
                <w:rFonts w:ascii="宋体"/>
                <w:sz w:val="20"/>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0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1,796,153</w:t>
            </w:r>
            <w:r>
              <w:rPr>
                <w:rFonts w:ascii="宋体"/>
                <w:sz w:val="20"/>
              </w:rPr>
            </w:r>
          </w:p>
        </w:tc>
      </w:tr>
      <w:tr>
        <w:trPr>
          <w:trHeight w:val="787"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中国农业银行股份有限公司－</w:t>
            </w:r>
          </w:p>
          <w:p>
            <w:pPr>
              <w:pStyle w:val="TableParagraph"/>
              <w:spacing w:line="260" w:lineRule="exact" w:before="24"/>
              <w:ind w:left="103" w:right="176"/>
              <w:jc w:val="left"/>
              <w:rPr>
                <w:rFonts w:ascii="宋体" w:hAnsi="宋体" w:cs="宋体" w:eastAsia="宋体" w:hint="default"/>
                <w:sz w:val="20"/>
                <w:szCs w:val="20"/>
              </w:rPr>
            </w:pPr>
            <w:r>
              <w:rPr>
                <w:rFonts w:ascii="宋体" w:hAnsi="宋体" w:cs="宋体" w:eastAsia="宋体" w:hint="default"/>
                <w:sz w:val="20"/>
                <w:szCs w:val="20"/>
              </w:rPr>
              <w:t>中证</w:t>
            </w:r>
            <w:r>
              <w:rPr>
                <w:rFonts w:ascii="宋体" w:hAnsi="宋体" w:cs="宋体" w:eastAsia="宋体" w:hint="default"/>
                <w:spacing w:val="-52"/>
                <w:sz w:val="20"/>
                <w:szCs w:val="20"/>
              </w:rPr>
              <w:t> </w:t>
            </w:r>
            <w:r>
              <w:rPr>
                <w:rFonts w:ascii="宋体" w:hAnsi="宋体" w:cs="宋体" w:eastAsia="宋体" w:hint="default"/>
                <w:sz w:val="20"/>
                <w:szCs w:val="20"/>
              </w:rPr>
              <w:t>500</w:t>
            </w:r>
            <w:r>
              <w:rPr>
                <w:rFonts w:ascii="宋体" w:hAnsi="宋体" w:cs="宋体" w:eastAsia="宋体" w:hint="default"/>
                <w:spacing w:val="-51"/>
                <w:sz w:val="20"/>
                <w:szCs w:val="20"/>
              </w:rPr>
              <w:t> </w:t>
            </w:r>
            <w:r>
              <w:rPr>
                <w:rFonts w:ascii="宋体" w:hAnsi="宋体" w:cs="宋体" w:eastAsia="宋体" w:hint="default"/>
                <w:sz w:val="20"/>
                <w:szCs w:val="20"/>
              </w:rPr>
              <w:t>交易型开放式指数证</w:t>
            </w:r>
            <w:r>
              <w:rPr>
                <w:rFonts w:ascii="宋体" w:hAnsi="宋体" w:cs="宋体" w:eastAsia="宋体" w:hint="default"/>
                <w:w w:val="99"/>
                <w:sz w:val="20"/>
                <w:szCs w:val="20"/>
              </w:rPr>
              <w:t> </w:t>
            </w:r>
            <w:r>
              <w:rPr>
                <w:rFonts w:ascii="宋体" w:hAnsi="宋体" w:cs="宋体" w:eastAsia="宋体" w:hint="default"/>
                <w:sz w:val="20"/>
                <w:szCs w:val="20"/>
              </w:rPr>
              <w:t>券投资基金</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1,785,723</w:t>
            </w:r>
            <w:r>
              <w:rPr>
                <w:rFonts w:ascii="宋体"/>
                <w:sz w:val="20"/>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0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1,785,723</w:t>
            </w:r>
            <w:r>
              <w:rPr>
                <w:rFonts w:ascii="宋体"/>
                <w:sz w:val="20"/>
              </w:rPr>
            </w:r>
          </w:p>
        </w:tc>
      </w:tr>
      <w:tr>
        <w:trPr>
          <w:trHeight w:val="271"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唐永信</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sz w:val="20"/>
              </w:rPr>
              <w:t>780,000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sz w:val="20"/>
              </w:rPr>
              <w:t>780,000</w:t>
            </w:r>
          </w:p>
        </w:tc>
      </w:tr>
      <w:tr>
        <w:trPr>
          <w:trHeight w:val="528"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上述股东关联关系或一致行动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的说明</w:t>
            </w:r>
          </w:p>
        </w:tc>
        <w:tc>
          <w:tcPr>
            <w:tcW w:w="64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上述表格中国家股股东及国有法人股股东之间不存在关联关系。除此之</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外，本公司未知上述其他股东之间是否存在关联关系或一致行动人。</w:t>
            </w:r>
          </w:p>
        </w:tc>
      </w:tr>
    </w:tbl>
    <w:p>
      <w:pPr>
        <w:pStyle w:val="BodyText"/>
        <w:spacing w:line="241" w:lineRule="exact"/>
        <w:ind w:left="611" w:right="0"/>
        <w:jc w:val="left"/>
      </w:pPr>
      <w:r>
        <w:rPr/>
        <w:t>注：四川出版集团通过其子公司持有本公司</w:t>
      </w:r>
      <w:r>
        <w:rPr>
          <w:rFonts w:ascii="宋体" w:hAnsi="宋体" w:cs="宋体" w:eastAsia="宋体" w:hint="default"/>
        </w:rPr>
        <w:t>H</w:t>
      </w:r>
      <w:r>
        <w:rPr/>
        <w:t>股</w:t>
      </w:r>
      <w:r>
        <w:rPr>
          <w:rFonts w:ascii="宋体" w:hAnsi="宋体" w:cs="宋体" w:eastAsia="宋体" w:hint="default"/>
        </w:rPr>
        <w:t>5,950,000</w:t>
      </w:r>
      <w:r>
        <w:rPr/>
        <w:t>股，四川新华发行集团通过其子公司持</w:t>
      </w:r>
    </w:p>
    <w:p>
      <w:pPr>
        <w:pStyle w:val="BodyText"/>
        <w:spacing w:line="240" w:lineRule="auto" w:before="133"/>
        <w:ind w:left="400" w:right="0"/>
        <w:jc w:val="left"/>
      </w:pPr>
      <w:r>
        <w:rPr/>
        <w:t>有本公司</w:t>
      </w:r>
      <w:r>
        <w:rPr>
          <w:rFonts w:ascii="宋体" w:hAnsi="宋体" w:cs="宋体" w:eastAsia="宋体" w:hint="default"/>
        </w:rPr>
        <w:t>H</w:t>
      </w:r>
      <w:r>
        <w:rPr/>
        <w:t>股</w:t>
      </w:r>
      <w:r>
        <w:rPr>
          <w:rFonts w:ascii="宋体" w:hAnsi="宋体" w:cs="宋体" w:eastAsia="宋体" w:hint="default"/>
        </w:rPr>
        <w:t>13,133,000</w:t>
      </w:r>
      <w:r>
        <w:rPr/>
        <w:t>股。</w:t>
      </w: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23"/>
          <w:pgSz w:w="11910" w:h="16840"/>
          <w:pgMar w:footer="1195" w:header="0" w:top="1060" w:bottom="1380" w:left="1040" w:right="1220"/>
        </w:sectPr>
      </w:pPr>
    </w:p>
    <w:p>
      <w:pPr>
        <w:pStyle w:val="BodyText"/>
        <w:spacing w:line="274" w:lineRule="exact" w:before="36"/>
        <w:ind w:left="400" w:right="0"/>
        <w:jc w:val="left"/>
      </w:pPr>
      <w:r>
        <w:rPr>
          <w:spacing w:val="-2"/>
        </w:rPr>
        <w:t>前十名有限售条件股东持股数量及限售条件</w:t>
      </w:r>
    </w:p>
    <w:p>
      <w:pPr>
        <w:pStyle w:val="BodyText"/>
        <w:spacing w:line="274" w:lineRule="exact"/>
        <w:ind w:left="40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400" w:right="0"/>
        <w:jc w:val="left"/>
      </w:pPr>
      <w:r>
        <w:rPr/>
        <w:t>单位：股</w:t>
      </w:r>
    </w:p>
    <w:p>
      <w:pPr>
        <w:spacing w:after="0" w:line="240" w:lineRule="auto"/>
        <w:jc w:val="left"/>
        <w:sectPr>
          <w:type w:val="continuous"/>
          <w:pgSz w:w="11910" w:h="16840"/>
          <w:pgMar w:top="1060" w:bottom="1380" w:left="1040" w:right="1220"/>
          <w:cols w:num="2" w:equalWidth="0">
            <w:col w:w="4395" w:space="3793"/>
            <w:col w:w="1462"/>
          </w:cols>
        </w:sectPr>
      </w:pPr>
    </w:p>
    <w:p>
      <w:pPr>
        <w:spacing w:line="240" w:lineRule="auto" w:before="7"/>
        <w:rPr>
          <w:rFonts w:ascii="宋体" w:hAnsi="宋体" w:cs="宋体" w:eastAsia="宋体" w:hint="default"/>
          <w:sz w:val="2"/>
          <w:szCs w:val="2"/>
        </w:rPr>
      </w:pPr>
    </w:p>
    <w:tbl>
      <w:tblPr>
        <w:tblW w:w="0" w:type="auto"/>
        <w:jc w:val="left"/>
        <w:tblInd w:w="287" w:type="dxa"/>
        <w:tblLayout w:type="fixed"/>
        <w:tblCellMar>
          <w:top w:w="0" w:type="dxa"/>
          <w:left w:w="0" w:type="dxa"/>
          <w:bottom w:w="0" w:type="dxa"/>
          <w:right w:w="0" w:type="dxa"/>
        </w:tblCellMar>
        <w:tblLook w:val="01E0"/>
      </w:tblPr>
      <w:tblGrid>
        <w:gridCol w:w="665"/>
        <w:gridCol w:w="2055"/>
        <w:gridCol w:w="1445"/>
        <w:gridCol w:w="1884"/>
        <w:gridCol w:w="1447"/>
        <w:gridCol w:w="1736"/>
      </w:tblGrid>
      <w:tr>
        <w:trPr>
          <w:trHeight w:val="281" w:hRule="exact"/>
        </w:trPr>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05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14" w:right="180" w:hanging="735"/>
              <w:jc w:val="left"/>
              <w:rPr>
                <w:rFonts w:ascii="宋体" w:hAnsi="宋体" w:cs="宋体" w:eastAsia="宋体" w:hint="default"/>
                <w:sz w:val="21"/>
                <w:szCs w:val="21"/>
              </w:rPr>
            </w:pPr>
            <w:r>
              <w:rPr>
                <w:rFonts w:ascii="宋体" w:hAnsi="宋体" w:cs="宋体" w:eastAsia="宋体" w:hint="default"/>
                <w:sz w:val="21"/>
                <w:szCs w:val="21"/>
              </w:rPr>
              <w:t>有限售条件股东名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445" w:type="dxa"/>
            <w:vMerge w:val="restart"/>
            <w:tcBorders>
              <w:top w:val="single" w:sz="4" w:space="0" w:color="000000"/>
              <w:left w:val="single" w:sz="4" w:space="0" w:color="000000"/>
              <w:right w:val="single" w:sz="4" w:space="0" w:color="000000"/>
            </w:tcBorders>
          </w:tcPr>
          <w:p>
            <w:pPr>
              <w:pStyle w:val="TableParagraph"/>
              <w:spacing w:line="237" w:lineRule="auto" w:before="107"/>
              <w:ind w:left="189" w:right="189"/>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7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8" w:hRule="exact"/>
        </w:trPr>
        <w:tc>
          <w:tcPr>
            <w:tcW w:w="665" w:type="dxa"/>
            <w:vMerge/>
            <w:tcBorders>
              <w:left w:val="single" w:sz="4" w:space="0" w:color="000000"/>
              <w:bottom w:val="single" w:sz="4" w:space="0" w:color="000000"/>
              <w:right w:val="single" w:sz="4" w:space="0" w:color="000000"/>
            </w:tcBorders>
          </w:tcPr>
          <w:p>
            <w:pPr/>
          </w:p>
        </w:tc>
        <w:tc>
          <w:tcPr>
            <w:tcW w:w="2055"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7"/>
              <w:jc w:val="right"/>
              <w:rPr>
                <w:rFonts w:ascii="宋体" w:hAnsi="宋体" w:cs="宋体" w:eastAsia="宋体" w:hint="default"/>
                <w:sz w:val="21"/>
                <w:szCs w:val="21"/>
              </w:rPr>
            </w:pPr>
            <w:r>
              <w:rPr>
                <w:rFonts w:ascii="宋体" w:hAnsi="宋体" w:cs="宋体" w:eastAsia="宋体" w:hint="default"/>
                <w:spacing w:val="-1"/>
                <w:sz w:val="21"/>
                <w:szCs w:val="21"/>
              </w:rPr>
              <w:t>可上市交易时间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72" w:lineRule="exact" w:before="27"/>
              <w:ind w:left="614" w:right="187" w:hanging="420"/>
              <w:jc w:val="left"/>
              <w:rPr>
                <w:rFonts w:ascii="宋体" w:hAnsi="宋体" w:cs="宋体" w:eastAsia="宋体" w:hint="default"/>
                <w:sz w:val="21"/>
                <w:szCs w:val="21"/>
              </w:rPr>
            </w:pPr>
            <w:r>
              <w:rPr>
                <w:rFonts w:ascii="宋体" w:hAnsi="宋体" w:cs="宋体" w:eastAsia="宋体" w:hint="default"/>
                <w:sz w:val="21"/>
                <w:szCs w:val="21"/>
              </w:rPr>
              <w:t>交易股份数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1736" w:type="dxa"/>
            <w:vMerge/>
            <w:tcBorders>
              <w:left w:val="single" w:sz="4" w:space="0" w:color="000000"/>
              <w:bottom w:val="single" w:sz="4" w:space="0" w:color="000000"/>
              <w:right w:val="single" w:sz="4" w:space="0" w:color="000000"/>
            </w:tcBorders>
          </w:tcPr>
          <w:p>
            <w:pPr/>
          </w:p>
        </w:tc>
      </w:tr>
      <w:tr>
        <w:trPr>
          <w:trHeight w:val="55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592,809,525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592,809,525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自本公司上市日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起满</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554" w:hRule="exact"/>
        </w:trPr>
        <w:tc>
          <w:tcPr>
            <w:tcW w:w="2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65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sz w:val="20"/>
          <w:szCs w:val="20"/>
        </w:rPr>
      </w:pPr>
    </w:p>
    <w:p>
      <w:pPr>
        <w:pStyle w:val="Heading2"/>
        <w:tabs>
          <w:tab w:pos="966" w:val="left" w:leader="none"/>
        </w:tabs>
        <w:spacing w:line="240" w:lineRule="auto" w:before="36"/>
        <w:ind w:left="400"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pStyle w:val="BodyText"/>
        <w:spacing w:line="240" w:lineRule="auto" w:before="29"/>
        <w:ind w:left="400" w:right="0"/>
        <w:jc w:val="left"/>
      </w:pPr>
      <w:r>
        <w:rPr/>
        <w:t>□适用 √不适用</w:t>
      </w:r>
    </w:p>
    <w:p>
      <w:pPr>
        <w:pStyle w:val="Heading2"/>
        <w:spacing w:line="240" w:lineRule="auto" w:before="58"/>
        <w:ind w:left="400" w:right="0"/>
        <w:jc w:val="left"/>
        <w:rPr>
          <w:b w:val="0"/>
          <w:bCs w:val="0"/>
        </w:rPr>
      </w:pPr>
      <w:r>
        <w:rPr/>
        <w:t>四、</w:t>
      </w:r>
      <w:r>
        <w:rPr>
          <w:spacing w:val="-79"/>
        </w:rPr>
        <w:t> </w:t>
      </w:r>
      <w:r>
        <w:rPr/>
        <w:t>控股股东及实际控制人情况</w:t>
      </w:r>
      <w:r>
        <w:rPr>
          <w:b w:val="0"/>
          <w:bCs w:val="0"/>
        </w:rPr>
      </w:r>
    </w:p>
    <w:p>
      <w:pPr>
        <w:pStyle w:val="Heading2"/>
        <w:tabs>
          <w:tab w:pos="820" w:val="left" w:leader="none"/>
        </w:tabs>
        <w:spacing w:line="266" w:lineRule="auto" w:before="56"/>
        <w:ind w:left="400" w:right="755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left="400" w:right="0"/>
        <w:jc w:val="left"/>
      </w:pPr>
      <w:r>
        <w:rPr/>
        <w:t>√适用 □不适用</w:t>
      </w:r>
    </w:p>
    <w:p>
      <w:pPr>
        <w:spacing w:line="240" w:lineRule="auto" w:before="4"/>
        <w:rPr>
          <w:rFonts w:ascii="宋体" w:hAnsi="宋体" w:cs="宋体" w:eastAsia="宋体" w:hint="default"/>
          <w:sz w:val="2"/>
          <w:szCs w:val="2"/>
        </w:rPr>
      </w:pPr>
    </w:p>
    <w:tbl>
      <w:tblPr>
        <w:tblW w:w="0" w:type="auto"/>
        <w:jc w:val="left"/>
        <w:tblInd w:w="287"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朱丹枫</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91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集团内部出版企业管理服务；电影和影视节目制作、发行；</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pacing w:val="-2"/>
                <w:sz w:val="21"/>
                <w:szCs w:val="21"/>
              </w:rPr>
              <w:t>软件开发、数字内容服务；房地产业；项目投资（不得从事</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非法集资、吸收公众资金等金融活动）租赁业；会议及展览</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服务；知识产权服务；商品批发与零售；娱乐业；住宿和餐</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饮业。（以上项目不含前置许可项目，后置许可项目凭许可</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6"/>
                <w:sz w:val="21"/>
                <w:szCs w:val="21"/>
              </w:rPr>
              <w:t>证或审批文件经营</w:t>
            </w:r>
            <w:r>
              <w:rPr>
                <w:rFonts w:ascii="宋体" w:hAnsi="宋体" w:cs="宋体" w:eastAsia="宋体" w:hint="default"/>
                <w:spacing w:val="-6"/>
                <w:sz w:val="21"/>
                <w:szCs w:val="21"/>
              </w:rPr>
              <w:t>)</w:t>
            </w:r>
            <w:r>
              <w:rPr>
                <w:rFonts w:ascii="宋体" w:hAnsi="宋体" w:cs="宋体" w:eastAsia="宋体" w:hint="default"/>
                <w:spacing w:val="-6"/>
                <w:sz w:val="21"/>
                <w:szCs w:val="21"/>
              </w:rPr>
              <w:t>（依法须经批准的项目，经相关部门批准</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后方可开展经营活动）</w:t>
            </w:r>
          </w:p>
        </w:tc>
      </w:tr>
      <w:tr>
        <w:trPr>
          <w:trHeight w:val="109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参股成都银行股份有限公司，于</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pacing w:val="-12"/>
                <w:sz w:val="21"/>
                <w:szCs w:val="21"/>
              </w:rPr>
              <w:t>日，持有其</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股股份</w:t>
            </w:r>
            <w:r>
              <w:rPr>
                <w:rFonts w:ascii="宋体" w:hAnsi="宋体" w:cs="宋体" w:eastAsia="宋体" w:hint="default"/>
                <w:spacing w:val="-54"/>
                <w:sz w:val="21"/>
                <w:szCs w:val="21"/>
              </w:rPr>
              <w:t> </w:t>
            </w:r>
            <w:r>
              <w:rPr>
                <w:rFonts w:ascii="宋体" w:hAnsi="宋体" w:cs="宋体" w:eastAsia="宋体" w:hint="default"/>
                <w:sz w:val="21"/>
                <w:szCs w:val="21"/>
              </w:rPr>
              <w:t>71,243,800</w:t>
            </w:r>
            <w:r>
              <w:rPr>
                <w:rFonts w:ascii="宋体" w:hAnsi="宋体" w:cs="宋体" w:eastAsia="宋体" w:hint="default"/>
                <w:spacing w:val="-54"/>
                <w:sz w:val="21"/>
                <w:szCs w:val="21"/>
              </w:rPr>
              <w:t> </w:t>
            </w:r>
            <w:r>
              <w:rPr>
                <w:rFonts w:ascii="宋体" w:hAnsi="宋体" w:cs="宋体" w:eastAsia="宋体" w:hint="default"/>
                <w:sz w:val="21"/>
                <w:szCs w:val="21"/>
              </w:rPr>
              <w:t>股，持股比例为</w:t>
            </w:r>
            <w:r>
              <w:rPr>
                <w:rFonts w:ascii="宋体" w:hAnsi="宋体" w:cs="宋体" w:eastAsia="宋体" w:hint="default"/>
                <w:spacing w:val="-54"/>
                <w:sz w:val="21"/>
                <w:szCs w:val="21"/>
              </w:rPr>
              <w:t> </w:t>
            </w:r>
            <w:r>
              <w:rPr>
                <w:rFonts w:ascii="宋体" w:hAnsi="宋体" w:cs="宋体" w:eastAsia="宋体" w:hint="default"/>
                <w:sz w:val="21"/>
                <w:szCs w:val="21"/>
              </w:rPr>
              <w:t>1.97%</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5"/>
                <w:sz w:val="21"/>
                <w:szCs w:val="21"/>
              </w:rPr>
              <w:t>参股交通银行股份有限公司，于</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12"/>
                <w:sz w:val="21"/>
                <w:szCs w:val="21"/>
              </w:rPr>
              <w:t>日，持有其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股股份</w:t>
            </w:r>
            <w:r>
              <w:rPr>
                <w:rFonts w:ascii="宋体" w:hAnsi="宋体" w:cs="宋体" w:eastAsia="宋体" w:hint="default"/>
                <w:spacing w:val="-55"/>
                <w:sz w:val="21"/>
                <w:szCs w:val="21"/>
              </w:rPr>
              <w:t> </w:t>
            </w:r>
            <w:r>
              <w:rPr>
                <w:rFonts w:ascii="宋体" w:hAnsi="宋体" w:cs="宋体" w:eastAsia="宋体" w:hint="default"/>
                <w:sz w:val="21"/>
                <w:szCs w:val="21"/>
              </w:rPr>
              <w:t>279,422</w:t>
            </w:r>
            <w:r>
              <w:rPr>
                <w:rFonts w:ascii="宋体" w:hAnsi="宋体" w:cs="宋体" w:eastAsia="宋体" w:hint="default"/>
                <w:spacing w:val="-54"/>
                <w:sz w:val="21"/>
                <w:szCs w:val="21"/>
              </w:rPr>
              <w:t> </w:t>
            </w:r>
            <w:r>
              <w:rPr>
                <w:rFonts w:ascii="宋体" w:hAnsi="宋体" w:cs="宋体" w:eastAsia="宋体" w:hint="default"/>
                <w:sz w:val="21"/>
                <w:szCs w:val="21"/>
              </w:rPr>
              <w:t>股，持股比例为</w:t>
            </w:r>
            <w:r>
              <w:rPr>
                <w:rFonts w:ascii="宋体" w:hAnsi="宋体" w:cs="宋体" w:eastAsia="宋体" w:hint="default"/>
                <w:spacing w:val="-55"/>
                <w:sz w:val="21"/>
                <w:szCs w:val="21"/>
              </w:rPr>
              <w:t> </w:t>
            </w:r>
            <w:r>
              <w:rPr>
                <w:rFonts w:ascii="宋体" w:hAnsi="宋体" w:cs="宋体" w:eastAsia="宋体" w:hint="default"/>
                <w:sz w:val="21"/>
                <w:szCs w:val="21"/>
              </w:rPr>
              <w:t>0.00038%</w:t>
            </w:r>
            <w:r>
              <w:rPr>
                <w:rFonts w:ascii="宋体" w:hAnsi="宋体" w:cs="宋体" w:eastAsia="宋体" w:hint="default"/>
                <w:sz w:val="21"/>
                <w:szCs w:val="21"/>
              </w:rPr>
              <w:t>。</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bl>
    <w:p>
      <w:pPr>
        <w:spacing w:after="0" w:line="241" w:lineRule="exact"/>
        <w:jc w:val="left"/>
        <w:rPr>
          <w:rFonts w:ascii="宋体" w:hAnsi="宋体" w:cs="宋体" w:eastAsia="宋体" w:hint="default"/>
          <w:sz w:val="21"/>
          <w:szCs w:val="21"/>
        </w:rPr>
        <w:sectPr>
          <w:type w:val="continuous"/>
          <w:pgSz w:w="11910" w:h="16840"/>
          <w:pgMar w:top="1060" w:bottom="1380" w:left="104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tabs>
          <w:tab w:pos="640" w:val="left" w:leader="none"/>
        </w:tabs>
        <w:spacing w:line="240" w:lineRule="auto" w:before="36"/>
        <w:ind w:right="20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right="205"/>
        <w:jc w:val="left"/>
      </w:pPr>
      <w:r>
        <w:rPr/>
        <w:t>□适用 √不适用</w:t>
      </w:r>
    </w:p>
    <w:p>
      <w:pPr>
        <w:pStyle w:val="Heading2"/>
        <w:tabs>
          <w:tab w:pos="640" w:val="left" w:leader="none"/>
        </w:tabs>
        <w:spacing w:line="240" w:lineRule="auto" w:before="58"/>
        <w:ind w:right="20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2" w:val="left" w:leader="none"/>
        </w:tabs>
        <w:spacing w:line="240" w:lineRule="auto" w:before="56"/>
        <w:ind w:right="205"/>
        <w:jc w:val="left"/>
      </w:pPr>
      <w:r>
        <w:rPr/>
        <w:t>□适用</w:t>
        <w:tab/>
        <w:t>√不适用</w:t>
      </w:r>
    </w:p>
    <w:p>
      <w:pPr>
        <w:spacing w:line="240" w:lineRule="auto" w:before="3"/>
        <w:rPr>
          <w:rFonts w:ascii="宋体" w:hAnsi="宋体" w:cs="宋体" w:eastAsia="宋体" w:hint="default"/>
          <w:sz w:val="25"/>
          <w:szCs w:val="25"/>
        </w:rPr>
      </w:pPr>
    </w:p>
    <w:p>
      <w:pPr>
        <w:pStyle w:val="Heading2"/>
        <w:tabs>
          <w:tab w:pos="640" w:val="left" w:leader="none"/>
        </w:tabs>
        <w:spacing w:line="240" w:lineRule="auto"/>
        <w:ind w:right="20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2" w:val="left" w:leader="none"/>
        </w:tabs>
        <w:spacing w:line="240" w:lineRule="auto" w:before="58"/>
        <w:ind w:right="205"/>
        <w:jc w:val="left"/>
      </w:pPr>
      <w:r>
        <w:rPr/>
        <w:t>□适用</w:t>
        <w:tab/>
        <w:t>√不适用</w:t>
      </w:r>
    </w:p>
    <w:p>
      <w:pPr>
        <w:spacing w:line="240" w:lineRule="auto" w:before="3"/>
        <w:rPr>
          <w:rFonts w:ascii="宋体" w:hAnsi="宋体" w:cs="宋体" w:eastAsia="宋体" w:hint="default"/>
          <w:sz w:val="25"/>
          <w:szCs w:val="25"/>
        </w:rPr>
      </w:pPr>
    </w:p>
    <w:p>
      <w:pPr>
        <w:pStyle w:val="Heading2"/>
        <w:tabs>
          <w:tab w:pos="640" w:val="left" w:leader="none"/>
        </w:tabs>
        <w:spacing w:line="240" w:lineRule="auto"/>
        <w:ind w:right="20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2" w:val="left" w:leader="none"/>
        </w:tabs>
        <w:spacing w:line="240" w:lineRule="auto" w:before="56"/>
        <w:ind w:right="205"/>
        <w:jc w:val="left"/>
      </w:pPr>
      <w:r>
        <w:rPr/>
        <w:t>√适用</w:t>
        <w:tab/>
        <w:t>□不适用</w:t>
      </w:r>
    </w:p>
    <w:p>
      <w:pPr>
        <w:spacing w:line="240" w:lineRule="auto" w:before="6"/>
        <w:rPr>
          <w:rFonts w:ascii="宋体" w:hAnsi="宋体" w:cs="宋体" w:eastAsia="宋体" w:hint="default"/>
          <w:sz w:val="2"/>
          <w:szCs w:val="2"/>
        </w:rPr>
      </w:pPr>
    </w:p>
    <w:p>
      <w:pPr>
        <w:spacing w:line="2028" w:lineRule="exact"/>
        <w:ind w:left="250" w:right="0" w:firstLine="0"/>
        <w:rPr>
          <w:rFonts w:ascii="宋体" w:hAnsi="宋体" w:cs="宋体" w:eastAsia="宋体" w:hint="default"/>
          <w:sz w:val="20"/>
          <w:szCs w:val="20"/>
        </w:rPr>
      </w:pPr>
      <w:r>
        <w:rPr>
          <w:rFonts w:ascii="宋体" w:hAnsi="宋体" w:cs="宋体" w:eastAsia="宋体" w:hint="default"/>
          <w:position w:val="-40"/>
          <w:sz w:val="20"/>
          <w:szCs w:val="20"/>
        </w:rPr>
        <w:drawing>
          <wp:inline distT="0" distB="0" distL="0" distR="0">
            <wp:extent cx="1893946" cy="128816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5" cstate="print"/>
                    <a:stretch>
                      <a:fillRect/>
                    </a:stretch>
                  </pic:blipFill>
                  <pic:spPr>
                    <a:xfrm>
                      <a:off x="0" y="0"/>
                      <a:ext cx="1893946" cy="1288161"/>
                    </a:xfrm>
                    <a:prstGeom prst="rect">
                      <a:avLst/>
                    </a:prstGeom>
                  </pic:spPr>
                </pic:pic>
              </a:graphicData>
            </a:graphic>
          </wp:inline>
        </w:drawing>
      </w:r>
      <w:r>
        <w:rPr>
          <w:rFonts w:ascii="宋体" w:hAnsi="宋体" w:cs="宋体" w:eastAsia="宋体" w:hint="default"/>
          <w:position w:val="-40"/>
          <w:sz w:val="20"/>
          <w:szCs w:val="20"/>
        </w:rPr>
      </w:r>
    </w:p>
    <w:p>
      <w:pPr>
        <w:spacing w:line="240" w:lineRule="auto" w:before="12"/>
        <w:rPr>
          <w:rFonts w:ascii="宋体" w:hAnsi="宋体" w:cs="宋体" w:eastAsia="宋体" w:hint="default"/>
          <w:sz w:val="23"/>
          <w:szCs w:val="23"/>
        </w:rPr>
      </w:pPr>
    </w:p>
    <w:p>
      <w:pPr>
        <w:pStyle w:val="Heading2"/>
        <w:tabs>
          <w:tab w:pos="645" w:val="left" w:leader="none"/>
        </w:tabs>
        <w:spacing w:line="266" w:lineRule="auto"/>
        <w:ind w:right="734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right="205"/>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478"/>
        <w:gridCol w:w="5766"/>
      </w:tblGrid>
      <w:tr>
        <w:trPr>
          <w:trHeight w:val="281"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四川省国资委</w:t>
            </w:r>
          </w:p>
        </w:tc>
      </w:tr>
      <w:tr>
        <w:trPr>
          <w:trHeight w:val="283"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徐进</w:t>
            </w:r>
          </w:p>
        </w:tc>
      </w:tr>
      <w:tr>
        <w:trPr>
          <w:trHeight w:val="283"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7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2"/>
        <w:tabs>
          <w:tab w:pos="645" w:val="left" w:leader="none"/>
        </w:tabs>
        <w:spacing w:line="240" w:lineRule="auto" w:before="36"/>
        <w:ind w:right="20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right="205"/>
        <w:jc w:val="left"/>
      </w:pPr>
      <w:r>
        <w:rPr/>
        <w:t>□适用 √不适用</w:t>
      </w:r>
    </w:p>
    <w:p>
      <w:pPr>
        <w:pStyle w:val="Heading2"/>
        <w:tabs>
          <w:tab w:pos="645" w:val="left" w:leader="none"/>
        </w:tabs>
        <w:spacing w:line="240" w:lineRule="auto" w:before="59"/>
        <w:ind w:right="20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2" w:val="left" w:leader="none"/>
        </w:tabs>
        <w:spacing w:line="240" w:lineRule="auto" w:before="56"/>
        <w:ind w:right="205"/>
        <w:jc w:val="left"/>
      </w:pPr>
      <w:r>
        <w:rPr/>
        <w:t>□适用</w:t>
        <w:tab/>
        <w:t>√不适用</w:t>
      </w:r>
    </w:p>
    <w:p>
      <w:pPr>
        <w:spacing w:line="240" w:lineRule="auto" w:before="3"/>
        <w:rPr>
          <w:rFonts w:ascii="宋体" w:hAnsi="宋体" w:cs="宋体" w:eastAsia="宋体" w:hint="default"/>
          <w:sz w:val="25"/>
          <w:szCs w:val="25"/>
        </w:rPr>
      </w:pPr>
    </w:p>
    <w:p>
      <w:pPr>
        <w:pStyle w:val="Heading2"/>
        <w:tabs>
          <w:tab w:pos="645" w:val="left" w:leader="none"/>
        </w:tabs>
        <w:spacing w:line="240" w:lineRule="auto"/>
        <w:ind w:right="20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2" w:val="left" w:leader="none"/>
        </w:tabs>
        <w:spacing w:line="240" w:lineRule="auto" w:before="58"/>
        <w:ind w:right="205"/>
        <w:jc w:val="left"/>
      </w:pPr>
      <w:r>
        <w:rPr/>
        <w:t>□适用</w:t>
        <w:tab/>
        <w:t>√不适用</w:t>
      </w:r>
    </w:p>
    <w:p>
      <w:pPr>
        <w:spacing w:line="240" w:lineRule="auto" w:before="0"/>
        <w:rPr>
          <w:rFonts w:ascii="宋体" w:hAnsi="宋体" w:cs="宋体" w:eastAsia="宋体" w:hint="default"/>
          <w:sz w:val="25"/>
          <w:szCs w:val="25"/>
        </w:rPr>
      </w:pPr>
    </w:p>
    <w:p>
      <w:pPr>
        <w:pStyle w:val="Heading2"/>
        <w:tabs>
          <w:tab w:pos="645" w:val="left" w:leader="none"/>
        </w:tabs>
        <w:spacing w:line="240" w:lineRule="auto"/>
        <w:ind w:right="20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2" w:val="left" w:leader="none"/>
        </w:tabs>
        <w:spacing w:line="240" w:lineRule="auto" w:before="58"/>
        <w:ind w:right="205"/>
        <w:jc w:val="left"/>
      </w:pPr>
      <w:r>
        <w:rPr/>
        <w:t>√适用</w:t>
        <w:tab/>
        <w:t>□不适用</w:t>
      </w:r>
    </w:p>
    <w:p>
      <w:pPr>
        <w:spacing w:after="0" w:line="240" w:lineRule="auto"/>
        <w:jc w:val="left"/>
        <w:sectPr>
          <w:footerReference w:type="default" r:id="rId24"/>
          <w:pgSz w:w="11910" w:h="16840"/>
          <w:pgMar w:footer="1195" w:header="0" w:top="1060" w:bottom="1380" w:left="1220" w:right="1220"/>
          <w:pgNumType w:start="5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3708" w:lineRule="exact"/>
        <w:ind w:left="170"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2023886" cy="235457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6" cstate="print"/>
                    <a:stretch>
                      <a:fillRect/>
                    </a:stretch>
                  </pic:blipFill>
                  <pic:spPr>
                    <a:xfrm>
                      <a:off x="0" y="0"/>
                      <a:ext cx="2023886" cy="2354579"/>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1"/>
        <w:rPr>
          <w:rFonts w:ascii="宋体" w:hAnsi="宋体" w:cs="宋体" w:eastAsia="宋体" w:hint="default"/>
          <w:sz w:val="21"/>
          <w:szCs w:val="21"/>
        </w:rPr>
      </w:pPr>
    </w:p>
    <w:p>
      <w:pPr>
        <w:pStyle w:val="Heading2"/>
        <w:tabs>
          <w:tab w:pos="565" w:val="left" w:leader="none"/>
        </w:tabs>
        <w:spacing w:line="240" w:lineRule="auto" w:before="36"/>
        <w:ind w:left="140" w:right="106"/>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82" w:val="left" w:leader="none"/>
        </w:tabs>
        <w:spacing w:line="240" w:lineRule="auto" w:before="58"/>
        <w:ind w:left="140" w:right="106"/>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2" w:val="left" w:leader="none"/>
        </w:tabs>
        <w:spacing w:line="240" w:lineRule="auto" w:before="29"/>
        <w:ind w:left="140" w:right="106"/>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t>五、</w:t>
      </w:r>
      <w:r>
        <w:rPr>
          <w:spacing w:val="-78"/>
        </w:rPr>
        <w:t> </w:t>
      </w:r>
      <w:r>
        <w:rPr/>
        <w:t>其他持股在百分之十以上的法人股东</w:t>
      </w:r>
      <w:r>
        <w:rPr>
          <w:b w:val="0"/>
          <w:bCs w:val="0"/>
        </w:rPr>
      </w:r>
    </w:p>
    <w:p>
      <w:pPr>
        <w:pStyle w:val="BodyText"/>
        <w:spacing w:line="240" w:lineRule="auto" w:before="59"/>
        <w:ind w:left="140" w:right="106"/>
        <w:jc w:val="left"/>
      </w:pPr>
      <w:r>
        <w:rPr/>
        <w:t>□适用 √不适用</w:t>
      </w:r>
    </w:p>
    <w:p>
      <w:pPr>
        <w:pStyle w:val="Heading2"/>
        <w:spacing w:line="240" w:lineRule="auto" w:before="56"/>
        <w:ind w:left="140" w:right="106"/>
        <w:jc w:val="left"/>
        <w:rPr>
          <w:b w:val="0"/>
          <w:bCs w:val="0"/>
        </w:rPr>
      </w:pPr>
      <w:r>
        <w:rPr/>
        <w:t>六、</w:t>
      </w:r>
      <w:r>
        <w:rPr>
          <w:spacing w:val="-77"/>
        </w:rPr>
        <w:t> </w:t>
      </w:r>
      <w:r>
        <w:rPr/>
        <w:t>股份限制减持情况说明</w:t>
      </w:r>
      <w:r>
        <w:rPr>
          <w:b w:val="0"/>
          <w:bCs w:val="0"/>
        </w:rPr>
      </w:r>
    </w:p>
    <w:p>
      <w:pPr>
        <w:pStyle w:val="BodyText"/>
        <w:spacing w:line="240" w:lineRule="auto" w:before="56"/>
        <w:ind w:left="140" w:right="106"/>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1"/>
        <w:tabs>
          <w:tab w:pos="4300" w:val="left" w:leader="none"/>
        </w:tabs>
        <w:spacing w:line="240" w:lineRule="auto"/>
        <w:ind w:left="3040" w:right="106"/>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40" w:right="106"/>
        <w:jc w:val="left"/>
      </w:pPr>
      <w:r>
        <w:rPr/>
        <w:t>□适用 √不适用</w:t>
      </w:r>
    </w:p>
    <w:p>
      <w:pPr>
        <w:spacing w:after="0" w:line="240" w:lineRule="auto"/>
        <w:jc w:val="left"/>
        <w:sectPr>
          <w:pgSz w:w="11910" w:h="16840"/>
          <w:pgMar w:header="0" w:footer="1195" w:top="106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853" w:val="left" w:leader="none"/>
        </w:tabs>
        <w:spacing w:line="240" w:lineRule="auto" w:before="146"/>
        <w:ind w:left="2593"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0" w:footer="1195" w:top="1060" w:bottom="1380" w:left="340" w:right="280"/>
        </w:sectPr>
      </w:pPr>
    </w:p>
    <w:p>
      <w:pPr>
        <w:pStyle w:val="Heading2"/>
        <w:spacing w:line="240" w:lineRule="auto" w:before="36"/>
        <w:ind w:left="1100" w:right="-16"/>
        <w:jc w:val="left"/>
        <w:rPr>
          <w:b w:val="0"/>
          <w:bCs w:val="0"/>
        </w:rPr>
      </w:pPr>
      <w:r>
        <w:rPr/>
        <w:t>一、持股变动情况及报酬情况</w:t>
      </w:r>
      <w:r>
        <w:rPr>
          <w:b w:val="0"/>
          <w:bCs w:val="0"/>
        </w:rPr>
      </w:r>
    </w:p>
    <w:p>
      <w:pPr>
        <w:pStyle w:val="Heading2"/>
        <w:spacing w:line="240" w:lineRule="auto" w:before="56"/>
        <w:ind w:left="1100"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现任及报告期内离任董事、监事和高级管理人员持股变动及报酬情况</w:t>
      </w:r>
      <w:r>
        <w:rPr>
          <w:b w:val="0"/>
          <w:bCs w:val="0"/>
        </w:rPr>
      </w:r>
    </w:p>
    <w:p>
      <w:pPr>
        <w:pStyle w:val="BodyText"/>
        <w:spacing w:line="240" w:lineRule="auto" w:before="32"/>
        <w:ind w:left="1100"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082" w:right="1135"/>
        <w:jc w:val="center"/>
      </w:pPr>
      <w:r>
        <w:rPr/>
        <w:t>单位：股</w:t>
      </w:r>
    </w:p>
    <w:p>
      <w:pPr>
        <w:spacing w:after="0" w:line="240" w:lineRule="auto"/>
        <w:jc w:val="center"/>
        <w:sectPr>
          <w:type w:val="continuous"/>
          <w:pgSz w:w="11910" w:h="16840"/>
          <w:pgMar w:top="1060" w:bottom="1380" w:left="340" w:right="280"/>
          <w:cols w:num="2" w:equalWidth="0">
            <w:col w:w="7848" w:space="340"/>
            <w:col w:w="3102"/>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852"/>
        <w:gridCol w:w="1135"/>
        <w:gridCol w:w="708"/>
        <w:gridCol w:w="709"/>
        <w:gridCol w:w="1274"/>
        <w:gridCol w:w="1419"/>
        <w:gridCol w:w="708"/>
        <w:gridCol w:w="708"/>
        <w:gridCol w:w="852"/>
        <w:gridCol w:w="709"/>
        <w:gridCol w:w="1133"/>
        <w:gridCol w:w="852"/>
      </w:tblGrid>
      <w:tr>
        <w:trPr>
          <w:trHeight w:val="97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姓名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542" w:right="18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9"/>
              <w:ind w:left="167" w:right="168"/>
              <w:jc w:val="both"/>
              <w:rPr>
                <w:rFonts w:ascii="宋体" w:hAnsi="宋体" w:cs="宋体" w:eastAsia="宋体" w:hint="default"/>
                <w:sz w:val="18"/>
                <w:szCs w:val="18"/>
              </w:rPr>
            </w:pPr>
            <w:r>
              <w:rPr>
                <w:rFonts w:ascii="宋体" w:hAnsi="宋体" w:cs="宋体" w:eastAsia="宋体" w:hint="default"/>
                <w:sz w:val="18"/>
                <w:szCs w:val="18"/>
              </w:rPr>
              <w:t>年初 持股 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9"/>
              <w:ind w:left="167" w:right="168"/>
              <w:jc w:val="both"/>
              <w:rPr>
                <w:rFonts w:ascii="宋体" w:hAnsi="宋体" w:cs="宋体" w:eastAsia="宋体" w:hint="default"/>
                <w:sz w:val="18"/>
                <w:szCs w:val="18"/>
              </w:rPr>
            </w:pPr>
            <w:r>
              <w:rPr>
                <w:rFonts w:ascii="宋体" w:hAnsi="宋体" w:cs="宋体" w:eastAsia="宋体" w:hint="default"/>
                <w:sz w:val="18"/>
                <w:szCs w:val="18"/>
              </w:rPr>
              <w:t>年末 持股 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51" w:right="149"/>
              <w:jc w:val="center"/>
              <w:rPr>
                <w:rFonts w:ascii="宋体" w:hAnsi="宋体" w:cs="宋体" w:eastAsia="宋体" w:hint="default"/>
                <w:sz w:val="18"/>
                <w:szCs w:val="18"/>
              </w:rPr>
            </w:pPr>
            <w:r>
              <w:rPr>
                <w:rFonts w:ascii="宋体" w:hAnsi="宋体" w:cs="宋体" w:eastAsia="宋体" w:hint="default"/>
                <w:sz w:val="18"/>
                <w:szCs w:val="18"/>
              </w:rPr>
              <w:t>年度内 股份增 减变动</w:t>
            </w:r>
          </w:p>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9"/>
              <w:ind w:left="168" w:right="168"/>
              <w:jc w:val="both"/>
              <w:rPr>
                <w:rFonts w:ascii="宋体" w:hAnsi="宋体" w:cs="宋体" w:eastAsia="宋体" w:hint="default"/>
                <w:sz w:val="18"/>
                <w:szCs w:val="18"/>
              </w:rPr>
            </w:pPr>
            <w:r>
              <w:rPr>
                <w:rFonts w:ascii="宋体" w:hAnsi="宋体" w:cs="宋体" w:eastAsia="宋体" w:hint="default"/>
                <w:sz w:val="18"/>
                <w:szCs w:val="18"/>
              </w:rPr>
              <w:t>增减 变动 原因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both"/>
              <w:rPr>
                <w:rFonts w:ascii="宋体" w:hAnsi="宋体" w:cs="宋体" w:eastAsia="宋体" w:hint="default"/>
                <w:sz w:val="18"/>
                <w:szCs w:val="18"/>
              </w:rPr>
            </w:pPr>
            <w:r>
              <w:rPr>
                <w:rFonts w:ascii="宋体" w:hAnsi="宋体" w:cs="宋体" w:eastAsia="宋体" w:hint="default"/>
                <w:sz w:val="18"/>
                <w:szCs w:val="18"/>
              </w:rPr>
              <w:t>报告期内从</w:t>
            </w:r>
          </w:p>
          <w:p>
            <w:pPr>
              <w:pStyle w:val="TableParagraph"/>
              <w:spacing w:line="237" w:lineRule="auto"/>
              <w:ind w:left="110" w:right="110"/>
              <w:jc w:val="both"/>
              <w:rPr>
                <w:rFonts w:ascii="宋体" w:hAnsi="宋体" w:cs="宋体" w:eastAsia="宋体" w:hint="default"/>
                <w:sz w:val="18"/>
                <w:szCs w:val="18"/>
              </w:rPr>
            </w:pPr>
            <w:r>
              <w:rPr>
                <w:rFonts w:ascii="宋体" w:hAnsi="宋体" w:cs="宋体" w:eastAsia="宋体" w:hint="default"/>
                <w:sz w:val="18"/>
                <w:szCs w:val="18"/>
              </w:rPr>
              <w:t>公司获得的 税前报酬总 额（万元）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both"/>
              <w:rPr>
                <w:rFonts w:ascii="宋体" w:hAnsi="宋体" w:cs="宋体" w:eastAsia="宋体" w:hint="default"/>
                <w:sz w:val="18"/>
                <w:szCs w:val="18"/>
              </w:rPr>
            </w:pPr>
            <w:r>
              <w:rPr>
                <w:rFonts w:ascii="宋体" w:hAnsi="宋体" w:cs="宋体" w:eastAsia="宋体" w:hint="default"/>
                <w:sz w:val="18"/>
                <w:szCs w:val="18"/>
              </w:rPr>
              <w:t>是否在</w:t>
            </w:r>
          </w:p>
          <w:p>
            <w:pPr>
              <w:pStyle w:val="TableParagraph"/>
              <w:spacing w:line="237" w:lineRule="auto"/>
              <w:ind w:left="151" w:right="149"/>
              <w:jc w:val="both"/>
              <w:rPr>
                <w:rFonts w:ascii="宋体" w:hAnsi="宋体" w:cs="宋体" w:eastAsia="宋体" w:hint="default"/>
                <w:sz w:val="18"/>
                <w:szCs w:val="18"/>
              </w:rPr>
            </w:pPr>
            <w:r>
              <w:rPr>
                <w:rFonts w:ascii="宋体" w:hAnsi="宋体" w:cs="宋体" w:eastAsia="宋体" w:hint="default"/>
                <w:sz w:val="18"/>
                <w:szCs w:val="18"/>
              </w:rPr>
              <w:t>公司关 联方获 取报酬</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何志勇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执行董事、</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2015-12-29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第四届董事会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陈云华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执行董事副</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第四届董事会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杨杪</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执行董事、</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2015-03-06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第四届董事会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153.10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罗军</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2008-07-30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第四届董事会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韩小明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2017-05-25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第四届董事会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2013-05-09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第四届董事会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方炳希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独立非执行</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2017-10-26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第四届董事会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肖莉萍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独立非执行</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2015-03-06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第四届董事会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陈育棠</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独立非执行</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2016-02-18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第四届董事会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29.20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唐雄兴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2017-12-21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第四届监事会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赵洵</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2017-05-25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第四届监事会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兰红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2005-06-11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第四届监事会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44.14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王焱</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2015-03-06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第四届监事会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39.79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2016-02-18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第四届监事会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刘密霞</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2015-03-06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第四届监事会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8.20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陈大利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2005-06-11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第四届董事会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114.47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安庆国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2010-12-01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2018-04-03</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17.53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2015-03-06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第四届董事会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172.77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游祖刚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2005-06-11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第四届董事会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106.65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朱在祥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2005-06-11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第四届董事会</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任期届满之日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106.65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0"/>
              <w:jc w:val="righ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836.10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w:t>
            </w:r>
          </w:p>
        </w:tc>
      </w:tr>
    </w:tbl>
    <w:p>
      <w:pPr>
        <w:pStyle w:val="BodyText"/>
        <w:spacing w:line="241" w:lineRule="exact"/>
        <w:ind w:left="1100" w:right="0"/>
        <w:jc w:val="left"/>
      </w:pPr>
      <w:r>
        <w:rPr/>
        <w:t>注：报酬总额包括薪酬、奖金及企业为其缴纳的各项保险等。</w:t>
      </w:r>
    </w:p>
    <w:p>
      <w:pPr>
        <w:spacing w:line="240" w:lineRule="auto" w:before="3"/>
        <w:rPr>
          <w:rFonts w:ascii="宋体" w:hAnsi="宋体" w:cs="宋体" w:eastAsia="宋体" w:hint="default"/>
          <w:sz w:val="23"/>
          <w:szCs w:val="23"/>
        </w:rPr>
      </w:pPr>
    </w:p>
    <w:tbl>
      <w:tblPr>
        <w:tblW w:w="0" w:type="auto"/>
        <w:jc w:val="left"/>
        <w:tblInd w:w="987" w:type="dxa"/>
        <w:tblLayout w:type="fixed"/>
        <w:tblCellMar>
          <w:top w:w="0" w:type="dxa"/>
          <w:left w:w="0" w:type="dxa"/>
          <w:bottom w:w="0" w:type="dxa"/>
          <w:right w:w="0" w:type="dxa"/>
        </w:tblCellMar>
        <w:tblLook w:val="01E0"/>
      </w:tblPr>
      <w:tblGrid>
        <w:gridCol w:w="1001"/>
        <w:gridCol w:w="8243"/>
      </w:tblGrid>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bl>
    <w:p>
      <w:pPr>
        <w:spacing w:after="0" w:line="243" w:lineRule="exact"/>
        <w:jc w:val="center"/>
        <w:rPr>
          <w:rFonts w:ascii="宋体" w:hAnsi="宋体" w:cs="宋体" w:eastAsia="宋体" w:hint="default"/>
          <w:sz w:val="21"/>
          <w:szCs w:val="21"/>
        </w:rPr>
        <w:sectPr>
          <w:type w:val="continuous"/>
          <w:pgSz w:w="11910" w:h="16840"/>
          <w:pgMar w:top="1060" w:bottom="1380" w:left="340" w:right="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1001"/>
        <w:gridCol w:w="8243"/>
      </w:tblGrid>
      <w:tr>
        <w:trPr>
          <w:trHeight w:val="1915"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何志勇</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现任本公司董事长及执行董事，四川新华发行集团董事、总裁、党委委员及四川上市公</w:t>
            </w:r>
          </w:p>
          <w:p>
            <w:pPr>
              <w:pStyle w:val="TableParagraph"/>
              <w:spacing w:line="237" w:lineRule="auto"/>
              <w:ind w:left="103" w:right="-7"/>
              <w:jc w:val="left"/>
              <w:rPr>
                <w:rFonts w:ascii="宋体" w:hAnsi="宋体" w:cs="宋体" w:eastAsia="宋体" w:hint="default"/>
                <w:sz w:val="21"/>
                <w:szCs w:val="21"/>
              </w:rPr>
            </w:pPr>
            <w:r>
              <w:rPr>
                <w:rFonts w:ascii="宋体" w:hAnsi="宋体" w:cs="宋体" w:eastAsia="宋体" w:hint="default"/>
                <w:sz w:val="21"/>
                <w:szCs w:val="21"/>
              </w:rPr>
              <w:t>司协会会长。曾任西南财经大学贸易经济系教研室主任、副教授、副系主任、教授，西</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3"/>
                <w:sz w:val="21"/>
                <w:szCs w:val="21"/>
              </w:rPr>
              <w:t>南财经大学出版社副社长、常务副社长，四川省新闻出版（版权）局副局长、党组成员，</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四川出版集团总编辑、管委会副主任，四川党建期刊集团党委书记、管委会主任。何先</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生于</w:t>
            </w:r>
            <w:r>
              <w:rPr>
                <w:rFonts w:ascii="宋体" w:hAnsi="宋体" w:cs="宋体" w:eastAsia="宋体" w:hint="default"/>
                <w:spacing w:val="-47"/>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pacing w:val="-5"/>
                <w:sz w:val="21"/>
                <w:szCs w:val="21"/>
              </w:rPr>
              <w:t>月起任四川新华发行集团董事、总裁、党委委员；于</w:t>
            </w:r>
            <w:r>
              <w:rPr>
                <w:rFonts w:ascii="宋体" w:hAnsi="宋体" w:cs="宋体" w:eastAsia="宋体" w:hint="default"/>
                <w:spacing w:val="-47"/>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月至今任</w:t>
            </w:r>
          </w:p>
          <w:p>
            <w:pPr>
              <w:pStyle w:val="TableParagraph"/>
              <w:spacing w:line="274" w:lineRule="exact" w:before="22"/>
              <w:ind w:left="103" w:right="96"/>
              <w:jc w:val="left"/>
              <w:rPr>
                <w:rFonts w:ascii="宋体" w:hAnsi="宋体" w:cs="宋体" w:eastAsia="宋体" w:hint="default"/>
                <w:sz w:val="21"/>
                <w:szCs w:val="21"/>
              </w:rPr>
            </w:pPr>
            <w:r>
              <w:rPr>
                <w:rFonts w:ascii="宋体" w:hAnsi="宋体" w:cs="宋体" w:eastAsia="宋体" w:hint="default"/>
                <w:spacing w:val="-4"/>
                <w:sz w:val="21"/>
                <w:szCs w:val="21"/>
              </w:rPr>
              <w:t>本公司董事长及执行董事；于</w:t>
            </w:r>
            <w:r>
              <w:rPr>
                <w:rFonts w:ascii="宋体" w:hAnsi="宋体" w:cs="宋体" w:eastAsia="宋体" w:hint="default"/>
                <w:spacing w:val="-44"/>
                <w:sz w:val="21"/>
                <w:szCs w:val="21"/>
              </w:rPr>
              <w:t> </w:t>
            </w:r>
            <w:r>
              <w:rPr>
                <w:rFonts w:ascii="宋体" w:hAnsi="宋体" w:cs="宋体" w:eastAsia="宋体" w:hint="default"/>
                <w:sz w:val="21"/>
                <w:szCs w:val="21"/>
              </w:rPr>
              <w:t>2018</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pacing w:val="-3"/>
                <w:sz w:val="21"/>
                <w:szCs w:val="21"/>
              </w:rPr>
              <w:t>月至今任四川省上市公司协会会长。何先生先后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获得四川财经学院经济学本科学士学位及西南财经大学经济学硕士、博士学位。</w:t>
            </w:r>
          </w:p>
        </w:tc>
      </w:tr>
      <w:tr>
        <w:trPr>
          <w:trHeight w:val="1645"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陈云华</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现任本公司副董事长及执行董事，四川出版集团总裁、党委委员。曾任四川省中医管理</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局科员；四川省委宣传部宣传处主任干事、干部处办公室副主任、办公室副主任兼机关</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8"/>
                <w:sz w:val="21"/>
                <w:szCs w:val="21"/>
              </w:rPr>
              <w:t>工会主席、新闻处处长兼机关工会主席；四川日报报业集团副总编辑、党委委员。于</w:t>
            </w:r>
            <w:r>
              <w:rPr>
                <w:rFonts w:ascii="宋体" w:hAnsi="宋体" w:cs="宋体" w:eastAsia="宋体" w:hint="default"/>
                <w:spacing w:val="18"/>
                <w:sz w:val="21"/>
                <w:szCs w:val="21"/>
              </w:rPr>
              <w:t> </w:t>
            </w:r>
            <w:r>
              <w:rPr>
                <w:rFonts w:ascii="宋体" w:hAnsi="宋体" w:cs="宋体" w:eastAsia="宋体" w:hint="default"/>
                <w:sz w:val="21"/>
                <w:szCs w:val="21"/>
              </w:rPr>
              <w:t>2015</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4"/>
                <w:sz w:val="21"/>
                <w:szCs w:val="21"/>
              </w:rPr>
              <w:t>月起任四川出版集团有限责任公司总裁、党委委员；于</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月起任本公司副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董事长及执行董事。陈先生毕业于成都中医学院，其后完成四川大学历史文化学院专门</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史专业研究生课程。</w:t>
            </w:r>
          </w:p>
        </w:tc>
      </w:tr>
      <w:tr>
        <w:trPr>
          <w:trHeight w:val="3008"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杨杪</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现任本公司执行董事、总经理，四川亚新盛翔教育科技有限公司董事。杨先生于 </w:t>
            </w:r>
            <w:r>
              <w:rPr>
                <w:rFonts w:ascii="宋体" w:hAnsi="宋体" w:cs="宋体" w:eastAsia="宋体" w:hint="default"/>
                <w:sz w:val="21"/>
                <w:szCs w:val="21"/>
              </w:rPr>
              <w:t>1990</w:t>
            </w:r>
            <w:r>
              <w:rPr>
                <w:rFonts w:ascii="宋体" w:hAnsi="宋体" w:cs="宋体" w:eastAsia="宋体" w:hint="default"/>
                <w:spacing w:val="-35"/>
                <w:sz w:val="21"/>
                <w:szCs w:val="21"/>
              </w:rPr>
              <w:t> </w:t>
            </w:r>
            <w:r>
              <w:rPr>
                <w:rFonts w:ascii="宋体" w:hAnsi="宋体" w:cs="宋体" w:eastAsia="宋体" w:hint="default"/>
                <w:sz w:val="21"/>
                <w:szCs w:val="21"/>
              </w:rPr>
              <w:t>年</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9"/>
                <w:sz w:val="21"/>
                <w:szCs w:val="21"/>
              </w:rPr>
              <w:t> </w:t>
            </w:r>
            <w:r>
              <w:rPr>
                <w:rFonts w:ascii="宋体" w:hAnsi="宋体" w:cs="宋体" w:eastAsia="宋体" w:hint="default"/>
                <w:sz w:val="21"/>
                <w:szCs w:val="21"/>
              </w:rPr>
              <w:t>月加入四川省新华书店教材公司，曾任销售部副经理、经理；于</w:t>
            </w:r>
            <w:r>
              <w:rPr>
                <w:rFonts w:ascii="宋体" w:hAnsi="宋体" w:cs="宋体" w:eastAsia="宋体" w:hint="default"/>
                <w:spacing w:val="-29"/>
                <w:sz w:val="21"/>
                <w:szCs w:val="21"/>
              </w:rPr>
              <w:t> </w:t>
            </w:r>
            <w:r>
              <w:rPr>
                <w:rFonts w:ascii="宋体" w:hAnsi="宋体" w:cs="宋体" w:eastAsia="宋体" w:hint="default"/>
                <w:sz w:val="21"/>
                <w:szCs w:val="21"/>
              </w:rPr>
              <w:t>1998</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8</w:t>
            </w:r>
            <w:r>
              <w:rPr>
                <w:rFonts w:ascii="宋体" w:hAnsi="宋体" w:cs="宋体" w:eastAsia="宋体" w:hint="default"/>
                <w:spacing w:val="-29"/>
                <w:sz w:val="21"/>
                <w:szCs w:val="21"/>
              </w:rPr>
              <w:t> </w:t>
            </w:r>
            <w:r>
              <w:rPr>
                <w:rFonts w:ascii="宋体" w:hAnsi="宋体" w:cs="宋体" w:eastAsia="宋体" w:hint="default"/>
                <w:sz w:val="21"/>
                <w:szCs w:val="21"/>
              </w:rPr>
              <w:t>月至</w:t>
            </w:r>
            <w:r>
              <w:rPr>
                <w:rFonts w:ascii="宋体" w:hAnsi="宋体" w:cs="宋体" w:eastAsia="宋体" w:hint="default"/>
                <w:spacing w:val="-29"/>
                <w:sz w:val="21"/>
                <w:szCs w:val="21"/>
              </w:rPr>
              <w:t> </w:t>
            </w:r>
            <w:r>
              <w:rPr>
                <w:rFonts w:ascii="宋体" w:hAnsi="宋体" w:cs="宋体" w:eastAsia="宋体" w:hint="default"/>
                <w:sz w:val="21"/>
                <w:szCs w:val="21"/>
              </w:rPr>
              <w:t>2001</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月任四川新华图贸有限责任公司副总经理；于</w:t>
            </w:r>
            <w:r>
              <w:rPr>
                <w:rFonts w:ascii="宋体" w:hAnsi="宋体" w:cs="宋体" w:eastAsia="宋体" w:hint="default"/>
                <w:spacing w:val="-50"/>
                <w:sz w:val="21"/>
                <w:szCs w:val="21"/>
              </w:rPr>
              <w:t> </w:t>
            </w:r>
            <w:r>
              <w:rPr>
                <w:rFonts w:ascii="宋体" w:hAnsi="宋体" w:cs="宋体" w:eastAsia="宋体" w:hint="default"/>
                <w:sz w:val="21"/>
                <w:szCs w:val="21"/>
              </w:rPr>
              <w:t>1998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月曾任四川</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新华发行集团教材发行公司副总经理、总经理；于</w:t>
            </w:r>
            <w:r>
              <w:rPr>
                <w:rFonts w:ascii="宋体" w:hAnsi="宋体" w:cs="宋体" w:eastAsia="宋体" w:hint="default"/>
                <w:spacing w:val="-49"/>
                <w:sz w:val="21"/>
                <w:szCs w:val="21"/>
              </w:rPr>
              <w:t> </w:t>
            </w:r>
            <w:r>
              <w:rPr>
                <w:rFonts w:ascii="宋体" w:hAnsi="宋体" w:cs="宋体" w:eastAsia="宋体" w:hint="default"/>
                <w:sz w:val="21"/>
                <w:szCs w:val="21"/>
              </w:rPr>
              <w:t>2005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2006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月任本公司</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副总经理兼教育服务事业部总经理，于</w:t>
            </w:r>
            <w:r>
              <w:rPr>
                <w:rFonts w:ascii="宋体" w:hAnsi="宋体" w:cs="宋体" w:eastAsia="宋体" w:hint="default"/>
                <w:spacing w:val="-48"/>
                <w:sz w:val="21"/>
                <w:szCs w:val="21"/>
              </w:rPr>
              <w:t> </w:t>
            </w: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月任本公司总经理，于</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月任本公司党委副书记，于</w:t>
            </w:r>
            <w:r>
              <w:rPr>
                <w:rFonts w:ascii="宋体" w:hAnsi="宋体" w:cs="宋体" w:eastAsia="宋体" w:hint="default"/>
                <w:spacing w:val="-45"/>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2013</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pacing w:val="-3"/>
                <w:sz w:val="21"/>
                <w:szCs w:val="21"/>
              </w:rPr>
              <w:t>月任本</w:t>
            </w:r>
            <w:r>
              <w:rPr>
                <w:rFonts w:ascii="宋体" w:hAnsi="宋体" w:cs="宋体" w:eastAsia="宋体" w:hint="default"/>
                <w:sz w:val="21"/>
                <w:szCs w:val="21"/>
              </w:rPr>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副</w:t>
            </w:r>
            <w:r>
              <w:rPr>
                <w:rFonts w:ascii="宋体" w:hAnsi="宋体" w:cs="宋体" w:eastAsia="宋体" w:hint="default"/>
                <w:w w:val="100"/>
                <w:sz w:val="21"/>
                <w:szCs w:val="21"/>
              </w:rPr>
              <w:t>总</w:t>
            </w:r>
            <w:r>
              <w:rPr>
                <w:rFonts w:ascii="宋体" w:hAnsi="宋体" w:cs="宋体" w:eastAsia="宋体" w:hint="default"/>
                <w:spacing w:val="-3"/>
                <w:w w:val="100"/>
                <w:sz w:val="21"/>
                <w:szCs w:val="21"/>
              </w:rPr>
              <w:t>经理</w:t>
            </w:r>
            <w:r>
              <w:rPr>
                <w:rFonts w:ascii="宋体" w:hAnsi="宋体" w:cs="宋体" w:eastAsia="宋体" w:hint="default"/>
                <w:spacing w:val="-82"/>
                <w:w w:val="100"/>
                <w:sz w:val="21"/>
                <w:szCs w:val="21"/>
              </w:rPr>
              <w:t>，</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013</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12</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起</w:t>
            </w:r>
            <w:r>
              <w:rPr>
                <w:rFonts w:ascii="宋体" w:hAnsi="宋体" w:cs="宋体" w:eastAsia="宋体" w:hint="default"/>
                <w:spacing w:val="-3"/>
                <w:w w:val="100"/>
                <w:sz w:val="21"/>
                <w:szCs w:val="21"/>
              </w:rPr>
              <w:t>任</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总</w:t>
            </w:r>
            <w:r>
              <w:rPr>
                <w:rFonts w:ascii="宋体" w:hAnsi="宋体" w:cs="宋体" w:eastAsia="宋体" w:hint="default"/>
                <w:w w:val="100"/>
                <w:sz w:val="21"/>
                <w:szCs w:val="21"/>
              </w:rPr>
              <w:t>经</w:t>
            </w:r>
            <w:r>
              <w:rPr>
                <w:rFonts w:ascii="宋体" w:hAnsi="宋体" w:cs="宋体" w:eastAsia="宋体" w:hint="default"/>
                <w:spacing w:val="-3"/>
                <w:w w:val="100"/>
                <w:sz w:val="21"/>
                <w:szCs w:val="21"/>
              </w:rPr>
              <w:t>理</w:t>
            </w:r>
            <w:r>
              <w:rPr>
                <w:rFonts w:ascii="宋体" w:hAnsi="宋体" w:cs="宋体" w:eastAsia="宋体" w:hint="default"/>
                <w:spacing w:val="-85"/>
                <w:w w:val="100"/>
                <w:sz w:val="21"/>
                <w:szCs w:val="21"/>
              </w:rPr>
              <w:t>，</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5</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3</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起</w:t>
            </w:r>
            <w:r>
              <w:rPr>
                <w:rFonts w:ascii="宋体" w:hAnsi="宋体" w:cs="宋体" w:eastAsia="宋体" w:hint="default"/>
                <w:spacing w:val="-3"/>
                <w:w w:val="100"/>
                <w:sz w:val="21"/>
                <w:szCs w:val="21"/>
              </w:rPr>
              <w:t>任</w:t>
            </w:r>
            <w:r>
              <w:rPr>
                <w:rFonts w:ascii="宋体" w:hAnsi="宋体" w:cs="宋体" w:eastAsia="宋体" w:hint="default"/>
                <w:w w:val="100"/>
                <w:sz w:val="21"/>
                <w:szCs w:val="21"/>
              </w:rPr>
              <w:t>本</w:t>
            </w:r>
            <w:r>
              <w:rPr>
                <w:rFonts w:ascii="宋体" w:hAnsi="宋体" w:cs="宋体" w:eastAsia="宋体" w:hint="default"/>
                <w:spacing w:val="-3"/>
                <w:w w:val="100"/>
                <w:sz w:val="21"/>
                <w:szCs w:val="21"/>
              </w:rPr>
              <w:t>公司</w:t>
            </w:r>
            <w:r>
              <w:rPr>
                <w:rFonts w:ascii="宋体" w:hAnsi="宋体" w:cs="宋体" w:eastAsia="宋体" w:hint="default"/>
                <w:w w:val="100"/>
                <w:sz w:val="21"/>
                <w:szCs w:val="21"/>
              </w:rPr>
              <w:t>执行</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并于</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5"/>
                <w:sz w:val="21"/>
                <w:szCs w:val="21"/>
              </w:rPr>
              <w:t>月兼任明博教育科技股份有限公司董事，于</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至今兼任四川亚新盛翔教育科技有限公司董事。杨先生毕业于成都大学政治系公共关系</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与经济法专业，先后完成清华大学经济管理学院及中国人民大学工商管理研修课程，并</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获得四川省工商管理学院工商管理专业研究生学历，亦为经济师。（待更新）</w:t>
            </w:r>
          </w:p>
        </w:tc>
      </w:tr>
      <w:tr>
        <w:trPr>
          <w:trHeight w:val="2460"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罗军</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现任本公司非执行董事，四川新华发行集团董事、副总裁，成都市温江区兴文科技小额</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贷款有限责任公司董事长。曾在贵州省工商局工作，曾任四川省新闻出版局直属机关团</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委书记、人事教育处处长，四川省新闻出版培训中心主任；亦曾兼任四川新华发行集团</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下属多家附属公司的董事或董事长；于</w:t>
            </w:r>
            <w:r>
              <w:rPr>
                <w:rFonts w:ascii="宋体" w:hAnsi="宋体" w:cs="宋体" w:eastAsia="宋体" w:hint="default"/>
                <w:spacing w:val="-48"/>
                <w:sz w:val="21"/>
                <w:szCs w:val="21"/>
              </w:rPr>
              <w:t> </w:t>
            </w: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月期间任本公司监事，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并于</w:t>
            </w:r>
            <w:r>
              <w:rPr>
                <w:rFonts w:ascii="宋体" w:hAnsi="宋体" w:cs="宋体" w:eastAsia="宋体" w:hint="default"/>
                <w:spacing w:val="-51"/>
                <w:sz w:val="21"/>
                <w:szCs w:val="21"/>
              </w:rPr>
              <w:t> </w:t>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pacing w:val="-7"/>
                <w:sz w:val="21"/>
                <w:szCs w:val="21"/>
              </w:rPr>
              <w:t>月任本公司监事会主席。于</w:t>
            </w:r>
            <w:r>
              <w:rPr>
                <w:rFonts w:ascii="宋体" w:hAnsi="宋体" w:cs="宋体" w:eastAsia="宋体" w:hint="default"/>
                <w:spacing w:val="-51"/>
                <w:sz w:val="21"/>
                <w:szCs w:val="21"/>
              </w:rPr>
              <w:t> </w:t>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月起任四川新华发行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集团副总裁，于</w:t>
            </w:r>
            <w:r>
              <w:rPr>
                <w:rFonts w:ascii="宋体" w:hAnsi="宋体" w:cs="宋体" w:eastAsia="宋体" w:hint="default"/>
                <w:spacing w:val="-47"/>
                <w:sz w:val="21"/>
                <w:szCs w:val="21"/>
              </w:rPr>
              <w:t> </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月起任四川新华发行集团董事，并于</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月起任成都</w:t>
            </w:r>
          </w:p>
          <w:p>
            <w:pPr>
              <w:pStyle w:val="TableParagraph"/>
              <w:spacing w:line="237" w:lineRule="auto" w:before="2"/>
              <w:ind w:left="103" w:right="-7"/>
              <w:jc w:val="left"/>
              <w:rPr>
                <w:rFonts w:ascii="宋体" w:hAnsi="宋体" w:cs="宋体" w:eastAsia="宋体" w:hint="default"/>
                <w:sz w:val="21"/>
                <w:szCs w:val="21"/>
              </w:rPr>
            </w:pPr>
            <w:r>
              <w:rPr>
                <w:rFonts w:ascii="宋体" w:hAnsi="宋体" w:cs="宋体" w:eastAsia="宋体" w:hint="default"/>
                <w:spacing w:val="-6"/>
                <w:w w:val="100"/>
                <w:sz w:val="21"/>
                <w:szCs w:val="21"/>
              </w:rPr>
              <w:t>市温江区兴文科技小额贷款有限责任公司董事长；于</w:t>
            </w:r>
            <w:r>
              <w:rPr>
                <w:rFonts w:ascii="宋体" w:hAnsi="宋体" w:cs="宋体" w:eastAsia="宋体" w:hint="default"/>
                <w:spacing w:val="-67"/>
                <w:w w:val="100"/>
                <w:sz w:val="21"/>
                <w:szCs w:val="21"/>
              </w:rPr>
              <w:t> </w:t>
            </w:r>
            <w:r>
              <w:rPr>
                <w:rFonts w:ascii="宋体" w:hAnsi="宋体" w:cs="宋体" w:eastAsia="宋体" w:hint="default"/>
                <w:w w:val="100"/>
                <w:sz w:val="21"/>
                <w:szCs w:val="21"/>
              </w:rPr>
              <w:t>2008</w:t>
            </w:r>
            <w:r>
              <w:rPr>
                <w:rFonts w:ascii="宋体" w:hAnsi="宋体" w:cs="宋体" w:eastAsia="宋体" w:hint="default"/>
                <w:spacing w:val="-67"/>
                <w:w w:val="100"/>
                <w:sz w:val="21"/>
                <w:szCs w:val="21"/>
              </w:rPr>
              <w:t> </w:t>
            </w:r>
            <w:r>
              <w:rPr>
                <w:rFonts w:ascii="宋体" w:hAnsi="宋体" w:cs="宋体" w:eastAsia="宋体" w:hint="default"/>
                <w:w w:val="100"/>
                <w:sz w:val="21"/>
                <w:szCs w:val="21"/>
              </w:rPr>
              <w:t>年</w:t>
            </w:r>
            <w:r>
              <w:rPr>
                <w:rFonts w:ascii="宋体" w:hAnsi="宋体" w:cs="宋体" w:eastAsia="宋体" w:hint="default"/>
                <w:spacing w:val="-67"/>
                <w:w w:val="100"/>
                <w:sz w:val="21"/>
                <w:szCs w:val="21"/>
              </w:rPr>
              <w:t> </w:t>
            </w:r>
            <w:r>
              <w:rPr>
                <w:rFonts w:ascii="宋体" w:hAnsi="宋体" w:cs="宋体" w:eastAsia="宋体" w:hint="default"/>
                <w:w w:val="100"/>
                <w:sz w:val="21"/>
                <w:szCs w:val="21"/>
              </w:rPr>
              <w:t>7</w:t>
            </w:r>
            <w:r>
              <w:rPr>
                <w:rFonts w:ascii="宋体" w:hAnsi="宋体" w:cs="宋体" w:eastAsia="宋体" w:hint="default"/>
                <w:spacing w:val="-65"/>
                <w:w w:val="100"/>
                <w:sz w:val="21"/>
                <w:szCs w:val="21"/>
              </w:rPr>
              <w:t> </w:t>
            </w:r>
            <w:r>
              <w:rPr>
                <w:rFonts w:ascii="宋体" w:hAnsi="宋体" w:cs="宋体" w:eastAsia="宋体" w:hint="default"/>
                <w:spacing w:val="-2"/>
                <w:w w:val="100"/>
                <w:sz w:val="21"/>
                <w:szCs w:val="21"/>
              </w:rPr>
              <w:t>月起任本公司非执行董事。</w:t>
            </w:r>
            <w:r>
              <w:rPr>
                <w:rFonts w:ascii="宋体" w:hAnsi="宋体" w:cs="宋体" w:eastAsia="宋体" w:hint="default"/>
                <w:w w:val="100"/>
                <w:sz w:val="21"/>
                <w:szCs w:val="21"/>
              </w:rPr>
              <w:t> </w:t>
            </w:r>
            <w:r>
              <w:rPr>
                <w:rFonts w:ascii="宋体" w:hAnsi="宋体" w:cs="宋体" w:eastAsia="宋体" w:hint="default"/>
                <w:sz w:val="21"/>
                <w:szCs w:val="21"/>
              </w:rPr>
              <w:t>罗先生毕业于陕西财经学院，获颁经济学学士学位，并完成中央党校经济管理专业硕士</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学位课程。</w:t>
            </w:r>
          </w:p>
        </w:tc>
      </w:tr>
      <w:tr>
        <w:trPr>
          <w:trHeight w:val="2734"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韩小明</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现任本公司非执行董事，中国人民大学经济学院教授（博士生导师）、工业和信息化部</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信息通信经济专家委员会委员、中国信息经济学会常务理事。韩先生曾担任中国经济改</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革与发展研究院副院长，曾作为中宣部、中国新闻出版总署、教育部高校出版社改革联</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合调研组、新闻出版总署发行体制改革调研组专家参与多项研究项目，并出版和提交了</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相关的研究报告或论文。韩先生亦为国家重大出版工程评审组及科技部国家科技基础条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件平台项目评审组成员，曾担任许多与企业发展战略、资产重组、公司治理有关的项目</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4"/>
                <w:sz w:val="21"/>
                <w:szCs w:val="21"/>
              </w:rPr>
              <w:t>顾问，曾主持或参与了若干省市及国家级开发区的发展规划制定。韩先生于</w:t>
            </w:r>
            <w:r>
              <w:rPr>
                <w:rFonts w:ascii="宋体" w:hAnsi="宋体" w:cs="宋体" w:eastAsia="宋体" w:hint="default"/>
                <w:spacing w:val="-35"/>
                <w:sz w:val="21"/>
                <w:szCs w:val="21"/>
              </w:rPr>
              <w:t> </w:t>
            </w:r>
            <w:r>
              <w:rPr>
                <w:rFonts w:ascii="宋体" w:hAnsi="宋体" w:cs="宋体" w:eastAsia="宋体" w:hint="default"/>
                <w:sz w:val="21"/>
                <w:szCs w:val="21"/>
              </w:rPr>
              <w:t>2005</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6</w:t>
            </w:r>
            <w:r>
              <w:rPr>
                <w:rFonts w:ascii="宋体" w:hAnsi="宋体" w:cs="宋体" w:eastAsia="宋体" w:hint="default"/>
                <w:spacing w:val="-36"/>
                <w:sz w:val="21"/>
                <w:szCs w:val="21"/>
              </w:rPr>
              <w:t> </w:t>
            </w:r>
            <w:r>
              <w:rPr>
                <w:rFonts w:ascii="宋体" w:hAnsi="宋体" w:cs="宋体" w:eastAsia="宋体" w:hint="default"/>
                <w:sz w:val="21"/>
                <w:szCs w:val="21"/>
              </w:rPr>
              <w:t>月</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月任本公司独立非执行董事，</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月任本公司董事会战</w:t>
            </w:r>
          </w:p>
          <w:p>
            <w:pPr>
              <w:pStyle w:val="TableParagraph"/>
              <w:spacing w:line="240" w:lineRule="auto"/>
              <w:ind w:left="103" w:right="-8"/>
              <w:jc w:val="left"/>
              <w:rPr>
                <w:rFonts w:ascii="宋体" w:hAnsi="宋体" w:cs="宋体" w:eastAsia="宋体" w:hint="default"/>
                <w:sz w:val="21"/>
                <w:szCs w:val="21"/>
              </w:rPr>
            </w:pPr>
            <w:r>
              <w:rPr>
                <w:rFonts w:ascii="宋体" w:hAnsi="宋体" w:cs="宋体" w:eastAsia="宋体" w:hint="default"/>
                <w:spacing w:val="-12"/>
                <w:sz w:val="21"/>
                <w:szCs w:val="21"/>
              </w:rPr>
              <w:t>略顾问。于</w:t>
            </w:r>
            <w:r>
              <w:rPr>
                <w:rFonts w:ascii="宋体" w:hAnsi="宋体" w:cs="宋体" w:eastAsia="宋体" w:hint="default"/>
                <w:spacing w:val="-45"/>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pacing w:val="-5"/>
                <w:sz w:val="21"/>
                <w:szCs w:val="21"/>
              </w:rPr>
              <w:t>月，再次获委任为本公司非执行董事。韩先生毕业于中国人民大学，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主修政治经济学。</w:t>
            </w:r>
          </w:p>
        </w:tc>
      </w:tr>
      <w:tr>
        <w:trPr>
          <w:trHeight w:val="137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现任本公司非执行董事，四川出版集团总裁助理兼人力资源部主任，四川爱科行教育科</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技有限责任公司董事长。曾任四川人民出版社编辑、总编室主任及四川出版集团办公室</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5"/>
                <w:sz w:val="21"/>
                <w:szCs w:val="21"/>
              </w:rPr>
              <w:t>主任、人力资源部主任。于</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pacing w:val="-3"/>
                <w:sz w:val="21"/>
                <w:szCs w:val="21"/>
              </w:rPr>
              <w:t>月起任四川出版集团总裁助理，并于</w:t>
            </w:r>
            <w:r>
              <w:rPr>
                <w:rFonts w:ascii="宋体" w:hAnsi="宋体" w:cs="宋体" w:eastAsia="宋体" w:hint="default"/>
                <w:spacing w:val="-47"/>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72" w:lineRule="exact" w:before="1"/>
              <w:ind w:left="103" w:right="99"/>
              <w:jc w:val="left"/>
              <w:rPr>
                <w:rFonts w:ascii="宋体" w:hAnsi="宋体" w:cs="宋体" w:eastAsia="宋体" w:hint="default"/>
                <w:sz w:val="21"/>
                <w:szCs w:val="21"/>
              </w:rPr>
            </w:pPr>
            <w:r>
              <w:rPr>
                <w:rFonts w:ascii="宋体" w:hAnsi="宋体" w:cs="宋体" w:eastAsia="宋体" w:hint="default"/>
                <w:spacing w:val="-4"/>
                <w:sz w:val="21"/>
                <w:szCs w:val="21"/>
              </w:rPr>
              <w:t>起兼任人力资源部主任。于</w:t>
            </w:r>
            <w:r>
              <w:rPr>
                <w:rFonts w:ascii="宋体" w:hAnsi="宋体" w:cs="宋体" w:eastAsia="宋体" w:hint="default"/>
                <w:spacing w:val="-42"/>
                <w:sz w:val="21"/>
                <w:szCs w:val="21"/>
              </w:rPr>
              <w:t> </w:t>
            </w:r>
            <w:r>
              <w:rPr>
                <w:rFonts w:ascii="宋体" w:hAnsi="宋体" w:cs="宋体" w:eastAsia="宋体" w:hint="default"/>
                <w:sz w:val="21"/>
                <w:szCs w:val="21"/>
              </w:rPr>
              <w:t>2013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pacing w:val="-3"/>
                <w:sz w:val="21"/>
                <w:szCs w:val="21"/>
              </w:rPr>
              <w:t>月起任本公司非执行董事。张先生毕业于四川教育</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学院中文系，后获得四川省社会科学院研究生部新闻学硕士学位。</w:t>
            </w:r>
          </w:p>
        </w:tc>
      </w:tr>
    </w:tbl>
    <w:p>
      <w:pPr>
        <w:spacing w:after="0" w:line="272" w:lineRule="exact"/>
        <w:jc w:val="left"/>
        <w:rPr>
          <w:rFonts w:ascii="宋体" w:hAnsi="宋体" w:cs="宋体" w:eastAsia="宋体" w:hint="default"/>
          <w:sz w:val="21"/>
          <w:szCs w:val="21"/>
        </w:rPr>
        <w:sectPr>
          <w:pgSz w:w="11910" w:h="16840"/>
          <w:pgMar w:header="0" w:footer="1195" w:top="1060" w:bottom="138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1001"/>
        <w:gridCol w:w="8243"/>
      </w:tblGrid>
      <w:tr>
        <w:trPr>
          <w:trHeight w:val="3279"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陈育棠</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现任本公司独立非执行董事，香港上市公司五龙电动车（集团）有限公司（联交所股份</w:t>
            </w:r>
          </w:p>
          <w:p>
            <w:pPr>
              <w:pStyle w:val="TableParagraph"/>
              <w:spacing w:line="237" w:lineRule="auto"/>
              <w:ind w:left="103" w:right="47"/>
              <w:jc w:val="both"/>
              <w:rPr>
                <w:rFonts w:ascii="宋体" w:hAnsi="宋体" w:cs="宋体" w:eastAsia="宋体" w:hint="default"/>
                <w:sz w:val="21"/>
                <w:szCs w:val="21"/>
              </w:rPr>
            </w:pPr>
            <w:r>
              <w:rPr>
                <w:rFonts w:ascii="宋体" w:hAnsi="宋体" w:cs="宋体" w:eastAsia="宋体" w:hint="default"/>
                <w:sz w:val="21"/>
                <w:szCs w:val="21"/>
              </w:rPr>
              <w:t>代码：</w:t>
            </w:r>
            <w:r>
              <w:rPr>
                <w:rFonts w:ascii="宋体" w:hAnsi="宋体" w:cs="宋体" w:eastAsia="宋体" w:hint="default"/>
                <w:sz w:val="21"/>
                <w:szCs w:val="21"/>
              </w:rPr>
              <w:t>729</w:t>
            </w:r>
            <w:r>
              <w:rPr>
                <w:rFonts w:ascii="宋体" w:hAnsi="宋体" w:cs="宋体" w:eastAsia="宋体" w:hint="default"/>
                <w:sz w:val="21"/>
                <w:szCs w:val="21"/>
              </w:rPr>
              <w:t>）及广泽国际发展有限公司（联交所股份代码：</w:t>
            </w:r>
            <w:r>
              <w:rPr>
                <w:rFonts w:ascii="宋体" w:hAnsi="宋体" w:cs="宋体" w:eastAsia="宋体" w:hint="default"/>
                <w:sz w:val="21"/>
                <w:szCs w:val="21"/>
              </w:rPr>
              <w:t>989</w:t>
            </w:r>
            <w:r>
              <w:rPr>
                <w:rFonts w:ascii="宋体" w:hAnsi="宋体" w:cs="宋体" w:eastAsia="宋体" w:hint="default"/>
                <w:sz w:val="21"/>
                <w:szCs w:val="21"/>
              </w:rPr>
              <w:t>）独立非执行董事，天健</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德扬会计师事务所有限公司董事。陈先生于曾任安永会计师事务所审计部主管、经理，</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纵横二千有限公司董事，东风汽车集团股份有限公司计财部副总经理；陈先生亦曾出任</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内地及香港多家上市公司董事或独立非执行董事，于过去三年，陈先生曾任澳优乳业股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12"/>
                <w:sz w:val="21"/>
                <w:szCs w:val="21"/>
              </w:rPr>
              <w:t>份有限公司（联交所股份代码：</w:t>
            </w:r>
            <w:r>
              <w:rPr>
                <w:rFonts w:ascii="宋体" w:hAnsi="宋体" w:cs="宋体" w:eastAsia="宋体" w:hint="default"/>
                <w:spacing w:val="-12"/>
                <w:sz w:val="21"/>
                <w:szCs w:val="21"/>
              </w:rPr>
              <w:t>1717</w:t>
            </w:r>
            <w:r>
              <w:rPr>
                <w:rFonts w:ascii="宋体" w:hAnsi="宋体" w:cs="宋体" w:eastAsia="宋体" w:hint="default"/>
                <w:spacing w:val="-12"/>
                <w:sz w:val="21"/>
                <w:szCs w:val="21"/>
              </w:rPr>
              <w:t>）、大昌微线集团有限公司（联交所股份代码：</w:t>
            </w:r>
            <w:r>
              <w:rPr>
                <w:rFonts w:ascii="宋体" w:hAnsi="宋体" w:cs="宋体" w:eastAsia="宋体" w:hint="default"/>
                <w:spacing w:val="-12"/>
                <w:sz w:val="21"/>
                <w:szCs w:val="21"/>
              </w:rPr>
              <w:t>567</w:t>
            </w:r>
            <w:r>
              <w:rPr>
                <w:rFonts w:ascii="宋体" w:hAnsi="宋体" w:cs="宋体" w:eastAsia="宋体" w:hint="default"/>
                <w:spacing w:val="-12"/>
                <w:sz w:val="21"/>
                <w:szCs w:val="21"/>
              </w:rPr>
              <w:t>）、</w:t>
            </w:r>
            <w:r>
              <w:rPr>
                <w:rFonts w:ascii="宋体" w:hAnsi="宋体" w:cs="宋体" w:eastAsia="宋体" w:hint="default"/>
                <w:spacing w:val="-17"/>
                <w:sz w:val="21"/>
                <w:szCs w:val="21"/>
              </w:rPr>
              <w:t> </w:t>
            </w:r>
            <w:r>
              <w:rPr>
                <w:rFonts w:ascii="宋体" w:hAnsi="宋体" w:cs="宋体" w:eastAsia="宋体" w:hint="default"/>
                <w:sz w:val="21"/>
                <w:szCs w:val="21"/>
              </w:rPr>
              <w:t>大成糖业控股有限公司（联交所股份代码：</w:t>
            </w:r>
            <w:r>
              <w:rPr>
                <w:rFonts w:ascii="宋体" w:hAnsi="宋体" w:cs="宋体" w:eastAsia="宋体" w:hint="default"/>
                <w:sz w:val="21"/>
                <w:szCs w:val="21"/>
              </w:rPr>
              <w:t>3889</w:t>
            </w:r>
            <w:r>
              <w:rPr>
                <w:rFonts w:ascii="宋体" w:hAnsi="宋体" w:cs="宋体" w:eastAsia="宋体" w:hint="default"/>
                <w:sz w:val="21"/>
                <w:szCs w:val="21"/>
              </w:rPr>
              <w:t>）及锦兴国际控股有限公司（联交所股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份代码：</w:t>
            </w:r>
            <w:r>
              <w:rPr>
                <w:rFonts w:ascii="宋体" w:hAnsi="宋体" w:cs="宋体" w:eastAsia="宋体" w:hint="default"/>
                <w:sz w:val="21"/>
                <w:szCs w:val="21"/>
              </w:rPr>
              <w:t>2307</w:t>
            </w:r>
            <w:r>
              <w:rPr>
                <w:rFonts w:ascii="宋体" w:hAnsi="宋体" w:cs="宋体" w:eastAsia="宋体" w:hint="default"/>
                <w:sz w:val="21"/>
                <w:szCs w:val="21"/>
              </w:rPr>
              <w:t>）等公司之独立非执行董事。陈先生曾于</w:t>
            </w:r>
            <w:r>
              <w:rPr>
                <w:rFonts w:ascii="宋体" w:hAnsi="宋体" w:cs="宋体" w:eastAsia="宋体" w:hint="default"/>
                <w:spacing w:val="-46"/>
                <w:sz w:val="21"/>
                <w:szCs w:val="21"/>
              </w:rPr>
              <w:t> </w:t>
            </w:r>
            <w:r>
              <w:rPr>
                <w:rFonts w:ascii="宋体" w:hAnsi="宋体" w:cs="宋体" w:eastAsia="宋体" w:hint="default"/>
                <w:sz w:val="21"/>
                <w:szCs w:val="21"/>
              </w:rPr>
              <w:t>2006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月任本</w:t>
            </w:r>
          </w:p>
          <w:p>
            <w:pPr>
              <w:pStyle w:val="TableParagraph"/>
              <w:spacing w:line="237" w:lineRule="auto" w:before="1"/>
              <w:ind w:left="103" w:right="36"/>
              <w:jc w:val="both"/>
              <w:rPr>
                <w:rFonts w:ascii="宋体" w:hAnsi="宋体" w:cs="宋体" w:eastAsia="宋体" w:hint="default"/>
                <w:sz w:val="21"/>
                <w:szCs w:val="21"/>
              </w:rPr>
            </w:pPr>
            <w:r>
              <w:rPr>
                <w:rFonts w:ascii="宋体" w:hAnsi="宋体" w:cs="宋体" w:eastAsia="宋体" w:hint="default"/>
                <w:spacing w:val="-4"/>
                <w:sz w:val="21"/>
                <w:szCs w:val="21"/>
              </w:rPr>
              <w:t>公司独立非执行董事、审计委员会主席及薪酬与考核委员会委员，于</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2"/>
                <w:sz w:val="21"/>
                <w:szCs w:val="21"/>
              </w:rPr>
              <w:t> </w:t>
            </w:r>
            <w:r>
              <w:rPr>
                <w:rFonts w:ascii="宋体" w:hAnsi="宋体" w:cs="宋体" w:eastAsia="宋体" w:hint="default"/>
                <w:sz w:val="21"/>
                <w:szCs w:val="21"/>
              </w:rPr>
              <w:t>月再次任</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本公司独立非执行董事。陈先生先后获得澳洲纽卡素大学（</w:t>
            </w:r>
            <w:r>
              <w:rPr>
                <w:rFonts w:ascii="宋体" w:hAnsi="宋体" w:cs="宋体" w:eastAsia="宋体" w:hint="default"/>
                <w:sz w:val="21"/>
                <w:szCs w:val="21"/>
              </w:rPr>
              <w:t>University of</w:t>
            </w:r>
            <w:r>
              <w:rPr>
                <w:rFonts w:ascii="宋体" w:hAnsi="宋体" w:cs="宋体" w:eastAsia="宋体" w:hint="default"/>
                <w:spacing w:val="-4"/>
                <w:sz w:val="21"/>
                <w:szCs w:val="21"/>
              </w:rPr>
              <w:t> </w:t>
            </w:r>
            <w:r>
              <w:rPr>
                <w:rFonts w:ascii="宋体" w:hAnsi="宋体" w:cs="宋体" w:eastAsia="宋体" w:hint="default"/>
                <w:sz w:val="21"/>
                <w:szCs w:val="21"/>
              </w:rPr>
              <w:t>Newcastle</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商科学士学位及香港中文大学工商管理硕士学位</w:t>
            </w:r>
            <w:r>
              <w:rPr>
                <w:rFonts w:ascii="宋体" w:hAnsi="宋体" w:cs="宋体" w:eastAsia="宋体" w:hint="default"/>
                <w:spacing w:val="2"/>
                <w:sz w:val="21"/>
                <w:szCs w:val="21"/>
              </w:rPr>
              <w:t>,</w:t>
            </w:r>
            <w:r>
              <w:rPr>
                <w:rFonts w:ascii="宋体" w:hAnsi="宋体" w:cs="宋体" w:eastAsia="宋体" w:hint="default"/>
                <w:spacing w:val="2"/>
                <w:sz w:val="21"/>
                <w:szCs w:val="21"/>
              </w:rPr>
              <w:t>现为香港会计师公会资深执业会员与</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澳洲会计师公会会员。</w:t>
            </w:r>
          </w:p>
        </w:tc>
      </w:tr>
      <w:tr>
        <w:trPr>
          <w:trHeight w:val="1370"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肖莉萍</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现任本公司独立非执行董事，曾任四川省新华书店电算科副科长、人事科科长、人事部</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主任、党委副书记、纪委书记、副总经理及党委委员，四川新华发行集团副总经理及党</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委委员、本公司执行副总经理、党委书记，于</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月退休。于</w:t>
            </w:r>
            <w:r>
              <w:rPr>
                <w:rFonts w:ascii="宋体" w:hAnsi="宋体" w:cs="宋体" w:eastAsia="宋体" w:hint="default"/>
                <w:spacing w:val="-49"/>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月起获委</w:t>
            </w:r>
            <w:r>
              <w:rPr>
                <w:rFonts w:ascii="宋体" w:hAnsi="宋体" w:cs="宋体" w:eastAsia="宋体" w:hint="default"/>
                <w:w w:val="100"/>
                <w:sz w:val="21"/>
                <w:szCs w:val="21"/>
              </w:rPr>
              <w:t> </w:t>
            </w:r>
            <w:r>
              <w:rPr>
                <w:rFonts w:ascii="宋体" w:hAnsi="宋体" w:cs="宋体" w:eastAsia="宋体" w:hint="default"/>
                <w:sz w:val="21"/>
                <w:szCs w:val="21"/>
              </w:rPr>
              <w:t>任本公司独立非执行董事。肖女士毕业于四川广播电视大学，主修电子专业，曾完成中</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国人民大学工商管理硕士研修课程学习，亦为高级政工师。</w:t>
            </w:r>
          </w:p>
        </w:tc>
      </w:tr>
      <w:tr>
        <w:trPr>
          <w:trHeight w:val="1918"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方炳希</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现任本公司独立非执行董事，中联资产评估集团有限公司西南分公司常务副总经理。曾</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z w:val="21"/>
                <w:szCs w:val="21"/>
              </w:rPr>
              <w:t>任陕西省内燃机配件一厂车间主任、生产科长、东方资产评估事务所副总经理。方先生</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6"/>
                <w:w w:val="100"/>
                <w:sz w:val="21"/>
                <w:szCs w:val="21"/>
              </w:rPr>
              <w:t>从事资产评估二十多年来，曾经参与近千个资产评估项目和</w:t>
            </w:r>
            <w:r>
              <w:rPr>
                <w:rFonts w:ascii="宋体" w:hAnsi="宋体" w:cs="宋体" w:eastAsia="宋体" w:hint="default"/>
                <w:spacing w:val="-64"/>
                <w:w w:val="100"/>
                <w:sz w:val="21"/>
                <w:szCs w:val="21"/>
              </w:rPr>
              <w:t> </w:t>
            </w:r>
            <w:r>
              <w:rPr>
                <w:rFonts w:ascii="宋体" w:hAnsi="宋体" w:cs="宋体" w:eastAsia="宋体" w:hint="default"/>
                <w:spacing w:val="-2"/>
                <w:w w:val="100"/>
                <w:sz w:val="21"/>
                <w:szCs w:val="21"/>
              </w:rPr>
              <w:t>30</w:t>
            </w:r>
            <w:r>
              <w:rPr>
                <w:rFonts w:ascii="宋体" w:hAnsi="宋体" w:cs="宋体" w:eastAsia="宋体" w:hint="default"/>
                <w:spacing w:val="-64"/>
                <w:w w:val="100"/>
                <w:sz w:val="21"/>
                <w:szCs w:val="21"/>
              </w:rPr>
              <w:t> </w:t>
            </w:r>
            <w:r>
              <w:rPr>
                <w:rFonts w:ascii="宋体" w:hAnsi="宋体" w:cs="宋体" w:eastAsia="宋体" w:hint="default"/>
                <w:spacing w:val="-2"/>
                <w:w w:val="100"/>
                <w:sz w:val="21"/>
                <w:szCs w:val="21"/>
              </w:rPr>
              <w:t>多家公司</w:t>
            </w:r>
            <w:r>
              <w:rPr>
                <w:rFonts w:ascii="宋体" w:hAnsi="宋体" w:cs="宋体" w:eastAsia="宋体" w:hint="default"/>
                <w:spacing w:val="-64"/>
                <w:w w:val="100"/>
                <w:sz w:val="21"/>
                <w:szCs w:val="21"/>
              </w:rPr>
              <w:t> </w:t>
            </w:r>
            <w:r>
              <w:rPr>
                <w:rFonts w:ascii="宋体" w:hAnsi="宋体" w:cs="宋体" w:eastAsia="宋体" w:hint="default"/>
                <w:spacing w:val="-1"/>
                <w:w w:val="100"/>
                <w:sz w:val="21"/>
                <w:szCs w:val="21"/>
              </w:rPr>
              <w:t>IPO</w:t>
            </w:r>
            <w:r>
              <w:rPr>
                <w:rFonts w:ascii="宋体" w:hAnsi="宋体" w:cs="宋体" w:eastAsia="宋体" w:hint="default"/>
                <w:spacing w:val="-64"/>
                <w:w w:val="100"/>
                <w:sz w:val="21"/>
                <w:szCs w:val="21"/>
              </w:rPr>
              <w:t> </w:t>
            </w:r>
            <w:r>
              <w:rPr>
                <w:rFonts w:ascii="宋体" w:hAnsi="宋体" w:cs="宋体" w:eastAsia="宋体" w:hint="default"/>
                <w:spacing w:val="-1"/>
                <w:w w:val="100"/>
                <w:sz w:val="21"/>
                <w:szCs w:val="21"/>
              </w:rPr>
              <w:t>的资产评估，</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在资产估值和资本运作方面有比较丰富的实战经验。目前担任四川省资产评估协会咨询</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委员会主任委员，四川资产评估协会专家库专家，四川省上市公司协会专家委员会副主</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任。于</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3"/>
                <w:sz w:val="21"/>
                <w:szCs w:val="21"/>
              </w:rPr>
              <w:t> </w:t>
            </w:r>
            <w:r>
              <w:rPr>
                <w:rFonts w:ascii="宋体" w:hAnsi="宋体" w:cs="宋体" w:eastAsia="宋体" w:hint="default"/>
                <w:sz w:val="21"/>
                <w:szCs w:val="21"/>
              </w:rPr>
              <w:t>月起获委任本公司独立非执行董事。方先生曾完成西南财经大学会计</w:t>
            </w:r>
            <w:r>
              <w:rPr>
                <w:rFonts w:ascii="宋体" w:hAnsi="宋体" w:cs="宋体" w:eastAsia="宋体" w:hint="default"/>
                <w:w w:val="100"/>
                <w:sz w:val="21"/>
                <w:szCs w:val="21"/>
              </w:rPr>
              <w:t> </w:t>
            </w:r>
            <w:r>
              <w:rPr>
                <w:rFonts w:ascii="宋体" w:hAnsi="宋体" w:cs="宋体" w:eastAsia="宋体" w:hint="default"/>
                <w:sz w:val="21"/>
                <w:szCs w:val="21"/>
              </w:rPr>
              <w:t>学学科专业研究生进修班课程，现为中国注册资产评估师。</w:t>
            </w:r>
          </w:p>
        </w:tc>
      </w:tr>
      <w:tr>
        <w:trPr>
          <w:trHeight w:val="1370"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唐雄兴</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现任本公司监事会主席，四川出版集团党委副书记。曾任四川省精神文明建设活动办公</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室主任科员，四川省委宣传部、省精神文明办主任科员，四川省委宣传部政策法规研究</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室主任、副秘书长、秘书长、机关党委书记，四川省广安市委常委、宣传部长。于</w:t>
            </w:r>
            <w:r>
              <w:rPr>
                <w:rFonts w:ascii="宋体" w:hAnsi="宋体" w:cs="宋体" w:eastAsia="宋体" w:hint="default"/>
                <w:spacing w:val="8"/>
                <w:sz w:val="21"/>
                <w:szCs w:val="21"/>
              </w:rPr>
              <w:t> </w:t>
            </w:r>
            <w:r>
              <w:rPr>
                <w:rFonts w:ascii="宋体" w:hAnsi="宋体" w:cs="宋体" w:eastAsia="宋体" w:hint="default"/>
                <w:spacing w:val="-1"/>
                <w:sz w:val="21"/>
                <w:szCs w:val="21"/>
              </w:rPr>
              <w:t>2016</w:t>
            </w:r>
          </w:p>
          <w:p>
            <w:pPr>
              <w:pStyle w:val="TableParagraph"/>
              <w:spacing w:line="274" w:lineRule="exact" w:before="22"/>
              <w:ind w:left="103" w:right="96"/>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pacing w:val="-6"/>
                <w:sz w:val="21"/>
                <w:szCs w:val="21"/>
              </w:rPr>
              <w:t>月起任四川出版集团党委副书记。于</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月起获委任本公司监事及监事会主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席。唐先生持有四川师范大学法学学士学位及云南大学历史学硕士学位。</w:t>
            </w:r>
          </w:p>
        </w:tc>
      </w:tr>
      <w:tr>
        <w:trPr>
          <w:trHeight w:val="137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赵洵</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现任本公司监事，成都市华盛（集团）实业有限公司投资运营部总监。曾任垠旺精密股</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MICON</w:t>
            </w:r>
            <w:r>
              <w:rPr>
                <w:rFonts w:ascii="宋体" w:hAnsi="宋体" w:cs="宋体" w:eastAsia="宋体" w:hint="default"/>
                <w:spacing w:val="-4"/>
                <w:sz w:val="21"/>
                <w:szCs w:val="21"/>
              </w:rPr>
              <w:t> </w:t>
            </w:r>
            <w:r>
              <w:rPr>
                <w:rFonts w:ascii="宋体" w:hAnsi="宋体" w:cs="宋体" w:eastAsia="宋体" w:hint="default"/>
                <w:sz w:val="21"/>
                <w:szCs w:val="21"/>
              </w:rPr>
              <w:t>Precise</w:t>
            </w:r>
            <w:r>
              <w:rPr>
                <w:rFonts w:ascii="宋体" w:hAnsi="宋体" w:cs="宋体" w:eastAsia="宋体" w:hint="default"/>
                <w:spacing w:val="-2"/>
                <w:sz w:val="21"/>
                <w:szCs w:val="21"/>
              </w:rPr>
              <w:t> </w:t>
            </w:r>
            <w:r>
              <w:rPr>
                <w:rFonts w:ascii="宋体" w:hAnsi="宋体" w:cs="宋体" w:eastAsia="宋体" w:hint="default"/>
                <w:sz w:val="21"/>
                <w:szCs w:val="21"/>
              </w:rPr>
              <w:t>Corporation</w:t>
            </w:r>
            <w:r>
              <w:rPr>
                <w:rFonts w:ascii="宋体" w:hAnsi="宋体" w:cs="宋体" w:eastAsia="宋体" w:hint="default"/>
                <w:sz w:val="21"/>
                <w:szCs w:val="21"/>
              </w:rPr>
              <w:t>）专员、业务部科长。于</w:t>
            </w:r>
            <w:r>
              <w:rPr>
                <w:rFonts w:ascii="宋体" w:hAnsi="宋体" w:cs="宋体" w:eastAsia="宋体" w:hint="default"/>
                <w:spacing w:val="-42"/>
                <w:sz w:val="21"/>
                <w:szCs w:val="21"/>
              </w:rPr>
              <w:t> </w:t>
            </w: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z w:val="21"/>
                <w:szCs w:val="21"/>
              </w:rPr>
              <w:t>月起任成</w:t>
            </w:r>
            <w:r>
              <w:rPr>
                <w:rFonts w:ascii="宋体" w:hAnsi="宋体" w:cs="宋体" w:eastAsia="宋体" w:hint="default"/>
                <w:w w:val="100"/>
                <w:sz w:val="21"/>
                <w:szCs w:val="21"/>
              </w:rPr>
              <w:t> </w:t>
            </w:r>
            <w:r>
              <w:rPr>
                <w:rFonts w:ascii="宋体" w:hAnsi="宋体" w:cs="宋体" w:eastAsia="宋体" w:hint="default"/>
                <w:spacing w:val="-4"/>
                <w:sz w:val="21"/>
                <w:szCs w:val="21"/>
              </w:rPr>
              <w:t>都市华盛（集团）实业有限公司投资运营部总监，于</w:t>
            </w:r>
            <w:r>
              <w:rPr>
                <w:rFonts w:ascii="宋体" w:hAnsi="宋体" w:cs="宋体" w:eastAsia="宋体" w:hint="default"/>
                <w:spacing w:val="-41"/>
                <w:sz w:val="21"/>
                <w:szCs w:val="21"/>
              </w:rPr>
              <w:t> </w:t>
            </w:r>
            <w:r>
              <w:rPr>
                <w:rFonts w:ascii="宋体" w:hAnsi="宋体" w:cs="宋体" w:eastAsia="宋体" w:hint="default"/>
                <w:sz w:val="21"/>
                <w:szCs w:val="21"/>
              </w:rPr>
              <w:t>2017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pacing w:val="-3"/>
                <w:sz w:val="21"/>
                <w:szCs w:val="21"/>
              </w:rPr>
              <w:t>月起任本公司监事。赵先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生持有台湾淡江大学社会科学学士学位及</w:t>
            </w:r>
            <w:r>
              <w:rPr>
                <w:rFonts w:ascii="宋体" w:hAnsi="宋体" w:cs="宋体" w:eastAsia="宋体" w:hint="default"/>
                <w:spacing w:val="-54"/>
                <w:sz w:val="21"/>
                <w:szCs w:val="21"/>
              </w:rPr>
              <w:t> </w:t>
            </w:r>
            <w:r>
              <w:rPr>
                <w:rFonts w:ascii="宋体" w:hAnsi="宋体" w:cs="宋体" w:eastAsia="宋体" w:hint="default"/>
                <w:sz w:val="21"/>
                <w:szCs w:val="21"/>
              </w:rPr>
              <w:t>Indiana</w:t>
            </w:r>
            <w:r>
              <w:rPr>
                <w:rFonts w:ascii="宋体" w:hAnsi="宋体" w:cs="宋体" w:eastAsia="宋体" w:hint="default"/>
                <w:spacing w:val="-22"/>
                <w:sz w:val="21"/>
                <w:szCs w:val="21"/>
              </w:rPr>
              <w:t> </w:t>
            </w:r>
            <w:r>
              <w:rPr>
                <w:rFonts w:ascii="宋体" w:hAnsi="宋体" w:cs="宋体" w:eastAsia="宋体" w:hint="default"/>
                <w:sz w:val="21"/>
                <w:szCs w:val="21"/>
              </w:rPr>
              <w:t>University</w:t>
            </w:r>
            <w:r>
              <w:rPr>
                <w:rFonts w:ascii="宋体" w:hAnsi="宋体" w:cs="宋体" w:eastAsia="宋体" w:hint="default"/>
                <w:spacing w:val="-22"/>
                <w:sz w:val="21"/>
                <w:szCs w:val="21"/>
              </w:rPr>
              <w:t> </w:t>
            </w:r>
            <w:r>
              <w:rPr>
                <w:rFonts w:ascii="宋体" w:hAnsi="宋体" w:cs="宋体" w:eastAsia="宋体" w:hint="default"/>
                <w:sz w:val="21"/>
                <w:szCs w:val="21"/>
              </w:rPr>
              <w:t>of</w:t>
            </w:r>
            <w:r>
              <w:rPr>
                <w:rFonts w:ascii="宋体" w:hAnsi="宋体" w:cs="宋体" w:eastAsia="宋体" w:hint="default"/>
                <w:spacing w:val="-22"/>
                <w:sz w:val="21"/>
                <w:szCs w:val="21"/>
              </w:rPr>
              <w:t> </w:t>
            </w:r>
            <w:r>
              <w:rPr>
                <w:rFonts w:ascii="宋体" w:hAnsi="宋体" w:cs="宋体" w:eastAsia="宋体" w:hint="default"/>
                <w:sz w:val="21"/>
                <w:szCs w:val="21"/>
              </w:rPr>
              <w:t>Pennsylvania</w:t>
            </w:r>
            <w:r>
              <w:rPr>
                <w:rFonts w:ascii="宋体" w:hAnsi="宋体" w:cs="宋体" w:eastAsia="宋体" w:hint="default"/>
                <w:spacing w:val="-53"/>
                <w:sz w:val="21"/>
                <w:szCs w:val="21"/>
              </w:rPr>
              <w:t> </w:t>
            </w:r>
            <w:r>
              <w:rPr>
                <w:rFonts w:ascii="宋体" w:hAnsi="宋体" w:cs="宋体" w:eastAsia="宋体" w:hint="default"/>
                <w:sz w:val="21"/>
                <w:szCs w:val="21"/>
              </w:rPr>
              <w:t>公共事</w:t>
            </w:r>
            <w:r>
              <w:rPr>
                <w:rFonts w:ascii="宋体" w:hAnsi="宋体" w:cs="宋体" w:eastAsia="宋体" w:hint="default"/>
                <w:w w:val="100"/>
                <w:sz w:val="21"/>
                <w:szCs w:val="21"/>
              </w:rPr>
              <w:t> </w:t>
            </w:r>
            <w:r>
              <w:rPr>
                <w:rFonts w:ascii="宋体" w:hAnsi="宋体" w:cs="宋体" w:eastAsia="宋体" w:hint="default"/>
                <w:sz w:val="21"/>
                <w:szCs w:val="21"/>
              </w:rPr>
              <w:t>务硕士学位。</w:t>
            </w:r>
          </w:p>
        </w:tc>
      </w:tr>
      <w:tr>
        <w:trPr>
          <w:trHeight w:val="137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兰红</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现任本公司监事、董事会办公室副主任。曾任成都市新华书店财务科副科长，四川新华</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发行集团审计室财务审计科科长，本公司审计部副主任。于</w:t>
            </w:r>
            <w:r>
              <w:rPr>
                <w:rFonts w:ascii="宋体" w:hAnsi="宋体" w:cs="宋体" w:eastAsia="宋体" w:hint="default"/>
                <w:spacing w:val="-44"/>
                <w:sz w:val="21"/>
                <w:szCs w:val="21"/>
              </w:rPr>
              <w:t> </w:t>
            </w:r>
            <w:r>
              <w:rPr>
                <w:rFonts w:ascii="宋体" w:hAnsi="宋体" w:cs="宋体" w:eastAsia="宋体" w:hint="default"/>
                <w:sz w:val="21"/>
                <w:szCs w:val="21"/>
              </w:rPr>
              <w:t>2005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月起至今任本公司</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6"/>
                <w:sz w:val="21"/>
                <w:szCs w:val="21"/>
              </w:rPr>
              <w:t>监事，于</w:t>
            </w:r>
            <w:r>
              <w:rPr>
                <w:rFonts w:ascii="宋体" w:hAnsi="宋体" w:cs="宋体" w:eastAsia="宋体" w:hint="default"/>
                <w:spacing w:val="-44"/>
                <w:sz w:val="21"/>
                <w:szCs w:val="21"/>
              </w:rPr>
              <w:t> </w:t>
            </w:r>
            <w:r>
              <w:rPr>
                <w:rFonts w:ascii="宋体" w:hAnsi="宋体" w:cs="宋体" w:eastAsia="宋体" w:hint="default"/>
                <w:sz w:val="21"/>
                <w:szCs w:val="21"/>
              </w:rPr>
              <w:t>2007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pacing w:val="-3"/>
                <w:sz w:val="21"/>
                <w:szCs w:val="21"/>
              </w:rPr>
              <w:t>月起任本公司董事会办公室副主任。兰女士毕业于四川自修大学，获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四川自修大学与西南财经大学联合颁发的会计专业毕业证书，后完成四川广播电视大学</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会计学专业本科课程学习，取得有国际注册内部审计师证书，亦为高级会计师。</w:t>
            </w:r>
          </w:p>
        </w:tc>
      </w:tr>
      <w:tr>
        <w:trPr>
          <w:trHeight w:val="137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王焱</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现任本公司监事、财务管理中心副主任，四川新华文轩传媒有限公司及四川文传物流有</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限公司监事。曾任本公司财务管理中心报表组主管、主任助理，于</w:t>
            </w:r>
            <w:r>
              <w:rPr>
                <w:rFonts w:ascii="宋体" w:hAnsi="宋体" w:cs="宋体" w:eastAsia="宋体" w:hint="default"/>
                <w:spacing w:val="-43"/>
                <w:sz w:val="21"/>
                <w:szCs w:val="21"/>
              </w:rPr>
              <w:t> </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11</w:t>
            </w:r>
            <w:r>
              <w:rPr>
                <w:rFonts w:ascii="宋体" w:hAnsi="宋体" w:cs="宋体" w:eastAsia="宋体" w:hint="default"/>
                <w:spacing w:val="-43"/>
                <w:sz w:val="21"/>
                <w:szCs w:val="21"/>
              </w:rPr>
              <w:t> </w:t>
            </w:r>
            <w:r>
              <w:rPr>
                <w:rFonts w:ascii="宋体" w:hAnsi="宋体" w:cs="宋体" w:eastAsia="宋体" w:hint="default"/>
                <w:sz w:val="21"/>
                <w:szCs w:val="21"/>
              </w:rPr>
              <w:t>月起担任</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本公司财务管理中心副主任，于</w:t>
            </w:r>
            <w:r>
              <w:rPr>
                <w:rFonts w:ascii="宋体" w:hAnsi="宋体" w:cs="宋体" w:eastAsia="宋体" w:hint="default"/>
                <w:spacing w:val="-41"/>
                <w:sz w:val="21"/>
                <w:szCs w:val="21"/>
              </w:rPr>
              <w:t> </w:t>
            </w: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3</w:t>
            </w:r>
            <w:r>
              <w:rPr>
                <w:rFonts w:ascii="宋体" w:hAnsi="宋体" w:cs="宋体" w:eastAsia="宋体" w:hint="default"/>
                <w:spacing w:val="-42"/>
                <w:sz w:val="21"/>
                <w:szCs w:val="21"/>
              </w:rPr>
              <w:t> </w:t>
            </w:r>
            <w:r>
              <w:rPr>
                <w:rFonts w:ascii="宋体" w:hAnsi="宋体" w:cs="宋体" w:eastAsia="宋体" w:hint="default"/>
                <w:spacing w:val="-3"/>
                <w:sz w:val="21"/>
                <w:szCs w:val="21"/>
              </w:rPr>
              <w:t>月起任本公司职工监事。王女士毕业于江西财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经大学财务管理及经济法专业，获得经济学学士及法学学士双学位，亦为中国注册会计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师非执业会员及高级会计师。</w:t>
            </w:r>
          </w:p>
        </w:tc>
      </w:tr>
      <w:tr>
        <w:trPr>
          <w:trHeight w:val="1100"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李旭</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现任本公司独立监事，四川天华会计师事务所及四川中天华资产评估有限公司合伙人、</w:t>
            </w:r>
          </w:p>
          <w:p>
            <w:pPr>
              <w:pStyle w:val="TableParagraph"/>
              <w:spacing w:line="272" w:lineRule="exact" w:before="27"/>
              <w:ind w:left="103" w:right="100"/>
              <w:jc w:val="both"/>
              <w:rPr>
                <w:rFonts w:ascii="宋体" w:hAnsi="宋体" w:cs="宋体" w:eastAsia="宋体" w:hint="default"/>
                <w:sz w:val="21"/>
                <w:szCs w:val="21"/>
              </w:rPr>
            </w:pPr>
            <w:r>
              <w:rPr>
                <w:rFonts w:ascii="宋体" w:hAnsi="宋体" w:cs="宋体" w:eastAsia="宋体" w:hint="default"/>
                <w:sz w:val="21"/>
                <w:szCs w:val="21"/>
              </w:rPr>
              <w:t>四川九华资产管理有限公司总经理。曾任西南财经大学工商管理学院讲师，四川天华会</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计师事务所有限公司、四川中天华资产评估有限公司法定代表人及总经理，亦曾担任中</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国注册会计师协会第四届理事，西南财经大学会计学院硕士研究生院外导师，四川省注</w:t>
            </w:r>
          </w:p>
        </w:tc>
      </w:tr>
    </w:tbl>
    <w:p>
      <w:pPr>
        <w:spacing w:after="0" w:line="272" w:lineRule="exact"/>
        <w:jc w:val="both"/>
        <w:rPr>
          <w:rFonts w:ascii="宋体" w:hAnsi="宋体" w:cs="宋体" w:eastAsia="宋体" w:hint="default"/>
          <w:sz w:val="21"/>
          <w:szCs w:val="21"/>
        </w:rPr>
        <w:sectPr>
          <w:pgSz w:w="11910" w:h="16840"/>
          <w:pgMar w:header="0" w:footer="1195" w:top="1060" w:bottom="138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1001"/>
        <w:gridCol w:w="8243"/>
      </w:tblGrid>
      <w:tr>
        <w:trPr>
          <w:trHeight w:val="554" w:hRule="exact"/>
        </w:trPr>
        <w:tc>
          <w:tcPr>
            <w:tcW w:w="1001" w:type="dxa"/>
            <w:tcBorders>
              <w:top w:val="single" w:sz="4" w:space="0" w:color="000000"/>
              <w:left w:val="single" w:sz="4" w:space="0" w:color="000000"/>
              <w:bottom w:val="single" w:sz="4" w:space="0" w:color="000000"/>
              <w:right w:val="single" w:sz="4" w:space="0" w:color="000000"/>
            </w:tcBorders>
          </w:tcPr>
          <w:p>
            <w:pP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册会计师协会教育培训委员会委员、主任委员。于</w:t>
            </w:r>
            <w:r>
              <w:rPr>
                <w:rFonts w:ascii="宋体" w:hAnsi="宋体" w:cs="宋体" w:eastAsia="宋体" w:hint="default"/>
                <w:spacing w:val="-34"/>
                <w:sz w:val="21"/>
                <w:szCs w:val="21"/>
              </w:rPr>
              <w:t> </w:t>
            </w:r>
            <w:r>
              <w:rPr>
                <w:rFonts w:ascii="宋体" w:hAnsi="宋体" w:cs="宋体" w:eastAsia="宋体" w:hint="default"/>
                <w:sz w:val="21"/>
                <w:szCs w:val="21"/>
              </w:rPr>
              <w:t>2016</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2</w:t>
            </w:r>
            <w:r>
              <w:rPr>
                <w:rFonts w:ascii="宋体" w:hAnsi="宋体" w:cs="宋体" w:eastAsia="宋体" w:hint="default"/>
                <w:spacing w:val="-35"/>
                <w:sz w:val="21"/>
                <w:szCs w:val="21"/>
              </w:rPr>
              <w:t> </w:t>
            </w:r>
            <w:r>
              <w:rPr>
                <w:rFonts w:ascii="宋体" w:hAnsi="宋体" w:cs="宋体" w:eastAsia="宋体" w:hint="default"/>
                <w:spacing w:val="-4"/>
                <w:sz w:val="21"/>
                <w:szCs w:val="21"/>
              </w:rPr>
              <w:t>月起任本公司独立监事。李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先生毕业于西南财经大学，获有经济学学士及硕士学位。</w:t>
            </w:r>
          </w:p>
        </w:tc>
      </w:tr>
      <w:tr>
        <w:trPr>
          <w:trHeight w:val="1370"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刘密霞</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现任本公司独立监事。曾任四川省新华书店财务科副科长，四川省新华书店音像公司财</w:t>
            </w:r>
          </w:p>
          <w:p>
            <w:pPr>
              <w:pStyle w:val="TableParagraph"/>
              <w:spacing w:line="237" w:lineRule="auto" w:before="2"/>
              <w:ind w:left="103" w:right="89"/>
              <w:jc w:val="both"/>
              <w:rPr>
                <w:rFonts w:ascii="宋体" w:hAnsi="宋体" w:cs="宋体" w:eastAsia="宋体" w:hint="default"/>
                <w:sz w:val="21"/>
                <w:szCs w:val="21"/>
              </w:rPr>
            </w:pPr>
            <w:r>
              <w:rPr>
                <w:rFonts w:ascii="宋体" w:hAnsi="宋体" w:cs="宋体" w:eastAsia="宋体" w:hint="default"/>
                <w:sz w:val="21"/>
                <w:szCs w:val="21"/>
              </w:rPr>
              <w:t>务部主任，四川新华发行集团任审计室副主任，本公司审计部主任，</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月退休。</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38"/>
                <w:sz w:val="21"/>
                <w:szCs w:val="21"/>
              </w:rPr>
              <w:t> </w:t>
            </w:r>
            <w:r>
              <w:rPr>
                <w:rFonts w:ascii="宋体" w:hAnsi="宋体" w:cs="宋体" w:eastAsia="宋体" w:hint="default"/>
                <w:sz w:val="21"/>
                <w:szCs w:val="21"/>
              </w:rPr>
              <w:t>2015</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38"/>
                <w:sz w:val="21"/>
                <w:szCs w:val="21"/>
              </w:rPr>
              <w:t> </w:t>
            </w:r>
            <w:r>
              <w:rPr>
                <w:rFonts w:ascii="宋体" w:hAnsi="宋体" w:cs="宋体" w:eastAsia="宋体" w:hint="default"/>
                <w:spacing w:val="-4"/>
                <w:sz w:val="21"/>
                <w:szCs w:val="21"/>
              </w:rPr>
              <w:t>月起任本公司独立监事。刘女士毕业于中国共产党四川省委员会党校函授学</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院经济管理专业，并完成了中国人民大学工商管理学院工商管理硕士课程学习，亦为会</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计师。</w:t>
            </w:r>
          </w:p>
        </w:tc>
      </w:tr>
      <w:tr>
        <w:trPr>
          <w:trHeight w:val="137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陈大利</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现任本公司副总经理，四川文轩云图文创科技有限公司、人民东方（北京）书业有限公</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司及海南出版社有限公司董事。曾任四川巴蜀书社副社长，四川新华发行集团副总经理</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9"/>
                <w:w w:val="100"/>
                <w:sz w:val="21"/>
                <w:szCs w:val="21"/>
              </w:rPr>
              <w:t>及新华出版公司总经理，本公司出版事业部总经理。于</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2005</w:t>
            </w:r>
            <w:r>
              <w:rPr>
                <w:rFonts w:ascii="宋体" w:hAnsi="宋体" w:cs="宋体" w:eastAsia="宋体" w:hint="default"/>
                <w:spacing w:val="-49"/>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宋体" w:hAnsi="宋体" w:cs="宋体" w:eastAsia="宋体" w:hint="default"/>
                <w:w w:val="100"/>
                <w:sz w:val="21"/>
                <w:szCs w:val="21"/>
              </w:rPr>
              <w:t>6</w:t>
            </w:r>
            <w:r>
              <w:rPr>
                <w:rFonts w:ascii="宋体" w:hAnsi="宋体" w:cs="宋体" w:eastAsia="宋体" w:hint="default"/>
                <w:spacing w:val="-49"/>
                <w:w w:val="100"/>
                <w:sz w:val="21"/>
                <w:szCs w:val="21"/>
              </w:rPr>
              <w:t> </w:t>
            </w:r>
            <w:r>
              <w:rPr>
                <w:rFonts w:ascii="宋体" w:hAnsi="宋体" w:cs="宋体" w:eastAsia="宋体" w:hint="default"/>
                <w:spacing w:val="-2"/>
                <w:w w:val="100"/>
                <w:sz w:val="21"/>
                <w:szCs w:val="21"/>
              </w:rPr>
              <w:t>月起任本公司副总经理。</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陈先生毕业于四川师范大学汉语史专业获硕士学位，四川大学中国古代文学博士，并获</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有副编审专业资格。</w:t>
            </w:r>
          </w:p>
        </w:tc>
      </w:tr>
      <w:tr>
        <w:trPr>
          <w:trHeight w:val="1644"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李强</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现任本公司副总经理，四川文轩教育科技有限责任公司董事长、四川亚新盛翔教育科技</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有限公司董事。曾任四川新华集团教材公司销售部副经理、营销中心和运营中心经理，</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本公司教材发行事业部（现称教育服务事业部）总经理助理、副总经理，四川文轩教育</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科技有限责任公司总经理。于</w:t>
            </w:r>
            <w:r>
              <w:rPr>
                <w:rFonts w:ascii="宋体" w:hAnsi="宋体" w:cs="宋体" w:eastAsia="宋体" w:hint="default"/>
                <w:spacing w:val="-45"/>
                <w:sz w:val="21"/>
                <w:szCs w:val="21"/>
              </w:rPr>
              <w:t> </w:t>
            </w:r>
            <w:r>
              <w:rPr>
                <w:rFonts w:ascii="宋体" w:hAnsi="宋体" w:cs="宋体" w:eastAsia="宋体" w:hint="default"/>
                <w:sz w:val="21"/>
                <w:szCs w:val="21"/>
              </w:rPr>
              <w:t>2005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月任本公司监事，于</w:t>
            </w:r>
            <w:r>
              <w:rPr>
                <w:rFonts w:ascii="宋体" w:hAnsi="宋体" w:cs="宋体" w:eastAsia="宋体" w:hint="default"/>
                <w:spacing w:val="-45"/>
                <w:sz w:val="21"/>
                <w:szCs w:val="21"/>
              </w:rPr>
              <w:t> </w:t>
            </w:r>
            <w:r>
              <w:rPr>
                <w:rFonts w:ascii="宋体" w:hAnsi="宋体" w:cs="宋体" w:eastAsia="宋体" w:hint="default"/>
                <w:sz w:val="21"/>
                <w:szCs w:val="21"/>
              </w:rPr>
              <w:t>2006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10</w:t>
            </w:r>
          </w:p>
          <w:p>
            <w:pPr>
              <w:pStyle w:val="TableParagraph"/>
              <w:spacing w:line="274" w:lineRule="exact" w:before="22"/>
              <w:ind w:left="103" w:right="96"/>
              <w:jc w:val="both"/>
              <w:rPr>
                <w:rFonts w:ascii="宋体" w:hAnsi="宋体" w:cs="宋体" w:eastAsia="宋体" w:hint="default"/>
                <w:sz w:val="21"/>
                <w:szCs w:val="21"/>
              </w:rPr>
            </w:pPr>
            <w:r>
              <w:rPr>
                <w:rFonts w:ascii="宋体" w:hAnsi="宋体" w:cs="宋体" w:eastAsia="宋体" w:hint="default"/>
                <w:spacing w:val="-3"/>
                <w:sz w:val="21"/>
                <w:szCs w:val="21"/>
              </w:rPr>
              <w:t>月起任本公司教育服务事业部总经理，并于</w:t>
            </w:r>
            <w:r>
              <w:rPr>
                <w:rFonts w:ascii="宋体" w:hAnsi="宋体" w:cs="宋体" w:eastAsia="宋体" w:hint="default"/>
                <w:spacing w:val="-42"/>
                <w:sz w:val="21"/>
                <w:szCs w:val="21"/>
              </w:rPr>
              <w:t> </w:t>
            </w:r>
            <w:r>
              <w:rPr>
                <w:rFonts w:ascii="宋体" w:hAnsi="宋体" w:cs="宋体" w:eastAsia="宋体" w:hint="default"/>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3</w:t>
            </w:r>
            <w:r>
              <w:rPr>
                <w:rFonts w:ascii="宋体" w:hAnsi="宋体" w:cs="宋体" w:eastAsia="宋体" w:hint="default"/>
                <w:spacing w:val="-40"/>
                <w:sz w:val="21"/>
                <w:szCs w:val="21"/>
              </w:rPr>
              <w:t> </w:t>
            </w:r>
            <w:r>
              <w:rPr>
                <w:rFonts w:ascii="宋体" w:hAnsi="宋体" w:cs="宋体" w:eastAsia="宋体" w:hint="default"/>
                <w:spacing w:val="-4"/>
                <w:sz w:val="21"/>
                <w:szCs w:val="21"/>
              </w:rPr>
              <w:t>月起任本公司副总经理。李先生毕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业于武汉大学图书发行专业，获得学士学位，亦为经济师。</w:t>
            </w:r>
          </w:p>
        </w:tc>
      </w:tr>
      <w:tr>
        <w:trPr>
          <w:trHeight w:val="1644"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安庆国</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曾任本公司副总经理，文轩商业及海南出版社有限公司之董事，四川大学新闻学院硕士</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生导师。曾任四川人民出版社政治编室编辑、《走向未来》编辑室副主任、主任，中共</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四川盐源县委副书记，四川人民出版社副社长，四川教育出版社社长及华夏盛轩董事。</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于</w:t>
            </w:r>
            <w:r>
              <w:rPr>
                <w:rFonts w:ascii="宋体" w:hAnsi="宋体" w:cs="宋体" w:eastAsia="宋体" w:hint="default"/>
                <w:spacing w:val="-43"/>
                <w:sz w:val="21"/>
                <w:szCs w:val="21"/>
              </w:rPr>
              <w:t> </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月起任本公司副总经理。安先生毕业于四川大学哲学系，获有编审之专业</w:t>
            </w:r>
          </w:p>
          <w:p>
            <w:pPr>
              <w:pStyle w:val="TableParagraph"/>
              <w:spacing w:line="274" w:lineRule="exact" w:before="22"/>
              <w:ind w:left="103" w:right="96"/>
              <w:jc w:val="both"/>
              <w:rPr>
                <w:rFonts w:ascii="宋体" w:hAnsi="宋体" w:cs="宋体" w:eastAsia="宋体" w:hint="default"/>
                <w:sz w:val="21"/>
                <w:szCs w:val="21"/>
              </w:rPr>
            </w:pPr>
            <w:r>
              <w:rPr>
                <w:rFonts w:ascii="宋体" w:hAnsi="宋体" w:cs="宋体" w:eastAsia="宋体" w:hint="default"/>
                <w:spacing w:val="-4"/>
                <w:sz w:val="21"/>
                <w:szCs w:val="21"/>
              </w:rPr>
              <w:t>资格。</w:t>
            </w:r>
            <w:r>
              <w:rPr>
                <w:rFonts w:ascii="宋体" w:hAnsi="宋体" w:cs="宋体" w:eastAsia="宋体" w:hint="default"/>
                <w:spacing w:val="-4"/>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pacing w:val="-4"/>
                <w:sz w:val="21"/>
                <w:szCs w:val="21"/>
              </w:rPr>
              <w:t>月，安庆国先生因年龄原因辞去本公司副总经理职务，于</w:t>
            </w:r>
            <w:r>
              <w:rPr>
                <w:rFonts w:ascii="宋体" w:hAnsi="宋体" w:cs="宋体" w:eastAsia="宋体" w:hint="default"/>
                <w:spacing w:val="-46"/>
                <w:sz w:val="21"/>
                <w:szCs w:val="21"/>
              </w:rPr>
              <w:t> </w:t>
            </w:r>
            <w:r>
              <w:rPr>
                <w:rFonts w:ascii="宋体" w:hAnsi="宋体" w:cs="宋体" w:eastAsia="宋体" w:hint="default"/>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101"/>
                <w:sz w:val="21"/>
                <w:szCs w:val="21"/>
              </w:rPr>
              <w:t> </w:t>
            </w:r>
            <w:r>
              <w:rPr>
                <w:rFonts w:ascii="宋体" w:hAnsi="宋体" w:cs="宋体" w:eastAsia="宋体" w:hint="default"/>
                <w:sz w:val="21"/>
                <w:szCs w:val="21"/>
              </w:rPr>
              <w:t>日经董事会批准后生效。</w:t>
            </w:r>
          </w:p>
        </w:tc>
      </w:tr>
      <w:tr>
        <w:trPr>
          <w:trHeight w:val="1918"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游祖刚</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现任本公司董事会秘书，成都银行董事。曾任四川省新华书店财务科副科长、广元市新</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华书店副经理、四川图书音像批发市场办公室负责人、四川省新华书店计划财务部副主</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3"/>
                <w:sz w:val="21"/>
                <w:szCs w:val="21"/>
              </w:rPr>
              <w:t>任兼审计室主任，四川新华发行集团财务管理部副主任、审计室主任、经理办公室主任，</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5"/>
                <w:sz w:val="21"/>
                <w:szCs w:val="21"/>
              </w:rPr>
              <w:t>广元市管理中心主任，成都鑫汇有限公司董事。于</w:t>
            </w:r>
            <w:r>
              <w:rPr>
                <w:rFonts w:ascii="宋体" w:hAnsi="宋体" w:cs="宋体" w:eastAsia="宋体" w:hint="default"/>
                <w:spacing w:val="-41"/>
                <w:sz w:val="21"/>
                <w:szCs w:val="21"/>
              </w:rPr>
              <w:t> </w:t>
            </w:r>
            <w:r>
              <w:rPr>
                <w:rFonts w:ascii="宋体" w:hAnsi="宋体" w:cs="宋体" w:eastAsia="宋体" w:hint="default"/>
                <w:sz w:val="21"/>
                <w:szCs w:val="21"/>
              </w:rPr>
              <w:t>2005</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月起至今任本公司董事会秘</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8"/>
                <w:sz w:val="21"/>
                <w:szCs w:val="21"/>
              </w:rPr>
              <w:t>书，并于</w:t>
            </w:r>
            <w:r>
              <w:rPr>
                <w:rFonts w:ascii="宋体" w:hAnsi="宋体" w:cs="宋体" w:eastAsia="宋体" w:hint="default"/>
                <w:spacing w:val="-53"/>
                <w:sz w:val="21"/>
                <w:szCs w:val="21"/>
              </w:rPr>
              <w:t> </w:t>
            </w: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pacing w:val="-4"/>
                <w:sz w:val="21"/>
                <w:szCs w:val="21"/>
              </w:rPr>
              <w:t>月兼任本公司行政总监。于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月任成都银行董</w:t>
            </w:r>
            <w:r>
              <w:rPr>
                <w:rFonts w:ascii="宋体" w:hAnsi="宋体" w:cs="宋体" w:eastAsia="宋体" w:hint="default"/>
                <w:w w:val="100"/>
                <w:sz w:val="21"/>
                <w:szCs w:val="21"/>
              </w:rPr>
              <w:t> </w:t>
            </w:r>
            <w:r>
              <w:rPr>
                <w:rFonts w:ascii="宋体" w:hAnsi="宋体" w:cs="宋体" w:eastAsia="宋体" w:hint="default"/>
                <w:sz w:val="21"/>
                <w:szCs w:val="21"/>
              </w:rPr>
              <w:t>事。曾完成中国人民大学工商管理硕士课程学习，亦为国际内部审计师协会会员、会计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师，特许秘书及行政人员公会资深会士、香港特许秘书公会资深会士。</w:t>
            </w:r>
          </w:p>
        </w:tc>
      </w:tr>
      <w:tr>
        <w:trPr>
          <w:trHeight w:val="1645"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朱在祥</w:t>
            </w:r>
          </w:p>
        </w:tc>
        <w:tc>
          <w:tcPr>
            <w:tcW w:w="8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现任本公司财务总监，文轩投资有限公司及四川新华商纸业有限公司董事，四川省会计</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学会副会长，中国新华书店协会财务管理工作委员会主任委员。曾任四川省新华书店审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计科副科长、计划财务科科长及计划财务部主任，四川新华发行集团财务管理部主任、</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总会计师。于</w:t>
            </w:r>
            <w:r>
              <w:rPr>
                <w:rFonts w:ascii="宋体" w:hAnsi="宋体" w:cs="宋体" w:eastAsia="宋体" w:hint="default"/>
                <w:spacing w:val="-46"/>
                <w:sz w:val="21"/>
                <w:szCs w:val="21"/>
              </w:rPr>
              <w:t> </w:t>
            </w:r>
            <w:r>
              <w:rPr>
                <w:rFonts w:ascii="宋体" w:hAnsi="宋体" w:cs="宋体" w:eastAsia="宋体" w:hint="default"/>
                <w:sz w:val="21"/>
                <w:szCs w:val="21"/>
              </w:rPr>
              <w:t>2005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月起任本公司财务总监，于</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年起任四川新华商纸业有限公</w:t>
            </w:r>
          </w:p>
          <w:p>
            <w:pPr>
              <w:pStyle w:val="TableParagraph"/>
              <w:spacing w:line="272" w:lineRule="exact" w:before="27"/>
              <w:ind w:left="103" w:right="36"/>
              <w:jc w:val="both"/>
              <w:rPr>
                <w:rFonts w:ascii="宋体" w:hAnsi="宋体" w:cs="宋体" w:eastAsia="宋体" w:hint="default"/>
                <w:sz w:val="21"/>
                <w:szCs w:val="21"/>
              </w:rPr>
            </w:pPr>
            <w:r>
              <w:rPr>
                <w:rFonts w:ascii="宋体" w:hAnsi="宋体" w:cs="宋体" w:eastAsia="宋体" w:hint="default"/>
                <w:sz w:val="21"/>
                <w:szCs w:val="21"/>
              </w:rPr>
              <w:t>司董事，于</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年起任文轩投资有限公司董事。朱先生毕业于西南财经大学会计专业，</w:t>
            </w:r>
            <w:r>
              <w:rPr>
                <w:rFonts w:ascii="宋体" w:hAnsi="宋体" w:cs="宋体" w:eastAsia="宋体" w:hint="default"/>
                <w:w w:val="100"/>
                <w:sz w:val="21"/>
                <w:szCs w:val="21"/>
              </w:rPr>
              <w:t> </w:t>
            </w:r>
            <w:r>
              <w:rPr>
                <w:rFonts w:ascii="宋体" w:hAnsi="宋体" w:cs="宋体" w:eastAsia="宋体" w:hint="default"/>
                <w:sz w:val="21"/>
                <w:szCs w:val="21"/>
              </w:rPr>
              <w:t>曾完成中国人民大学工商管理硕士课程学习，现为高级会计师。</w:t>
            </w:r>
          </w:p>
        </w:tc>
      </w:tr>
    </w:tbl>
    <w:p>
      <w:pPr>
        <w:pStyle w:val="BodyText"/>
        <w:spacing w:line="239" w:lineRule="exact"/>
        <w:ind w:right="205"/>
        <w:jc w:val="left"/>
      </w:pPr>
      <w:r>
        <w:rPr/>
        <w:t>其它情况说明</w:t>
      </w:r>
    </w:p>
    <w:p>
      <w:pPr>
        <w:pStyle w:val="BodyText"/>
        <w:spacing w:line="272" w:lineRule="exact"/>
        <w:ind w:right="205"/>
        <w:jc w:val="left"/>
      </w:pPr>
      <w:r>
        <w:rPr/>
        <w:t>√适用 □不适用</w:t>
      </w:r>
    </w:p>
    <w:p>
      <w:pPr>
        <w:pStyle w:val="BodyText"/>
        <w:spacing w:line="272" w:lineRule="exact" w:before="27"/>
        <w:ind w:right="205"/>
        <w:jc w:val="left"/>
      </w:pPr>
      <w:r>
        <w:rPr/>
        <w:t>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月，安庆国先生因年龄原因辞去本公司副总经理职务，于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3"/>
        </w:rPr>
        <w:t> </w:t>
      </w:r>
      <w:r>
        <w:rPr>
          <w:rFonts w:ascii="宋体" w:hAnsi="宋体" w:cs="宋体" w:eastAsia="宋体" w:hint="default"/>
        </w:rPr>
        <w:t>3</w:t>
      </w:r>
      <w:r>
        <w:rPr>
          <w:rFonts w:ascii="宋体" w:hAnsi="宋体" w:cs="宋体" w:eastAsia="宋体" w:hint="default"/>
          <w:spacing w:val="-54"/>
        </w:rPr>
        <w:t> </w:t>
      </w:r>
      <w:r>
        <w:rPr/>
        <w:t>日经董事会批</w:t>
      </w:r>
      <w:r>
        <w:rPr>
          <w:w w:val="100"/>
        </w:rPr>
        <w:t> </w:t>
      </w:r>
      <w:r>
        <w:rPr/>
        <w:t>准后生效。</w:t>
      </w:r>
    </w:p>
    <w:p>
      <w:pPr>
        <w:spacing w:line="240" w:lineRule="auto" w:before="4"/>
        <w:rPr>
          <w:rFonts w:ascii="宋体" w:hAnsi="宋体" w:cs="宋体" w:eastAsia="宋体" w:hint="default"/>
          <w:sz w:val="23"/>
          <w:szCs w:val="23"/>
        </w:rPr>
      </w:pPr>
    </w:p>
    <w:p>
      <w:pPr>
        <w:pStyle w:val="Heading2"/>
        <w:spacing w:line="240" w:lineRule="auto"/>
        <w:ind w:right="20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32"/>
        <w:ind w:right="3049"/>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right="205"/>
        <w:jc w:val="left"/>
      </w:pPr>
      <w:r>
        <w:rPr/>
        <w:t>√适用 □不适用</w:t>
      </w:r>
    </w:p>
    <w:p>
      <w:pPr>
        <w:spacing w:after="0" w:line="251" w:lineRule="exact"/>
        <w:jc w:val="left"/>
        <w:sectPr>
          <w:pgSz w:w="11910" w:h="16840"/>
          <w:pgMar w:header="0" w:footer="1195"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102"/>
        <w:gridCol w:w="708"/>
        <w:gridCol w:w="2693"/>
        <w:gridCol w:w="1894"/>
        <w:gridCol w:w="1642"/>
        <w:gridCol w:w="1339"/>
      </w:tblGrid>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5"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在股东单位担任</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任期终止日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何志勇</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陈云华</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四川出版集团有限责任公司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罗军</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四川出版集团有限责任公司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总裁助理、人力资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源部主任</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唐雄兴</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四川出版集团有限责任公司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赵洵</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成都市华盛（集团）实业有限公司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投资运营部总监</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在股东单位任职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5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除上述人员外，公司其他董事、监事和高级管理人员没有在股东单位任职。</w:t>
            </w:r>
          </w:p>
        </w:tc>
      </w:tr>
    </w:tbl>
    <w:p>
      <w:pPr>
        <w:spacing w:line="240" w:lineRule="auto" w:before="2"/>
        <w:rPr>
          <w:rFonts w:ascii="宋体" w:hAnsi="宋体" w:cs="宋体" w:eastAsia="宋体" w:hint="default"/>
          <w:sz w:val="20"/>
          <w:szCs w:val="20"/>
        </w:rPr>
      </w:pPr>
    </w:p>
    <w:p>
      <w:pPr>
        <w:pStyle w:val="Heading2"/>
        <w:spacing w:line="240" w:lineRule="auto" w:before="36"/>
        <w:ind w:right="3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right="397"/>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43"/>
        <w:gridCol w:w="708"/>
        <w:gridCol w:w="2552"/>
        <w:gridCol w:w="1815"/>
        <w:gridCol w:w="1640"/>
        <w:gridCol w:w="1558"/>
      </w:tblGrid>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93"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罗军</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成都市温江区兴文科技小额贷款</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杨杪</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四川亚新盛翔教育科技有限公司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四川爱科行教育科技有限责任公</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韩小明</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中国人民大学经济学院</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43"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陈育棠</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香港上市公司五龙电动车（集团）</w:t>
            </w:r>
          </w:p>
          <w:p>
            <w:pPr>
              <w:pStyle w:val="TableParagraph"/>
              <w:spacing w:line="273" w:lineRule="exact"/>
              <w:ind w:left="100" w:right="-5"/>
              <w:jc w:val="left"/>
              <w:rPr>
                <w:rFonts w:ascii="宋体" w:hAnsi="宋体" w:cs="宋体" w:eastAsia="宋体" w:hint="default"/>
                <w:sz w:val="21"/>
                <w:szCs w:val="21"/>
              </w:rPr>
            </w:pPr>
            <w:r>
              <w:rPr>
                <w:rFonts w:ascii="宋体" w:hAnsi="宋体" w:cs="宋体" w:eastAsia="宋体" w:hint="default"/>
                <w:spacing w:val="-8"/>
                <w:sz w:val="21"/>
                <w:szCs w:val="21"/>
              </w:rPr>
              <w:t>有限公司（联交所股份代码：</w:t>
            </w:r>
            <w:r>
              <w:rPr>
                <w:rFonts w:ascii="宋体" w:hAnsi="宋体" w:cs="宋体" w:eastAsia="宋体" w:hint="default"/>
                <w:spacing w:val="-8"/>
                <w:sz w:val="21"/>
                <w:szCs w:val="21"/>
              </w:rPr>
              <w:t>729</w:t>
            </w:r>
            <w:r>
              <w:rPr>
                <w:rFonts w:ascii="宋体" w:hAnsi="宋体" w:cs="宋体" w:eastAsia="宋体" w:hint="default"/>
                <w:spacing w:val="-8"/>
                <w:sz w:val="21"/>
                <w:szCs w:val="21"/>
              </w:rPr>
              <w:t>）</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3" w:type="dxa"/>
            <w:vMerge/>
            <w:tcBorders>
              <w:left w:val="single" w:sz="4" w:space="0" w:color="000000"/>
              <w:right w:val="single" w:sz="4" w:space="0" w:color="000000"/>
            </w:tcBorders>
          </w:tcPr>
          <w:p>
            <w:pP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广泽</w:t>
            </w:r>
            <w:r>
              <w:rPr>
                <w:rFonts w:ascii="宋体" w:hAnsi="宋体" w:cs="宋体" w:eastAsia="宋体" w:hint="default"/>
                <w:spacing w:val="-3"/>
                <w:w w:val="100"/>
                <w:sz w:val="21"/>
                <w:szCs w:val="21"/>
              </w:rPr>
              <w:t>国</w:t>
            </w:r>
            <w:r>
              <w:rPr>
                <w:rFonts w:ascii="宋体" w:hAnsi="宋体" w:cs="宋体" w:eastAsia="宋体" w:hint="default"/>
                <w:w w:val="100"/>
                <w:sz w:val="21"/>
                <w:szCs w:val="21"/>
              </w:rPr>
              <w:t>际</w:t>
            </w:r>
            <w:r>
              <w:rPr>
                <w:rFonts w:ascii="宋体" w:hAnsi="宋体" w:cs="宋体" w:eastAsia="宋体" w:hint="default"/>
                <w:spacing w:val="-3"/>
                <w:w w:val="100"/>
                <w:sz w:val="21"/>
                <w:szCs w:val="21"/>
              </w:rPr>
              <w:t>发</w:t>
            </w:r>
            <w:r>
              <w:rPr>
                <w:rFonts w:ascii="宋体" w:hAnsi="宋体" w:cs="宋体" w:eastAsia="宋体" w:hint="default"/>
                <w:w w:val="100"/>
                <w:sz w:val="21"/>
                <w:szCs w:val="21"/>
              </w:rPr>
              <w:t>展</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106"/>
                <w:w w:val="100"/>
                <w:sz w:val="21"/>
                <w:szCs w:val="21"/>
              </w:rPr>
              <w:t>司</w:t>
            </w:r>
            <w:r>
              <w:rPr>
                <w:rFonts w:ascii="宋体" w:hAnsi="宋体" w:cs="宋体" w:eastAsia="宋体" w:hint="default"/>
                <w:spacing w:val="-3"/>
                <w:w w:val="100"/>
                <w:sz w:val="21"/>
                <w:szCs w:val="21"/>
              </w:rPr>
              <w:t>（联</w:t>
            </w:r>
            <w:r>
              <w:rPr>
                <w:rFonts w:ascii="宋体" w:hAnsi="宋体" w:cs="宋体" w:eastAsia="宋体" w:hint="default"/>
                <w:w w:val="100"/>
                <w:sz w:val="21"/>
                <w:szCs w:val="21"/>
              </w:rPr>
              <w:t>交所股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份代码：</w:t>
            </w:r>
            <w:r>
              <w:rPr>
                <w:rFonts w:ascii="宋体" w:hAnsi="宋体" w:cs="宋体" w:eastAsia="宋体" w:hint="default"/>
                <w:sz w:val="21"/>
                <w:szCs w:val="21"/>
              </w:rPr>
              <w:t>989</w:t>
            </w:r>
            <w:r>
              <w:rPr>
                <w:rFonts w:ascii="宋体" w:hAnsi="宋体" w:cs="宋体" w:eastAsia="宋体" w:hint="default"/>
                <w:sz w:val="21"/>
                <w:szCs w:val="21"/>
              </w:rPr>
              <w:t>）</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3" w:type="dxa"/>
            <w:vMerge/>
            <w:tcBorders>
              <w:left w:val="single" w:sz="4" w:space="0" w:color="000000"/>
              <w:bottom w:val="single" w:sz="4" w:space="0" w:color="000000"/>
              <w:right w:val="single" w:sz="4" w:space="0" w:color="000000"/>
            </w:tcBorders>
          </w:tcPr>
          <w:p>
            <w:pP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天健德扬会计师事务所有限公司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方炳希</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中联资产评估集团有限公司西南</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分公司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常务副总经理</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3"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李旭</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四川天华会计师事务所有限公司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vMerge/>
            <w:tcBorders>
              <w:left w:val="single" w:sz="4" w:space="0" w:color="000000"/>
              <w:right w:val="single" w:sz="4" w:space="0" w:color="000000"/>
            </w:tcBorders>
          </w:tcPr>
          <w:p>
            <w:pP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四川中天华资产评估有限公司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vMerge/>
            <w:tcBorders>
              <w:left w:val="single" w:sz="4" w:space="0" w:color="000000"/>
              <w:bottom w:val="single" w:sz="4" w:space="0" w:color="000000"/>
              <w:right w:val="single" w:sz="4" w:space="0" w:color="000000"/>
            </w:tcBorders>
          </w:tcPr>
          <w:p>
            <w:pP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四川九华资产管理有限公司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3"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王焱</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四川文传物流有限公司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243" w:type="dxa"/>
            <w:vMerge/>
            <w:tcBorders>
              <w:left w:val="single" w:sz="4" w:space="0" w:color="000000"/>
              <w:bottom w:val="single" w:sz="4" w:space="0" w:color="000000"/>
              <w:right w:val="single" w:sz="4" w:space="0" w:color="000000"/>
            </w:tcBorders>
          </w:tcPr>
          <w:p>
            <w:pP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四川新华文轩传媒有限公司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3"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陈大利</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四川文轩云图文创科技有限公司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vMerge/>
            <w:tcBorders>
              <w:left w:val="single" w:sz="4" w:space="0" w:color="000000"/>
              <w:right w:val="single" w:sz="4" w:space="0" w:color="000000"/>
            </w:tcBorders>
          </w:tcPr>
          <w:p>
            <w:pP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人民东方（北京）书业有限公司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vMerge/>
            <w:tcBorders>
              <w:left w:val="single" w:sz="4" w:space="0" w:color="000000"/>
              <w:bottom w:val="single" w:sz="4" w:space="0" w:color="000000"/>
              <w:right w:val="single" w:sz="4" w:space="0" w:color="000000"/>
            </w:tcBorders>
          </w:tcPr>
          <w:p>
            <w:pP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海南出版社有限公司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3"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李强</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四川文轩教育科技有限公司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vMerge/>
            <w:tcBorders>
              <w:left w:val="single" w:sz="4" w:space="0" w:color="000000"/>
              <w:bottom w:val="single" w:sz="4" w:space="0" w:color="000000"/>
              <w:right w:val="single" w:sz="4" w:space="0" w:color="000000"/>
            </w:tcBorders>
          </w:tcPr>
          <w:p>
            <w:pP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四川亚新盛翔教育科技有限公司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游祖刚</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成都银行股份有限公司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3"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朱在祥</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文轩投资有限公司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vMerge/>
            <w:tcBorders>
              <w:left w:val="single" w:sz="4" w:space="0" w:color="000000"/>
              <w:bottom w:val="single" w:sz="4" w:space="0" w:color="000000"/>
              <w:right w:val="single" w:sz="4" w:space="0" w:color="000000"/>
            </w:tcBorders>
          </w:tcPr>
          <w:p>
            <w:pP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四川新华商纸业有限公司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在其他单位任职情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况的说明</w:t>
            </w:r>
          </w:p>
        </w:tc>
        <w:tc>
          <w:tcPr>
            <w:tcW w:w="75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除上述人员外，公司其他董事、监事和高级管理人员没有在其他单位任职。</w:t>
            </w:r>
          </w:p>
        </w:tc>
      </w:tr>
    </w:tbl>
    <w:p>
      <w:pPr>
        <w:spacing w:after="0" w:line="241" w:lineRule="exact"/>
        <w:jc w:val="left"/>
        <w:rPr>
          <w:rFonts w:ascii="宋体" w:hAnsi="宋体" w:cs="宋体" w:eastAsia="宋体" w:hint="default"/>
          <w:sz w:val="21"/>
          <w:szCs w:val="21"/>
        </w:rPr>
        <w:sectPr>
          <w:pgSz w:w="11910" w:h="16840"/>
          <w:pgMar w:header="0" w:footer="1195" w:top="1060" w:bottom="1380" w:left="1220" w:right="9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spacing w:line="240" w:lineRule="auto" w:before="36"/>
        <w:ind w:right="3878"/>
        <w:jc w:val="left"/>
        <w:rPr>
          <w:b w:val="0"/>
          <w:bCs w:val="0"/>
        </w:rPr>
      </w:pPr>
      <w:r>
        <w:rPr/>
        <w:t>三、董事、监事、高级管理人员报酬情况</w:t>
      </w:r>
      <w:r>
        <w:rPr>
          <w:b w:val="0"/>
          <w:bCs w:val="0"/>
        </w:rPr>
      </w:r>
    </w:p>
    <w:p>
      <w:pPr>
        <w:pStyle w:val="BodyText"/>
        <w:spacing w:line="240" w:lineRule="auto" w:before="56"/>
        <w:ind w:right="3878"/>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85"/>
        <w:gridCol w:w="6315"/>
      </w:tblGrid>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董事、监事、高级管理人员报酬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的决策程序</w:t>
            </w:r>
          </w:p>
        </w:tc>
        <w:tc>
          <w:tcPr>
            <w:tcW w:w="63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董事、监事的报酬由股东大会授权董事会厘定；高级管理人员的薪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酬由董事会授权董事会薪酬与考核委员会厘定。</w:t>
            </w:r>
          </w:p>
        </w:tc>
      </w:tr>
      <w:tr>
        <w:trPr>
          <w:trHeight w:val="109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董事、监事、高级管理人员报酬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确定依据</w:t>
            </w:r>
          </w:p>
        </w:tc>
        <w:tc>
          <w:tcPr>
            <w:tcW w:w="63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董事、监事的报酬系结合董事和监事的实际工作和市场物价因素，</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参考其他上市公司董事和监事的薪酬标准厘定；高级管理人员的薪</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酬确定依据为《公司经营管理团队薪酬管理办法》及《公司经营管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理团队绩效考核管理办法》。</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董事、监事和高级管理人员报酬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的实际支付情况</w:t>
            </w:r>
          </w:p>
        </w:tc>
        <w:tc>
          <w:tcPr>
            <w:tcW w:w="6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已根据上述依据按时支付所有报酬。</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报告期末全体董事、监事和高级</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管理人员实际获得的报酬合计</w:t>
            </w:r>
          </w:p>
        </w:tc>
        <w:tc>
          <w:tcPr>
            <w:tcW w:w="6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
                <w:sz w:val="21"/>
                <w:szCs w:val="21"/>
              </w:rPr>
              <w:t> </w:t>
            </w:r>
            <w:r>
              <w:rPr>
                <w:rFonts w:ascii="宋体" w:hAnsi="宋体" w:cs="宋体" w:eastAsia="宋体" w:hint="default"/>
                <w:spacing w:val="-4"/>
                <w:sz w:val="21"/>
                <w:szCs w:val="21"/>
              </w:rPr>
              <w:t>年度，本公司董事、监事及高级管理人员实际获得的报酬合计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836.2</w:t>
            </w:r>
            <w:r>
              <w:rPr>
                <w:rFonts w:ascii="宋体" w:hAnsi="宋体" w:cs="宋体" w:eastAsia="宋体" w:hint="default"/>
                <w:spacing w:val="-52"/>
                <w:sz w:val="21"/>
                <w:szCs w:val="21"/>
              </w:rPr>
              <w:t> </w:t>
            </w:r>
            <w:r>
              <w:rPr>
                <w:rFonts w:ascii="宋体" w:hAnsi="宋体" w:cs="宋体" w:eastAsia="宋体" w:hint="default"/>
                <w:sz w:val="21"/>
                <w:szCs w:val="21"/>
              </w:rPr>
              <w:t>万元。</w:t>
            </w:r>
          </w:p>
        </w:tc>
      </w:tr>
    </w:tbl>
    <w:p>
      <w:pPr>
        <w:spacing w:line="240" w:lineRule="auto" w:before="2"/>
        <w:rPr>
          <w:rFonts w:ascii="宋体" w:hAnsi="宋体" w:cs="宋体" w:eastAsia="宋体" w:hint="default"/>
          <w:sz w:val="20"/>
          <w:szCs w:val="20"/>
        </w:rPr>
      </w:pPr>
    </w:p>
    <w:p>
      <w:pPr>
        <w:pStyle w:val="Heading2"/>
        <w:spacing w:line="240" w:lineRule="auto" w:before="36"/>
        <w:ind w:right="3878"/>
        <w:jc w:val="left"/>
        <w:rPr>
          <w:b w:val="0"/>
          <w:bCs w:val="0"/>
        </w:rPr>
      </w:pPr>
      <w:r>
        <w:rPr/>
        <w:t>四、公司董事、监事、高级管理人员变动情况</w:t>
      </w:r>
      <w:r>
        <w:rPr>
          <w:b w:val="0"/>
          <w:bCs w:val="0"/>
        </w:rPr>
      </w:r>
    </w:p>
    <w:p>
      <w:pPr>
        <w:pStyle w:val="BodyText"/>
        <w:spacing w:line="240" w:lineRule="auto" w:before="56"/>
        <w:ind w:right="3878"/>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43"/>
        <w:gridCol w:w="1558"/>
        <w:gridCol w:w="1277"/>
        <w:gridCol w:w="4883"/>
      </w:tblGrid>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4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安庆国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4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安庆国先生因年龄原因于</w:t>
            </w:r>
            <w:r>
              <w:rPr>
                <w:rFonts w:ascii="宋体" w:hAnsi="宋体" w:cs="宋体" w:eastAsia="宋体" w:hint="default"/>
                <w:spacing w:val="-65"/>
                <w:sz w:val="21"/>
                <w:szCs w:val="21"/>
              </w:rPr>
              <w:t> </w:t>
            </w:r>
            <w:r>
              <w:rPr>
                <w:rFonts w:ascii="宋体" w:hAnsi="宋体" w:cs="宋体" w:eastAsia="宋体" w:hint="default"/>
                <w:sz w:val="21"/>
                <w:szCs w:val="21"/>
              </w:rPr>
              <w:t>2018</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w:t>
            </w:r>
            <w:r>
              <w:rPr>
                <w:rFonts w:ascii="宋体" w:hAnsi="宋体" w:cs="宋体" w:eastAsia="宋体" w:hint="default"/>
                <w:spacing w:val="-62"/>
                <w:sz w:val="21"/>
                <w:szCs w:val="21"/>
              </w:rPr>
              <w:t> </w:t>
            </w:r>
            <w:r>
              <w:rPr>
                <w:rFonts w:ascii="宋体" w:hAnsi="宋体" w:cs="宋体" w:eastAsia="宋体" w:hint="default"/>
                <w:sz w:val="21"/>
                <w:szCs w:val="21"/>
              </w:rPr>
              <w:t>日辞去本公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司副总经理职务。</w:t>
            </w:r>
          </w:p>
        </w:tc>
      </w:tr>
    </w:tbl>
    <w:p>
      <w:pPr>
        <w:spacing w:line="240" w:lineRule="auto" w:before="12"/>
        <w:rPr>
          <w:rFonts w:ascii="宋体" w:hAnsi="宋体" w:cs="宋体" w:eastAsia="宋体" w:hint="default"/>
          <w:sz w:val="19"/>
          <w:szCs w:val="19"/>
        </w:rPr>
      </w:pPr>
    </w:p>
    <w:p>
      <w:pPr>
        <w:pStyle w:val="Heading2"/>
        <w:spacing w:line="240" w:lineRule="auto" w:before="36"/>
        <w:ind w:right="3878"/>
        <w:jc w:val="left"/>
        <w:rPr>
          <w:b w:val="0"/>
          <w:bCs w:val="0"/>
        </w:rPr>
      </w:pPr>
      <w:r>
        <w:rPr/>
        <w:t>五、近三年受证券监管机构处罚的情况说明</w:t>
      </w:r>
      <w:r>
        <w:rPr>
          <w:b w:val="0"/>
          <w:bCs w:val="0"/>
        </w:rPr>
      </w:r>
    </w:p>
    <w:p>
      <w:pPr>
        <w:pStyle w:val="BodyText"/>
        <w:spacing w:line="240" w:lineRule="auto" w:before="58"/>
        <w:ind w:right="3878"/>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3878"/>
        <w:jc w:val="left"/>
        <w:rPr>
          <w:b w:val="0"/>
          <w:bCs w:val="0"/>
        </w:rPr>
      </w:pPr>
      <w:r>
        <w:rPr/>
        <w:t>六、母公司和主要子公司的员工情况</w:t>
      </w:r>
      <w:r>
        <w:rPr>
          <w:b w:val="0"/>
          <w:bCs w:val="0"/>
        </w:rPr>
      </w:r>
    </w:p>
    <w:p>
      <w:pPr>
        <w:pStyle w:val="Heading2"/>
        <w:spacing w:line="240" w:lineRule="auto" w:before="56"/>
        <w:ind w:right="387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4621"/>
        <w:gridCol w:w="307"/>
        <w:gridCol w:w="4316"/>
      </w:tblGrid>
      <w:tr>
        <w:trPr>
          <w:trHeight w:val="281"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5,085</w:t>
            </w:r>
          </w:p>
        </w:tc>
      </w:tr>
      <w:tr>
        <w:trPr>
          <w:trHeight w:val="283"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2,640</w:t>
            </w:r>
          </w:p>
        </w:tc>
      </w:tr>
      <w:tr>
        <w:trPr>
          <w:trHeight w:val="281"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7,724</w:t>
            </w:r>
          </w:p>
        </w:tc>
      </w:tr>
      <w:tr>
        <w:trPr>
          <w:trHeight w:val="283"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r>
      <w:tr>
        <w:trPr>
          <w:trHeight w:val="283" w:hRule="exact"/>
        </w:trPr>
        <w:tc>
          <w:tcPr>
            <w:tcW w:w="9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71"/>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631</w:t>
            </w:r>
          </w:p>
        </w:tc>
      </w:tr>
      <w:tr>
        <w:trPr>
          <w:trHeight w:val="283"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3,817</w:t>
            </w:r>
          </w:p>
        </w:tc>
      </w:tr>
      <w:tr>
        <w:trPr>
          <w:trHeight w:val="281"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690</w:t>
            </w:r>
          </w:p>
        </w:tc>
      </w:tr>
      <w:tr>
        <w:trPr>
          <w:trHeight w:val="283"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388</w:t>
            </w:r>
          </w:p>
        </w:tc>
      </w:tr>
      <w:tr>
        <w:trPr>
          <w:trHeight w:val="283"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操作人员</w:t>
            </w:r>
          </w:p>
        </w:tc>
        <w:tc>
          <w:tcPr>
            <w:tcW w:w="4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462</w:t>
            </w:r>
          </w:p>
        </w:tc>
      </w:tr>
      <w:tr>
        <w:trPr>
          <w:trHeight w:val="281"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4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1,736</w:t>
            </w:r>
          </w:p>
        </w:tc>
      </w:tr>
      <w:tr>
        <w:trPr>
          <w:trHeight w:val="283"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7,724</w:t>
            </w:r>
          </w:p>
        </w:tc>
      </w:tr>
      <w:tr>
        <w:trPr>
          <w:trHeight w:val="283" w:hRule="exact"/>
        </w:trPr>
        <w:tc>
          <w:tcPr>
            <w:tcW w:w="9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71"/>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4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340</w:t>
            </w:r>
          </w:p>
        </w:tc>
      </w:tr>
      <w:tr>
        <w:trPr>
          <w:trHeight w:val="281"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1,971</w:t>
            </w:r>
          </w:p>
        </w:tc>
      </w:tr>
      <w:tr>
        <w:trPr>
          <w:trHeight w:val="283"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4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2,942</w:t>
            </w:r>
          </w:p>
        </w:tc>
      </w:tr>
      <w:tr>
        <w:trPr>
          <w:trHeight w:val="283"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4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2,471</w:t>
            </w:r>
          </w:p>
        </w:tc>
      </w:tr>
      <w:tr>
        <w:trPr>
          <w:trHeight w:val="283"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7,724</w:t>
            </w:r>
          </w:p>
        </w:tc>
      </w:tr>
    </w:tbl>
    <w:p>
      <w:pPr>
        <w:spacing w:after="0" w:line="241" w:lineRule="exact"/>
        <w:jc w:val="right"/>
        <w:rPr>
          <w:rFonts w:ascii="宋体" w:hAnsi="宋体" w:cs="宋体" w:eastAsia="宋体" w:hint="default"/>
          <w:sz w:val="21"/>
          <w:szCs w:val="21"/>
        </w:rPr>
        <w:sectPr>
          <w:pgSz w:w="11910" w:h="16840"/>
          <w:pgMar w:header="0" w:footer="1195" w:top="1060" w:bottom="1380" w:left="1220" w:right="106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p>
      <w:pPr>
        <w:pStyle w:val="Heading2"/>
        <w:spacing w:line="240" w:lineRule="auto" w:before="36"/>
        <w:ind w:left="140" w:right="1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tabs>
          <w:tab w:pos="982" w:val="left" w:leader="none"/>
        </w:tabs>
        <w:spacing w:line="240" w:lineRule="auto" w:before="29"/>
        <w:ind w:left="560" w:right="213" w:hanging="420"/>
        <w:jc w:val="left"/>
      </w:pPr>
      <w:r>
        <w:rPr/>
        <w:t>√适用</w:t>
        <w:tab/>
        <w:t>□不适用</w:t>
      </w:r>
      <w:r>
        <w:rPr>
          <w:w w:val="100"/>
        </w:rPr>
        <w:t> </w:t>
      </w:r>
      <w:r>
        <w:rPr>
          <w:spacing w:val="-2"/>
        </w:rPr>
        <w:t>本公司不断完善和优化本公司的雇员薪酬政策和薪酬管理体系，建立了企业与员工共同发展的</w:t>
      </w:r>
    </w:p>
    <w:p>
      <w:pPr>
        <w:pStyle w:val="BodyText"/>
        <w:spacing w:line="240" w:lineRule="auto" w:before="133"/>
        <w:ind w:left="140" w:right="117"/>
        <w:jc w:val="left"/>
      </w:pPr>
      <w:r>
        <w:rPr/>
        <w:t>激励机制。</w:t>
      </w:r>
    </w:p>
    <w:p>
      <w:pPr>
        <w:pStyle w:val="BodyText"/>
        <w:spacing w:line="355" w:lineRule="auto" w:before="133"/>
        <w:ind w:left="140" w:right="117" w:firstLine="420"/>
        <w:jc w:val="left"/>
      </w:pPr>
      <w:r>
        <w:rPr>
          <w:spacing w:val="-2"/>
        </w:rPr>
        <w:t>本公司的标准薪酬待遇包括基本薪金、绩效奖金及福利，并为员工提供养老、医疗、失业、工</w:t>
      </w:r>
      <w:r>
        <w:rPr>
          <w:w w:val="100"/>
        </w:rPr>
        <w:t> </w:t>
      </w:r>
      <w:r>
        <w:rPr/>
        <w:t>伤、生育等保险以及住房公积金、企业年金等保障。</w:t>
      </w:r>
    </w:p>
    <w:p>
      <w:pPr>
        <w:spacing w:line="240" w:lineRule="auto" w:before="13"/>
        <w:rPr>
          <w:rFonts w:ascii="宋体" w:hAnsi="宋体" w:cs="宋体" w:eastAsia="宋体" w:hint="default"/>
          <w:sz w:val="27"/>
          <w:szCs w:val="27"/>
        </w:rPr>
      </w:pPr>
    </w:p>
    <w:p>
      <w:pPr>
        <w:pStyle w:val="Heading2"/>
        <w:spacing w:line="240" w:lineRule="auto"/>
        <w:ind w:left="140" w:right="1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982" w:val="left" w:leader="none"/>
        </w:tabs>
        <w:spacing w:line="272" w:lineRule="exact" w:before="60"/>
        <w:ind w:left="560" w:right="213" w:hanging="420"/>
        <w:jc w:val="left"/>
      </w:pPr>
      <w:r>
        <w:rPr/>
        <w:t>√适用</w:t>
        <w:tab/>
        <w:t>□不适用</w:t>
      </w:r>
      <w:r>
        <w:rPr>
          <w:w w:val="100"/>
        </w:rPr>
        <w:t> </w:t>
      </w:r>
      <w:r>
        <w:rPr>
          <w:spacing w:val="-2"/>
        </w:rPr>
        <w:t>本公司重视及关注员工的成长与发展，持续为员工提供培训、交流机会，帮助其提升专业技能</w:t>
      </w:r>
    </w:p>
    <w:p>
      <w:pPr>
        <w:pStyle w:val="BodyText"/>
        <w:spacing w:line="357" w:lineRule="auto" w:before="108"/>
        <w:ind w:left="140" w:right="211"/>
        <w:jc w:val="both"/>
      </w:pPr>
      <w:r>
        <w:rPr>
          <w:spacing w:val="-2"/>
        </w:rPr>
        <w:t>和拓展工作领域。对员工的培训采取计划统一管理、分级组织实施的原则，不断优化培训的内容和</w:t>
      </w:r>
      <w:r>
        <w:rPr>
          <w:spacing w:val="-33"/>
        </w:rPr>
        <w:t> </w:t>
      </w:r>
      <w:r>
        <w:rPr>
          <w:spacing w:val="-33"/>
        </w:rPr>
      </w:r>
      <w:r>
        <w:rPr>
          <w:spacing w:val="-3"/>
        </w:rPr>
        <w:t>类型，建立了多层次、多形式的培训体系。</w:t>
      </w:r>
      <w:r>
        <w:rPr>
          <w:rFonts w:ascii="宋体" w:hAnsi="宋体" w:cs="宋体" w:eastAsia="宋体" w:hint="default"/>
          <w:spacing w:val="-3"/>
        </w:rPr>
        <w:t>2018 </w:t>
      </w:r>
      <w:r>
        <w:rPr>
          <w:spacing w:val="-3"/>
        </w:rPr>
        <w:t>年，公司培训内容涵盖经营管理、岗位技能、文化</w:t>
      </w:r>
      <w:r>
        <w:rPr>
          <w:spacing w:val="-86"/>
        </w:rPr>
        <w:t> </w:t>
      </w:r>
      <w:r>
        <w:rPr>
          <w:spacing w:val="-86"/>
        </w:rPr>
      </w:r>
      <w:r>
        <w:rPr>
          <w:spacing w:val="-2"/>
        </w:rPr>
        <w:t>素养、职业资格、团队建设等诸多方面，培训方式采取内训、外训、网络学习、知识竞赛等多种方</w:t>
      </w:r>
      <w:r>
        <w:rPr>
          <w:spacing w:val="-34"/>
        </w:rPr>
        <w:t> </w:t>
      </w:r>
      <w:r>
        <w:rPr>
          <w:spacing w:val="-34"/>
        </w:rPr>
      </w:r>
      <w:r>
        <w:rPr/>
        <w:t>式进行。</w:t>
      </w:r>
    </w:p>
    <w:p>
      <w:pPr>
        <w:spacing w:line="240" w:lineRule="auto" w:before="11"/>
        <w:rPr>
          <w:rFonts w:ascii="宋体" w:hAnsi="宋体" w:cs="宋体" w:eastAsia="宋体" w:hint="default"/>
          <w:sz w:val="27"/>
          <w:szCs w:val="27"/>
        </w:rPr>
      </w:pPr>
    </w:p>
    <w:p>
      <w:pPr>
        <w:pStyle w:val="Heading2"/>
        <w:spacing w:line="240" w:lineRule="auto"/>
        <w:ind w:left="140" w:right="117"/>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29"/>
        <w:ind w:left="140" w:right="7651"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982" w:val="left" w:leader="none"/>
        </w:tabs>
        <w:spacing w:line="240" w:lineRule="auto" w:before="14"/>
        <w:ind w:left="140" w:right="117"/>
        <w:jc w:val="left"/>
      </w:pPr>
      <w:r>
        <w:rPr/>
        <w:t>□适用</w:t>
        <w:tab/>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tabs>
          <w:tab w:pos="1259" w:val="left" w:leader="none"/>
        </w:tabs>
        <w:spacing w:line="240" w:lineRule="auto"/>
        <w:ind w:right="78"/>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40" w:right="117"/>
        <w:jc w:val="left"/>
        <w:rPr>
          <w:b w:val="0"/>
          <w:bCs w:val="0"/>
        </w:rPr>
      </w:pPr>
      <w:r>
        <w:rPr/>
        <w:t>一、公司治理相关情况说明</w:t>
      </w:r>
      <w:r>
        <w:rPr>
          <w:b w:val="0"/>
          <w:bCs w:val="0"/>
        </w:rPr>
      </w:r>
    </w:p>
    <w:p>
      <w:pPr>
        <w:pStyle w:val="BodyText"/>
        <w:tabs>
          <w:tab w:pos="982" w:val="left" w:leader="none"/>
        </w:tabs>
        <w:spacing w:line="272" w:lineRule="exact" w:before="86"/>
        <w:ind w:left="560" w:right="213" w:hanging="420"/>
        <w:jc w:val="left"/>
      </w:pPr>
      <w:r>
        <w:rPr/>
        <w:t>√适用</w:t>
        <w:tab/>
        <w:t>□不适用</w:t>
      </w:r>
      <w:r>
        <w:rPr>
          <w:w w:val="100"/>
        </w:rPr>
        <w:t> </w:t>
      </w:r>
      <w:r>
        <w:rPr>
          <w:spacing w:val="-2"/>
        </w:rPr>
        <w:t>根据《公司法》、《证券法》及《到境外上市公司章程必备条款》等相关法律、法规和规范性</w:t>
      </w:r>
    </w:p>
    <w:p>
      <w:pPr>
        <w:pStyle w:val="BodyText"/>
        <w:spacing w:line="357" w:lineRule="auto" w:before="110"/>
        <w:ind w:left="140" w:right="117"/>
        <w:jc w:val="left"/>
      </w:pPr>
      <w:r>
        <w:rPr/>
        <w:t>文件的要求，本公司制定了《公司章程》，建立及完善了由股东大会、董事会、监事会和高级管理</w:t>
      </w:r>
      <w:r>
        <w:rPr>
          <w:w w:val="100"/>
        </w:rPr>
        <w:t> </w:t>
      </w:r>
      <w:r>
        <w:rPr/>
        <w:t>层组成的法人治理结构，形成了权力机构、决策机构、监督机构和管理层之间的权责明确、运作规</w:t>
      </w:r>
      <w:r>
        <w:rPr>
          <w:w w:val="100"/>
        </w:rPr>
        <w:t> </w:t>
      </w:r>
      <w:r>
        <w:rPr/>
        <w:t>范、相互制衡和相互协调的运行机制。本公司董事会下设战略与投资委员会、审计委员会、提名委</w:t>
      </w:r>
      <w:r>
        <w:rPr>
          <w:w w:val="100"/>
        </w:rPr>
        <w:t> </w:t>
      </w:r>
      <w:r>
        <w:rPr/>
        <w:t>员会、薪酬与考核委员会共四个专门委员会，分别在战略发展、财务监控、内部监控、风险管理、</w:t>
      </w:r>
      <w:r>
        <w:rPr>
          <w:spacing w:val="-8"/>
        </w:rPr>
        <w:t> </w:t>
      </w:r>
      <w:r>
        <w:rPr>
          <w:spacing w:val="-8"/>
        </w:rPr>
      </w:r>
      <w:r>
        <w:rPr/>
        <w:t>人事薪酬等方面协助董事会履行决策和监控职能。</w:t>
      </w:r>
    </w:p>
    <w:p>
      <w:pPr>
        <w:pStyle w:val="BodyText"/>
        <w:spacing w:line="355" w:lineRule="auto" w:before="32"/>
        <w:ind w:left="706" w:right="117" w:firstLine="2"/>
        <w:jc w:val="left"/>
      </w:pPr>
      <w:r>
        <w:rPr>
          <w:rFonts w:ascii="宋体" w:hAnsi="宋体" w:cs="宋体" w:eastAsia="宋体" w:hint="default"/>
          <w:b/>
          <w:bCs/>
        </w:rPr>
        <w:t>1.</w:t>
      </w:r>
      <w:r>
        <w:rPr>
          <w:rFonts w:ascii="宋体" w:hAnsi="宋体" w:cs="宋体" w:eastAsia="宋体" w:hint="default"/>
          <w:b/>
          <w:bCs/>
        </w:rPr>
        <w:t>公司治理制度</w:t>
      </w:r>
      <w:r>
        <w:rPr>
          <w:rFonts w:ascii="宋体" w:hAnsi="宋体" w:cs="宋体" w:eastAsia="宋体" w:hint="default"/>
          <w:b/>
          <w:bCs/>
          <w:w w:val="100"/>
        </w:rPr>
        <w:t> </w:t>
      </w:r>
      <w:r>
        <w:rPr/>
        <w:t>本公司十分重视公司治理制度建设，根据监管要求不断修订和完善并遵照执行。本公司根据</w:t>
      </w:r>
    </w:p>
    <w:p>
      <w:pPr>
        <w:pStyle w:val="BodyText"/>
        <w:spacing w:line="357" w:lineRule="auto" w:before="32"/>
        <w:ind w:left="140" w:right="213"/>
        <w:jc w:val="both"/>
      </w:pPr>
      <w:r>
        <w:rPr>
          <w:spacing w:val="-2"/>
        </w:rPr>
        <w:t>相关法律、法规和规范性文件，已制定及完善了《公司章程》《股东大会议事规则》《董事会议事</w:t>
      </w:r>
      <w:r>
        <w:rPr>
          <w:spacing w:val="-34"/>
        </w:rPr>
        <w:t> </w:t>
      </w:r>
      <w:r>
        <w:rPr>
          <w:spacing w:val="-34"/>
        </w:rPr>
      </w:r>
      <w:r>
        <w:rPr>
          <w:spacing w:val="-7"/>
        </w:rPr>
        <w:t>规则》《监事会议事规则》《独立董事工作制度》《总经理工作细则》《董事会秘书工作制度》《关</w:t>
      </w:r>
      <w:r>
        <w:rPr>
          <w:spacing w:val="-20"/>
        </w:rPr>
        <w:t> </w:t>
      </w:r>
      <w:r>
        <w:rPr>
          <w:spacing w:val="-20"/>
        </w:rPr>
      </w:r>
      <w:r>
        <w:rPr>
          <w:spacing w:val="-2"/>
        </w:rPr>
        <w:t>联交易制度》《对外担保管理办法》《对外投资管理制度》《投资者关系管理制度》《信息披露制</w:t>
      </w:r>
    </w:p>
    <w:p>
      <w:pPr>
        <w:spacing w:after="0" w:line="357" w:lineRule="auto"/>
        <w:jc w:val="both"/>
        <w:sectPr>
          <w:pgSz w:w="11910" w:h="16840"/>
          <w:pgMar w:header="0" w:footer="1195" w:top="1060" w:bottom="1380" w:left="13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6"/>
        <w:ind w:left="140" w:right="117"/>
        <w:jc w:val="both"/>
      </w:pPr>
      <w:r>
        <w:rPr/>
        <w:t>度》《</w:t>
      </w:r>
      <w:r>
        <w:rPr>
          <w:rFonts w:ascii="宋体" w:hAnsi="宋体" w:cs="宋体" w:eastAsia="宋体" w:hint="default"/>
        </w:rPr>
        <w:t>A</w:t>
      </w:r>
      <w:r>
        <w:rPr>
          <w:rFonts w:ascii="宋体" w:hAnsi="宋体" w:cs="宋体" w:eastAsia="宋体" w:hint="default"/>
          <w:spacing w:val="-8"/>
        </w:rPr>
        <w:t> </w:t>
      </w:r>
      <w:r>
        <w:rPr/>
        <w:t>股募集资金使用与管理办法》《内幕信息知情人登记管理制度》及《年报信息披露重大差</w:t>
      </w:r>
      <w:r>
        <w:rPr>
          <w:w w:val="100"/>
        </w:rPr>
        <w:t> </w:t>
      </w:r>
      <w:r>
        <w:rPr/>
        <w:t>错责任追究制度》等相关制度，为公司的法人治理结构的规范化运行进一步提供了制度保证。该等</w:t>
      </w:r>
      <w:r>
        <w:rPr>
          <w:w w:val="100"/>
        </w:rPr>
        <w:t> </w:t>
      </w:r>
      <w:r>
        <w:rPr/>
        <w:t>制度符合《公司法》《证券法》《上市公司治理准则》等有关上市公司治理的规范性文件的要求。</w:t>
      </w:r>
    </w:p>
    <w:p>
      <w:pPr>
        <w:pStyle w:val="BodyText"/>
        <w:spacing w:line="357" w:lineRule="auto" w:before="32"/>
        <w:ind w:left="706" w:right="117" w:firstLine="2"/>
        <w:jc w:val="left"/>
      </w:pPr>
      <w:r>
        <w:rPr>
          <w:rFonts w:ascii="宋体" w:hAnsi="宋体" w:cs="宋体" w:eastAsia="宋体" w:hint="default"/>
          <w:b/>
          <w:bCs/>
        </w:rPr>
        <w:t>2.</w:t>
      </w:r>
      <w:r>
        <w:rPr>
          <w:rFonts w:ascii="宋体" w:hAnsi="宋体" w:cs="宋体" w:eastAsia="宋体" w:hint="default"/>
          <w:b/>
          <w:bCs/>
        </w:rPr>
        <w:t>股东及股东大会</w:t>
      </w:r>
      <w:r>
        <w:rPr>
          <w:rFonts w:ascii="宋体" w:hAnsi="宋体" w:cs="宋体" w:eastAsia="宋体" w:hint="default"/>
          <w:b/>
          <w:bCs/>
          <w:w w:val="100"/>
        </w:rPr>
        <w:t> </w:t>
      </w:r>
      <w:r>
        <w:rPr/>
        <w:t>股东大会是本公司的最高权力机构，依法行使职权。本公司致力于确保公司所有股东享有平</w:t>
      </w:r>
    </w:p>
    <w:p>
      <w:pPr>
        <w:pStyle w:val="BodyText"/>
        <w:spacing w:line="355" w:lineRule="auto" w:before="30"/>
        <w:ind w:left="140" w:right="117"/>
        <w:jc w:val="left"/>
      </w:pPr>
      <w:r>
        <w:rPr/>
        <w:t>等地位及充分行使自己的权利。为保障股东权益和权利，本公司根据相关法律法规、《公司章程》</w:t>
      </w:r>
      <w:r>
        <w:rPr>
          <w:spacing w:val="-8"/>
        </w:rPr>
        <w:t> </w:t>
      </w:r>
      <w:r>
        <w:rPr>
          <w:spacing w:val="-8"/>
        </w:rPr>
      </w:r>
      <w:r>
        <w:rPr/>
        <w:t>及《上市规则》的有关规定，就各项重大事宜分别提出独立议案提呈股东大会审议。报告期内，本</w:t>
      </w:r>
      <w:r>
        <w:rPr>
          <w:w w:val="100"/>
        </w:rPr>
        <w:t> </w:t>
      </w:r>
      <w:r>
        <w:rPr/>
        <w:t>公司股东大会均按照《公司法》《公司章程》《股东大会议事规则》的规定和要求规范运作。</w:t>
      </w:r>
    </w:p>
    <w:p>
      <w:pPr>
        <w:pStyle w:val="Heading2"/>
        <w:spacing w:line="240" w:lineRule="auto" w:before="33"/>
        <w:ind w:left="709" w:right="117"/>
        <w:jc w:val="left"/>
        <w:rPr>
          <w:b w:val="0"/>
          <w:bCs w:val="0"/>
        </w:rPr>
      </w:pPr>
      <w:r>
        <w:rPr>
          <w:rFonts w:ascii="宋体" w:hAnsi="宋体" w:cs="宋体" w:eastAsia="宋体" w:hint="default"/>
        </w:rPr>
        <w:t>3.</w:t>
      </w:r>
      <w:r>
        <w:rPr/>
        <w:t>董事及董事会</w:t>
      </w:r>
      <w:r>
        <w:rPr>
          <w:b w:val="0"/>
          <w:bCs w:val="0"/>
        </w:rPr>
      </w:r>
    </w:p>
    <w:p>
      <w:pPr>
        <w:pStyle w:val="BodyText"/>
        <w:spacing w:line="240" w:lineRule="auto" w:before="135"/>
        <w:ind w:left="560" w:right="117"/>
        <w:jc w:val="left"/>
      </w:pPr>
      <w:r>
        <w:rPr/>
        <w:t>董事会代表全体股东利益，向股东大会负责。本公司董事会现有董事</w:t>
      </w:r>
      <w:r>
        <w:rPr>
          <w:spacing w:val="-59"/>
        </w:rPr>
        <w:t> </w:t>
      </w:r>
      <w:r>
        <w:rPr>
          <w:rFonts w:ascii="宋体" w:hAnsi="宋体" w:cs="宋体" w:eastAsia="宋体" w:hint="default"/>
        </w:rPr>
        <w:t>9</w:t>
      </w:r>
      <w:r>
        <w:rPr>
          <w:rFonts w:ascii="宋体" w:hAnsi="宋体" w:cs="宋体" w:eastAsia="宋体" w:hint="default"/>
          <w:spacing w:val="-61"/>
        </w:rPr>
        <w:t> </w:t>
      </w:r>
      <w:r>
        <w:rPr/>
        <w:t>人，其中独立非执行董</w:t>
      </w:r>
    </w:p>
    <w:p>
      <w:pPr>
        <w:pStyle w:val="BodyText"/>
        <w:spacing w:line="357" w:lineRule="auto" w:before="133"/>
        <w:ind w:left="140" w:right="211"/>
        <w:jc w:val="both"/>
      </w:pPr>
      <w:r>
        <w:rPr/>
        <w:t>事</w:t>
      </w:r>
      <w:r>
        <w:rPr>
          <w:spacing w:val="-55"/>
        </w:rPr>
        <w:t> </w:t>
      </w:r>
      <w:r>
        <w:rPr>
          <w:rFonts w:ascii="宋体" w:hAnsi="宋体" w:cs="宋体" w:eastAsia="宋体" w:hint="default"/>
        </w:rPr>
        <w:t>3</w:t>
      </w:r>
      <w:r>
        <w:rPr>
          <w:rFonts w:ascii="宋体" w:hAnsi="宋体" w:cs="宋体" w:eastAsia="宋体" w:hint="default"/>
          <w:spacing w:val="-55"/>
        </w:rPr>
        <w:t> </w:t>
      </w:r>
      <w:r>
        <w:rPr/>
        <w:t>人，执行董事</w:t>
      </w:r>
      <w:r>
        <w:rPr>
          <w:spacing w:val="-57"/>
        </w:rPr>
        <w:t> </w:t>
      </w:r>
      <w:r>
        <w:rPr>
          <w:rFonts w:ascii="宋体" w:hAnsi="宋体" w:cs="宋体" w:eastAsia="宋体" w:hint="default"/>
        </w:rPr>
        <w:t>3</w:t>
      </w:r>
      <w:r>
        <w:rPr>
          <w:rFonts w:ascii="宋体" w:hAnsi="宋体" w:cs="宋体" w:eastAsia="宋体" w:hint="default"/>
          <w:spacing w:val="-55"/>
        </w:rPr>
        <w:t> </w:t>
      </w:r>
      <w:r>
        <w:rPr/>
        <w:t>人，非执行董事</w:t>
      </w:r>
      <w:r>
        <w:rPr>
          <w:spacing w:val="-55"/>
        </w:rPr>
        <w:t> </w:t>
      </w:r>
      <w:r>
        <w:rPr>
          <w:rFonts w:ascii="宋体" w:hAnsi="宋体" w:cs="宋体" w:eastAsia="宋体" w:hint="default"/>
        </w:rPr>
        <w:t>3</w:t>
      </w:r>
      <w:r>
        <w:rPr>
          <w:rFonts w:ascii="宋体" w:hAnsi="宋体" w:cs="宋体" w:eastAsia="宋体" w:hint="default"/>
          <w:spacing w:val="-55"/>
        </w:rPr>
        <w:t> </w:t>
      </w:r>
      <w:r>
        <w:rPr/>
        <w:t>人，董事人数及人员构成符合相关法律、法规的要求。报告</w:t>
      </w:r>
      <w:r>
        <w:rPr>
          <w:w w:val="100"/>
        </w:rPr>
        <w:t> </w:t>
      </w:r>
      <w:r>
        <w:rPr>
          <w:spacing w:val="-2"/>
        </w:rPr>
        <w:t>期内，董事会严格依照有关法律、法规和《公司章程》《董事会议事规则》的规定规范运作，共召</w:t>
      </w:r>
      <w:r>
        <w:rPr>
          <w:spacing w:val="-34"/>
        </w:rPr>
        <w:t> </w:t>
      </w:r>
      <w:r>
        <w:rPr>
          <w:spacing w:val="-34"/>
        </w:rPr>
      </w:r>
      <w:r>
        <w:rPr/>
        <w:t>开</w:t>
      </w:r>
      <w:r>
        <w:rPr>
          <w:spacing w:val="-39"/>
        </w:rPr>
        <w:t> </w:t>
      </w:r>
      <w:r>
        <w:rPr>
          <w:rFonts w:ascii="宋体" w:hAnsi="宋体" w:cs="宋体" w:eastAsia="宋体" w:hint="default"/>
        </w:rPr>
        <w:t>10</w:t>
      </w:r>
      <w:r>
        <w:rPr>
          <w:rFonts w:ascii="宋体" w:hAnsi="宋体" w:cs="宋体" w:eastAsia="宋体" w:hint="default"/>
          <w:spacing w:val="-39"/>
        </w:rPr>
        <w:t> </w:t>
      </w:r>
      <w:r>
        <w:rPr/>
        <w:t>次董事会会议，审议包括关联交易、风险管理及内部控制情况、聘任审计师、</w:t>
      </w:r>
      <w:r>
        <w:rPr>
          <w:rFonts w:ascii="宋体" w:hAnsi="宋体" w:cs="宋体" w:eastAsia="宋体" w:hint="default"/>
        </w:rPr>
        <w:t>2017</w:t>
      </w:r>
      <w:r>
        <w:rPr>
          <w:rFonts w:ascii="宋体" w:hAnsi="宋体" w:cs="宋体" w:eastAsia="宋体" w:hint="default"/>
          <w:spacing w:val="-39"/>
        </w:rPr>
        <w:t> </w:t>
      </w:r>
      <w:r>
        <w:rPr/>
        <w:t>年年度、</w:t>
      </w:r>
      <w:r>
        <w:rPr>
          <w:w w:val="100"/>
        </w:rPr>
        <w:t> </w:t>
      </w:r>
      <w:r>
        <w:rPr/>
        <w:t>中期、季度定期报告等议案，并严格履行相关召集程序及信息披露义务。</w:t>
      </w:r>
    </w:p>
    <w:p>
      <w:pPr>
        <w:pStyle w:val="BodyText"/>
        <w:spacing w:line="355" w:lineRule="auto" w:before="30"/>
        <w:ind w:left="706" w:right="117" w:firstLine="2"/>
        <w:jc w:val="left"/>
      </w:pPr>
      <w:r>
        <w:rPr>
          <w:rFonts w:ascii="宋体" w:hAnsi="宋体" w:cs="宋体" w:eastAsia="宋体" w:hint="default"/>
          <w:b/>
          <w:bCs/>
        </w:rPr>
        <w:t>4.</w:t>
      </w:r>
      <w:r>
        <w:rPr>
          <w:rFonts w:ascii="宋体" w:hAnsi="宋体" w:cs="宋体" w:eastAsia="宋体" w:hint="default"/>
          <w:b/>
          <w:bCs/>
        </w:rPr>
        <w:t>监事及监事会</w:t>
      </w:r>
      <w:r>
        <w:rPr>
          <w:rFonts w:ascii="宋体" w:hAnsi="宋体" w:cs="宋体" w:eastAsia="宋体" w:hint="default"/>
          <w:b/>
          <w:bCs/>
          <w:w w:val="100"/>
        </w:rPr>
        <w:t> </w:t>
      </w:r>
      <w:r>
        <w:rPr/>
        <w:t>监事会是本公司的监督机构，对股东大会负责。监事会依法独立行使监督权，保障股东及本</w:t>
      </w:r>
    </w:p>
    <w:p>
      <w:pPr>
        <w:pStyle w:val="BodyText"/>
        <w:spacing w:line="240" w:lineRule="auto" w:before="32"/>
        <w:ind w:left="140" w:right="0"/>
        <w:jc w:val="both"/>
      </w:pPr>
      <w:r>
        <w:rPr/>
        <w:t>公司的合法利益不受侵害。本公司监事会现有监事</w:t>
      </w:r>
      <w:r>
        <w:rPr>
          <w:spacing w:val="-59"/>
        </w:rPr>
        <w:t> </w:t>
      </w:r>
      <w:r>
        <w:rPr>
          <w:rFonts w:ascii="宋体" w:hAnsi="宋体" w:cs="宋体" w:eastAsia="宋体" w:hint="default"/>
        </w:rPr>
        <w:t>6</w:t>
      </w:r>
      <w:r>
        <w:rPr>
          <w:rFonts w:ascii="宋体" w:hAnsi="宋体" w:cs="宋体" w:eastAsia="宋体" w:hint="default"/>
          <w:spacing w:val="-57"/>
        </w:rPr>
        <w:t> </w:t>
      </w:r>
      <w:r>
        <w:rPr/>
        <w:t>人，人数和人员构成符合相关法律和法规的要</w:t>
      </w:r>
    </w:p>
    <w:p>
      <w:pPr>
        <w:pStyle w:val="BodyText"/>
        <w:spacing w:line="357" w:lineRule="auto" w:before="133"/>
        <w:ind w:left="140" w:right="211"/>
        <w:jc w:val="both"/>
      </w:pPr>
      <w:r>
        <w:rPr/>
        <w:t>求。报告期内，监事会依照《公司章程》及《监事会议事规则》履行监督职责，共召开</w:t>
      </w:r>
      <w:r>
        <w:rPr>
          <w:spacing w:val="-58"/>
        </w:rPr>
        <w:t> </w:t>
      </w:r>
      <w:r>
        <w:rPr>
          <w:rFonts w:ascii="宋体" w:hAnsi="宋体" w:cs="宋体" w:eastAsia="宋体" w:hint="default"/>
        </w:rPr>
        <w:t>5</w:t>
      </w:r>
      <w:r>
        <w:rPr>
          <w:rFonts w:ascii="宋体" w:hAnsi="宋体" w:cs="宋体" w:eastAsia="宋体" w:hint="default"/>
          <w:spacing w:val="-60"/>
        </w:rPr>
        <w:t> </w:t>
      </w:r>
      <w:r>
        <w:rPr/>
        <w:t>次监事会</w:t>
      </w:r>
      <w:r>
        <w:rPr>
          <w:w w:val="100"/>
        </w:rPr>
        <w:t> </w:t>
      </w:r>
      <w:r>
        <w:rPr>
          <w:spacing w:val="-2"/>
        </w:rPr>
        <w:t>会议，并通过列席本公司董事会和股东大会会议、与本公司管理层及年度审计师沟通等方式，对本</w:t>
      </w:r>
      <w:r>
        <w:rPr>
          <w:spacing w:val="-30"/>
        </w:rPr>
        <w:t> </w:t>
      </w:r>
      <w:r>
        <w:rPr>
          <w:spacing w:val="-30"/>
        </w:rPr>
      </w:r>
      <w:r>
        <w:rPr>
          <w:spacing w:val="-2"/>
        </w:rPr>
        <w:t>公司的财务、重大决策过程、内控管理以及董事会成员和高级管理人员履职行为的合法、合规性进</w:t>
      </w:r>
      <w:r>
        <w:rPr>
          <w:spacing w:val="-31"/>
        </w:rPr>
        <w:t> </w:t>
      </w:r>
      <w:r>
        <w:rPr>
          <w:spacing w:val="-31"/>
        </w:rPr>
      </w:r>
      <w:r>
        <w:rPr>
          <w:spacing w:val="-2"/>
        </w:rPr>
        <w:t>行了监督。未发现董事和高级管理人员执行职务时违反《公司章程》及其他法律、法规或损害本公</w:t>
      </w:r>
      <w:r>
        <w:rPr>
          <w:spacing w:val="-32"/>
        </w:rPr>
        <w:t> </w:t>
      </w:r>
      <w:r>
        <w:rPr>
          <w:spacing w:val="-32"/>
        </w:rPr>
      </w:r>
      <w:r>
        <w:rPr/>
        <w:t>司利益和侵犯股东权益的行为。</w:t>
      </w:r>
    </w:p>
    <w:p>
      <w:pPr>
        <w:spacing w:line="360" w:lineRule="auto" w:before="30"/>
        <w:ind w:left="706" w:right="117"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信息披露及投资者关系</w:t>
      </w:r>
      <w:r>
        <w:rPr>
          <w:rFonts w:ascii="宋体" w:hAnsi="宋体" w:cs="宋体" w:eastAsia="宋体" w:hint="default"/>
          <w:b/>
          <w:bCs/>
          <w:w w:val="100"/>
          <w:sz w:val="21"/>
          <w:szCs w:val="21"/>
        </w:rPr>
        <w:t> </w:t>
      </w:r>
      <w:r>
        <w:rPr>
          <w:rFonts w:ascii="宋体" w:hAnsi="宋体" w:cs="宋体" w:eastAsia="宋体" w:hint="default"/>
          <w:spacing w:val="-6"/>
          <w:sz w:val="21"/>
          <w:szCs w:val="21"/>
        </w:rPr>
        <w:t>本公司制定了《信息披露制度》《内幕信息知情人登记管理制度》及《投资者关系管理制度》</w:t>
      </w:r>
      <w:r>
        <w:rPr>
          <w:rFonts w:ascii="宋体" w:hAnsi="宋体" w:cs="宋体" w:eastAsia="宋体" w:hint="default"/>
          <w:sz w:val="21"/>
          <w:szCs w:val="21"/>
        </w:rPr>
      </w:r>
    </w:p>
    <w:p>
      <w:pPr>
        <w:pStyle w:val="BodyText"/>
        <w:spacing w:line="357" w:lineRule="auto" w:before="28"/>
        <w:ind w:left="140" w:right="211"/>
        <w:jc w:val="both"/>
      </w:pPr>
      <w:r>
        <w:rPr>
          <w:spacing w:val="-2"/>
        </w:rPr>
        <w:t>等，用以规范本公司信息披露行为，加强与投资者之间的信息沟通。报告期内，根据股份上市地的</w:t>
      </w:r>
      <w:r>
        <w:rPr>
          <w:spacing w:val="-35"/>
        </w:rPr>
        <w:t> </w:t>
      </w:r>
      <w:r>
        <w:rPr>
          <w:spacing w:val="-35"/>
        </w:rPr>
      </w:r>
      <w:r>
        <w:rPr>
          <w:spacing w:val="-2"/>
        </w:rPr>
        <w:t>监管规定，本公司按照合规、透明、充分和持续的原则，履行信息披露义务及责任，确保股东及投</w:t>
      </w:r>
      <w:r>
        <w:rPr>
          <w:spacing w:val="-34"/>
        </w:rPr>
        <w:t> </w:t>
      </w:r>
      <w:r>
        <w:rPr>
          <w:spacing w:val="-34"/>
        </w:rPr>
      </w:r>
      <w:r>
        <w:rPr>
          <w:spacing w:val="-2"/>
        </w:rPr>
        <w:t>资者能够及时和完整地了解本公司信息。同时，本公司一直坚持与股东及投资者保持良好和有效的</w:t>
      </w:r>
      <w:r>
        <w:rPr>
          <w:spacing w:val="-30"/>
        </w:rPr>
        <w:t> </w:t>
      </w:r>
      <w:r>
        <w:rPr>
          <w:spacing w:val="-30"/>
        </w:rPr>
      </w:r>
      <w:r>
        <w:rPr>
          <w:spacing w:val="-2"/>
        </w:rPr>
        <w:t>双向沟通，为投资者提供了多渠道、多层次的沟通方式，使境内外投资者能够及时和充分地了解本</w:t>
      </w:r>
      <w:r>
        <w:rPr>
          <w:spacing w:val="-31"/>
        </w:rPr>
        <w:t> </w:t>
      </w:r>
      <w:r>
        <w:rPr>
          <w:spacing w:val="-31"/>
        </w:rPr>
      </w:r>
      <w:r>
        <w:rPr/>
        <w:t>公司的运营和发展状况。</w:t>
      </w:r>
    </w:p>
    <w:p>
      <w:pPr>
        <w:spacing w:line="355" w:lineRule="auto" w:before="30"/>
        <w:ind w:left="560" w:right="117" w:firstLine="148"/>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1"/>
          <w:sz w:val="21"/>
          <w:szCs w:val="21"/>
        </w:rPr>
        <w:t> </w:t>
      </w:r>
      <w:r>
        <w:rPr>
          <w:rFonts w:ascii="宋体" w:hAnsi="宋体" w:cs="宋体" w:eastAsia="宋体" w:hint="default"/>
          <w:b/>
          <w:bCs/>
          <w:sz w:val="21"/>
          <w:szCs w:val="21"/>
        </w:rPr>
        <w:t>风险管理及内部控制</w:t>
      </w:r>
      <w:r>
        <w:rPr>
          <w:rFonts w:ascii="宋体" w:hAnsi="宋体" w:cs="宋体" w:eastAsia="宋体" w:hint="default"/>
          <w:b/>
          <w:bCs/>
          <w:w w:val="100"/>
          <w:sz w:val="21"/>
          <w:szCs w:val="21"/>
        </w:rPr>
        <w:t> </w:t>
      </w:r>
      <w:r>
        <w:rPr>
          <w:rFonts w:ascii="宋体" w:hAnsi="宋体" w:cs="宋体" w:eastAsia="宋体" w:hint="default"/>
          <w:spacing w:val="-2"/>
          <w:sz w:val="21"/>
          <w:szCs w:val="21"/>
        </w:rPr>
        <w:t>董事会负责风险管理及内部监控机制的建立健全、评估其有效性，并通过审计委员会对本公司</w:t>
      </w:r>
      <w:r>
        <w:rPr>
          <w:rFonts w:ascii="宋体" w:hAnsi="宋体" w:cs="宋体" w:eastAsia="宋体" w:hint="default"/>
          <w:sz w:val="21"/>
          <w:szCs w:val="21"/>
        </w:rPr>
      </w:r>
    </w:p>
    <w:p>
      <w:pPr>
        <w:pStyle w:val="BodyText"/>
        <w:spacing w:line="240" w:lineRule="auto" w:before="32"/>
        <w:ind w:left="140" w:right="0"/>
        <w:jc w:val="both"/>
      </w:pPr>
      <w:r>
        <w:rPr/>
        <w:t>风险管理及内部监控效能进行持续检讨。管理层组织企业风险管理及内部监控的日常运行并对董事</w:t>
      </w:r>
    </w:p>
    <w:p>
      <w:pPr>
        <w:spacing w:after="0" w:line="240" w:lineRule="auto"/>
        <w:jc w:val="both"/>
        <w:sectPr>
          <w:footerReference w:type="default" r:id="rId27"/>
          <w:pgSz w:w="11910" w:h="16840"/>
          <w:pgMar w:footer="1195" w:header="0" w:top="1060" w:bottom="1380" w:left="13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6"/>
        <w:ind w:right="211"/>
        <w:jc w:val="both"/>
      </w:pPr>
      <w:r>
        <w:rPr>
          <w:spacing w:val="-2"/>
        </w:rPr>
        <w:t>会负责。公司成立了内部控制工作领导小组及内部控制（联合）工作组全面指导和组织实施公司风</w:t>
      </w:r>
      <w:r>
        <w:rPr>
          <w:spacing w:val="-33"/>
        </w:rPr>
        <w:t> </w:t>
      </w:r>
      <w:r>
        <w:rPr>
          <w:spacing w:val="-33"/>
        </w:rPr>
      </w:r>
      <w:r>
        <w:rPr>
          <w:spacing w:val="-2"/>
        </w:rPr>
        <w:t>险管理和内控工作。公司设立了内部审核部门——审计部对经济事项进行审计监督。报告期内，董</w:t>
      </w:r>
      <w:r>
        <w:rPr>
          <w:spacing w:val="-31"/>
        </w:rPr>
        <w:t> </w:t>
      </w:r>
      <w:r>
        <w:rPr>
          <w:spacing w:val="-31"/>
        </w:rPr>
      </w:r>
      <w:r>
        <w:rPr>
          <w:spacing w:val="-2"/>
        </w:rPr>
        <w:t>事会已检讨了公司内部监控及风险管理系统的建立和运行情况，认为本公司内部监控并无重大监控</w:t>
      </w:r>
      <w:r>
        <w:rPr>
          <w:spacing w:val="-30"/>
        </w:rPr>
        <w:t> </w:t>
      </w:r>
      <w:r>
        <w:rPr>
          <w:spacing w:val="-30"/>
        </w:rPr>
      </w:r>
      <w:r>
        <w:rPr/>
        <w:t>失误，风险管理系统有效。</w:t>
      </w:r>
    </w:p>
    <w:p>
      <w:pPr>
        <w:spacing w:line="240" w:lineRule="auto" w:before="5"/>
        <w:rPr>
          <w:rFonts w:ascii="宋体" w:hAnsi="宋体" w:cs="宋体" w:eastAsia="宋体" w:hint="default"/>
          <w:sz w:val="23"/>
          <w:szCs w:val="23"/>
        </w:rPr>
      </w:pPr>
    </w:p>
    <w:p>
      <w:pPr>
        <w:pStyle w:val="BodyText"/>
        <w:spacing w:line="274" w:lineRule="exact"/>
        <w:ind w:right="0"/>
        <w:jc w:val="both"/>
      </w:pPr>
      <w:r>
        <w:rPr/>
        <w:t>公司治理与中国证监会相关规定的要求是否存在重大差异；如有重大差异，应当说明原因</w:t>
      </w:r>
    </w:p>
    <w:p>
      <w:pPr>
        <w:spacing w:line="528" w:lineRule="auto" w:before="0"/>
        <w:ind w:left="220" w:right="7118" w:firstLine="0"/>
        <w:jc w:val="left"/>
        <w:rPr>
          <w:rFonts w:ascii="宋体" w:hAnsi="宋体" w:cs="宋体" w:eastAsia="宋体" w:hint="default"/>
          <w:sz w:val="21"/>
          <w:szCs w:val="21"/>
        </w:rPr>
      </w:pPr>
      <w:r>
        <w:rPr/>
        <w:pict>
          <v:shape style="position:absolute;margin-left:66.384003pt;margin-top:48.533672pt;width:462.95pt;height:42.4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1"/>
                    <w:gridCol w:w="2002"/>
                    <w:gridCol w:w="2458"/>
                    <w:gridCol w:w="2213"/>
                  </w:tblGrid>
                  <w:tr>
                    <w:trPr>
                      <w:trHeight w:val="5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3"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年度股东周年大会</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p>
      <w:pPr>
        <w:pStyle w:val="BodyText"/>
        <w:spacing w:line="274" w:lineRule="exact" w:before="36"/>
        <w:ind w:right="205"/>
        <w:jc w:val="left"/>
      </w:pPr>
      <w:r>
        <w:rPr/>
        <w:t>股东大会情况说明</w:t>
      </w:r>
    </w:p>
    <w:p>
      <w:pPr>
        <w:pStyle w:val="BodyText"/>
        <w:spacing w:line="274" w:lineRule="exact"/>
        <w:ind w:right="20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t>三、董事履行职责情况</w:t>
      </w:r>
      <w:r>
        <w:rPr>
          <w:b w:val="0"/>
          <w:bCs w:val="0"/>
        </w:rPr>
      </w:r>
    </w:p>
    <w:p>
      <w:pPr>
        <w:pStyle w:val="Heading2"/>
        <w:spacing w:line="240" w:lineRule="auto" w:before="56"/>
        <w:ind w:right="20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1001"/>
        <w:gridCol w:w="862"/>
        <w:gridCol w:w="1126"/>
        <w:gridCol w:w="871"/>
        <w:gridCol w:w="989"/>
        <w:gridCol w:w="924"/>
        <w:gridCol w:w="862"/>
        <w:gridCol w:w="1321"/>
        <w:gridCol w:w="1289"/>
      </w:tblGrid>
      <w:tr>
        <w:trPr>
          <w:trHeight w:val="572" w:hRule="exact"/>
        </w:trPr>
        <w:tc>
          <w:tcPr>
            <w:tcW w:w="10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85" w:right="28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10" w:right="107"/>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60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参加股东大</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会情况</w:t>
            </w:r>
          </w:p>
        </w:tc>
      </w:tr>
      <w:tr>
        <w:trPr>
          <w:trHeight w:val="826" w:hRule="exact"/>
        </w:trPr>
        <w:tc>
          <w:tcPr>
            <w:tcW w:w="1001"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45" w:right="135"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15" w:right="110"/>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70" w:right="173"/>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1" w:right="137"/>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6" w:right="211"/>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38" w:right="125"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8" w:right="110" w:hanging="106"/>
              <w:jc w:val="left"/>
              <w:rPr>
                <w:rFonts w:ascii="宋体" w:hAnsi="宋体" w:cs="宋体" w:eastAsia="宋体" w:hint="default"/>
                <w:sz w:val="21"/>
                <w:szCs w:val="21"/>
              </w:rPr>
            </w:pPr>
            <w:r>
              <w:rPr>
                <w:rFonts w:ascii="宋体" w:hAnsi="宋体" w:cs="宋体" w:eastAsia="宋体" w:hint="default"/>
                <w:sz w:val="21"/>
                <w:szCs w:val="21"/>
              </w:rPr>
              <w:t>出席股东大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会的次数</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何志勇</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陈云华</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杨杪</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罗军</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韩小明</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陈育棠</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肖莉萍</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4"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方炳希</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z w:val="21"/>
              </w:rPr>
              <w:t>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1</w:t>
            </w:r>
          </w:p>
        </w:tc>
      </w:tr>
    </w:tbl>
    <w:p>
      <w:pPr>
        <w:spacing w:line="240" w:lineRule="auto" w:before="7"/>
        <w:rPr>
          <w:rFonts w:ascii="宋体" w:hAnsi="宋体" w:cs="宋体" w:eastAsia="宋体" w:hint="default"/>
          <w:b/>
          <w:bCs/>
          <w:sz w:val="15"/>
          <w:szCs w:val="15"/>
        </w:rPr>
      </w:pPr>
    </w:p>
    <w:p>
      <w:pPr>
        <w:pStyle w:val="BodyText"/>
        <w:spacing w:line="273" w:lineRule="exact" w:before="36"/>
        <w:ind w:right="205"/>
        <w:jc w:val="left"/>
      </w:pPr>
      <w:r>
        <w:rPr/>
        <w:t>连续两次未亲自出席董事会会议的说明</w:t>
      </w:r>
    </w:p>
    <w:p>
      <w:pPr>
        <w:pStyle w:val="BodyText"/>
        <w:spacing w:line="272" w:lineRule="exact"/>
        <w:ind w:right="205"/>
        <w:jc w:val="left"/>
      </w:pPr>
      <w:r>
        <w:rPr/>
        <w:t>√适用 □不适用</w:t>
      </w:r>
    </w:p>
    <w:p>
      <w:pPr>
        <w:pStyle w:val="BodyText"/>
        <w:spacing w:line="355" w:lineRule="auto"/>
        <w:ind w:right="205" w:firstLine="424"/>
        <w:jc w:val="left"/>
      </w:pPr>
      <w:r>
        <w:rPr/>
        <w:t>于</w:t>
      </w:r>
      <w:r>
        <w:rPr>
          <w:spacing w:val="-56"/>
        </w:rPr>
        <w:t> </w:t>
      </w:r>
      <w:r>
        <w:rPr>
          <w:rFonts w:ascii="宋体" w:hAnsi="宋体" w:cs="宋体" w:eastAsia="宋体" w:hint="default"/>
        </w:rPr>
        <w:t>2018</w:t>
      </w:r>
      <w:r>
        <w:rPr>
          <w:rFonts w:ascii="宋体" w:hAnsi="宋体" w:cs="宋体" w:eastAsia="宋体" w:hint="default"/>
          <w:spacing w:val="-56"/>
        </w:rPr>
        <w:t> </w:t>
      </w:r>
      <w:r>
        <w:rPr/>
        <w:t>年</w:t>
      </w:r>
      <w:r>
        <w:rPr>
          <w:spacing w:val="-58"/>
        </w:rPr>
        <w:t> </w:t>
      </w:r>
      <w:r>
        <w:rPr>
          <w:rFonts w:ascii="宋体" w:hAnsi="宋体" w:cs="宋体" w:eastAsia="宋体" w:hint="default"/>
        </w:rPr>
        <w:t>8</w:t>
      </w:r>
      <w:r>
        <w:rPr>
          <w:rFonts w:ascii="宋体" w:hAnsi="宋体" w:cs="宋体" w:eastAsia="宋体" w:hint="default"/>
          <w:spacing w:val="-56"/>
        </w:rPr>
        <w:t> </w:t>
      </w:r>
      <w:r>
        <w:rPr/>
        <w:t>月至</w:t>
      </w:r>
      <w:r>
        <w:rPr>
          <w:spacing w:val="-56"/>
        </w:rPr>
        <w:t> </w:t>
      </w:r>
      <w:r>
        <w:rPr>
          <w:rFonts w:ascii="宋体" w:hAnsi="宋体" w:cs="宋体" w:eastAsia="宋体" w:hint="default"/>
        </w:rPr>
        <w:t>10</w:t>
      </w:r>
      <w:r>
        <w:rPr>
          <w:rFonts w:ascii="宋体" w:hAnsi="宋体" w:cs="宋体" w:eastAsia="宋体" w:hint="default"/>
          <w:spacing w:val="-58"/>
        </w:rPr>
        <w:t> </w:t>
      </w:r>
      <w:r>
        <w:rPr/>
        <w:t>月期间，杨杪先生因其他公务连续两次未能亲自参加董事会会议，均已授</w:t>
      </w:r>
      <w:r>
        <w:rPr>
          <w:spacing w:val="-3"/>
          <w:w w:val="100"/>
        </w:rPr>
        <w:t> </w:t>
      </w:r>
      <w:r>
        <w:rPr/>
        <w:t>权其他董事代为表决（受托人按本人书面授权委托书的授权内容履行表决）。</w:t>
      </w:r>
    </w:p>
    <w:p>
      <w:pPr>
        <w:spacing w:line="240" w:lineRule="auto" w:before="13"/>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bl>
    <w:p>
      <w:pPr>
        <w:spacing w:after="0" w:line="241" w:lineRule="exact"/>
        <w:jc w:val="right"/>
        <w:rPr>
          <w:rFonts w:ascii="宋体" w:hAnsi="宋体" w:cs="宋体" w:eastAsia="宋体" w:hint="default"/>
          <w:sz w:val="21"/>
          <w:szCs w:val="21"/>
        </w:rPr>
        <w:sectPr>
          <w:footerReference w:type="default" r:id="rId28"/>
          <w:pgSz w:w="11910" w:h="16840"/>
          <w:pgMar w:footer="1195" w:header="0" w:top="1060" w:bottom="1380" w:left="1220" w:right="1220"/>
          <w:pgNumType w:start="61"/>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spacing w:line="240" w:lineRule="auto" w:before="36"/>
        <w:ind w:left="140" w:right="10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left="140" w:right="106"/>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140" w:right="10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982" w:val="left" w:leader="none"/>
        </w:tabs>
        <w:spacing w:line="240" w:lineRule="auto" w:before="29"/>
        <w:ind w:left="140" w:right="106"/>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565" w:right="106" w:hanging="425"/>
        <w:jc w:val="left"/>
        <w:rPr>
          <w:b w:val="0"/>
          <w:bCs w:val="0"/>
        </w:rPr>
      </w:pPr>
      <w:r>
        <w:rPr>
          <w:spacing w:val="-2"/>
        </w:rPr>
        <w:t>四、董事会下设专门委员会在报告期内履行职责时所提出的重要意见和建议，存在异议事项的，应</w:t>
      </w:r>
      <w:r>
        <w:rPr>
          <w:spacing w:val="-64"/>
        </w:rPr>
        <w:t> </w:t>
      </w:r>
      <w:r>
        <w:rPr>
          <w:spacing w:val="-64"/>
        </w:rPr>
      </w:r>
      <w:r>
        <w:rPr/>
        <w:t>当披露具体情况</w:t>
      </w:r>
      <w:r>
        <w:rPr>
          <w:b w:val="0"/>
          <w:bCs w:val="0"/>
        </w:rPr>
      </w:r>
    </w:p>
    <w:p>
      <w:pPr>
        <w:pStyle w:val="BodyText"/>
        <w:tabs>
          <w:tab w:pos="982" w:val="left" w:leader="none"/>
        </w:tabs>
        <w:spacing w:line="240" w:lineRule="auto" w:before="56"/>
        <w:ind w:left="565" w:right="117" w:hanging="425"/>
        <w:jc w:val="left"/>
      </w:pPr>
      <w:r>
        <w:rPr/>
        <w:t>√适用</w:t>
        <w:tab/>
        <w:t>□不适用</w:t>
      </w:r>
      <w:r>
        <w:rPr>
          <w:w w:val="100"/>
        </w:rPr>
        <w:t> </w:t>
      </w:r>
      <w:r>
        <w:rPr>
          <w:spacing w:val="-2"/>
        </w:rPr>
        <w:t>报告期内，本公司的战略与投资委员会、审计委员会、薪酬与考核委员会及提名委员会按照各</w:t>
      </w:r>
    </w:p>
    <w:p>
      <w:pPr>
        <w:pStyle w:val="BodyText"/>
        <w:spacing w:line="355" w:lineRule="auto" w:before="133"/>
        <w:ind w:left="140" w:right="111"/>
        <w:jc w:val="both"/>
      </w:pPr>
      <w:r>
        <w:rPr/>
        <w:t>自的工作条例认真履职，并向董事会提供专业意见，共召开了</w:t>
      </w:r>
      <w:r>
        <w:rPr>
          <w:spacing w:val="-55"/>
        </w:rPr>
        <w:t> </w:t>
      </w:r>
      <w:r>
        <w:rPr>
          <w:rFonts w:ascii="宋体" w:hAnsi="宋体" w:cs="宋体" w:eastAsia="宋体" w:hint="default"/>
        </w:rPr>
        <w:t>7</w:t>
      </w:r>
      <w:r>
        <w:rPr>
          <w:rFonts w:ascii="宋体" w:hAnsi="宋体" w:cs="宋体" w:eastAsia="宋体" w:hint="default"/>
          <w:spacing w:val="-55"/>
        </w:rPr>
        <w:t> </w:t>
      </w:r>
      <w:r>
        <w:rPr/>
        <w:t>次审计委员会、</w:t>
      </w:r>
      <w:r>
        <w:rPr>
          <w:rFonts w:ascii="宋体" w:hAnsi="宋体" w:cs="宋体" w:eastAsia="宋体" w:hint="default"/>
        </w:rPr>
        <w:t>2</w:t>
      </w:r>
      <w:r>
        <w:rPr>
          <w:rFonts w:ascii="宋体" w:hAnsi="宋体" w:cs="宋体" w:eastAsia="宋体" w:hint="default"/>
          <w:spacing w:val="-55"/>
        </w:rPr>
        <w:t> </w:t>
      </w:r>
      <w:r>
        <w:rPr/>
        <w:t>次薪酬与考核委</w:t>
      </w:r>
      <w:r>
        <w:rPr>
          <w:w w:val="100"/>
        </w:rPr>
        <w:t> </w:t>
      </w:r>
      <w:r>
        <w:rPr/>
        <w:t>员会及</w:t>
      </w:r>
      <w:r>
        <w:rPr>
          <w:spacing w:val="-59"/>
        </w:rPr>
        <w:t> </w:t>
      </w:r>
      <w:r>
        <w:rPr>
          <w:rFonts w:ascii="宋体" w:hAnsi="宋体" w:cs="宋体" w:eastAsia="宋体" w:hint="default"/>
        </w:rPr>
        <w:t>1</w:t>
      </w:r>
      <w:r>
        <w:rPr>
          <w:rFonts w:ascii="宋体" w:hAnsi="宋体" w:cs="宋体" w:eastAsia="宋体" w:hint="default"/>
          <w:spacing w:val="-59"/>
        </w:rPr>
        <w:t> </w:t>
      </w:r>
      <w:r>
        <w:rPr/>
        <w:t>次战略与投资委员会会议，审议了公司投资管理制度、财务报告、持续关联交易、内部控</w:t>
      </w:r>
      <w:r>
        <w:rPr>
          <w:w w:val="100"/>
        </w:rPr>
        <w:t> </w:t>
      </w:r>
      <w:r>
        <w:rPr>
          <w:spacing w:val="-2"/>
        </w:rPr>
        <w:t>制、风险管理、高管考核等议案，并将审议意见及建议呈递董事会，为董事会作出决策发挥了积极</w:t>
      </w:r>
      <w:r>
        <w:rPr>
          <w:spacing w:val="-34"/>
        </w:rPr>
        <w:t> </w:t>
      </w:r>
      <w:r>
        <w:rPr>
          <w:spacing w:val="-34"/>
        </w:rPr>
      </w:r>
      <w:r>
        <w:rPr/>
        <w:t>作用。报告期内，董事会各专业委员会对审议事项均表示赞成，未提出异议。</w:t>
      </w:r>
    </w:p>
    <w:p>
      <w:pPr>
        <w:spacing w:line="240" w:lineRule="auto" w:before="13"/>
        <w:rPr>
          <w:rFonts w:ascii="宋体" w:hAnsi="宋体" w:cs="宋体" w:eastAsia="宋体" w:hint="default"/>
          <w:sz w:val="27"/>
          <w:szCs w:val="27"/>
        </w:rPr>
      </w:pPr>
    </w:p>
    <w:p>
      <w:pPr>
        <w:pStyle w:val="Heading2"/>
        <w:spacing w:line="240" w:lineRule="auto"/>
        <w:ind w:left="140" w:right="106"/>
        <w:jc w:val="left"/>
        <w:rPr>
          <w:b w:val="0"/>
          <w:bCs w:val="0"/>
        </w:rPr>
      </w:pPr>
      <w:r>
        <w:rPr/>
        <w:t>五、监事会发现公司存在风险的说明</w:t>
      </w:r>
      <w:r>
        <w:rPr>
          <w:b w:val="0"/>
          <w:bCs w:val="0"/>
        </w:rPr>
      </w:r>
    </w:p>
    <w:p>
      <w:pPr>
        <w:pStyle w:val="BodyText"/>
        <w:spacing w:line="240" w:lineRule="auto" w:before="58"/>
        <w:ind w:left="140" w:right="106"/>
        <w:jc w:val="left"/>
      </w:pPr>
      <w:r>
        <w:rPr/>
        <w:t>□适用 √不适用</w:t>
      </w:r>
    </w:p>
    <w:p>
      <w:pPr>
        <w:spacing w:line="240" w:lineRule="auto" w:before="1"/>
        <w:rPr>
          <w:rFonts w:ascii="宋体" w:hAnsi="宋体" w:cs="宋体" w:eastAsia="宋体" w:hint="default"/>
          <w:sz w:val="25"/>
          <w:szCs w:val="25"/>
        </w:rPr>
      </w:pPr>
    </w:p>
    <w:p>
      <w:pPr>
        <w:pStyle w:val="Heading2"/>
        <w:spacing w:line="240" w:lineRule="auto"/>
        <w:ind w:left="565" w:right="106" w:hanging="425"/>
        <w:jc w:val="left"/>
        <w:rPr>
          <w:b w:val="0"/>
          <w:bCs w:val="0"/>
        </w:rPr>
      </w:pPr>
      <w:r>
        <w:rPr>
          <w:spacing w:val="-2"/>
        </w:rPr>
        <w:t>六、公司就其与控股股东在业务、人员、资产、机构、财务等方面存在的不能保证独立性、不能保</w:t>
      </w:r>
      <w:r>
        <w:rPr>
          <w:spacing w:val="-64"/>
        </w:rPr>
        <w:t> </w:t>
      </w:r>
      <w:r>
        <w:rPr>
          <w:spacing w:val="-64"/>
        </w:rPr>
      </w:r>
      <w:r>
        <w:rPr/>
        <w:t>持自主经营能力的情况说明</w:t>
      </w:r>
      <w:r>
        <w:rPr>
          <w:b w:val="0"/>
          <w:bCs w:val="0"/>
        </w:rPr>
      </w:r>
    </w:p>
    <w:p>
      <w:pPr>
        <w:pStyle w:val="BodyText"/>
        <w:tabs>
          <w:tab w:pos="982" w:val="left" w:leader="none"/>
        </w:tabs>
        <w:spacing w:line="240" w:lineRule="auto" w:before="56"/>
        <w:ind w:left="565" w:right="117" w:hanging="425"/>
        <w:jc w:val="left"/>
      </w:pPr>
      <w:r>
        <w:rPr/>
        <w:t>□适用</w:t>
        <w:tab/>
        <w:t>√不适用</w:t>
      </w:r>
      <w:r>
        <w:rPr>
          <w:w w:val="100"/>
        </w:rPr>
        <w:t> </w:t>
      </w:r>
      <w:r>
        <w:rPr>
          <w:spacing w:val="-2"/>
        </w:rPr>
        <w:t>本公司控股股东为四川新华发行集团有限公司。本公司独立于控股股东经营业务，在人员、机</w:t>
      </w:r>
    </w:p>
    <w:p>
      <w:pPr>
        <w:pStyle w:val="BodyText"/>
        <w:spacing w:line="355" w:lineRule="auto" w:before="133"/>
        <w:ind w:left="140" w:right="106"/>
        <w:jc w:val="left"/>
      </w:pPr>
      <w:r>
        <w:rPr>
          <w:spacing w:val="-2"/>
        </w:rPr>
        <w:t>构、资产和业务上完全分离。控股股东行为规范，未发生超越股东大会直接或间接干预本公司经营</w:t>
      </w:r>
      <w:r>
        <w:rPr>
          <w:spacing w:val="-33"/>
        </w:rPr>
        <w:t> </w:t>
      </w:r>
      <w:r>
        <w:rPr>
          <w:spacing w:val="-33"/>
        </w:rPr>
      </w:r>
      <w:r>
        <w:rPr/>
        <w:t>和决策的行为。</w:t>
      </w:r>
    </w:p>
    <w:p>
      <w:pPr>
        <w:spacing w:line="240" w:lineRule="auto" w:before="5"/>
        <w:rPr>
          <w:rFonts w:ascii="宋体" w:hAnsi="宋体" w:cs="宋体" w:eastAsia="宋体" w:hint="default"/>
          <w:sz w:val="23"/>
          <w:szCs w:val="23"/>
        </w:rPr>
      </w:pPr>
    </w:p>
    <w:p>
      <w:pPr>
        <w:pStyle w:val="BodyText"/>
        <w:spacing w:line="274" w:lineRule="exact"/>
        <w:ind w:left="140" w:right="106"/>
        <w:jc w:val="left"/>
      </w:pPr>
      <w:r>
        <w:rPr/>
        <w:t>存在同业竞争的，公司相应的解决措施、工作进度及后续工作计划</w:t>
      </w:r>
    </w:p>
    <w:p>
      <w:pPr>
        <w:pStyle w:val="BodyText"/>
        <w:tabs>
          <w:tab w:pos="982" w:val="left" w:leader="none"/>
        </w:tabs>
        <w:spacing w:line="274" w:lineRule="exact"/>
        <w:ind w:left="140" w:right="106"/>
        <w:jc w:val="left"/>
      </w:pPr>
      <w:r>
        <w:rPr/>
        <w:t>□适用</w:t>
        <w:tab/>
        <w:t>√不适用</w:t>
      </w:r>
    </w:p>
    <w:p>
      <w:pPr>
        <w:spacing w:line="240" w:lineRule="auto" w:before="1"/>
        <w:rPr>
          <w:rFonts w:ascii="宋体" w:hAnsi="宋体" w:cs="宋体" w:eastAsia="宋体" w:hint="default"/>
          <w:sz w:val="25"/>
          <w:szCs w:val="25"/>
        </w:rPr>
      </w:pPr>
    </w:p>
    <w:p>
      <w:pPr>
        <w:pStyle w:val="Heading2"/>
        <w:spacing w:line="240" w:lineRule="auto"/>
        <w:ind w:left="140" w:right="106"/>
        <w:jc w:val="left"/>
        <w:rPr>
          <w:b w:val="0"/>
          <w:bCs w:val="0"/>
        </w:rPr>
      </w:pPr>
      <w:r>
        <w:rPr/>
        <w:t>七、报告期内对高级管理人员的考评机制，以及激励机制的建立、实施情况</w:t>
      </w:r>
      <w:r>
        <w:rPr>
          <w:b w:val="0"/>
          <w:bCs w:val="0"/>
        </w:rPr>
      </w:r>
    </w:p>
    <w:p>
      <w:pPr>
        <w:pStyle w:val="BodyText"/>
        <w:tabs>
          <w:tab w:pos="1085" w:val="left" w:leader="none"/>
        </w:tabs>
        <w:spacing w:line="272" w:lineRule="exact" w:before="86"/>
        <w:ind w:left="565" w:right="117" w:hanging="425"/>
        <w:jc w:val="left"/>
      </w:pPr>
      <w:r>
        <w:rPr/>
        <w:t>√适用</w:t>
        <w:tab/>
        <w:t>□不适用</w:t>
      </w:r>
      <w:r>
        <w:rPr>
          <w:w w:val="100"/>
        </w:rPr>
        <w:t> </w:t>
      </w:r>
      <w:r>
        <w:rPr>
          <w:spacing w:val="-2"/>
        </w:rPr>
        <w:t>公司建立并实施了与公司目标业绩及个人表现挂钩的绩效考评办法和激励机制，制定了《公司</w:t>
      </w:r>
    </w:p>
    <w:p>
      <w:pPr>
        <w:pStyle w:val="BodyText"/>
        <w:spacing w:line="355" w:lineRule="auto" w:before="110"/>
        <w:ind w:left="140" w:right="106"/>
        <w:jc w:val="left"/>
      </w:pPr>
      <w:r>
        <w:rPr>
          <w:spacing w:val="-2"/>
        </w:rPr>
        <w:t>经营管理团队薪酬管理办法》及《公司经营管理团队绩效考核管理办法》。于每年年度终了，由薪</w:t>
      </w:r>
      <w:r>
        <w:rPr>
          <w:spacing w:val="-31"/>
        </w:rPr>
        <w:t> </w:t>
      </w:r>
      <w:r>
        <w:rPr>
          <w:spacing w:val="-31"/>
        </w:rPr>
      </w:r>
      <w:r>
        <w:rPr/>
        <w:t>酬与考核委员会按照相关制度及标准对公司高级管理人员进行逐一考核评定，并确定其报酬。</w:t>
      </w:r>
    </w:p>
    <w:p>
      <w:pPr>
        <w:spacing w:line="240" w:lineRule="auto" w:before="13"/>
        <w:rPr>
          <w:rFonts w:ascii="宋体" w:hAnsi="宋体" w:cs="宋体" w:eastAsia="宋体" w:hint="default"/>
          <w:sz w:val="27"/>
          <w:szCs w:val="27"/>
        </w:rPr>
      </w:pPr>
    </w:p>
    <w:p>
      <w:pPr>
        <w:pStyle w:val="Heading2"/>
        <w:spacing w:line="240" w:lineRule="auto"/>
        <w:ind w:left="140" w:right="106"/>
        <w:jc w:val="left"/>
        <w:rPr>
          <w:b w:val="0"/>
          <w:bCs w:val="0"/>
        </w:rPr>
      </w:pPr>
      <w:r>
        <w:rPr/>
        <w:t>八、是否披露内部控制自我评价报告</w:t>
      </w:r>
      <w:r>
        <w:rPr>
          <w:b w:val="0"/>
          <w:bCs w:val="0"/>
        </w:rPr>
      </w:r>
    </w:p>
    <w:p>
      <w:pPr>
        <w:pStyle w:val="BodyText"/>
        <w:spacing w:line="274" w:lineRule="exact" w:before="56"/>
        <w:ind w:left="140" w:right="106"/>
        <w:jc w:val="left"/>
      </w:pPr>
      <w:r>
        <w:rPr/>
        <w:t>√适用 □不适用</w:t>
      </w:r>
    </w:p>
    <w:p>
      <w:pPr>
        <w:pStyle w:val="BodyText"/>
        <w:spacing w:line="357" w:lineRule="auto"/>
        <w:ind w:left="140" w:right="106" w:firstLine="424"/>
        <w:jc w:val="left"/>
      </w:pPr>
      <w:r>
        <w:rPr>
          <w:spacing w:val="-1"/>
        </w:rPr>
        <w:t>本公司《</w:t>
      </w:r>
      <w:r>
        <w:rPr>
          <w:rFonts w:ascii="宋体" w:hAnsi="宋体" w:cs="宋体" w:eastAsia="宋体" w:hint="default"/>
          <w:spacing w:val="-1"/>
        </w:rPr>
        <w:t>2018</w:t>
      </w:r>
      <w:r>
        <w:rPr>
          <w:rFonts w:ascii="宋体" w:hAnsi="宋体" w:cs="宋体" w:eastAsia="宋体" w:hint="default"/>
          <w:spacing w:val="-5"/>
        </w:rPr>
        <w:t> </w:t>
      </w:r>
      <w:r>
        <w:rPr>
          <w:spacing w:val="-2"/>
        </w:rPr>
        <w:t>年度内部控制评价报告》已与本年度报告同日披露，详见上海证券交易所网站</w:t>
      </w:r>
      <w:r>
        <w:rPr>
          <w:w w:val="100"/>
        </w:rPr>
        <w:t> </w:t>
      </w:r>
      <w:r>
        <w:rPr>
          <w:rFonts w:ascii="宋体" w:hAnsi="宋体" w:cs="宋体" w:eastAsia="宋体" w:hint="default"/>
          <w:color w:val="0000FF"/>
          <w:w w:val="100"/>
        </w:rPr>
      </w:r>
      <w:hyperlink r:id="rId10">
        <w:r>
          <w:rPr>
            <w:rFonts w:ascii="宋体" w:hAnsi="宋体" w:cs="宋体" w:eastAsia="宋体" w:hint="default"/>
            <w:color w:val="0000FF"/>
            <w:u w:val="single" w:color="0000FF"/>
          </w:rPr>
          <w:t>http://www.sse.com.cn</w:t>
        </w:r>
        <w:r>
          <w:rPr>
            <w:rFonts w:ascii="宋体" w:hAnsi="宋体" w:cs="宋体" w:eastAsia="宋体" w:hint="default"/>
            <w:color w:val="0000FF"/>
          </w:rPr>
        </w:r>
      </w:hyperlink>
      <w:r>
        <w:rPr/>
        <w:t>。</w:t>
      </w:r>
    </w:p>
    <w:p>
      <w:pPr>
        <w:spacing w:after="0" w:line="357" w:lineRule="auto"/>
        <w:jc w:val="left"/>
        <w:sectPr>
          <w:pgSz w:w="11910" w:h="16840"/>
          <w:pgMar w:header="0" w:footer="1195" w:top="106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4" w:lineRule="exact" w:before="170"/>
        <w:ind w:left="140" w:right="106"/>
        <w:jc w:val="left"/>
      </w:pPr>
      <w:r>
        <w:rPr/>
        <w:t>报告期内部控制存在重大缺陷情况的说明</w:t>
      </w:r>
    </w:p>
    <w:p>
      <w:pPr>
        <w:pStyle w:val="BodyText"/>
        <w:spacing w:line="274" w:lineRule="exact"/>
        <w:ind w:left="140" w:right="10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t>九、内部控制审计报告的相关情况说明</w:t>
      </w:r>
      <w:r>
        <w:rPr>
          <w:b w:val="0"/>
          <w:bCs w:val="0"/>
        </w:rPr>
      </w:r>
    </w:p>
    <w:p>
      <w:pPr>
        <w:pStyle w:val="BodyText"/>
        <w:tabs>
          <w:tab w:pos="982" w:val="left" w:leader="none"/>
        </w:tabs>
        <w:spacing w:line="240" w:lineRule="auto" w:before="56"/>
        <w:ind w:left="565" w:right="117" w:hanging="425"/>
        <w:jc w:val="left"/>
        <w:rPr>
          <w:rFonts w:ascii="宋体" w:hAnsi="宋体" w:cs="宋体" w:eastAsia="宋体" w:hint="default"/>
        </w:rPr>
      </w:pPr>
      <w:r>
        <w:rPr/>
        <w:t>√适用</w:t>
        <w:tab/>
        <w:t>□不适用</w:t>
      </w:r>
      <w:r>
        <w:rPr>
          <w:w w:val="100"/>
        </w:rPr>
        <w:t> </w:t>
      </w:r>
      <w:r>
        <w:rPr>
          <w:spacing w:val="-7"/>
        </w:rPr>
        <w:t>德勤会计师事务所（普通合伙）对报告期内本公司的内部控制情况进行了审计，并已出具《</w:t>
      </w:r>
      <w:r>
        <w:rPr>
          <w:rFonts w:ascii="宋体" w:hAnsi="宋体" w:cs="宋体" w:eastAsia="宋体" w:hint="default"/>
          <w:spacing w:val="-7"/>
        </w:rPr>
        <w:t>2018</w:t>
      </w:r>
    </w:p>
    <w:p>
      <w:pPr>
        <w:pStyle w:val="BodyText"/>
        <w:spacing w:line="355" w:lineRule="auto" w:before="133"/>
        <w:ind w:left="565" w:right="106" w:hanging="425"/>
        <w:jc w:val="left"/>
      </w:pPr>
      <w:r>
        <w:rPr>
          <w:spacing w:val="-2"/>
        </w:rPr>
        <w:t>年度内部控制审计报告》，报告内容详见上海证券交易所网站</w:t>
      </w:r>
      <w:r>
        <w:rPr/>
        <w:t> </w:t>
      </w:r>
      <w:r>
        <w:rPr>
          <w:rFonts w:ascii="宋体" w:hAnsi="宋体" w:cs="宋体" w:eastAsia="宋体" w:hint="default"/>
          <w:color w:val="0000FF"/>
        </w:rPr>
      </w:r>
      <w:hyperlink r:id="rId10">
        <w:r>
          <w:rPr>
            <w:rFonts w:ascii="宋体" w:hAnsi="宋体" w:cs="宋体" w:eastAsia="宋体" w:hint="default"/>
            <w:color w:val="0000FF"/>
            <w:spacing w:val="-1"/>
            <w:u w:val="single" w:color="0000FF"/>
          </w:rPr>
          <w:t>http://www.sse.com.cn</w:t>
        </w:r>
        <w:r>
          <w:rPr>
            <w:rFonts w:ascii="宋体" w:hAnsi="宋体" w:cs="宋体" w:eastAsia="宋体" w:hint="default"/>
            <w:color w:val="0000FF"/>
            <w:spacing w:val="-1"/>
          </w:rPr>
        </w:r>
      </w:hyperlink>
      <w:r>
        <w:rPr>
          <w:spacing w:val="-1"/>
        </w:rPr>
        <w:t>。</w:t>
      </w:r>
      <w:r>
        <w:rPr>
          <w:spacing w:val="-90"/>
        </w:rPr>
        <w:t> </w:t>
      </w:r>
      <w:r>
        <w:rPr/>
        <w:t>是否披露内部控制审计报告：是</w:t>
      </w:r>
    </w:p>
    <w:p>
      <w:pPr>
        <w:spacing w:line="240" w:lineRule="auto" w:before="0"/>
        <w:rPr>
          <w:rFonts w:ascii="宋体" w:hAnsi="宋体" w:cs="宋体" w:eastAsia="宋体" w:hint="default"/>
          <w:sz w:val="28"/>
          <w:szCs w:val="28"/>
        </w:rPr>
      </w:pPr>
    </w:p>
    <w:p>
      <w:pPr>
        <w:pStyle w:val="Heading2"/>
        <w:spacing w:line="240" w:lineRule="auto"/>
        <w:ind w:left="140" w:right="106"/>
        <w:jc w:val="left"/>
        <w:rPr>
          <w:b w:val="0"/>
          <w:bCs w:val="0"/>
        </w:rPr>
      </w:pPr>
      <w:r>
        <w:rPr/>
        <w:t>十、其他</w:t>
      </w:r>
      <w:r>
        <w:rPr>
          <w:b w:val="0"/>
          <w:bCs w:val="0"/>
        </w:rPr>
      </w:r>
    </w:p>
    <w:p>
      <w:pPr>
        <w:pStyle w:val="BodyText"/>
        <w:tabs>
          <w:tab w:pos="982" w:val="left" w:leader="none"/>
        </w:tabs>
        <w:spacing w:line="240" w:lineRule="auto" w:before="56"/>
        <w:ind w:left="140" w:right="106"/>
        <w:jc w:val="left"/>
      </w:pPr>
      <w:r>
        <w:rPr/>
        <w:t>□适用</w:t>
        <w:tab/>
        <w:t>√不适用</w:t>
      </w:r>
    </w:p>
    <w:p>
      <w:pPr>
        <w:spacing w:line="240" w:lineRule="auto" w:before="1"/>
        <w:rPr>
          <w:rFonts w:ascii="宋体" w:hAnsi="宋体" w:cs="宋体" w:eastAsia="宋体" w:hint="default"/>
          <w:sz w:val="24"/>
          <w:szCs w:val="24"/>
        </w:rPr>
      </w:pPr>
    </w:p>
    <w:p>
      <w:pPr>
        <w:pStyle w:val="Heading1"/>
        <w:tabs>
          <w:tab w:pos="4158" w:val="left" w:leader="none"/>
        </w:tabs>
        <w:spacing w:line="240" w:lineRule="auto"/>
        <w:ind w:left="2898" w:right="106"/>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40" w:right="106"/>
        <w:jc w:val="left"/>
      </w:pPr>
      <w:r>
        <w:rPr/>
        <w:t>□适用 √不适用</w:t>
      </w:r>
    </w:p>
    <w:p>
      <w:pPr>
        <w:spacing w:after="0" w:line="240" w:lineRule="auto"/>
        <w:jc w:val="left"/>
        <w:sectPr>
          <w:pgSz w:w="11910" w:h="16840"/>
          <w:pgMar w:header="0" w:footer="1195" w:top="106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1"/>
        <w:spacing w:line="240" w:lineRule="auto" w:before="14"/>
        <w:ind w:left="19" w:right="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0" w:footer="1195" w:top="1060" w:bottom="1380" w:left="1300" w:right="1320"/>
        </w:sectPr>
      </w:pPr>
    </w:p>
    <w:p>
      <w:pPr>
        <w:pStyle w:val="Heading2"/>
        <w:spacing w:line="240" w:lineRule="auto" w:before="36"/>
        <w:ind w:left="140" w:right="-18"/>
        <w:jc w:val="left"/>
        <w:rPr>
          <w:b w:val="0"/>
          <w:bCs w:val="0"/>
        </w:rPr>
      </w:pPr>
      <w:r>
        <w:rPr/>
        <w:t>一、审计报告</w:t>
      </w:r>
      <w:r>
        <w:rPr>
          <w:b w:val="0"/>
          <w:bCs w:val="0"/>
        </w:rPr>
      </w:r>
    </w:p>
    <w:p>
      <w:pPr>
        <w:pStyle w:val="BodyText"/>
        <w:spacing w:line="240" w:lineRule="auto" w:before="56"/>
        <w:ind w:left="14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40" w:right="0"/>
        <w:jc w:val="left"/>
      </w:pPr>
      <w:r>
        <w:rPr/>
        <w:t>审计报告</w:t>
      </w:r>
    </w:p>
    <w:p>
      <w:pPr>
        <w:spacing w:after="0" w:line="240" w:lineRule="auto"/>
        <w:jc w:val="left"/>
        <w:sectPr>
          <w:type w:val="continuous"/>
          <w:pgSz w:w="11910" w:h="16840"/>
          <w:pgMar w:top="1060" w:bottom="1380" w:left="1300" w:right="1320"/>
          <w:cols w:num="2" w:equalWidth="0">
            <w:col w:w="1718" w:space="2375"/>
            <w:col w:w="519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36"/>
        <w:ind w:left="0" w:right="113"/>
        <w:jc w:val="right"/>
      </w:pPr>
      <w:r>
        <w:rPr/>
        <w:t>德师报</w:t>
      </w:r>
      <w:r>
        <w:rPr>
          <w:rFonts w:ascii="宋体" w:hAnsi="宋体" w:cs="宋体" w:eastAsia="宋体" w:hint="default"/>
        </w:rPr>
        <w:t>(</w:t>
      </w:r>
      <w:r>
        <w:rPr/>
        <w:t>审</w:t>
      </w:r>
      <w:r>
        <w:rPr>
          <w:rFonts w:ascii="宋体" w:hAnsi="宋体" w:cs="宋体" w:eastAsia="宋体" w:hint="default"/>
        </w:rPr>
        <w:t>)</w:t>
      </w:r>
      <w:r>
        <w:rPr/>
        <w:t>字</w:t>
      </w:r>
      <w:r>
        <w:rPr>
          <w:rFonts w:ascii="宋体" w:hAnsi="宋体" w:cs="宋体" w:eastAsia="宋体" w:hint="default"/>
        </w:rPr>
        <w:t>(19)</w:t>
      </w:r>
      <w:r>
        <w:rPr/>
        <w:t>第</w:t>
      </w:r>
      <w:r>
        <w:rPr>
          <w:spacing w:val="-55"/>
        </w:rPr>
        <w:t> </w:t>
      </w:r>
      <w:r>
        <w:rPr>
          <w:rFonts w:ascii="宋体" w:hAnsi="宋体" w:cs="宋体" w:eastAsia="宋体" w:hint="default"/>
        </w:rPr>
        <w:t>P01876</w:t>
      </w:r>
      <w:r>
        <w:rPr>
          <w:rFonts w:ascii="宋体" w:hAnsi="宋体" w:cs="宋体" w:eastAsia="宋体" w:hint="default"/>
          <w:spacing w:val="-55"/>
        </w:rPr>
        <w:t> </w:t>
      </w:r>
      <w:r>
        <w:rPr/>
        <w:t>号</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36"/>
        <w:ind w:left="140" w:right="106"/>
        <w:jc w:val="left"/>
      </w:pPr>
      <w:r>
        <w:rPr/>
        <w:t>新华文轩出版传媒股份有限公司全体股东：</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140" w:right="106"/>
        <w:jc w:val="left"/>
      </w:pPr>
      <w:r>
        <w:rPr/>
        <w:t>一、审计意见</w:t>
      </w:r>
    </w:p>
    <w:p>
      <w:pPr>
        <w:pStyle w:val="BodyText"/>
        <w:spacing w:line="357" w:lineRule="auto" w:before="133"/>
        <w:ind w:left="140" w:right="111" w:firstLine="424"/>
        <w:jc w:val="both"/>
      </w:pPr>
      <w:r>
        <w:rPr>
          <w:spacing w:val="-2"/>
        </w:rPr>
        <w:t>我们审计了后附的新华文轩出版传媒股份有限公司</w:t>
      </w:r>
      <w:r>
        <w:rPr>
          <w:rFonts w:ascii="宋体" w:hAnsi="宋体" w:cs="宋体" w:eastAsia="宋体" w:hint="default"/>
          <w:spacing w:val="-2"/>
        </w:rPr>
        <w:t>(</w:t>
      </w:r>
      <w:r>
        <w:rPr>
          <w:spacing w:val="-2"/>
        </w:rPr>
        <w:t>以下简称“新华文轩”)的财务报表，包括</w:t>
      </w:r>
      <w:r>
        <w:rPr>
          <w:w w:val="100"/>
        </w:rPr>
        <w:t> </w:t>
      </w:r>
      <w:r>
        <w:rPr>
          <w:rFonts w:ascii="宋体" w:hAnsi="宋体" w:cs="宋体" w:eastAsia="宋体" w:hint="default"/>
        </w:rPr>
        <w:t>2018</w:t>
      </w:r>
      <w:r>
        <w:rPr>
          <w:rFonts w:ascii="宋体" w:hAnsi="宋体" w:cs="宋体" w:eastAsia="宋体" w:hint="default"/>
          <w:spacing w:val="-39"/>
        </w:rPr>
        <w:t> </w:t>
      </w:r>
      <w:r>
        <w:rPr/>
        <w:t>年</w:t>
      </w:r>
      <w:r>
        <w:rPr>
          <w:spacing w:val="-37"/>
        </w:rPr>
        <w:t> </w:t>
      </w:r>
      <w:r>
        <w:rPr>
          <w:rFonts w:ascii="宋体" w:hAnsi="宋体" w:cs="宋体" w:eastAsia="宋体" w:hint="default"/>
        </w:rPr>
        <w:t>12</w:t>
      </w:r>
      <w:r>
        <w:rPr>
          <w:rFonts w:ascii="宋体" w:hAnsi="宋体" w:cs="宋体" w:eastAsia="宋体" w:hint="default"/>
          <w:spacing w:val="-39"/>
        </w:rPr>
        <w:t> </w:t>
      </w:r>
      <w:r>
        <w:rPr/>
        <w:t>月</w:t>
      </w:r>
      <w:r>
        <w:rPr>
          <w:spacing w:val="-37"/>
        </w:rPr>
        <w:t> </w:t>
      </w:r>
      <w:r>
        <w:rPr>
          <w:rFonts w:ascii="宋体" w:hAnsi="宋体" w:cs="宋体" w:eastAsia="宋体" w:hint="default"/>
        </w:rPr>
        <w:t>31</w:t>
      </w:r>
      <w:r>
        <w:rPr>
          <w:rFonts w:ascii="宋体" w:hAnsi="宋体" w:cs="宋体" w:eastAsia="宋体" w:hint="default"/>
          <w:spacing w:val="-37"/>
        </w:rPr>
        <w:t> </w:t>
      </w:r>
      <w:r>
        <w:rPr/>
        <w:t>日的合并及母公司资产负债表，</w:t>
      </w:r>
      <w:r>
        <w:rPr>
          <w:rFonts w:ascii="宋体" w:hAnsi="宋体" w:cs="宋体" w:eastAsia="宋体" w:hint="default"/>
        </w:rPr>
        <w:t>2018</w:t>
      </w:r>
      <w:r>
        <w:rPr>
          <w:rFonts w:ascii="宋体" w:hAnsi="宋体" w:cs="宋体" w:eastAsia="宋体" w:hint="default"/>
          <w:spacing w:val="-37"/>
        </w:rPr>
        <w:t> </w:t>
      </w:r>
      <w:r>
        <w:rPr/>
        <w:t>年度的合并及母公司利润表、合并及母公司</w:t>
      </w:r>
      <w:r>
        <w:rPr>
          <w:w w:val="100"/>
        </w:rPr>
        <w:t> </w:t>
      </w:r>
      <w:r>
        <w:rPr/>
        <w:t>现金流量表、合并及母公司股东权益变动表以及相关财务报表附注。</w:t>
      </w:r>
    </w:p>
    <w:p>
      <w:pPr>
        <w:pStyle w:val="BodyText"/>
        <w:spacing w:line="357" w:lineRule="auto" w:before="30"/>
        <w:ind w:left="140" w:right="111" w:firstLine="424"/>
        <w:jc w:val="both"/>
      </w:pPr>
      <w:r>
        <w:rPr>
          <w:spacing w:val="-2"/>
        </w:rPr>
        <w:t>我们认为，后附的财务报表在所有重大方面按照企业会计准则的规定编制，公允反映了新华文</w:t>
      </w:r>
      <w:r>
        <w:rPr>
          <w:w w:val="100"/>
        </w:rPr>
        <w:t> </w:t>
      </w:r>
      <w:r>
        <w:rPr/>
        <w:t>轩</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6"/>
        </w:rPr>
        <w:t> </w:t>
      </w:r>
      <w:r>
        <w:rPr>
          <w:rFonts w:ascii="宋体" w:hAnsi="宋体" w:cs="宋体" w:eastAsia="宋体" w:hint="default"/>
        </w:rPr>
        <w:t>2018</w:t>
      </w:r>
      <w:r>
        <w:rPr>
          <w:rFonts w:ascii="宋体" w:hAnsi="宋体" w:cs="宋体" w:eastAsia="宋体" w:hint="default"/>
          <w:spacing w:val="-56"/>
        </w:rPr>
        <w:t> </w:t>
      </w:r>
      <w:r>
        <w:rPr/>
        <w:t>年度的合并及母公司经营成果和合并及母</w:t>
      </w:r>
      <w:r>
        <w:rPr>
          <w:w w:val="100"/>
        </w:rPr>
        <w:t> </w:t>
      </w:r>
      <w:r>
        <w:rPr/>
        <w:t>公司现金流量。</w:t>
      </w:r>
    </w:p>
    <w:p>
      <w:pPr>
        <w:spacing w:line="240" w:lineRule="auto" w:before="0"/>
        <w:rPr>
          <w:rFonts w:ascii="宋体" w:hAnsi="宋体" w:cs="宋体" w:eastAsia="宋体" w:hint="default"/>
          <w:sz w:val="20"/>
          <w:szCs w:val="20"/>
        </w:rPr>
      </w:pPr>
    </w:p>
    <w:p>
      <w:pPr>
        <w:pStyle w:val="BodyText"/>
        <w:spacing w:line="355" w:lineRule="auto" w:before="179"/>
        <w:ind w:left="560" w:right="106" w:hanging="420"/>
        <w:jc w:val="left"/>
      </w:pPr>
      <w:r>
        <w:rPr/>
        <w:t>二、形成审计意见的基础</w:t>
      </w:r>
      <w:r>
        <w:rPr>
          <w:w w:val="100"/>
        </w:rPr>
        <w:t> </w:t>
      </w:r>
      <w:r>
        <w:rPr>
          <w:spacing w:val="-2"/>
        </w:rPr>
        <w:t>我们按照中国注册会计师审计准则的规定执行了审计工作。审计报告的“注册会计师对合并财</w:t>
      </w:r>
    </w:p>
    <w:p>
      <w:pPr>
        <w:pStyle w:val="BodyText"/>
        <w:spacing w:line="357" w:lineRule="auto" w:before="32"/>
        <w:ind w:left="140" w:right="111"/>
        <w:jc w:val="both"/>
      </w:pPr>
      <w:r>
        <w:rPr>
          <w:spacing w:val="-2"/>
        </w:rPr>
        <w:t>务报表审计的责任”部分进一步阐述了我们在这些准则下的责任。按照中国注册会计师职业道德守</w:t>
      </w:r>
      <w:r>
        <w:rPr>
          <w:spacing w:val="-29"/>
        </w:rPr>
        <w:t> </w:t>
      </w:r>
      <w:r>
        <w:rPr>
          <w:spacing w:val="-29"/>
        </w:rPr>
      </w:r>
      <w:r>
        <w:rPr>
          <w:spacing w:val="-2"/>
        </w:rPr>
        <w:t>则，我们独立于新华文轩，并履行了职业道德方面的其他责任。我们相信，我们获取的审计证据是</w:t>
      </w:r>
      <w:r>
        <w:rPr>
          <w:spacing w:val="-34"/>
        </w:rPr>
        <w:t> </w:t>
      </w:r>
      <w:r>
        <w:rPr>
          <w:spacing w:val="-34"/>
        </w:rPr>
      </w:r>
      <w:r>
        <w:rPr/>
        <w:t>充分、适当的，为发表审计意见提供了基础。</w:t>
      </w:r>
    </w:p>
    <w:p>
      <w:pPr>
        <w:spacing w:line="240" w:lineRule="auto" w:before="0"/>
        <w:rPr>
          <w:rFonts w:ascii="宋体" w:hAnsi="宋体" w:cs="宋体" w:eastAsia="宋体" w:hint="default"/>
          <w:sz w:val="20"/>
          <w:szCs w:val="20"/>
        </w:rPr>
      </w:pPr>
    </w:p>
    <w:p>
      <w:pPr>
        <w:pStyle w:val="BodyText"/>
        <w:spacing w:line="355" w:lineRule="auto" w:before="177"/>
        <w:ind w:left="565" w:right="106" w:hanging="425"/>
        <w:jc w:val="left"/>
      </w:pPr>
      <w:r>
        <w:rPr/>
        <w:t>三、关键审计事项</w:t>
      </w:r>
      <w:r>
        <w:rPr>
          <w:w w:val="100"/>
        </w:rPr>
        <w:t> </w:t>
      </w:r>
      <w:r>
        <w:rPr>
          <w:spacing w:val="-2"/>
        </w:rPr>
        <w:t>关键审计事项是我们根据职业判断，认为对本年财务报表审计最为重要的事项。这些事项的应</w:t>
      </w:r>
    </w:p>
    <w:p>
      <w:pPr>
        <w:pStyle w:val="BodyText"/>
        <w:spacing w:line="355" w:lineRule="auto" w:before="34"/>
        <w:ind w:left="140" w:right="111"/>
        <w:jc w:val="both"/>
      </w:pPr>
      <w:r>
        <w:rPr>
          <w:spacing w:val="-2"/>
        </w:rPr>
        <w:t>对以对财务报表整体进行审计并形成审计意见为背景，我们不对这些事项单独发表意见。我们确定</w:t>
      </w:r>
      <w:r>
        <w:rPr>
          <w:spacing w:val="-31"/>
        </w:rPr>
        <w:t> </w:t>
      </w:r>
      <w:r>
        <w:rPr>
          <w:spacing w:val="-31"/>
        </w:rPr>
      </w:r>
      <w:r>
        <w:rPr/>
        <w:t>下列事项是需要在审计报告中沟通的关键审计事项。</w:t>
      </w:r>
    </w:p>
    <w:p>
      <w:pPr>
        <w:pStyle w:val="BodyText"/>
        <w:spacing w:line="712" w:lineRule="auto" w:before="32"/>
        <w:ind w:left="565" w:right="5751"/>
        <w:jc w:val="left"/>
      </w:pPr>
      <w:r>
        <w:rPr>
          <w:spacing w:val="-2"/>
        </w:rPr>
        <w:t>教材及助学类读物销售收入确认</w:t>
      </w:r>
      <w:r>
        <w:rPr>
          <w:spacing w:val="-76"/>
        </w:rPr>
        <w:t> </w:t>
      </w:r>
      <w:r>
        <w:rPr>
          <w:spacing w:val="-76"/>
        </w:rPr>
      </w:r>
      <w:r>
        <w:rPr>
          <w:rFonts w:ascii="宋体" w:hAnsi="宋体" w:cs="宋体" w:eastAsia="宋体" w:hint="default"/>
        </w:rPr>
        <w:t>1</w:t>
      </w:r>
      <w:r>
        <w:rPr/>
        <w:t>．事项描述</w:t>
      </w:r>
    </w:p>
    <w:p>
      <w:pPr>
        <w:spacing w:after="0" w:line="712" w:lineRule="auto"/>
        <w:jc w:val="left"/>
        <w:sectPr>
          <w:type w:val="continuous"/>
          <w:pgSz w:w="11910" w:h="16840"/>
          <w:pgMar w:top="1060" w:bottom="1380" w:left="130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6"/>
        <w:ind w:left="140" w:right="111" w:firstLine="424"/>
        <w:jc w:val="both"/>
      </w:pPr>
      <w:r>
        <w:rPr/>
        <w:t>本年度教材及助学类读物发行业务实现销售收入人民币 </w:t>
      </w:r>
      <w:r>
        <w:rPr>
          <w:rFonts w:ascii="宋体" w:hAnsi="宋体" w:cs="宋体" w:eastAsia="宋体" w:hint="default"/>
        </w:rPr>
        <w:t>401,537.88</w:t>
      </w:r>
      <w:r>
        <w:rPr>
          <w:rFonts w:ascii="宋体" w:hAnsi="宋体" w:cs="宋体" w:eastAsia="宋体" w:hint="default"/>
          <w:spacing w:val="-14"/>
        </w:rPr>
        <w:t> </w:t>
      </w:r>
      <w:r>
        <w:rPr/>
        <w:t>万元，占新华文轩合并及</w:t>
      </w:r>
      <w:r>
        <w:rPr>
          <w:w w:val="100"/>
        </w:rPr>
        <w:t> </w:t>
      </w:r>
      <w:r>
        <w:rPr/>
        <w:t>母公司营业收入比例分别为 </w:t>
      </w:r>
      <w:r>
        <w:rPr>
          <w:rFonts w:ascii="宋体" w:hAnsi="宋体" w:cs="宋体" w:eastAsia="宋体" w:hint="default"/>
        </w:rPr>
        <w:t>49%</w:t>
      </w:r>
      <w:r>
        <w:rPr/>
        <w:t>及</w:t>
      </w:r>
      <w:r>
        <w:rPr>
          <w:spacing w:val="-11"/>
        </w:rPr>
        <w:t> </w:t>
      </w:r>
      <w:r>
        <w:rPr>
          <w:rFonts w:ascii="宋体" w:hAnsi="宋体" w:cs="宋体" w:eastAsia="宋体" w:hint="default"/>
        </w:rPr>
        <w:t>62%</w:t>
      </w:r>
      <w:r>
        <w:rPr/>
        <w:t>。鉴于教材及助学类读物销售收入占比重大，是新华文轩利</w:t>
      </w:r>
      <w:r>
        <w:rPr>
          <w:w w:val="100"/>
        </w:rPr>
        <w:t> </w:t>
      </w:r>
      <w:r>
        <w:rPr>
          <w:spacing w:val="-2"/>
        </w:rPr>
        <w:t>润的主要来源，影响关键业绩指标，并且该类销售业务交易发生频繁，涉及众多分支机构，产生错</w:t>
      </w:r>
      <w:r>
        <w:rPr>
          <w:spacing w:val="-35"/>
        </w:rPr>
        <w:t> </w:t>
      </w:r>
      <w:r>
        <w:rPr>
          <w:spacing w:val="-35"/>
        </w:rPr>
      </w:r>
      <w:r>
        <w:rPr/>
        <w:t>报的固有风险较高，我们将教材及助学类读物发行销售收入确认作为关键审计事项。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565" w:right="2594"/>
        <w:jc w:val="left"/>
      </w:pPr>
      <w:r>
        <w:rPr>
          <w:rFonts w:ascii="宋体" w:hAnsi="宋体" w:cs="宋体" w:eastAsia="宋体" w:hint="default"/>
        </w:rPr>
        <w:t>2</w:t>
      </w:r>
      <w:r>
        <w:rPr/>
        <w:t>．审计应对</w:t>
      </w:r>
      <w:r>
        <w:rPr>
          <w:w w:val="100"/>
        </w:rPr>
        <w:t> </w:t>
      </w:r>
      <w:r>
        <w:rPr>
          <w:spacing w:val="-2"/>
        </w:rPr>
        <w:t>我们针对这一关键审计事项执行的审计程序主要包括：</w:t>
      </w:r>
    </w:p>
    <w:p>
      <w:pPr>
        <w:pStyle w:val="BodyText"/>
        <w:spacing w:line="240" w:lineRule="auto" w:before="32"/>
        <w:ind w:left="565" w:right="106"/>
        <w:jc w:val="left"/>
      </w:pPr>
      <w:r>
        <w:rPr/>
        <w:t>（</w:t>
      </w:r>
      <w:r>
        <w:rPr>
          <w:rFonts w:ascii="宋体" w:hAnsi="宋体" w:cs="宋体" w:eastAsia="宋体" w:hint="default"/>
        </w:rPr>
        <w:t>1</w:t>
      </w:r>
      <w:r>
        <w:rPr/>
        <w:t>）测试与教材及助学类读物发行销售收入确认相关的内部控制；</w:t>
      </w:r>
    </w:p>
    <w:p>
      <w:pPr>
        <w:pStyle w:val="BodyText"/>
        <w:spacing w:line="240" w:lineRule="auto" w:before="133"/>
        <w:ind w:left="565" w:right="106"/>
        <w:jc w:val="left"/>
      </w:pPr>
      <w:r>
        <w:rPr/>
        <w:t>（</w:t>
      </w:r>
      <w:r>
        <w:rPr>
          <w:rFonts w:ascii="宋体" w:hAnsi="宋体" w:cs="宋体" w:eastAsia="宋体" w:hint="default"/>
        </w:rPr>
        <w:t>2</w:t>
      </w:r>
      <w:r>
        <w:rPr/>
        <w:t>）对销售收入执行波动分析，结合行业特征识别和调查异常波动；</w:t>
      </w:r>
    </w:p>
    <w:p>
      <w:pPr>
        <w:pStyle w:val="BodyText"/>
        <w:spacing w:line="355" w:lineRule="auto" w:before="135"/>
        <w:ind w:left="140" w:right="106" w:firstLine="424"/>
        <w:jc w:val="left"/>
      </w:pPr>
      <w:r>
        <w:rPr/>
        <w:t>（</w:t>
      </w:r>
      <w:r>
        <w:rPr>
          <w:rFonts w:ascii="宋体" w:hAnsi="宋体" w:cs="宋体" w:eastAsia="宋体" w:hint="default"/>
        </w:rPr>
        <w:t>3</w:t>
      </w:r>
      <w:r>
        <w:rPr/>
        <w:t>）利用数据分析专家核对财务系统收入记录与业务系统订单信息及发货记录的一致性，识</w:t>
      </w:r>
      <w:r>
        <w:rPr>
          <w:w w:val="100"/>
        </w:rPr>
        <w:t> </w:t>
      </w:r>
      <w:r>
        <w:rPr/>
        <w:t>别和调查异常的交易记录；及</w:t>
      </w:r>
    </w:p>
    <w:p>
      <w:pPr>
        <w:pStyle w:val="BodyText"/>
        <w:spacing w:line="240" w:lineRule="auto" w:before="32"/>
        <w:ind w:left="567" w:right="106"/>
        <w:jc w:val="left"/>
      </w:pPr>
      <w:r>
        <w:rPr/>
        <w:t>（</w:t>
      </w:r>
      <w:r>
        <w:rPr>
          <w:rFonts w:ascii="宋体" w:hAnsi="宋体" w:cs="宋体" w:eastAsia="宋体" w:hint="default"/>
        </w:rPr>
        <w:t>4</w:t>
      </w:r>
      <w:r>
        <w:rPr/>
        <w:t>）从销售收入记录中选取样本执行抽样测试，检查发货单等支持性文件。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140" w:right="106"/>
        <w:jc w:val="left"/>
      </w:pPr>
      <w:r>
        <w:rPr/>
        <w:t>四、其他信息</w:t>
      </w:r>
    </w:p>
    <w:p>
      <w:pPr>
        <w:pStyle w:val="BodyText"/>
        <w:spacing w:line="324" w:lineRule="auto" w:before="133"/>
        <w:ind w:left="140" w:right="108" w:firstLine="424"/>
        <w:jc w:val="left"/>
      </w:pPr>
      <w:r>
        <w:rPr/>
        <w:t>新华文轩管理层对其他信息负责。其他信息包括新华文轩 </w:t>
      </w:r>
      <w:r>
        <w:rPr>
          <w:rFonts w:ascii="Calibri" w:hAnsi="Calibri" w:cs="Calibri" w:eastAsia="Calibri" w:hint="default"/>
        </w:rPr>
        <w:t>2018</w:t>
      </w:r>
      <w:r>
        <w:rPr>
          <w:rFonts w:ascii="Calibri" w:hAnsi="Calibri" w:cs="Calibri" w:eastAsia="Calibri" w:hint="default"/>
          <w:spacing w:val="36"/>
        </w:rPr>
        <w:t> </w:t>
      </w:r>
      <w:r>
        <w:rPr/>
        <w:t>年年度报告中涵盖的信息，但</w:t>
      </w:r>
      <w:r>
        <w:rPr>
          <w:w w:val="100"/>
        </w:rPr>
        <w:t> </w:t>
      </w:r>
      <w:r>
        <w:rPr/>
        <w:t>不包括财务报表和我们的审计报告。</w:t>
      </w:r>
    </w:p>
    <w:p>
      <w:pPr>
        <w:pStyle w:val="BodyText"/>
        <w:spacing w:line="240" w:lineRule="auto" w:before="60"/>
        <w:ind w:left="565" w:right="0"/>
        <w:jc w:val="left"/>
      </w:pPr>
      <w:r>
        <w:rPr/>
        <w:t>我们对财务报表发表的审计意见不涵盖其他信息，我们也不对其他信息发表任何形式的鉴证结</w:t>
      </w:r>
    </w:p>
    <w:p>
      <w:pPr>
        <w:pStyle w:val="BodyText"/>
        <w:spacing w:line="240" w:lineRule="auto" w:before="133"/>
        <w:ind w:left="140" w:right="106"/>
        <w:jc w:val="left"/>
      </w:pPr>
      <w:r>
        <w:rPr/>
        <w:t>论。</w:t>
      </w:r>
    </w:p>
    <w:p>
      <w:pPr>
        <w:pStyle w:val="BodyText"/>
        <w:spacing w:line="240" w:lineRule="auto" w:before="135"/>
        <w:ind w:left="565" w:right="0"/>
        <w:jc w:val="left"/>
      </w:pPr>
      <w:r>
        <w:rPr/>
        <w:t>结合我们对财务报表的审计，我们的责任是阅读其他信息，在此过程中，考虑其他信息是否与</w:t>
      </w:r>
    </w:p>
    <w:p>
      <w:pPr>
        <w:pStyle w:val="BodyText"/>
        <w:spacing w:line="355" w:lineRule="auto" w:before="133"/>
        <w:ind w:left="565" w:right="106" w:hanging="425"/>
        <w:jc w:val="left"/>
      </w:pPr>
      <w:r>
        <w:rPr/>
        <w:t>财务报表或我们在审计过程中了解到的情况存在重大不一致或者似乎存在重大错报。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w:t>
      </w:r>
    </w:p>
    <w:p>
      <w:pPr>
        <w:pStyle w:val="BodyText"/>
        <w:spacing w:line="240" w:lineRule="auto" w:before="32"/>
        <w:ind w:left="140" w:right="106"/>
        <w:jc w:val="left"/>
      </w:pPr>
      <w:r>
        <w:rPr/>
        <w:t>面，我们无任何事项需要报告。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357" w:lineRule="auto"/>
        <w:ind w:left="565" w:right="106" w:hanging="425"/>
        <w:jc w:val="left"/>
      </w:pPr>
      <w:r>
        <w:rPr/>
        <w:t>五、管理层和治理层对财务报表的责任</w:t>
      </w:r>
      <w:r>
        <w:rPr>
          <w:w w:val="100"/>
        </w:rPr>
        <w:t> </w:t>
      </w:r>
      <w:r>
        <w:rPr>
          <w:spacing w:val="-2"/>
        </w:rPr>
        <w:t>新华文轩管理层负责按照企业会计准则的规定编制财务报表，使其实现公允反映，并设计、执</w:t>
      </w:r>
    </w:p>
    <w:p>
      <w:pPr>
        <w:pStyle w:val="BodyText"/>
        <w:spacing w:line="355" w:lineRule="auto" w:before="30"/>
        <w:ind w:left="565" w:right="106" w:hanging="425"/>
        <w:jc w:val="left"/>
      </w:pPr>
      <w:r>
        <w:rPr/>
        <w:t>行和维护必要的内部控制，以使财务报表不存在由于舞弊或错误导致的重大错报。</w:t>
      </w:r>
      <w:r>
        <w:rPr>
          <w:w w:val="100"/>
        </w:rPr>
        <w:t> </w:t>
      </w:r>
      <w:r>
        <w:rPr>
          <w:spacing w:val="-4"/>
        </w:rPr>
        <w:t>在编制财务报表时，管理层负责评估新华文轩的持续经营能力，披露与持续经营相关的事项</w:t>
      </w:r>
      <w:r>
        <w:rPr>
          <w:rFonts w:ascii="Calibri" w:hAnsi="Calibri" w:cs="Calibri" w:eastAsia="Calibri" w:hint="default"/>
          <w:spacing w:val="-4"/>
        </w:rPr>
        <w:t>(</w:t>
      </w:r>
      <w:r>
        <w:rPr>
          <w:spacing w:val="-4"/>
        </w:rPr>
        <w:t>如</w:t>
      </w:r>
    </w:p>
    <w:p>
      <w:pPr>
        <w:pStyle w:val="BodyText"/>
        <w:spacing w:line="287" w:lineRule="exact"/>
        <w:ind w:left="140" w:right="106"/>
        <w:jc w:val="left"/>
      </w:pPr>
      <w:r>
        <w:rPr/>
        <w:t>适用</w:t>
      </w:r>
      <w:r>
        <w:rPr>
          <w:rFonts w:ascii="Calibri" w:hAnsi="Calibri" w:cs="Calibri" w:eastAsia="Calibri" w:hint="default"/>
        </w:rPr>
        <w:t>)</w:t>
      </w:r>
      <w:r>
        <w:rPr/>
        <w:t>，并运用持续经营假设，除非管理层计划清算新华文轩、终止运营或别无其他现实的选择。</w:t>
      </w:r>
    </w:p>
    <w:p>
      <w:pPr>
        <w:pStyle w:val="BodyText"/>
        <w:spacing w:line="240" w:lineRule="auto" w:before="106"/>
        <w:ind w:left="565" w:right="106"/>
        <w:jc w:val="left"/>
      </w:pPr>
      <w:r>
        <w:rPr/>
        <w:t>治理层负责监督新华文轩的财务报告过程。</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355" w:lineRule="auto"/>
        <w:ind w:left="565" w:right="106" w:hanging="425"/>
        <w:jc w:val="left"/>
      </w:pPr>
      <w:r>
        <w:rPr/>
        <w:t>六、注册会计师对财务报表审计的责任</w:t>
      </w:r>
      <w:r>
        <w:rPr>
          <w:w w:val="100"/>
        </w:rPr>
        <w:t> </w:t>
      </w:r>
      <w:r>
        <w:rPr>
          <w:spacing w:val="-2"/>
        </w:rPr>
        <w:t>我们的目标是对财务报表整体是否不存在由于舞弊或错误导致的重大错报获取合理保证，并出</w:t>
      </w:r>
    </w:p>
    <w:p>
      <w:pPr>
        <w:spacing w:after="0" w:line="355" w:lineRule="auto"/>
        <w:jc w:val="left"/>
        <w:sectPr>
          <w:pgSz w:w="11910" w:h="16840"/>
          <w:pgMar w:header="0" w:footer="1195" w:top="1060" w:bottom="1380" w:left="130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6"/>
        <w:ind w:left="140" w:right="111"/>
        <w:jc w:val="both"/>
      </w:pPr>
      <w:r>
        <w:rPr>
          <w:spacing w:val="-2"/>
        </w:rPr>
        <w:t>具包含审计意见的审计报告。合理保证是高水平的保证，但并不能保证按照审计准则执行的审计在</w:t>
      </w:r>
      <w:r>
        <w:rPr>
          <w:spacing w:val="-30"/>
        </w:rPr>
        <w:t> </w:t>
      </w:r>
      <w:r>
        <w:rPr>
          <w:spacing w:val="-30"/>
        </w:rPr>
      </w:r>
      <w:r>
        <w:rPr>
          <w:spacing w:val="-2"/>
        </w:rPr>
        <w:t>某一重大错报存在时总能发现。错报可能由于舞弊或错误所导致，如果合理预期错报单独或汇总起</w:t>
      </w:r>
      <w:r>
        <w:rPr>
          <w:spacing w:val="-29"/>
        </w:rPr>
        <w:t> </w:t>
      </w:r>
      <w:r>
        <w:rPr>
          <w:spacing w:val="-29"/>
        </w:rPr>
      </w:r>
      <w:r>
        <w:rPr/>
        <w:t>来可能影响财务报表使用者依据财务报表作出的经济决策，则通常认为错报是重大的。</w:t>
      </w:r>
    </w:p>
    <w:p>
      <w:pPr>
        <w:spacing w:line="240" w:lineRule="auto" w:before="0"/>
        <w:rPr>
          <w:rFonts w:ascii="宋体" w:hAnsi="宋体" w:cs="宋体" w:eastAsia="宋体" w:hint="default"/>
          <w:sz w:val="20"/>
          <w:szCs w:val="20"/>
        </w:rPr>
      </w:pPr>
    </w:p>
    <w:p>
      <w:pPr>
        <w:pStyle w:val="BodyText"/>
        <w:spacing w:line="355" w:lineRule="auto" w:before="157"/>
        <w:ind w:left="140" w:right="111" w:firstLine="424"/>
        <w:jc w:val="both"/>
      </w:pPr>
      <w:r>
        <w:rPr>
          <w:spacing w:val="-2"/>
        </w:rPr>
        <w:t>在按照审计准则执行审计工作的过程中，我们运用职业判断，并保持职业怀疑。同时，我们也</w:t>
      </w:r>
      <w:r>
        <w:rPr>
          <w:w w:val="100"/>
        </w:rPr>
        <w:t> </w:t>
      </w:r>
      <w:r>
        <w:rPr/>
        <w:t>执行以下工作：</w:t>
      </w:r>
    </w:p>
    <w:p>
      <w:pPr>
        <w:pStyle w:val="BodyText"/>
        <w:spacing w:line="357" w:lineRule="auto" w:before="32"/>
        <w:ind w:left="140" w:right="113" w:firstLine="530"/>
        <w:jc w:val="both"/>
      </w:pPr>
      <w:r>
        <w:rPr>
          <w:rFonts w:ascii="宋体" w:hAnsi="宋体" w:cs="宋体" w:eastAsia="宋体" w:hint="default"/>
        </w:rPr>
        <w:t>(1)</w:t>
      </w:r>
      <w:r>
        <w:rPr>
          <w:rFonts w:ascii="宋体" w:hAnsi="宋体" w:cs="宋体" w:eastAsia="宋体" w:hint="default"/>
          <w:spacing w:val="76"/>
        </w:rPr>
        <w:t> </w:t>
      </w:r>
      <w:r>
        <w:rPr/>
        <w:t>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这些风险，并获取充分、适当的审计证据，作为发表审计意见的基础。由于舞弊可能涉及串通、伪</w:t>
      </w:r>
      <w:r>
        <w:rPr>
          <w:spacing w:val="-34"/>
        </w:rPr>
        <w:t> </w:t>
      </w:r>
      <w:r>
        <w:rPr>
          <w:spacing w:val="-34"/>
        </w:rPr>
      </w:r>
      <w:r>
        <w:rPr>
          <w:spacing w:val="-2"/>
        </w:rPr>
        <w:t>造、故意遗漏、虚假陈述或凌驾于内部控制之上，未能发现由于舞弊导致的重大错报的风险高于未</w:t>
      </w:r>
      <w:r>
        <w:rPr>
          <w:spacing w:val="-33"/>
        </w:rPr>
        <w:t> </w:t>
      </w:r>
      <w:r>
        <w:rPr>
          <w:spacing w:val="-33"/>
        </w:rPr>
      </w:r>
      <w:r>
        <w:rPr/>
        <w:t>能发现由于错误导致的重大错报的风险。</w:t>
      </w:r>
    </w:p>
    <w:p>
      <w:pPr>
        <w:pStyle w:val="BodyText"/>
        <w:spacing w:line="240" w:lineRule="auto" w:before="30"/>
        <w:ind w:left="670" w:right="106"/>
        <w:jc w:val="left"/>
      </w:pPr>
      <w:r>
        <w:rPr>
          <w:rFonts w:ascii="宋体" w:hAnsi="宋体" w:cs="宋体" w:eastAsia="宋体" w:hint="default"/>
        </w:rPr>
        <w:t>(2)</w:t>
      </w:r>
      <w:r>
        <w:rPr>
          <w:rFonts w:ascii="宋体" w:hAnsi="宋体" w:cs="宋体" w:eastAsia="宋体" w:hint="default"/>
          <w:spacing w:val="-5"/>
        </w:rPr>
        <w:t> </w:t>
      </w:r>
      <w:r>
        <w:rPr/>
        <w:t>了解与审计相关的内部控制，以设计恰当的审计程序。</w:t>
      </w:r>
    </w:p>
    <w:p>
      <w:pPr>
        <w:pStyle w:val="BodyText"/>
        <w:spacing w:line="240" w:lineRule="auto" w:before="133"/>
        <w:ind w:left="670" w:right="106"/>
        <w:jc w:val="left"/>
      </w:pPr>
      <w:r>
        <w:rPr>
          <w:rFonts w:ascii="宋体" w:hAnsi="宋体" w:cs="宋体" w:eastAsia="宋体" w:hint="default"/>
        </w:rPr>
        <w:t>(3)</w:t>
      </w:r>
      <w:r>
        <w:rPr>
          <w:rFonts w:ascii="宋体" w:hAnsi="宋体" w:cs="宋体" w:eastAsia="宋体" w:hint="default"/>
          <w:spacing w:val="-7"/>
        </w:rPr>
        <w:t> </w:t>
      </w:r>
      <w:r>
        <w:rPr/>
        <w:t>评价管理层选用会计政策的恰当性和作出会计估计及相关披露的合理性。</w:t>
      </w:r>
    </w:p>
    <w:p>
      <w:pPr>
        <w:pStyle w:val="BodyText"/>
        <w:spacing w:line="357" w:lineRule="auto" w:before="133"/>
        <w:ind w:left="140" w:right="111" w:firstLine="530"/>
        <w:jc w:val="both"/>
      </w:pPr>
      <w:r>
        <w:rPr>
          <w:rFonts w:ascii="宋体" w:hAnsi="宋体" w:cs="宋体" w:eastAsia="宋体" w:hint="default"/>
        </w:rPr>
        <w:t>(4)</w:t>
      </w:r>
      <w:r>
        <w:rPr>
          <w:rFonts w:ascii="宋体" w:hAnsi="宋体" w:cs="宋体" w:eastAsia="宋体" w:hint="default"/>
          <w:spacing w:val="75"/>
        </w:rPr>
        <w:t> </w:t>
      </w:r>
      <w:r>
        <w:rPr/>
        <w:t>对管理层使用持续经营假设的恰当性得出结论。同时，根据获取的审计证据，就可能导</w:t>
      </w:r>
      <w:r>
        <w:rPr>
          <w:w w:val="100"/>
        </w:rPr>
        <w:t> </w:t>
      </w:r>
      <w:r>
        <w:rPr>
          <w:spacing w:val="-2"/>
        </w:rPr>
        <w:t>致对新华文轩持续经营能力产生重大疑虑的事项或情况是否存在重大不确定性得出结论。如果我们</w:t>
      </w:r>
      <w:r>
        <w:rPr>
          <w:spacing w:val="-30"/>
        </w:rPr>
        <w:t> </w:t>
      </w:r>
      <w:r>
        <w:rPr>
          <w:spacing w:val="-30"/>
        </w:rPr>
      </w:r>
      <w:r>
        <w:rPr>
          <w:spacing w:val="-2"/>
        </w:rPr>
        <w:t>得出结论认为存在重大不确定性，审计准则要求我们在审计报告中提请报表使用者注意财务报表中</w:t>
      </w:r>
      <w:r>
        <w:rPr>
          <w:spacing w:val="-30"/>
        </w:rPr>
        <w:t> </w:t>
      </w:r>
      <w:r>
        <w:rPr>
          <w:spacing w:val="-30"/>
        </w:rPr>
      </w:r>
      <w:r>
        <w:rPr>
          <w:spacing w:val="-2"/>
        </w:rPr>
        <w:t>的相关披露；如果披露不充分，我们应当发表非无保留意见。我们的结论基于截至审计报告日可获</w:t>
      </w:r>
      <w:r>
        <w:rPr>
          <w:spacing w:val="-33"/>
        </w:rPr>
        <w:t> </w:t>
      </w:r>
      <w:r>
        <w:rPr>
          <w:spacing w:val="-33"/>
        </w:rPr>
      </w:r>
      <w:r>
        <w:rPr/>
        <w:t>得的信息。然而，未来的事项或情况可能导致新华文轩不能持续经营。</w:t>
      </w:r>
    </w:p>
    <w:p>
      <w:pPr>
        <w:pStyle w:val="BodyText"/>
        <w:spacing w:line="357" w:lineRule="auto" w:before="30"/>
        <w:ind w:left="140" w:right="111" w:firstLine="424"/>
        <w:jc w:val="both"/>
      </w:pPr>
      <w:r>
        <w:rPr>
          <w:rFonts w:ascii="宋体" w:hAnsi="宋体" w:cs="宋体" w:eastAsia="宋体" w:hint="default"/>
        </w:rPr>
        <w:t>(5)</w:t>
      </w:r>
      <w:r>
        <w:rPr>
          <w:rFonts w:ascii="宋体" w:hAnsi="宋体" w:cs="宋体" w:eastAsia="宋体" w:hint="default"/>
          <w:spacing w:val="-13"/>
        </w:rPr>
        <w:t> </w:t>
      </w:r>
      <w:r>
        <w:rPr/>
        <w:t>评价财务报表的总体列报、结构和内容</w:t>
      </w:r>
      <w:r>
        <w:rPr>
          <w:rFonts w:ascii="宋体" w:hAnsi="宋体" w:cs="宋体" w:eastAsia="宋体" w:hint="default"/>
        </w:rPr>
        <w:t>(</w:t>
      </w:r>
      <w:r>
        <w:rPr/>
        <w:t>包括披露</w:t>
      </w:r>
      <w:r>
        <w:rPr>
          <w:rFonts w:ascii="宋体" w:hAnsi="宋体" w:cs="宋体" w:eastAsia="宋体" w:hint="default"/>
        </w:rPr>
        <w:t>)</w:t>
      </w:r>
      <w:r>
        <w:rPr/>
        <w:t>，并评价财务报表是否公允反映相关交</w:t>
      </w:r>
      <w:r>
        <w:rPr>
          <w:w w:val="100"/>
        </w:rPr>
        <w:t> </w:t>
      </w:r>
      <w:r>
        <w:rPr/>
        <w:t>易和事项。</w:t>
      </w:r>
    </w:p>
    <w:p>
      <w:pPr>
        <w:pStyle w:val="BodyText"/>
        <w:spacing w:line="355" w:lineRule="auto" w:before="30"/>
        <w:ind w:left="140" w:right="111" w:firstLine="424"/>
        <w:jc w:val="both"/>
      </w:pPr>
      <w:r>
        <w:rPr>
          <w:rFonts w:ascii="宋体" w:hAnsi="宋体" w:cs="宋体" w:eastAsia="宋体" w:hint="default"/>
        </w:rPr>
        <w:t>(6)</w:t>
      </w:r>
      <w:r>
        <w:rPr>
          <w:rFonts w:ascii="宋体" w:hAnsi="宋体" w:cs="宋体" w:eastAsia="宋体" w:hint="default"/>
          <w:spacing w:val="-13"/>
        </w:rPr>
        <w:t> </w:t>
      </w:r>
      <w:r>
        <w:rPr/>
        <w:t>就新华文轩中实体或业务活动的财务信息获取充分、适当的审计证据，以对财务报表发表</w:t>
      </w:r>
      <w:r>
        <w:rPr>
          <w:w w:val="100"/>
        </w:rPr>
        <w:t> </w:t>
      </w:r>
      <w:r>
        <w:rPr/>
        <w:t>审计意见。我们负责指导、监督和执行集团审计，并对审计意见承担全部责任。</w:t>
      </w:r>
    </w:p>
    <w:p>
      <w:pPr>
        <w:spacing w:line="240" w:lineRule="auto" w:before="0"/>
        <w:rPr>
          <w:rFonts w:ascii="宋体" w:hAnsi="宋体" w:cs="宋体" w:eastAsia="宋体" w:hint="default"/>
          <w:sz w:val="20"/>
          <w:szCs w:val="20"/>
        </w:rPr>
      </w:pPr>
    </w:p>
    <w:p>
      <w:pPr>
        <w:pStyle w:val="BodyText"/>
        <w:spacing w:line="357" w:lineRule="auto" w:before="178"/>
        <w:ind w:left="140" w:right="111" w:firstLine="424"/>
        <w:jc w:val="both"/>
      </w:pPr>
      <w:r>
        <w:rPr>
          <w:spacing w:val="-2"/>
        </w:rPr>
        <w:t>我们与治理层就计划的审计范围、时间安排和重大审计发现等事项进行沟通，包括沟通我们在</w:t>
      </w:r>
      <w:r>
        <w:rPr>
          <w:w w:val="100"/>
        </w:rPr>
        <w:t> </w:t>
      </w:r>
      <w:r>
        <w:rPr/>
        <w:t>审计中识别出的值得关注的内部控制缺陷。</w:t>
      </w:r>
    </w:p>
    <w:p>
      <w:pPr>
        <w:spacing w:line="240" w:lineRule="auto" w:before="0"/>
        <w:rPr>
          <w:rFonts w:ascii="宋体" w:hAnsi="宋体" w:cs="宋体" w:eastAsia="宋体" w:hint="default"/>
          <w:sz w:val="20"/>
          <w:szCs w:val="20"/>
        </w:rPr>
      </w:pPr>
    </w:p>
    <w:p>
      <w:pPr>
        <w:pStyle w:val="BodyText"/>
        <w:spacing w:line="355" w:lineRule="auto" w:before="177"/>
        <w:ind w:left="140" w:right="111" w:firstLine="424"/>
        <w:jc w:val="both"/>
      </w:pPr>
      <w:r>
        <w:rPr>
          <w:spacing w:val="-2"/>
        </w:rPr>
        <w:t>我们还就已遵守与独立性相关的职业道德要求向治理层提供声明，并与治理层沟通可能被合理</w:t>
      </w:r>
      <w:r>
        <w:rPr>
          <w:w w:val="100"/>
        </w:rPr>
        <w:t> </w:t>
      </w:r>
      <w:r>
        <w:rPr/>
        <w:t>认为影响我们独立性的所有关系和其他事项，以及相关的防范措施</w:t>
      </w:r>
      <w:r>
        <w:rPr>
          <w:rFonts w:ascii="宋体" w:hAnsi="宋体" w:cs="宋体" w:eastAsia="宋体" w:hint="default"/>
        </w:rPr>
        <w:t>(</w:t>
      </w:r>
      <w:r>
        <w:rPr/>
        <w:t>如适用</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140" w:right="111" w:firstLine="424"/>
        <w:jc w:val="both"/>
      </w:pPr>
      <w:r>
        <w:rPr>
          <w:spacing w:val="-2"/>
        </w:rPr>
        <w:t>从与治理层沟通的事项中，我们确定哪些事项对本年财务报表审计最为重要，因而构成关键审</w:t>
      </w:r>
      <w:r>
        <w:rPr>
          <w:w w:val="100"/>
        </w:rPr>
        <w:t> </w:t>
      </w:r>
      <w:r>
        <w:rPr>
          <w:spacing w:val="-2"/>
        </w:rPr>
        <w:t>计事项。我们在审计报告中描述这些事项，除非法律法规禁止公开披露这些事项，或在极少数情形</w:t>
      </w:r>
      <w:r>
        <w:rPr>
          <w:spacing w:val="-30"/>
        </w:rPr>
        <w:t> </w:t>
      </w:r>
      <w:r>
        <w:rPr>
          <w:spacing w:val="-30"/>
        </w:rPr>
      </w:r>
      <w:r>
        <w:rPr>
          <w:spacing w:val="-2"/>
        </w:rPr>
        <w:t>下，如果合理预期在审计报告中沟通某事项造成的负面后果超过在公众利益方面产生的益处，我们</w:t>
      </w:r>
      <w:r>
        <w:rPr>
          <w:spacing w:val="-31"/>
        </w:rPr>
        <w:t> </w:t>
      </w:r>
      <w:r>
        <w:rPr>
          <w:spacing w:val="-31"/>
        </w:rPr>
      </w:r>
      <w:r>
        <w:rPr/>
        <w:t>确定不应在审计报告中沟通该事项。</w:t>
      </w:r>
    </w:p>
    <w:p>
      <w:pPr>
        <w:spacing w:after="0" w:line="355" w:lineRule="auto"/>
        <w:jc w:val="both"/>
        <w:sectPr>
          <w:pgSz w:w="11910" w:h="16840"/>
          <w:pgMar w:header="0" w:footer="1195" w:top="106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7466" w:val="left" w:leader="none"/>
        </w:tabs>
        <w:spacing w:line="324" w:lineRule="auto" w:before="36"/>
        <w:ind w:right="525"/>
        <w:jc w:val="left"/>
      </w:pPr>
      <w:r>
        <w:rPr>
          <w:spacing w:val="-2"/>
        </w:rPr>
        <w:t>德勤华永会计师事务所</w:t>
      </w:r>
      <w:r>
        <w:rPr>
          <w:rFonts w:ascii="Calibri" w:hAnsi="Calibri" w:cs="Calibri" w:eastAsia="Calibri" w:hint="default"/>
          <w:spacing w:val="-2"/>
        </w:rPr>
        <w:t>(</w:t>
      </w:r>
      <w:r>
        <w:rPr>
          <w:spacing w:val="-2"/>
        </w:rPr>
        <w:t>特殊普通合伙</w:t>
      </w:r>
      <w:r>
        <w:rPr>
          <w:rFonts w:ascii="Calibri" w:hAnsi="Calibri" w:cs="Calibri" w:eastAsia="Calibri" w:hint="default"/>
          <w:spacing w:val="-2"/>
        </w:rPr>
        <w:t>)</w:t>
        <w:tab/>
      </w:r>
      <w:r>
        <w:rPr>
          <w:spacing w:val="-2"/>
        </w:rPr>
        <w:t>中国注册会计师</w:t>
      </w:r>
      <w:r>
        <w:rPr>
          <w:spacing w:val="-92"/>
        </w:rPr>
        <w:t> </w:t>
      </w:r>
      <w:r>
        <w:rPr>
          <w:spacing w:val="-92"/>
        </w:rPr>
      </w:r>
      <w:r>
        <w:rPr/>
        <w:t>中国•上海</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0" w:right="1048"/>
        <w:jc w:val="right"/>
      </w:pPr>
      <w:r>
        <w:rPr/>
        <w:t>解彦峰</w:t>
      </w:r>
    </w:p>
    <w:p>
      <w:pPr>
        <w:pStyle w:val="BodyText"/>
        <w:spacing w:line="240" w:lineRule="auto" w:before="133"/>
        <w:ind w:left="0" w:right="691"/>
        <w:jc w:val="right"/>
        <w:rPr>
          <w:rFonts w:ascii="Calibri" w:hAnsi="Calibri" w:cs="Calibri" w:eastAsia="Calibri" w:hint="default"/>
        </w:rPr>
      </w:pPr>
      <w:r>
        <w:rPr>
          <w:rFonts w:ascii="Calibri" w:hAnsi="Calibri" w:cs="Calibri" w:eastAsia="Calibri" w:hint="default"/>
          <w:spacing w:val="-1"/>
        </w:rPr>
        <w:t>(</w:t>
      </w:r>
      <w:r>
        <w:rPr>
          <w:spacing w:val="-1"/>
        </w:rPr>
        <w:t>项目合伙人</w:t>
      </w:r>
      <w:r>
        <w:rPr>
          <w:rFonts w:ascii="Calibri" w:hAnsi="Calibri" w:cs="Calibri" w:eastAsia="Calibri" w:hint="default"/>
          <w:spacing w:val="-1"/>
        </w:rPr>
        <w:t>)</w:t>
      </w:r>
    </w:p>
    <w:p>
      <w:pPr>
        <w:spacing w:line="240" w:lineRule="auto" w:before="0"/>
        <w:rPr>
          <w:rFonts w:ascii="Calibri" w:hAnsi="Calibri" w:cs="Calibri" w:eastAsia="Calibri" w:hint="default"/>
          <w:sz w:val="22"/>
          <w:szCs w:val="22"/>
        </w:rPr>
      </w:pPr>
    </w:p>
    <w:p>
      <w:pPr>
        <w:spacing w:line="240" w:lineRule="auto" w:before="2"/>
        <w:rPr>
          <w:rFonts w:ascii="Calibri" w:hAnsi="Calibri" w:cs="Calibri" w:eastAsia="Calibri" w:hint="default"/>
          <w:sz w:val="18"/>
          <w:szCs w:val="18"/>
        </w:rPr>
      </w:pPr>
    </w:p>
    <w:p>
      <w:pPr>
        <w:pStyle w:val="BodyText"/>
        <w:spacing w:line="240" w:lineRule="auto"/>
        <w:ind w:left="0" w:right="1008"/>
        <w:jc w:val="right"/>
      </w:pPr>
      <w:r>
        <w:rPr/>
        <w:t>李彦刚</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0" w:right="528"/>
        <w:jc w:val="right"/>
      </w:pPr>
      <w:r>
        <w:rPr>
          <w:rFonts w:ascii="Calibri" w:hAnsi="Calibri" w:cs="Calibri" w:eastAsia="Calibri" w:hint="default"/>
        </w:rPr>
        <w:t>2019</w:t>
      </w:r>
      <w:r>
        <w:rPr>
          <w:rFonts w:ascii="Calibri" w:hAnsi="Calibri" w:cs="Calibri" w:eastAsia="Calibri" w:hint="default"/>
          <w:spacing w:val="7"/>
        </w:rPr>
        <w:t> </w:t>
      </w:r>
      <w:r>
        <w:rPr/>
        <w:t>年</w:t>
      </w:r>
      <w:r>
        <w:rPr>
          <w:spacing w:val="-55"/>
        </w:rPr>
        <w:t> </w:t>
      </w:r>
      <w:r>
        <w:rPr>
          <w:rFonts w:ascii="Calibri" w:hAnsi="Calibri" w:cs="Calibri" w:eastAsia="Calibri" w:hint="default"/>
        </w:rPr>
        <w:t>3</w:t>
      </w:r>
      <w:r>
        <w:rPr>
          <w:rFonts w:ascii="Calibri" w:hAnsi="Calibri" w:cs="Calibri" w:eastAsia="Calibri" w:hint="default"/>
          <w:spacing w:val="3"/>
        </w:rPr>
        <w:t> </w:t>
      </w:r>
      <w:r>
        <w:rPr/>
        <w:t>月</w:t>
      </w:r>
      <w:r>
        <w:rPr>
          <w:spacing w:val="-53"/>
        </w:rPr>
        <w:t> </w:t>
      </w:r>
      <w:r>
        <w:rPr>
          <w:rFonts w:ascii="Calibri" w:hAnsi="Calibri" w:cs="Calibri" w:eastAsia="Calibri" w:hint="default"/>
        </w:rPr>
        <w:t>27</w:t>
      </w:r>
      <w:r>
        <w:rPr>
          <w:rFonts w:ascii="Calibri" w:hAnsi="Calibri" w:cs="Calibri" w:eastAsia="Calibri" w:hint="default"/>
          <w:spacing w:val="3"/>
        </w:rPr>
        <w:t> </w:t>
      </w:r>
      <w:r>
        <w:rPr/>
        <w:t>日</w:t>
      </w: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60" w:bottom="1380" w:left="1220" w:right="1220"/>
        </w:sectPr>
      </w:pPr>
    </w:p>
    <w:p>
      <w:pPr>
        <w:pStyle w:val="Heading2"/>
        <w:spacing w:line="240" w:lineRule="auto" w:before="36"/>
        <w:ind w:right="-15"/>
        <w:jc w:val="left"/>
        <w:rPr>
          <w:b w:val="0"/>
          <w:bCs w:val="0"/>
        </w:rPr>
      </w:pPr>
      <w:r>
        <w:rPr/>
        <w:t>二、财务报表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spacing w:before="0"/>
        <w:ind w:left="220" w:right="3848" w:firstLine="129"/>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10" w:h="16840"/>
          <w:pgMar w:top="1060" w:bottom="1380" w:left="1220" w:right="1220"/>
          <w:cols w:num="2" w:equalWidth="0">
            <w:col w:w="1491" w:space="2156"/>
            <w:col w:w="5823"/>
          </w:cols>
        </w:sectPr>
      </w:pPr>
    </w:p>
    <w:p>
      <w:pPr>
        <w:pStyle w:val="BodyText"/>
        <w:spacing w:line="271" w:lineRule="exact"/>
        <w:ind w:right="205"/>
        <w:jc w:val="left"/>
      </w:pPr>
      <w:r>
        <w:rPr/>
        <w:t>编制单位</w:t>
      </w:r>
      <w:r>
        <w:rPr>
          <w:rFonts w:ascii="宋体" w:hAnsi="宋体" w:cs="宋体" w:eastAsia="宋体" w:hint="default"/>
        </w:rPr>
        <w:t>:</w:t>
      </w:r>
      <w:r>
        <w:rPr>
          <w:rFonts w:ascii="宋体" w:hAnsi="宋体" w:cs="宋体" w:eastAsia="宋体" w:hint="default"/>
          <w:spacing w:val="-2"/>
        </w:rPr>
        <w:t> </w:t>
      </w:r>
      <w:r>
        <w:rPr/>
        <w:t>新华文轩出版传媒股份有限公司</w:t>
      </w:r>
    </w:p>
    <w:p>
      <w:pPr>
        <w:pStyle w:val="BodyText"/>
        <w:tabs>
          <w:tab w:pos="946" w:val="left" w:leader="none"/>
        </w:tabs>
        <w:spacing w:line="274" w:lineRule="exact"/>
        <w:ind w:left="0" w:right="213"/>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937"/>
        <w:gridCol w:w="953"/>
        <w:gridCol w:w="2172"/>
        <w:gridCol w:w="2168"/>
      </w:tblGrid>
      <w:tr>
        <w:trPr>
          <w:trHeight w:val="36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09"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06"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8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2,608,612,572.01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1,885,682,217.83</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1,262,431,274.52</w:t>
            </w: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1,617,030,048.35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1,280,220,854.76</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4,418,800.18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2,060,000.00</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1,612,611,248.17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1,278,160,854.76</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71,487,222.26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79,865,675.12</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99,002,826.00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109,354,915.49</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326,203.09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10,789,780.86</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1,921,544,765.26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1,764,445,460.22</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280,000,000.00</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70,874,065.89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1,184,329,531.05</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7,650,982,774.29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6,583,898,654.47</w:t>
            </w:r>
          </w:p>
        </w:tc>
      </w:tr>
    </w:tbl>
    <w:p>
      <w:pPr>
        <w:spacing w:after="0" w:line="243" w:lineRule="exact"/>
        <w:jc w:val="right"/>
        <w:rPr>
          <w:rFonts w:ascii="宋体" w:hAnsi="宋体" w:cs="宋体" w:eastAsia="宋体" w:hint="default"/>
          <w:sz w:val="21"/>
          <w:szCs w:val="21"/>
        </w:rPr>
        <w:sectPr>
          <w:type w:val="continuous"/>
          <w:pgSz w:w="11910" w:h="16840"/>
          <w:pgMar w:top="1060" w:bottom="138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3937"/>
        <w:gridCol w:w="953"/>
        <w:gridCol w:w="2172"/>
        <w:gridCol w:w="2168"/>
      </w:tblGrid>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2,116,088,000.42</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267,742,224.79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194,801,883.56</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374,130,558.86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356,585,702.56</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1,452,054,632.09</w:t>
            </w: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6"/>
              <w:jc w:val="right"/>
              <w:rPr>
                <w:rFonts w:ascii="宋体" w:hAnsi="宋体" w:cs="宋体" w:eastAsia="宋体" w:hint="default"/>
                <w:sz w:val="21"/>
                <w:szCs w:val="21"/>
              </w:rPr>
            </w:pPr>
            <w:r>
              <w:rPr>
                <w:rFonts w:ascii="宋体" w:hAnsi="宋体" w:cs="宋体" w:eastAsia="宋体" w:hint="default"/>
                <w:spacing w:val="-1"/>
                <w:sz w:val="21"/>
                <w:szCs w:val="21"/>
              </w:rPr>
              <w:t>其他非流动金融资产</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507,656,767.91</w:t>
            </w: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53,919,142.25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70,688,502.05</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1,284,362,282.11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1,293,739,079.58</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671,459,973.65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622,149,298.16</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334,741,307.45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340,754,220.83</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47,521,564.75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44,550,953.70</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500,590,036.14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500,590,036.14</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21,063,047.60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19,098,549.65</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11,674,788.33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10,257,055.60</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109,813,352.57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133,503,704.60</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5,636,729,678.50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5,702,806,986.85</w:t>
            </w: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13,287,712,452.79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12,286,705,641.32</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16"/>
              <w:jc w:val="right"/>
              <w:rPr>
                <w:rFonts w:ascii="宋体" w:hAnsi="宋体" w:cs="宋体" w:eastAsia="宋体" w:hint="default"/>
                <w:sz w:val="21"/>
                <w:szCs w:val="21"/>
              </w:rPr>
            </w:pPr>
            <w:r>
              <w:rPr>
                <w:rFonts w:ascii="宋体" w:hAnsi="宋体" w:cs="宋体" w:eastAsia="宋体" w:hint="default"/>
                <w:spacing w:val="-1"/>
                <w:sz w:val="21"/>
                <w:szCs w:val="21"/>
              </w:rPr>
              <w:t>吸收存款及同业存放</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益的金融负债</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6"/>
              <w:jc w:val="right"/>
              <w:rPr>
                <w:rFonts w:ascii="宋体" w:hAnsi="宋体" w:cs="宋体" w:eastAsia="宋体" w:hint="default"/>
                <w:sz w:val="21"/>
                <w:szCs w:val="21"/>
              </w:rPr>
            </w:pPr>
            <w:r>
              <w:rPr>
                <w:rFonts w:ascii="宋体" w:hAnsi="宋体" w:cs="宋体" w:eastAsia="宋体" w:hint="default"/>
                <w:spacing w:val="-1"/>
                <w:sz w:val="21"/>
                <w:szCs w:val="21"/>
              </w:rPr>
              <w:t>应付票据及应付账款</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3,620,513,916.23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3,144,291,382.23</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310,646,140.33</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338,681,880.89</w:t>
            </w: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6"/>
              <w:jc w:val="right"/>
              <w:rPr>
                <w:rFonts w:ascii="宋体" w:hAnsi="宋体" w:cs="宋体" w:eastAsia="宋体" w:hint="default"/>
                <w:sz w:val="21"/>
                <w:szCs w:val="21"/>
              </w:rPr>
            </w:pPr>
            <w:r>
              <w:rPr>
                <w:rFonts w:ascii="宋体" w:hAnsi="宋体" w:cs="宋体" w:eastAsia="宋体" w:hint="default"/>
                <w:spacing w:val="-1"/>
                <w:sz w:val="21"/>
                <w:szCs w:val="21"/>
              </w:rPr>
              <w:t>卖出回购金融资产款</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338,084,927.10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322,778,103.03</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48,138,758.54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42,878,058.50</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286,639,643.77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264,369,944.04</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202,228.29</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060" w:bottom="138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3937"/>
        <w:gridCol w:w="953"/>
        <w:gridCol w:w="2172"/>
        <w:gridCol w:w="2168"/>
      </w:tblGrid>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147,256,743.30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114,861,486.00</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4,779,315,869.83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4,199,825,114.13</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70,210,541.84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86,227,572.50</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32,156,680.02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43,830,724.30</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102,367,221.86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130,058,296.80</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4,881,683,091.69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4,329,883,410.93</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1,233,841,000.00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1,233,841,000.00</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2,572,524,766.32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2,572,587,684.82</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1,021,506,867.83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1,230,619,792.07</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711,068,358.95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625,743,635.42</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2,941,622,541.24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2,364,509,602.80</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8,480,563,534.34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8,027,301,715.11</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-74,534,173.24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-70,479,484.72</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8,406,029,361.10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7,956,822,230.39</w:t>
            </w:r>
          </w:p>
        </w:tc>
      </w:tr>
      <w:tr>
        <w:trPr>
          <w:trHeight w:val="55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953"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13,287,712,452.79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12,286,705,641.32</w:t>
            </w:r>
          </w:p>
        </w:tc>
      </w:tr>
    </w:tbl>
    <w:p>
      <w:pPr>
        <w:spacing w:line="240" w:lineRule="auto" w:before="5"/>
        <w:rPr>
          <w:rFonts w:ascii="Times New Roman" w:hAnsi="Times New Roman" w:cs="Times New Roman" w:eastAsia="Times New Roman" w:hint="default"/>
          <w:sz w:val="17"/>
          <w:szCs w:val="17"/>
        </w:rPr>
      </w:pPr>
    </w:p>
    <w:p>
      <w:pPr>
        <w:pStyle w:val="BodyText"/>
        <w:tabs>
          <w:tab w:pos="3160" w:val="left" w:leader="none"/>
          <w:tab w:pos="6732" w:val="left" w:leader="none"/>
        </w:tabs>
        <w:spacing w:line="240" w:lineRule="auto" w:before="36"/>
        <w:ind w:right="123"/>
        <w:jc w:val="left"/>
      </w:pPr>
      <w:r>
        <w:rPr>
          <w:spacing w:val="-1"/>
        </w:rPr>
        <w:t>法定代表人：何志勇</w:t>
        <w:tab/>
      </w:r>
      <w:r>
        <w:rPr>
          <w:spacing w:val="-2"/>
        </w:rPr>
        <w:t>主管会计工作负责人：朱在祥</w:t>
        <w:tab/>
        <w:t>会计机构负责人：吴素芳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060" w:bottom="1380" w:left="1220" w:right="1200"/>
        </w:sectPr>
      </w:pPr>
    </w:p>
    <w:p>
      <w:pPr>
        <w:spacing w:line="272" w:lineRule="exact" w:before="64"/>
        <w:ind w:left="3866" w:right="0" w:firstLine="24"/>
        <w:jc w:val="righ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BodyText"/>
        <w:spacing w:line="246" w:lineRule="exact"/>
        <w:ind w:right="0"/>
        <w:jc w:val="left"/>
      </w:pPr>
      <w:r>
        <w:rPr/>
        <w:t>编制单位</w:t>
      </w:r>
      <w:r>
        <w:rPr>
          <w:rFonts w:ascii="宋体" w:hAnsi="宋体" w:cs="宋体" w:eastAsia="宋体" w:hint="default"/>
        </w:rPr>
        <w:t>:</w:t>
      </w:r>
      <w:r>
        <w:rPr/>
        <w:t>新华文轩出版传媒股份有限公司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6"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220" w:right="1200"/>
          <w:cols w:num="2" w:equalWidth="0">
            <w:col w:w="5603" w:space="1325"/>
            <w:col w:w="2562"/>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730"/>
        <w:gridCol w:w="1159"/>
        <w:gridCol w:w="2139"/>
        <w:gridCol w:w="2221"/>
      </w:tblGrid>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4"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1,747,274,865.08</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sz w:val="21"/>
              </w:rPr>
              <w:t>1,107,004,995.34</w:t>
            </w:r>
          </w:p>
        </w:tc>
      </w:tr>
      <w:tr>
        <w:trPr>
          <w:trHeight w:val="284"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1,260,641,274.52</w:t>
            </w: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22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3730"/>
        <w:gridCol w:w="1159"/>
        <w:gridCol w:w="2139"/>
        <w:gridCol w:w="2221"/>
      </w:tblGrid>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952,202,293.41</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977,264,568.14</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952,202,293.41</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977,264,568.14</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14,540,721.77</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38,146,741.68</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785,461,799.31</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749,257,609.73</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326,203.09</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10,789,780.86</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280,000,000.00</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260,000,000.00</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461,402,357.67</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1,267,888,034.33</w:t>
            </w:r>
          </w:p>
        </w:tc>
      </w:tr>
      <w:tr>
        <w:trPr>
          <w:trHeight w:val="284"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280,000,000.00</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33,369,425.01</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1,156,865,130.99</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5,254,892,736.77</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5,576,427,080.21</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1,655,576,832.80</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117,235,224.30</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57,782,527.52</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3,481,334,206.35</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3,206,109,361.15</w:t>
            </w:r>
          </w:p>
        </w:tc>
      </w:tr>
      <w:tr>
        <w:trPr>
          <w:trHeight w:val="284"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1,450,835,200.00</w:t>
            </w: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94,837,468.07</w:t>
            </w: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20,788,699.30</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21,688,889.32</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845,414,947.25</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842,948,046.79</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667,163,884.76</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621,339,829.29</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143,191,480.50</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144,677,299.19</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17,116,365.91</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12,832,910.42</w:t>
            </w:r>
          </w:p>
        </w:tc>
      </w:tr>
      <w:tr>
        <w:trPr>
          <w:trHeight w:val="284"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552,718,628.57</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596,408,980.60</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7,390,636,105.01</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7,159,364,677.08</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12,645,528,841.78</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12,735,791,757.29</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3,596,410,411.15</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4,150,733,662.61</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229,900,017.25</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251,659,068.56</w:t>
            </w:r>
          </w:p>
        </w:tc>
        <w:tc>
          <w:tcPr>
            <w:tcW w:w="222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9"/>
          <w:pgSz w:w="11910" w:h="16840"/>
          <w:pgMar w:footer="1195" w:header="0" w:top="1060" w:bottom="1380" w:left="122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567" w:type="dxa"/>
        <w:tblLayout w:type="fixed"/>
        <w:tblCellMar>
          <w:top w:w="0" w:type="dxa"/>
          <w:left w:w="0" w:type="dxa"/>
          <w:bottom w:w="0" w:type="dxa"/>
          <w:right w:w="0" w:type="dxa"/>
        </w:tblCellMar>
        <w:tblLook w:val="01E0"/>
      </w:tblPr>
      <w:tblGrid>
        <w:gridCol w:w="3730"/>
        <w:gridCol w:w="1159"/>
        <w:gridCol w:w="2139"/>
        <w:gridCol w:w="2221"/>
      </w:tblGrid>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213,806,252.35</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212,907,765.25</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18,328,608.19</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18,382,724.24</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489,001,781.64</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419,773,590.84</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18,023,264.95</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14,624,096.93</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4,587,229,386.84</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5,046,321,857.12</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10,841,255.11</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17,250,635.60</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10,841,255.11</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17,250,635.60</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4,598,070,641.95</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5,063,572,492.72</w:t>
            </w:r>
          </w:p>
        </w:tc>
      </w:tr>
      <w:tr>
        <w:trPr>
          <w:trHeight w:val="284"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1,233,841,000.00</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1,233,841,000.00</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2,631,057,328.10</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2,631,057,328.10</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1,023,108,206.10</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1,136,163,193.05</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710,233,608.82</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624,908,885.29</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2,449,218,056.81</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2,046,248,858.13</w:t>
            </w:r>
          </w:p>
        </w:tc>
      </w:tr>
      <w:tr>
        <w:trPr>
          <w:trHeight w:val="284"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8,047,458,199.83</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7,672,219,264.57</w:t>
            </w:r>
          </w:p>
        </w:tc>
      </w:tr>
      <w:tr>
        <w:trPr>
          <w:trHeight w:val="554"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159"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12,645,528,841.78</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12,735,791,757.29</w:t>
            </w:r>
          </w:p>
        </w:tc>
      </w:tr>
    </w:tbl>
    <w:p>
      <w:pPr>
        <w:spacing w:line="240" w:lineRule="auto" w:before="5"/>
        <w:rPr>
          <w:rFonts w:ascii="Times New Roman" w:hAnsi="Times New Roman" w:cs="Times New Roman" w:eastAsia="Times New Roman" w:hint="default"/>
          <w:sz w:val="17"/>
          <w:szCs w:val="17"/>
        </w:rPr>
      </w:pPr>
    </w:p>
    <w:p>
      <w:pPr>
        <w:pStyle w:val="BodyText"/>
        <w:tabs>
          <w:tab w:pos="3412" w:val="left" w:leader="none"/>
          <w:tab w:pos="7086" w:val="left" w:leader="none"/>
        </w:tabs>
        <w:spacing w:line="240" w:lineRule="auto" w:before="36"/>
        <w:ind w:left="680" w:right="0"/>
        <w:jc w:val="left"/>
      </w:pPr>
      <w:r>
        <w:rPr>
          <w:spacing w:val="-1"/>
        </w:rPr>
        <w:t>法定代表人：何志勇</w:t>
        <w:tab/>
      </w:r>
      <w:r>
        <w:rPr>
          <w:spacing w:val="-2"/>
        </w:rPr>
        <w:t>主管会计工作负责人：朱在祥</w:t>
        <w:tab/>
        <w:t>会计机构负责人：吴素芳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0"/>
          <w:pgSz w:w="11910" w:h="16840"/>
          <w:pgMar w:footer="1195" w:header="0" w:top="1060" w:bottom="1380" w:left="760" w:right="1200"/>
          <w:pgNumType w:start="71"/>
        </w:sectPr>
      </w:pPr>
    </w:p>
    <w:p>
      <w:pPr>
        <w:spacing w:line="272" w:lineRule="exact" w:before="64"/>
        <w:ind w:left="4432" w:right="-16" w:firstLine="235"/>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557" w:val="left" w:leader="none"/>
        </w:tabs>
        <w:spacing w:line="240" w:lineRule="auto"/>
        <w:ind w:left="161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760" w:right="1200"/>
          <w:cols w:num="2" w:equalWidth="0">
            <w:col w:w="5957" w:space="40"/>
            <w:col w:w="3953"/>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923"/>
        <w:gridCol w:w="872"/>
        <w:gridCol w:w="1980"/>
        <w:gridCol w:w="1937"/>
      </w:tblGrid>
      <w:tr>
        <w:trPr>
          <w:trHeight w:val="284"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8,186,582,966.73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宋体" w:hAnsi="宋体" w:cs="宋体" w:eastAsia="宋体" w:hint="default"/>
                <w:sz w:val="21"/>
                <w:szCs w:val="21"/>
              </w:rPr>
            </w:pPr>
            <w:r>
              <w:rPr>
                <w:rFonts w:ascii="宋体"/>
                <w:sz w:val="21"/>
              </w:rPr>
              <w:t>7,345,882,957.66</w:t>
            </w:r>
          </w:p>
        </w:tc>
      </w:tr>
    </w:tbl>
    <w:p>
      <w:pPr>
        <w:spacing w:after="0" w:line="241" w:lineRule="exact"/>
        <w:jc w:val="center"/>
        <w:rPr>
          <w:rFonts w:ascii="宋体" w:hAnsi="宋体" w:cs="宋体" w:eastAsia="宋体" w:hint="default"/>
          <w:sz w:val="21"/>
          <w:szCs w:val="21"/>
        </w:rPr>
        <w:sectPr>
          <w:type w:val="continuous"/>
          <w:pgSz w:w="11910" w:h="16840"/>
          <w:pgMar w:top="1060" w:bottom="1380" w:left="76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4923"/>
        <w:gridCol w:w="872"/>
        <w:gridCol w:w="1980"/>
        <w:gridCol w:w="1937"/>
      </w:tblGrid>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8,186,582,966.73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7,345,882,957.66</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7,408,310,307.45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6,744,471,812.86</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5,115,028,020.85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4,686,978,912.13</w:t>
            </w: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36,982,584.14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37,577,186.66</w:t>
            </w: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1,010,672,983.29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892,516,374.83</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1,115,342,053.40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1,065,185,674.93</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13,592,602.42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5,820,875.63</w:t>
            </w: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-24,410,724.03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-24,360,291.07</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516,412.05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35,998,426.65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28,193,203.46</w:t>
            </w: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57,346,713.77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80,753,079.75</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83,756,073.61</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62,444,933.44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65,255,198.89</w:t>
            </w: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126,882,215.06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272,154,816.43</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20,614,370.74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10,286,556.13</w:t>
            </w: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公允价值变动收益（损失以“－”号填列）</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-38,181,032.61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10,279.16</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1,430,228.33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2,837,854.36</w:t>
            </w: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930,849,003.50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941,669,293.64</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10,614,766.98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8,691,686.24</w:t>
            </w: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25,543,150.09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33,320,723.97</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915,920,620.39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917,040,255.91</w:t>
            </w:r>
          </w:p>
        </w:tc>
      </w:tr>
      <w:tr>
        <w:trPr>
          <w:trHeight w:val="284"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-10,795,846.37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559,885.21</w:t>
            </w: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926,716,466.76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916,480,370.70</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持续经营净利润（净亏损以“－”号填列）</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926,716,466.76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916,480,370.70</w:t>
            </w: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终止经营净利润（净亏损以“－”号填列）</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932,184,804.06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923,844,500.04</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-5,468,337.30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-7,364,129.34</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-388,763,766.33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-815,201,000.16</w:t>
            </w: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归属母公司所有者的其他综合收益的税后净额</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-388,763,766.33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-815,201,000.16</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-388,763,766.33</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权益法下不能转损益的其他综合收益</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060" w:bottom="1380" w:left="76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388" w:type="dxa"/>
        <w:tblLayout w:type="fixed"/>
        <w:tblCellMar>
          <w:top w:w="0" w:type="dxa"/>
          <w:left w:w="0" w:type="dxa"/>
          <w:bottom w:w="0" w:type="dxa"/>
          <w:right w:w="0" w:type="dxa"/>
        </w:tblCellMar>
        <w:tblLook w:val="01E0"/>
      </w:tblPr>
      <w:tblGrid>
        <w:gridCol w:w="4923"/>
        <w:gridCol w:w="872"/>
        <w:gridCol w:w="1980"/>
        <w:gridCol w:w="1937"/>
      </w:tblGrid>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-388,763,766.33</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-815,201,000.16</w:t>
            </w: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21,163,104.62</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可供出售金融资产公允价值变动损益</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-836,364,104.78</w:t>
            </w: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金融资产重分类计入其他综合收益的金额</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持有至到期投资重分类为可供出售金融资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现金流量套期储备（现金流量套期损益的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有效部分）</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归属于少数股东的其他综合收益的税后净额</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537,952,700.43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101,279,370.54</w:t>
            </w: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543,421,037.73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108,643,499.88</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-5,468,337.30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-7,364,129.34</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0.75</w:t>
            </w:r>
          </w:p>
        </w:tc>
      </w:tr>
      <w:tr>
        <w:trPr>
          <w:trHeight w:val="283"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7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8"/>
        <w:rPr>
          <w:rFonts w:ascii="Times New Roman" w:hAnsi="Times New Roman" w:cs="Times New Roman" w:eastAsia="Times New Roman" w:hint="default"/>
          <w:sz w:val="17"/>
          <w:szCs w:val="17"/>
        </w:rPr>
      </w:pPr>
    </w:p>
    <w:p>
      <w:pPr>
        <w:pStyle w:val="BodyText"/>
        <w:tabs>
          <w:tab w:pos="4006" w:val="left" w:leader="none"/>
          <w:tab w:pos="7578" w:val="left" w:leader="none"/>
        </w:tabs>
        <w:spacing w:line="240" w:lineRule="auto" w:before="36"/>
        <w:ind w:left="960" w:right="0"/>
        <w:jc w:val="left"/>
      </w:pPr>
      <w:r>
        <w:rPr>
          <w:spacing w:val="-1"/>
        </w:rPr>
        <w:t>法定代表人：何志勇</w:t>
        <w:tab/>
      </w:r>
      <w:r>
        <w:rPr>
          <w:spacing w:val="-2"/>
        </w:rPr>
        <w:t>主管会计工作负责人：朱在祥</w:t>
        <w:tab/>
      </w:r>
      <w:r>
        <w:rPr>
          <w:spacing w:val="-1"/>
        </w:rPr>
        <w:t>会计机构负责人：吴素芳</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060" w:bottom="1380" w:left="480" w:right="1200"/>
        </w:sectPr>
      </w:pPr>
    </w:p>
    <w:p>
      <w:pPr>
        <w:spacing w:line="272" w:lineRule="exact" w:before="64"/>
        <w:ind w:left="4712" w:right="-16" w:firstLine="129"/>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557" w:val="left" w:leader="none"/>
        </w:tabs>
        <w:spacing w:line="240" w:lineRule="auto"/>
        <w:ind w:left="161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480" w:right="1200"/>
          <w:cols w:num="2" w:equalWidth="0">
            <w:col w:w="6237" w:space="40"/>
            <w:col w:w="3953"/>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926"/>
        <w:gridCol w:w="968"/>
        <w:gridCol w:w="2052"/>
        <w:gridCol w:w="2060"/>
      </w:tblGrid>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6"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6,487,346,371.20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5,887,412,464.66</w:t>
            </w:r>
          </w:p>
        </w:tc>
      </w:tr>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4,429,640,326.61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4,108,017,831.24</w:t>
            </w: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16,827,396.49</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16,169,783.20</w:t>
            </w: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724,458,893.51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649,227,085.01</w:t>
            </w:r>
          </w:p>
        </w:tc>
      </w:tr>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828,146,117.94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767,637,306.59</w:t>
            </w:r>
          </w:p>
        </w:tc>
      </w:tr>
      <w:tr>
        <w:trPr>
          <w:trHeight w:val="284"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-10,610,202.40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-16,731,359.91</w:t>
            </w:r>
          </w:p>
        </w:tc>
      </w:tr>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4,292,615.77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1,681,285.95</w:t>
            </w: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23,329,147.08</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19,588,593.79</w:t>
            </w: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2,061,235.77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53,779,949.61</w:t>
            </w:r>
          </w:p>
        </w:tc>
      </w:tr>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30,368,697.12</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3,612,061.44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6,007,170.75</w:t>
            </w:r>
          </w:p>
        </w:tc>
      </w:tr>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399,074,811.68</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570,288,952.02</w:t>
            </w: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27,176,545.20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13,423,993.37</w:t>
            </w: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公允价值变动收益（损失以“－”号填列）</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7,302,293.11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10,279.16</w:t>
            </w:r>
          </w:p>
        </w:tc>
      </w:tr>
      <w:tr>
        <w:trPr>
          <w:trHeight w:val="284"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26,124.33</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69,682.81</w:t>
            </w: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876,469,196.72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885,687,953.66</w:t>
            </w:r>
          </w:p>
        </w:tc>
      </w:tr>
    </w:tbl>
    <w:p>
      <w:pPr>
        <w:spacing w:after="0" w:line="241" w:lineRule="exact"/>
        <w:jc w:val="right"/>
        <w:rPr>
          <w:rFonts w:ascii="宋体" w:hAnsi="宋体" w:cs="宋体" w:eastAsia="宋体" w:hint="default"/>
          <w:sz w:val="21"/>
          <w:szCs w:val="21"/>
        </w:rPr>
        <w:sectPr>
          <w:type w:val="continuous"/>
          <w:pgSz w:w="11910" w:h="16840"/>
          <w:pgMar w:top="1060" w:bottom="1380" w:left="48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4926"/>
        <w:gridCol w:w="968"/>
        <w:gridCol w:w="2052"/>
        <w:gridCol w:w="2060"/>
      </w:tblGrid>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1,577,426.34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7,092,349.04</w:t>
            </w: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24,799,387.80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30,993,621.95</w:t>
            </w: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853,247,235.26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861,786,680.75</w:t>
            </w:r>
          </w:p>
        </w:tc>
      </w:tr>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853,247,235.26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861,786,680.75</w:t>
            </w: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108"/>
                <w:w w:val="100"/>
                <w:sz w:val="21"/>
                <w:szCs w:val="21"/>
              </w:rPr>
              <w:t>）</w:t>
            </w:r>
            <w:r>
              <w:rPr>
                <w:rFonts w:ascii="宋体" w:hAnsi="宋体" w:cs="宋体" w:eastAsia="宋体" w:hint="default"/>
                <w:w w:val="100"/>
                <w:sz w:val="21"/>
                <w:szCs w:val="21"/>
              </w:rPr>
              <w:t>持</w:t>
            </w:r>
            <w:r>
              <w:rPr>
                <w:rFonts w:ascii="宋体" w:hAnsi="宋体" w:cs="宋体" w:eastAsia="宋体" w:hint="default"/>
                <w:spacing w:val="-3"/>
                <w:w w:val="100"/>
                <w:sz w:val="21"/>
                <w:szCs w:val="21"/>
              </w:rPr>
              <w:t>续</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10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亏损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853,247,235.26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861,786,680.75</w:t>
            </w:r>
          </w:p>
        </w:tc>
      </w:tr>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11"/>
                <w:sz w:val="21"/>
                <w:szCs w:val="21"/>
              </w:rPr>
              <w:t>（二）终止经营净利润（净亏损以“－”号填列）</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-387,912,000.00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-872,234,843.78</w:t>
            </w: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-387,912,000.00</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权益法下不能转损益的其他综合收益</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-387,912,000.00</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-872,234,843.78</w:t>
            </w:r>
          </w:p>
        </w:tc>
      </w:tr>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可供出售金融资产公允价值变动损益</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-872,234,843.78</w:t>
            </w:r>
          </w:p>
        </w:tc>
      </w:tr>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金融资产重分类计入其他综合收益的金额</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持有至到期投资重分类为可供出售金融资产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现金流量套期储备（现金流量套期损益的有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效部分</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465,335,235.26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-10,448,163.03</w:t>
            </w: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0.69</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0.70</w:t>
            </w:r>
          </w:p>
        </w:tc>
      </w:tr>
      <w:tr>
        <w:trPr>
          <w:trHeight w:val="283"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7"/>
        <w:rPr>
          <w:rFonts w:ascii="宋体" w:hAnsi="宋体" w:cs="宋体" w:eastAsia="宋体" w:hint="default"/>
          <w:sz w:val="15"/>
          <w:szCs w:val="15"/>
        </w:rPr>
      </w:pPr>
    </w:p>
    <w:p>
      <w:pPr>
        <w:pStyle w:val="BodyText"/>
        <w:tabs>
          <w:tab w:pos="3900" w:val="left" w:leader="none"/>
          <w:tab w:pos="7261" w:val="left" w:leader="none"/>
        </w:tabs>
        <w:spacing w:line="240" w:lineRule="auto" w:before="36"/>
        <w:ind w:left="960" w:right="0"/>
        <w:jc w:val="left"/>
      </w:pPr>
      <w:r>
        <w:rPr>
          <w:spacing w:val="-1"/>
        </w:rPr>
        <w:t>法定代表人：何志勇</w:t>
        <w:tab/>
      </w:r>
      <w:r>
        <w:rPr>
          <w:spacing w:val="-2"/>
        </w:rPr>
        <w:t>主管会计工作负责人：朱在祥</w:t>
        <w:tab/>
      </w:r>
      <w:r>
        <w:rPr>
          <w:spacing w:val="-1"/>
        </w:rPr>
        <w:t>会计机构负责人：吴素芳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60" w:bottom="1380" w:left="480" w:right="1200"/>
        </w:sectPr>
      </w:pPr>
    </w:p>
    <w:p>
      <w:pPr>
        <w:spacing w:before="36"/>
        <w:ind w:left="4712" w:right="0" w:firstLine="24"/>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1" w:val="left" w:leader="none"/>
        </w:tabs>
        <w:spacing w:line="240" w:lineRule="auto"/>
        <w:ind w:left="1399" w:right="0"/>
        <w:jc w:val="left"/>
      </w:pPr>
      <w:r>
        <w:rPr>
          <w:spacing w:val="-1"/>
        </w:rPr>
        <w:t>单位：元</w:t>
        <w:tab/>
        <w:t>币种：人民币</w:t>
      </w:r>
    </w:p>
    <w:p>
      <w:pPr>
        <w:spacing w:after="0" w:line="240" w:lineRule="auto"/>
        <w:jc w:val="left"/>
        <w:sectPr>
          <w:type w:val="continuous"/>
          <w:pgSz w:w="11910" w:h="16840"/>
          <w:pgMar w:top="1060" w:bottom="1380" w:left="480" w:right="1200"/>
          <w:cols w:num="2" w:equalWidth="0">
            <w:col w:w="6237" w:space="40"/>
            <w:col w:w="3953"/>
          </w:cols>
        </w:sectPr>
      </w:pPr>
    </w:p>
    <w:p>
      <w:pPr>
        <w:spacing w:line="240" w:lineRule="auto" w:before="7"/>
        <w:rPr>
          <w:rFonts w:ascii="宋体" w:hAnsi="宋体" w:cs="宋体" w:eastAsia="宋体" w:hint="default"/>
          <w:sz w:val="2"/>
          <w:szCs w:val="2"/>
        </w:rPr>
      </w:pPr>
    </w:p>
    <w:tbl>
      <w:tblPr>
        <w:tblW w:w="0" w:type="auto"/>
        <w:jc w:val="left"/>
        <w:tblInd w:w="847" w:type="dxa"/>
        <w:tblLayout w:type="fixed"/>
        <w:tblCellMar>
          <w:top w:w="0" w:type="dxa"/>
          <w:left w:w="0" w:type="dxa"/>
          <w:bottom w:w="0" w:type="dxa"/>
          <w:right w:w="0" w:type="dxa"/>
        </w:tblCellMar>
        <w:tblLook w:val="01E0"/>
      </w:tblPr>
      <w:tblGrid>
        <w:gridCol w:w="3874"/>
        <w:gridCol w:w="936"/>
        <w:gridCol w:w="2220"/>
        <w:gridCol w:w="2213"/>
      </w:tblGrid>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sz w:val="21"/>
              </w:rPr>
              <w:t>8,428,611,018.96</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sz w:val="21"/>
              </w:rPr>
              <w:t>7,429,249,050.43</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94"/>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4"/>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48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3874"/>
        <w:gridCol w:w="936"/>
        <w:gridCol w:w="2220"/>
        <w:gridCol w:w="2213"/>
      </w:tblGrid>
      <w:tr>
        <w:trPr>
          <w:trHeight w:val="554"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2,859,806.40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29,900,529.02</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128,901,806.29</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57,301,876.32</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8,560,372,631.65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7,516,451,455.77</w:t>
            </w: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5,339,129,538.40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5,111,264,615.40</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1,023,749,106.97</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862,234,494.55</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101,761,373.63</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118,673,819.23</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1,102,282,340.68</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1,078,656,656.15</w:t>
            </w: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7,566,922,359.68</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7,170,829,585.33</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993,450,271.97</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345,621,870.44</w:t>
            </w: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2,517,083,314.41</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2,834,752,682.94</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108,667,864.64</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92,781,341.62</w:t>
            </w:r>
          </w:p>
        </w:tc>
      </w:tr>
      <w:tr>
        <w:trPr>
          <w:trHeight w:val="555"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4,535,883.74</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948,697.97</w:t>
            </w:r>
          </w:p>
        </w:tc>
      </w:tr>
      <w:tr>
        <w:trPr>
          <w:trHeight w:val="554"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393,915.64</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66,946,783.23</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283,561,027.40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151,392,643.48</w:t>
            </w: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2,914,242,005.83</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3,146,822,149.24</w:t>
            </w:r>
          </w:p>
        </w:tc>
      </w:tr>
      <w:tr>
        <w:trPr>
          <w:trHeight w:val="554"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160,006,970.69</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245,938,614.43</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2,628,735,897.95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2,493,519,157.58</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2,788,742,868.64</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2,739,457,772.01</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125,499,137.19</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407,364,377.23</w:t>
            </w: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5,035,000.00</w:t>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5,035,000.00</w:t>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10,423,573.81</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5,035,000.00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10,423,573.81</w:t>
            </w: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371,076,380.06</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502,733,430.03</w:t>
            </w:r>
          </w:p>
        </w:tc>
      </w:tr>
    </w:tbl>
    <w:p>
      <w:pPr>
        <w:spacing w:after="0" w:line="243" w:lineRule="exact"/>
        <w:jc w:val="right"/>
        <w:rPr>
          <w:rFonts w:ascii="宋体" w:hAnsi="宋体" w:cs="宋体" w:eastAsia="宋体" w:hint="default"/>
          <w:sz w:val="21"/>
          <w:szCs w:val="21"/>
        </w:rPr>
        <w:sectPr>
          <w:pgSz w:w="11910" w:h="16840"/>
          <w:pgMar w:header="0" w:footer="1195" w:top="1060" w:bottom="138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3874"/>
        <w:gridCol w:w="936"/>
        <w:gridCol w:w="2220"/>
        <w:gridCol w:w="2213"/>
      </w:tblGrid>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5"/>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其中：子公司支付给少数股东的股利、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205,439.69</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202,228.29</w:t>
            </w: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1,780,947.00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69,271,000.00</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372,857,327.06</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572,004,430.03</w:t>
            </w: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-367,822,327.06</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-561,580,856.22</w:t>
            </w:r>
          </w:p>
        </w:tc>
      </w:tr>
      <w:tr>
        <w:trPr>
          <w:trHeight w:val="557"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响</w:t>
            </w:r>
            <w:r>
              <w:rPr>
                <w:rFonts w:ascii="宋体" w:hAnsi="宋体" w:cs="宋体" w:eastAsia="宋体" w:hint="default"/>
                <w:w w:val="100"/>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751,127,082.10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191,405,391.45</w:t>
            </w:r>
          </w:p>
        </w:tc>
      </w:tr>
      <w:tr>
        <w:trPr>
          <w:trHeight w:val="283"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1,825,572,649.15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1,634,167,257.70</w:t>
            </w:r>
          </w:p>
        </w:tc>
      </w:tr>
      <w:tr>
        <w:trPr>
          <w:trHeight w:val="284" w:hRule="exact"/>
        </w:trPr>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2,576,699,731.25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1,825,572,649.15</w:t>
            </w:r>
          </w:p>
        </w:tc>
      </w:tr>
    </w:tbl>
    <w:p>
      <w:pPr>
        <w:spacing w:line="240" w:lineRule="auto" w:before="5"/>
        <w:rPr>
          <w:rFonts w:ascii="Times New Roman" w:hAnsi="Times New Roman" w:cs="Times New Roman" w:eastAsia="Times New Roman" w:hint="default"/>
          <w:sz w:val="17"/>
          <w:szCs w:val="17"/>
        </w:rPr>
      </w:pPr>
    </w:p>
    <w:p>
      <w:pPr>
        <w:pStyle w:val="BodyText"/>
        <w:tabs>
          <w:tab w:pos="3160" w:val="left" w:leader="none"/>
          <w:tab w:pos="6732" w:val="left" w:leader="none"/>
        </w:tabs>
        <w:spacing w:line="240" w:lineRule="auto" w:before="36"/>
        <w:ind w:right="205"/>
        <w:jc w:val="left"/>
      </w:pPr>
      <w:r>
        <w:rPr>
          <w:spacing w:val="-1"/>
        </w:rPr>
        <w:t>法定代表人：何志勇</w:t>
        <w:tab/>
      </w:r>
      <w:r>
        <w:rPr>
          <w:spacing w:val="-2"/>
        </w:rPr>
        <w:t>主管会计工作负责人：朱在祥</w:t>
        <w:tab/>
        <w:t>会计机构负责人：吴素芳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060" w:bottom="1380" w:left="1220" w:right="1220"/>
        </w:sectPr>
      </w:pPr>
    </w:p>
    <w:p>
      <w:pPr>
        <w:spacing w:line="272" w:lineRule="exact" w:before="64"/>
        <w:ind w:left="3972" w:right="-17"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73" w:val="left" w:leader="none"/>
        </w:tabs>
        <w:spacing w:line="240" w:lineRule="auto"/>
        <w:ind w:left="152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220" w:right="1220"/>
          <w:cols w:num="2" w:equalWidth="0">
            <w:col w:w="5581" w:space="40"/>
            <w:col w:w="3849"/>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730"/>
        <w:gridCol w:w="1085"/>
        <w:gridCol w:w="2218"/>
        <w:gridCol w:w="2211"/>
      </w:tblGrid>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7"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6,738,121,459.60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5,786,776,405.78</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78,264,836.82</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24,618,272.21</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6,816,386,296.42</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5,811,394,677.99</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4,139,923,742.13</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3,623,733,193.55</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0"/>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678,319,076.34</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552,083,662.37</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18,191,755.50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17,351,481.50</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891,963,192.88</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827,332,785.10</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5,728,397,766.85</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5,020,501,122.52</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1,087,988,529.57</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790,893,555.47</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2,496,073,314.41</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2,455,808,196.56</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94,298,266.48</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80,576,357.77</w:t>
            </w:r>
          </w:p>
        </w:tc>
      </w:tr>
      <w:tr>
        <w:trPr>
          <w:trHeight w:val="555"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501,146.39</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559,565.43</w:t>
            </w:r>
          </w:p>
        </w:tc>
      </w:tr>
      <w:tr>
        <w:trPr>
          <w:trHeight w:val="554"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134,319,106.68</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300,525,214.32</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660,250,632.25</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2,891,397,941.60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3,331,513,858.69</w:t>
            </w:r>
          </w:p>
        </w:tc>
      </w:tr>
      <w:tr>
        <w:trPr>
          <w:trHeight w:val="554"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125,887,487.71</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213,517,979.95</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2,862,784,197.95</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2,641,353,925.31</w:t>
            </w:r>
          </w:p>
        </w:tc>
      </w:tr>
      <w:tr>
        <w:trPr>
          <w:trHeight w:val="554"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55,000,000.00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531,000,000.00</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3,043,671,685.66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3,385,871,905.26</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0"/>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-152,273,744.06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-54,358,046.57</w:t>
            </w:r>
          </w:p>
        </w:tc>
      </w:tr>
    </w:tbl>
    <w:p>
      <w:pPr>
        <w:spacing w:after="0" w:line="243" w:lineRule="exact"/>
        <w:jc w:val="right"/>
        <w:rPr>
          <w:rFonts w:ascii="宋体" w:hAnsi="宋体" w:cs="宋体" w:eastAsia="宋体" w:hint="default"/>
          <w:sz w:val="21"/>
          <w:szCs w:val="21"/>
        </w:rPr>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3730"/>
        <w:gridCol w:w="1085"/>
        <w:gridCol w:w="2218"/>
        <w:gridCol w:w="2211"/>
      </w:tblGrid>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146,500,000.00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48,200,000.00</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146,500,000.00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48,200,000.00</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r>
      <w:tr>
        <w:trPr>
          <w:trHeight w:val="554"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分配股利、利润或偿付利息支付的现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374,444,915.77</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504,414,715.95</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65,500,000.00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91,000,000.00</w:t>
            </w:r>
          </w:p>
        </w:tc>
      </w:tr>
      <w:tr>
        <w:trPr>
          <w:trHeight w:val="284"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439,944,915.77</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595,414,715.95</w:t>
            </w:r>
          </w:p>
        </w:tc>
      </w:tr>
      <w:tr>
        <w:trPr>
          <w:trHeight w:val="281"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-293,444,915.77</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-547,214,715.95</w:t>
            </w:r>
          </w:p>
        </w:tc>
      </w:tr>
      <w:tr>
        <w:trPr>
          <w:trHeight w:val="554"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5"/>
                <w:sz w:val="21"/>
                <w:szCs w:val="21"/>
              </w:rPr>
              <w:t>四、汇率变动对现金及现金等价物的影</w:t>
            </w:r>
            <w:r>
              <w:rPr>
                <w:rFonts w:ascii="宋体" w:hAnsi="宋体" w:cs="宋体" w:eastAsia="宋体" w:hint="default"/>
                <w:spacing w:val="-5"/>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响</w:t>
            </w:r>
            <w:r>
              <w:rPr>
                <w:rFonts w:ascii="宋体" w:hAnsi="宋体" w:cs="宋体" w:eastAsia="宋体" w:hint="default"/>
                <w:w w:val="100"/>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642,269,869.74</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189,320,792.95</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1,105,004,995.34</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915,684,202.39</w:t>
            </w:r>
          </w:p>
        </w:tc>
      </w:tr>
      <w:tr>
        <w:trPr>
          <w:trHeight w:val="283"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1,747,274,865.08</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1,105,004,995.34</w:t>
            </w:r>
          </w:p>
        </w:tc>
      </w:tr>
    </w:tbl>
    <w:p>
      <w:pPr>
        <w:spacing w:line="240" w:lineRule="auto" w:before="5"/>
        <w:rPr>
          <w:rFonts w:ascii="宋体" w:hAnsi="宋体" w:cs="宋体" w:eastAsia="宋体" w:hint="default"/>
          <w:sz w:val="15"/>
          <w:szCs w:val="15"/>
        </w:rPr>
      </w:pPr>
    </w:p>
    <w:p>
      <w:pPr>
        <w:pStyle w:val="BodyText"/>
        <w:tabs>
          <w:tab w:pos="3057" w:val="left" w:leader="none"/>
          <w:tab w:pos="6523" w:val="left" w:leader="none"/>
        </w:tabs>
        <w:spacing w:line="240" w:lineRule="auto" w:before="36"/>
        <w:ind w:right="205"/>
        <w:jc w:val="left"/>
      </w:pPr>
      <w:r>
        <w:rPr>
          <w:spacing w:val="-1"/>
        </w:rPr>
        <w:t>法定代表人：何志勇</w:t>
        <w:tab/>
      </w:r>
      <w:r>
        <w:rPr>
          <w:spacing w:val="-2"/>
        </w:rPr>
        <w:t>主管会计工作负责人：朱在祥</w:t>
        <w:tab/>
        <w:t>会计机构负责人：吴素芳</w:t>
      </w:r>
    </w:p>
    <w:p>
      <w:pPr>
        <w:spacing w:after="0" w:line="240" w:lineRule="auto"/>
        <w:jc w:val="left"/>
        <w:sectPr>
          <w:pgSz w:w="11910" w:h="16840"/>
          <w:pgMar w:header="0" w:footer="1195" w:top="1060" w:bottom="1380" w:left="1220" w:right="12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31"/>
          <w:footerReference w:type="default" r:id="rId32"/>
          <w:pgSz w:w="16840" w:h="11910" w:orient="landscape"/>
          <w:pgMar w:header="882" w:footer="1195" w:top="1120" w:bottom="1380" w:left="1320" w:right="1300"/>
          <w:pgNumType w:start="78"/>
        </w:sectPr>
      </w:pPr>
    </w:p>
    <w:p>
      <w:pPr>
        <w:spacing w:before="36"/>
        <w:ind w:left="6327" w:right="-8"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384" w:val="left" w:leader="none"/>
        </w:tabs>
        <w:spacing w:line="240" w:lineRule="auto"/>
        <w:ind w:left="34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060" w:bottom="1380" w:left="1320" w:right="1300"/>
          <w:cols w:num="2" w:equalWidth="0">
            <w:col w:w="8145" w:space="40"/>
            <w:col w:w="6035"/>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956"/>
        <w:gridCol w:w="1274"/>
        <w:gridCol w:w="279"/>
        <w:gridCol w:w="286"/>
        <w:gridCol w:w="283"/>
        <w:gridCol w:w="1272"/>
        <w:gridCol w:w="286"/>
        <w:gridCol w:w="1277"/>
        <w:gridCol w:w="283"/>
        <w:gridCol w:w="1222"/>
        <w:gridCol w:w="319"/>
        <w:gridCol w:w="1277"/>
        <w:gridCol w:w="283"/>
        <w:gridCol w:w="1284"/>
        <w:gridCol w:w="1133"/>
        <w:gridCol w:w="1275"/>
      </w:tblGrid>
      <w:tr>
        <w:trPr>
          <w:trHeight w:val="250" w:hRule="exact"/>
        </w:trPr>
        <w:tc>
          <w:tcPr>
            <w:tcW w:w="1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6"/>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2033"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91" w:right="0"/>
              <w:jc w:val="center"/>
              <w:rPr>
                <w:rFonts w:ascii="宋体" w:hAnsi="宋体" w:cs="宋体" w:eastAsia="宋体" w:hint="default"/>
                <w:sz w:val="13"/>
                <w:szCs w:val="13"/>
              </w:rPr>
            </w:pPr>
            <w:r>
              <w:rPr>
                <w:rFonts w:ascii="宋体" w:hAnsi="宋体" w:cs="宋体" w:eastAsia="宋体" w:hint="default"/>
                <w:sz w:val="13"/>
                <w:szCs w:val="13"/>
              </w:rPr>
              <w:t>2018</w:t>
            </w:r>
            <w:r>
              <w:rPr>
                <w:rFonts w:ascii="宋体" w:hAnsi="宋体" w:cs="宋体" w:eastAsia="宋体" w:hint="default"/>
                <w:spacing w:val="-34"/>
                <w:sz w:val="13"/>
                <w:szCs w:val="13"/>
              </w:rPr>
              <w:t> </w:t>
            </w:r>
            <w:r>
              <w:rPr>
                <w:rFonts w:ascii="宋体" w:hAnsi="宋体" w:cs="宋体" w:eastAsia="宋体" w:hint="default"/>
                <w:sz w:val="13"/>
                <w:szCs w:val="13"/>
              </w:rPr>
              <w:t>年度</w:t>
            </w:r>
          </w:p>
        </w:tc>
      </w:tr>
      <w:tr>
        <w:trPr>
          <w:trHeight w:val="550" w:hRule="exact"/>
        </w:trPr>
        <w:tc>
          <w:tcPr>
            <w:tcW w:w="1956" w:type="dxa"/>
            <w:vMerge/>
            <w:tcBorders>
              <w:left w:val="single" w:sz="4" w:space="0" w:color="000000"/>
              <w:right w:val="single" w:sz="4" w:space="0" w:color="000000"/>
            </w:tcBorders>
          </w:tcPr>
          <w:p>
            <w:pPr/>
          </w:p>
        </w:tc>
        <w:tc>
          <w:tcPr>
            <w:tcW w:w="962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3"/>
              <w:ind w:left="167"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3"/>
              <w:ind w:left="175"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490" w:hRule="exact"/>
        </w:trPr>
        <w:tc>
          <w:tcPr>
            <w:tcW w:w="1956" w:type="dxa"/>
            <w:vMerge/>
            <w:tcBorders>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股本</w:t>
            </w:r>
          </w:p>
        </w:tc>
        <w:tc>
          <w:tcPr>
            <w:tcW w:w="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338" w:lineRule="auto" w:before="47"/>
              <w:ind w:left="288" w:right="159" w:hanging="131"/>
              <w:jc w:val="left"/>
              <w:rPr>
                <w:rFonts w:ascii="宋体" w:hAnsi="宋体" w:cs="宋体" w:eastAsia="宋体" w:hint="default"/>
                <w:sz w:val="13"/>
                <w:szCs w:val="13"/>
              </w:rPr>
            </w:pPr>
            <w:r>
              <w:rPr>
                <w:rFonts w:ascii="宋体" w:hAnsi="宋体" w:cs="宋体" w:eastAsia="宋体" w:hint="default"/>
                <w:sz w:val="13"/>
                <w:szCs w:val="13"/>
              </w:rPr>
              <w:t>其他权益</w:t>
            </w:r>
            <w:r>
              <w:rPr>
                <w:rFonts w:ascii="宋体" w:hAnsi="宋体" w:cs="宋体" w:eastAsia="宋体" w:hint="default"/>
                <w:w w:val="99"/>
                <w:sz w:val="13"/>
                <w:szCs w:val="13"/>
              </w:rPr>
              <w:t> </w:t>
            </w:r>
            <w:r>
              <w:rPr>
                <w:rFonts w:ascii="宋体" w:hAnsi="宋体" w:cs="宋体" w:eastAsia="宋体" w:hint="default"/>
                <w:sz w:val="13"/>
                <w:szCs w:val="13"/>
              </w:rPr>
              <w:t>工具</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both"/>
              <w:rPr>
                <w:rFonts w:ascii="宋体" w:hAnsi="宋体" w:cs="宋体" w:eastAsia="宋体" w:hint="default"/>
                <w:sz w:val="13"/>
                <w:szCs w:val="13"/>
              </w:rPr>
            </w:pPr>
            <w:r>
              <w:rPr>
                <w:rFonts w:ascii="宋体" w:hAnsi="宋体" w:cs="宋体" w:eastAsia="宋体" w:hint="default"/>
                <w:w w:val="99"/>
                <w:sz w:val="13"/>
                <w:szCs w:val="13"/>
              </w:rPr>
              <w:t>减</w:t>
            </w:r>
            <w:r>
              <w:rPr>
                <w:rFonts w:ascii="宋体" w:hAnsi="宋体" w:cs="宋体" w:eastAsia="宋体" w:hint="default"/>
                <w:sz w:val="13"/>
                <w:szCs w:val="13"/>
              </w:rPr>
            </w:r>
          </w:p>
          <w:p>
            <w:pPr>
              <w:pStyle w:val="TableParagraph"/>
              <w:spacing w:line="338" w:lineRule="auto" w:before="70"/>
              <w:ind w:left="103" w:right="41"/>
              <w:jc w:val="both"/>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w w:val="99"/>
                <w:sz w:val="13"/>
                <w:szCs w:val="13"/>
              </w:rPr>
              <w:t> </w:t>
            </w:r>
            <w:r>
              <w:rPr>
                <w:rFonts w:ascii="宋体" w:hAnsi="宋体" w:cs="宋体" w:eastAsia="宋体" w:hint="default"/>
                <w:sz w:val="13"/>
                <w:szCs w:val="13"/>
              </w:rPr>
              <w:t>库</w:t>
            </w:r>
            <w:r>
              <w:rPr>
                <w:rFonts w:ascii="宋体" w:hAnsi="宋体" w:cs="宋体" w:eastAsia="宋体" w:hint="default"/>
                <w:w w:val="99"/>
                <w:sz w:val="13"/>
                <w:szCs w:val="13"/>
              </w:rPr>
              <w:t> </w:t>
            </w:r>
            <w:r>
              <w:rPr>
                <w:rFonts w:ascii="宋体" w:hAnsi="宋体" w:cs="宋体" w:eastAsia="宋体" w:hint="default"/>
                <w:sz w:val="13"/>
                <w:szCs w:val="13"/>
              </w:rPr>
              <w:t>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2"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338" w:lineRule="auto"/>
              <w:ind w:left="100" w:right="41"/>
              <w:jc w:val="both"/>
              <w:rPr>
                <w:rFonts w:ascii="宋体" w:hAnsi="宋体" w:cs="宋体" w:eastAsia="宋体" w:hint="default"/>
                <w:sz w:val="13"/>
                <w:szCs w:val="13"/>
              </w:rPr>
            </w:pPr>
            <w:r>
              <w:rPr>
                <w:rFonts w:ascii="宋体" w:hAnsi="宋体" w:cs="宋体" w:eastAsia="宋体" w:hint="default"/>
                <w:sz w:val="13"/>
                <w:szCs w:val="13"/>
              </w:rPr>
              <w:t>专</w:t>
            </w:r>
            <w:r>
              <w:rPr>
                <w:rFonts w:ascii="宋体" w:hAnsi="宋体" w:cs="宋体" w:eastAsia="宋体" w:hint="default"/>
                <w:w w:val="99"/>
                <w:sz w:val="13"/>
                <w:szCs w:val="13"/>
              </w:rPr>
              <w:t> </w:t>
            </w:r>
            <w:r>
              <w:rPr>
                <w:rFonts w:ascii="宋体" w:hAnsi="宋体" w:cs="宋体" w:eastAsia="宋体" w:hint="default"/>
                <w:sz w:val="13"/>
                <w:szCs w:val="13"/>
              </w:rPr>
              <w:t>项</w:t>
            </w:r>
            <w:r>
              <w:rPr>
                <w:rFonts w:ascii="宋体" w:hAnsi="宋体" w:cs="宋体" w:eastAsia="宋体" w:hint="default"/>
                <w:w w:val="99"/>
                <w:sz w:val="13"/>
                <w:szCs w:val="13"/>
              </w:rPr>
              <w:t> </w:t>
            </w:r>
            <w:r>
              <w:rPr>
                <w:rFonts w:ascii="宋体" w:hAnsi="宋体" w:cs="宋体" w:eastAsia="宋体" w:hint="default"/>
                <w:sz w:val="13"/>
                <w:szCs w:val="13"/>
              </w:rPr>
              <w:t>储</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19" w:type="dxa"/>
            <w:vMerge w:val="restart"/>
            <w:tcBorders>
              <w:top w:val="single" w:sz="4" w:space="0" w:color="000000"/>
              <w:left w:val="single" w:sz="4" w:space="0" w:color="000000"/>
              <w:right w:val="single" w:sz="4" w:space="0" w:color="000000"/>
            </w:tcBorders>
          </w:tcPr>
          <w:p>
            <w:pPr>
              <w:pStyle w:val="TableParagraph"/>
              <w:spacing w:line="338" w:lineRule="auto" w:before="47"/>
              <w:ind w:left="103" w:right="74"/>
              <w:jc w:val="both"/>
              <w:rPr>
                <w:rFonts w:ascii="宋体" w:hAnsi="宋体" w:cs="宋体" w:eastAsia="宋体" w:hint="default"/>
                <w:sz w:val="13"/>
                <w:szCs w:val="13"/>
              </w:rPr>
            </w:pPr>
            <w:r>
              <w:rPr>
                <w:rFonts w:ascii="宋体" w:hAnsi="宋体" w:cs="宋体" w:eastAsia="宋体" w:hint="default"/>
                <w:sz w:val="13"/>
                <w:szCs w:val="13"/>
              </w:rPr>
              <w:t>一</w:t>
            </w:r>
            <w:r>
              <w:rPr>
                <w:rFonts w:ascii="宋体" w:hAnsi="宋体" w:cs="宋体" w:eastAsia="宋体" w:hint="default"/>
                <w:w w:val="99"/>
                <w:sz w:val="13"/>
                <w:szCs w:val="13"/>
              </w:rPr>
              <w:t> </w:t>
            </w:r>
            <w:r>
              <w:rPr>
                <w:rFonts w:ascii="宋体" w:hAnsi="宋体" w:cs="宋体" w:eastAsia="宋体" w:hint="default"/>
                <w:sz w:val="13"/>
                <w:szCs w:val="13"/>
              </w:rPr>
              <w:t>般</w:t>
            </w:r>
            <w:r>
              <w:rPr>
                <w:rFonts w:ascii="宋体" w:hAnsi="宋体" w:cs="宋体" w:eastAsia="宋体" w:hint="default"/>
                <w:w w:val="99"/>
                <w:sz w:val="13"/>
                <w:szCs w:val="13"/>
              </w:rPr>
              <w:t> </w:t>
            </w:r>
            <w:r>
              <w:rPr>
                <w:rFonts w:ascii="宋体" w:hAnsi="宋体" w:cs="宋体" w:eastAsia="宋体" w:hint="default"/>
                <w:sz w:val="13"/>
                <w:szCs w:val="13"/>
              </w:rPr>
              <w:t>风</w:t>
            </w:r>
            <w:r>
              <w:rPr>
                <w:rFonts w:ascii="宋体" w:hAnsi="宋体" w:cs="宋体" w:eastAsia="宋体" w:hint="default"/>
                <w:w w:val="99"/>
                <w:sz w:val="13"/>
                <w:szCs w:val="13"/>
              </w:rPr>
              <w:t> </w:t>
            </w:r>
            <w:r>
              <w:rPr>
                <w:rFonts w:ascii="宋体" w:hAnsi="宋体" w:cs="宋体" w:eastAsia="宋体" w:hint="default"/>
                <w:sz w:val="13"/>
                <w:szCs w:val="13"/>
              </w:rPr>
              <w:t>险</w:t>
            </w:r>
            <w:r>
              <w:rPr>
                <w:rFonts w:ascii="宋体" w:hAnsi="宋体" w:cs="宋体" w:eastAsia="宋体" w:hint="default"/>
                <w:w w:val="99"/>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168" w:lineRule="exact"/>
              <w:ind w:left="100" w:right="41"/>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小计</w:t>
            </w:r>
          </w:p>
        </w:tc>
        <w:tc>
          <w:tcPr>
            <w:tcW w:w="1133"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r>
      <w:tr>
        <w:trPr>
          <w:trHeight w:val="960" w:hRule="exact"/>
        </w:trPr>
        <w:tc>
          <w:tcPr>
            <w:tcW w:w="195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38" w:lineRule="auto"/>
              <w:ind w:left="103" w:right="34"/>
              <w:jc w:val="both"/>
              <w:rPr>
                <w:rFonts w:ascii="宋体" w:hAnsi="宋体" w:cs="宋体" w:eastAsia="宋体" w:hint="default"/>
                <w:sz w:val="13"/>
                <w:szCs w:val="13"/>
              </w:rPr>
            </w:pPr>
            <w:r>
              <w:rPr>
                <w:rFonts w:ascii="宋体" w:hAnsi="宋体" w:cs="宋体" w:eastAsia="宋体" w:hint="default"/>
                <w:sz w:val="13"/>
                <w:szCs w:val="13"/>
              </w:rPr>
              <w:t>优</w:t>
            </w:r>
            <w:r>
              <w:rPr>
                <w:rFonts w:ascii="宋体" w:hAnsi="宋体" w:cs="宋体" w:eastAsia="宋体" w:hint="default"/>
                <w:w w:val="99"/>
                <w:sz w:val="13"/>
                <w:szCs w:val="13"/>
              </w:rPr>
              <w:t> </w:t>
            </w: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38" w:lineRule="auto"/>
              <w:ind w:left="103" w:right="41"/>
              <w:jc w:val="both"/>
              <w:rPr>
                <w:rFonts w:ascii="宋体" w:hAnsi="宋体" w:cs="宋体" w:eastAsia="宋体" w:hint="default"/>
                <w:sz w:val="13"/>
                <w:szCs w:val="13"/>
              </w:rPr>
            </w:pPr>
            <w:r>
              <w:rPr>
                <w:rFonts w:ascii="宋体" w:hAnsi="宋体" w:cs="宋体" w:eastAsia="宋体" w:hint="default"/>
                <w:sz w:val="13"/>
                <w:szCs w:val="13"/>
              </w:rPr>
              <w:t>永</w:t>
            </w:r>
            <w:r>
              <w:rPr>
                <w:rFonts w:ascii="宋体" w:hAnsi="宋体" w:cs="宋体" w:eastAsia="宋体" w:hint="default"/>
                <w:w w:val="99"/>
                <w:sz w:val="13"/>
                <w:szCs w:val="13"/>
              </w:rPr>
              <w:t> </w:t>
            </w:r>
            <w:r>
              <w:rPr>
                <w:rFonts w:ascii="宋体" w:hAnsi="宋体" w:cs="宋体" w:eastAsia="宋体" w:hint="default"/>
                <w:sz w:val="13"/>
                <w:szCs w:val="13"/>
              </w:rPr>
              <w:t>续</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9"/>
                <w:szCs w:val="9"/>
              </w:rPr>
            </w:pPr>
          </w:p>
          <w:p>
            <w:pPr>
              <w:pStyle w:val="TableParagraph"/>
              <w:spacing w:line="338" w:lineRule="auto"/>
              <w:ind w:left="103" w:right="38"/>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272"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c>
          <w:tcPr>
            <w:tcW w:w="31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r>
      <w:tr>
        <w:trPr>
          <w:trHeight w:val="180"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1,233,841,000.00</w:t>
            </w:r>
            <w:r>
              <w:rPr>
                <w:rFonts w:ascii="宋体"/>
                <w:sz w:val="13"/>
              </w:rPr>
            </w: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2,572,587,684.82</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1,230,619,792.07</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625,743,635.42</w:t>
            </w:r>
            <w:r>
              <w:rPr>
                <w:rFonts w:ascii="宋体"/>
                <w:sz w:val="13"/>
              </w:rPr>
            </w: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4"/>
              <w:jc w:val="right"/>
              <w:rPr>
                <w:rFonts w:ascii="宋体" w:hAnsi="宋体" w:cs="宋体" w:eastAsia="宋体" w:hint="default"/>
                <w:sz w:val="13"/>
                <w:szCs w:val="13"/>
              </w:rPr>
            </w:pPr>
            <w:r>
              <w:rPr>
                <w:rFonts w:ascii="宋体"/>
                <w:w w:val="95"/>
                <w:sz w:val="13"/>
              </w:rPr>
              <w:t>2,364,509,602.80</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8,027,301,715.11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-70,479,484.72</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7,956,822,230.39</w:t>
            </w:r>
            <w:r>
              <w:rPr>
                <w:rFonts w:ascii="宋体"/>
                <w:sz w:val="13"/>
              </w:rPr>
            </w:r>
          </w:p>
        </w:tc>
      </w:tr>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179,650,842.09</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100,405,157.91</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280,056,000.00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280,056,000.00</w:t>
            </w:r>
            <w:r>
              <w:rPr>
                <w:rFonts w:ascii="宋体"/>
                <w:sz w:val="13"/>
              </w:rPr>
            </w:r>
          </w:p>
        </w:tc>
      </w:tr>
      <w:tr>
        <w:trPr>
          <w:trHeight w:val="180"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80"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1,233,841,000.00</w:t>
            </w:r>
            <w:r>
              <w:rPr>
                <w:rFonts w:ascii="宋体"/>
                <w:sz w:val="13"/>
              </w:rPr>
            </w: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2,572,587,684.82</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1,410,270,634.16</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625,743,635.42</w:t>
            </w:r>
            <w:r>
              <w:rPr>
                <w:rFonts w:ascii="宋体"/>
                <w:sz w:val="13"/>
              </w:rPr>
            </w: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4"/>
              <w:jc w:val="right"/>
              <w:rPr>
                <w:rFonts w:ascii="宋体" w:hAnsi="宋体" w:cs="宋体" w:eastAsia="宋体" w:hint="default"/>
                <w:sz w:val="13"/>
                <w:szCs w:val="13"/>
              </w:rPr>
            </w:pPr>
            <w:r>
              <w:rPr>
                <w:rFonts w:ascii="宋体"/>
                <w:w w:val="95"/>
                <w:sz w:val="13"/>
              </w:rPr>
              <w:t>2,464,914,760.71</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8,307,357,715.11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-70,479,484.72</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8,236,878,230.39</w:t>
            </w:r>
            <w:r>
              <w:rPr>
                <w:rFonts w:ascii="宋体"/>
                <w:sz w:val="13"/>
              </w:rPr>
            </w:r>
          </w:p>
        </w:tc>
      </w:tr>
      <w:tr>
        <w:trPr>
          <w:trHeight w:val="34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以“－”号填列）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-62,918.50</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-388,763,766.33</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85,324,723.53</w:t>
            </w:r>
            <w:r>
              <w:rPr>
                <w:rFonts w:ascii="宋体"/>
                <w:sz w:val="13"/>
              </w:rPr>
            </w: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476,707,780.53</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173,205,819.23</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-4,054,688.52</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169,151,130.71</w:t>
            </w:r>
            <w:r>
              <w:rPr>
                <w:rFonts w:ascii="宋体"/>
                <w:sz w:val="13"/>
              </w:rPr>
            </w:r>
          </w:p>
        </w:tc>
      </w:tr>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-388,763,766.33</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932,184,804.06</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543,421,037.73</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-5,468,337.30</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537,952,700.43</w:t>
            </w:r>
            <w:r>
              <w:rPr>
                <w:rFonts w:ascii="宋体"/>
                <w:sz w:val="13"/>
              </w:rPr>
            </w:r>
          </w:p>
        </w:tc>
      </w:tr>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-62,918.50</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-62,918.50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1,619,088.47</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1,556,169.97</w:t>
            </w:r>
            <w:r>
              <w:rPr>
                <w:rFonts w:ascii="宋体"/>
                <w:sz w:val="13"/>
              </w:rPr>
            </w:r>
          </w:p>
        </w:tc>
      </w:tr>
      <w:tr>
        <w:trPr>
          <w:trHeight w:val="180"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．所有者投入的普通股</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5,035,000.00</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5,035,000.00</w:t>
            </w:r>
            <w:r>
              <w:rPr>
                <w:rFonts w:ascii="宋体"/>
                <w:sz w:val="13"/>
              </w:rPr>
            </w:r>
          </w:p>
        </w:tc>
      </w:tr>
      <w:tr>
        <w:trPr>
          <w:trHeight w:val="346"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本</w:t>
            </w:r>
            <w:r>
              <w:rPr>
                <w:rFonts w:ascii="宋体" w:hAnsi="宋体" w:cs="宋体" w:eastAsia="宋体" w:hint="default"/>
                <w:sz w:val="13"/>
                <w:szCs w:val="13"/>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34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金额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80"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-62,918.50</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-62,918.50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-3,415,911.53</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-3,478,830.03</w:t>
            </w:r>
            <w:r>
              <w:rPr>
                <w:rFonts w:ascii="宋体"/>
                <w:sz w:val="13"/>
              </w:rPr>
            </w:r>
          </w:p>
        </w:tc>
      </w:tr>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85,324,723.53</w:t>
            </w:r>
            <w:r>
              <w:rPr>
                <w:rFonts w:ascii="宋体"/>
                <w:sz w:val="13"/>
              </w:rPr>
            </w: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-455,477,023.53</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-370,152,300.00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-205,439.69</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-370,357,739.69</w:t>
            </w:r>
            <w:r>
              <w:rPr>
                <w:rFonts w:ascii="宋体"/>
                <w:sz w:val="13"/>
              </w:rPr>
            </w:r>
          </w:p>
        </w:tc>
      </w:tr>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85,324,723.53</w:t>
            </w:r>
            <w:r>
              <w:rPr>
                <w:rFonts w:ascii="宋体"/>
                <w:sz w:val="13"/>
              </w:rPr>
            </w: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-85,324,723.53</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80"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-370,152,300.00</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-370,152,300.00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-205,439.69</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-370,357,739.69</w:t>
            </w:r>
            <w:r>
              <w:rPr>
                <w:rFonts w:ascii="宋体"/>
                <w:sz w:val="13"/>
              </w:rPr>
            </w:r>
          </w:p>
        </w:tc>
      </w:tr>
      <w:tr>
        <w:trPr>
          <w:trHeight w:val="180"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6"/>
                <w:sz w:val="13"/>
                <w:szCs w:val="13"/>
              </w:rPr>
              <w:t>1</w:t>
            </w:r>
            <w:r>
              <w:rPr>
                <w:rFonts w:ascii="宋体" w:hAnsi="宋体" w:cs="宋体" w:eastAsia="宋体" w:hint="default"/>
                <w:spacing w:val="-6"/>
                <w:sz w:val="13"/>
                <w:szCs w:val="13"/>
              </w:rPr>
              <w:t>．资本公积转增资本（或股本）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pacing w:val="-6"/>
                <w:sz w:val="13"/>
                <w:szCs w:val="13"/>
              </w:rPr>
              <w:t>2</w:t>
            </w:r>
            <w:r>
              <w:rPr>
                <w:rFonts w:ascii="宋体" w:hAnsi="宋体" w:cs="宋体" w:eastAsia="宋体" w:hint="default"/>
                <w:spacing w:val="-6"/>
                <w:sz w:val="13"/>
                <w:szCs w:val="13"/>
              </w:rPr>
              <w:t>．盈余公积转增资本（或股本）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34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．设定受益计划变动额结转留</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存收益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．其他综合收益结转留存收益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80"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6</w:t>
            </w:r>
            <w:r>
              <w:rPr>
                <w:rFonts w:ascii="宋体" w:hAnsi="宋体" w:cs="宋体" w:eastAsia="宋体" w:hint="default"/>
                <w:sz w:val="13"/>
                <w:szCs w:val="13"/>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80"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bl>
    <w:p>
      <w:pPr>
        <w:spacing w:after="0" w:line="145" w:lineRule="exact"/>
        <w:jc w:val="right"/>
        <w:rPr>
          <w:rFonts w:ascii="宋体" w:hAnsi="宋体" w:cs="宋体" w:eastAsia="宋体" w:hint="default"/>
          <w:sz w:val="13"/>
          <w:szCs w:val="13"/>
        </w:rPr>
        <w:sectPr>
          <w:type w:val="continuous"/>
          <w:pgSz w:w="16840" w:h="11910" w:orient="landscape"/>
          <w:pgMar w:top="1060" w:bottom="1380" w:left="1320" w:right="1300"/>
        </w:sectPr>
      </w:pPr>
    </w:p>
    <w:p>
      <w:pPr>
        <w:spacing w:line="240" w:lineRule="auto" w:before="4"/>
        <w:rPr>
          <w:rFonts w:ascii="Times New Roman" w:hAnsi="Times New Roman" w:cs="Times New Roman" w:eastAsia="Times New Roman" w:hint="default"/>
          <w:sz w:val="27"/>
          <w:szCs w:val="27"/>
        </w:rPr>
      </w:pPr>
    </w:p>
    <w:tbl>
      <w:tblPr>
        <w:tblW w:w="0" w:type="auto"/>
        <w:jc w:val="left"/>
        <w:tblInd w:w="260" w:type="dxa"/>
        <w:tblLayout w:type="fixed"/>
        <w:tblCellMar>
          <w:top w:w="0" w:type="dxa"/>
          <w:left w:w="0" w:type="dxa"/>
          <w:bottom w:w="0" w:type="dxa"/>
          <w:right w:w="0" w:type="dxa"/>
        </w:tblCellMar>
        <w:tblLook w:val="01E0"/>
      </w:tblPr>
      <w:tblGrid>
        <w:gridCol w:w="1956"/>
        <w:gridCol w:w="1274"/>
        <w:gridCol w:w="279"/>
        <w:gridCol w:w="286"/>
        <w:gridCol w:w="283"/>
        <w:gridCol w:w="1272"/>
        <w:gridCol w:w="286"/>
        <w:gridCol w:w="1277"/>
        <w:gridCol w:w="283"/>
        <w:gridCol w:w="1222"/>
        <w:gridCol w:w="319"/>
        <w:gridCol w:w="1277"/>
        <w:gridCol w:w="283"/>
        <w:gridCol w:w="1284"/>
        <w:gridCol w:w="1133"/>
        <w:gridCol w:w="1275"/>
      </w:tblGrid>
      <w:tr>
        <w:trPr>
          <w:trHeight w:val="1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r>
      <w:tr>
        <w:trPr>
          <w:trHeight w:val="180"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19" w:right="0"/>
              <w:jc w:val="left"/>
              <w:rPr>
                <w:rFonts w:ascii="宋体" w:hAnsi="宋体" w:cs="宋体" w:eastAsia="宋体" w:hint="default"/>
                <w:sz w:val="13"/>
                <w:szCs w:val="13"/>
              </w:rPr>
            </w:pPr>
            <w:r>
              <w:rPr>
                <w:rFonts w:ascii="宋体"/>
                <w:sz w:val="13"/>
              </w:rPr>
              <w:t>1,233,841,000.00</w:t>
            </w:r>
          </w:p>
        </w:tc>
        <w:tc>
          <w:tcPr>
            <w:tcW w:w="27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20" w:right="0"/>
              <w:jc w:val="left"/>
              <w:rPr>
                <w:rFonts w:ascii="宋体" w:hAnsi="宋体" w:cs="宋体" w:eastAsia="宋体" w:hint="default"/>
                <w:sz w:val="13"/>
                <w:szCs w:val="13"/>
              </w:rPr>
            </w:pPr>
            <w:r>
              <w:rPr>
                <w:rFonts w:ascii="宋体"/>
                <w:sz w:val="13"/>
              </w:rPr>
              <w:t>2,572,524,766.32</w:t>
            </w:r>
          </w:p>
        </w:tc>
        <w:tc>
          <w:tcPr>
            <w:tcW w:w="28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24" w:right="0"/>
              <w:jc w:val="left"/>
              <w:rPr>
                <w:rFonts w:ascii="宋体" w:hAnsi="宋体" w:cs="宋体" w:eastAsia="宋体" w:hint="default"/>
                <w:sz w:val="13"/>
                <w:szCs w:val="13"/>
              </w:rPr>
            </w:pPr>
            <w:r>
              <w:rPr>
                <w:rFonts w:ascii="宋体"/>
                <w:sz w:val="13"/>
              </w:rPr>
              <w:t>1,021,506,867.83</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99" w:right="0"/>
              <w:jc w:val="left"/>
              <w:rPr>
                <w:rFonts w:ascii="宋体" w:hAnsi="宋体" w:cs="宋体" w:eastAsia="宋体" w:hint="default"/>
                <w:sz w:val="13"/>
                <w:szCs w:val="13"/>
              </w:rPr>
            </w:pPr>
            <w:r>
              <w:rPr>
                <w:rFonts w:ascii="宋体"/>
                <w:sz w:val="13"/>
              </w:rPr>
              <w:t>711,068,358.95</w:t>
            </w:r>
          </w:p>
        </w:tc>
        <w:tc>
          <w:tcPr>
            <w:tcW w:w="31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8" w:right="0"/>
              <w:jc w:val="center"/>
              <w:rPr>
                <w:rFonts w:ascii="宋体" w:hAnsi="宋体" w:cs="宋体" w:eastAsia="宋体" w:hint="default"/>
                <w:sz w:val="13"/>
                <w:szCs w:val="13"/>
              </w:rPr>
            </w:pPr>
            <w:r>
              <w:rPr>
                <w:rFonts w:ascii="宋体"/>
                <w:w w:val="99"/>
                <w:sz w:val="13"/>
              </w:rPr>
              <w:t>-</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24" w:right="0"/>
              <w:jc w:val="left"/>
              <w:rPr>
                <w:rFonts w:ascii="宋体" w:hAnsi="宋体" w:cs="宋体" w:eastAsia="宋体" w:hint="default"/>
                <w:sz w:val="13"/>
                <w:szCs w:val="13"/>
              </w:rPr>
            </w:pPr>
            <w:r>
              <w:rPr>
                <w:rFonts w:ascii="宋体"/>
                <w:sz w:val="13"/>
              </w:rPr>
              <w:t>2,941,622,541.24</w:t>
            </w:r>
          </w:p>
        </w:tc>
        <w:tc>
          <w:tcPr>
            <w:tcW w:w="28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8,480,563,534.34</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7" w:right="0"/>
              <w:jc w:val="left"/>
              <w:rPr>
                <w:rFonts w:ascii="宋体" w:hAnsi="宋体" w:cs="宋体" w:eastAsia="宋体" w:hint="default"/>
                <w:sz w:val="13"/>
                <w:szCs w:val="13"/>
              </w:rPr>
            </w:pPr>
            <w:r>
              <w:rPr>
                <w:rFonts w:ascii="宋体"/>
                <w:sz w:val="13"/>
              </w:rPr>
              <w:t>-74,534,173.24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8,406,029,361.10</w:t>
            </w:r>
            <w:r>
              <w:rPr>
                <w:rFonts w:ascii="宋体"/>
                <w:sz w:val="13"/>
              </w:rPr>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2074"/>
        <w:gridCol w:w="1277"/>
        <w:gridCol w:w="284"/>
        <w:gridCol w:w="286"/>
        <w:gridCol w:w="286"/>
        <w:gridCol w:w="1255"/>
        <w:gridCol w:w="442"/>
        <w:gridCol w:w="1289"/>
        <w:gridCol w:w="348"/>
        <w:gridCol w:w="1166"/>
        <w:gridCol w:w="372"/>
        <w:gridCol w:w="1256"/>
        <w:gridCol w:w="264"/>
        <w:gridCol w:w="1282"/>
        <w:gridCol w:w="1133"/>
        <w:gridCol w:w="1260"/>
      </w:tblGrid>
      <w:tr>
        <w:trPr>
          <w:trHeight w:val="250" w:hRule="exact"/>
        </w:trPr>
        <w:tc>
          <w:tcPr>
            <w:tcW w:w="20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199"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93" w:right="0"/>
              <w:jc w:val="center"/>
              <w:rPr>
                <w:rFonts w:ascii="宋体" w:hAnsi="宋体" w:cs="宋体" w:eastAsia="宋体" w:hint="default"/>
                <w:sz w:val="13"/>
                <w:szCs w:val="13"/>
              </w:rPr>
            </w:pPr>
            <w:r>
              <w:rPr>
                <w:rFonts w:ascii="宋体" w:hAnsi="宋体" w:cs="宋体" w:eastAsia="宋体" w:hint="default"/>
                <w:sz w:val="13"/>
                <w:szCs w:val="13"/>
              </w:rPr>
              <w:t>2017</w:t>
            </w:r>
            <w:r>
              <w:rPr>
                <w:rFonts w:ascii="宋体" w:hAnsi="宋体" w:cs="宋体" w:eastAsia="宋体" w:hint="default"/>
                <w:spacing w:val="-34"/>
                <w:sz w:val="13"/>
                <w:szCs w:val="13"/>
              </w:rPr>
              <w:t> </w:t>
            </w:r>
            <w:r>
              <w:rPr>
                <w:rFonts w:ascii="宋体" w:hAnsi="宋体" w:cs="宋体" w:eastAsia="宋体" w:hint="default"/>
                <w:sz w:val="13"/>
                <w:szCs w:val="13"/>
              </w:rPr>
              <w:t>年度</w:t>
            </w:r>
          </w:p>
        </w:tc>
      </w:tr>
      <w:tr>
        <w:trPr>
          <w:trHeight w:val="482" w:hRule="exact"/>
        </w:trPr>
        <w:tc>
          <w:tcPr>
            <w:tcW w:w="2074" w:type="dxa"/>
            <w:vMerge/>
            <w:tcBorders>
              <w:left w:val="single" w:sz="4" w:space="0" w:color="000000"/>
              <w:right w:val="single" w:sz="4" w:space="0" w:color="000000"/>
            </w:tcBorders>
          </w:tcPr>
          <w:p>
            <w:pPr/>
          </w:p>
        </w:tc>
        <w:tc>
          <w:tcPr>
            <w:tcW w:w="980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3"/>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4"/>
                <w:szCs w:val="14"/>
              </w:rPr>
            </w:pPr>
          </w:p>
          <w:p>
            <w:pPr>
              <w:pStyle w:val="TableParagraph"/>
              <w:spacing w:line="240" w:lineRule="auto"/>
              <w:ind w:left="168"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4"/>
                <w:szCs w:val="14"/>
              </w:rPr>
            </w:pPr>
          </w:p>
          <w:p>
            <w:pPr>
              <w:pStyle w:val="TableParagraph"/>
              <w:spacing w:line="240" w:lineRule="auto"/>
              <w:ind w:left="167"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490" w:hRule="exact"/>
        </w:trPr>
        <w:tc>
          <w:tcPr>
            <w:tcW w:w="2074"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338" w:lineRule="auto" w:before="47"/>
              <w:ind w:left="290" w:right="166" w:hanging="133"/>
              <w:jc w:val="left"/>
              <w:rPr>
                <w:rFonts w:ascii="宋体" w:hAnsi="宋体" w:cs="宋体" w:eastAsia="宋体" w:hint="default"/>
                <w:sz w:val="13"/>
                <w:szCs w:val="13"/>
              </w:rPr>
            </w:pPr>
            <w:r>
              <w:rPr>
                <w:rFonts w:ascii="宋体" w:hAnsi="宋体" w:cs="宋体" w:eastAsia="宋体" w:hint="default"/>
                <w:sz w:val="13"/>
                <w:szCs w:val="13"/>
              </w:rPr>
              <w:t>其他权益</w:t>
            </w:r>
            <w:r>
              <w:rPr>
                <w:rFonts w:ascii="宋体" w:hAnsi="宋体" w:cs="宋体" w:eastAsia="宋体" w:hint="default"/>
                <w:w w:val="99"/>
                <w:sz w:val="13"/>
                <w:szCs w:val="13"/>
              </w:rPr>
              <w:t> </w:t>
            </w:r>
            <w:r>
              <w:rPr>
                <w:rFonts w:ascii="宋体" w:hAnsi="宋体" w:cs="宋体" w:eastAsia="宋体" w:hint="default"/>
                <w:sz w:val="13"/>
                <w:szCs w:val="13"/>
              </w:rPr>
              <w:t>工具</w:t>
            </w:r>
          </w:p>
        </w:tc>
        <w:tc>
          <w:tcPr>
            <w:tcW w:w="12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left="362"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38" w:lineRule="auto"/>
              <w:ind w:left="148" w:right="67" w:hanging="46"/>
              <w:jc w:val="left"/>
              <w:rPr>
                <w:rFonts w:ascii="宋体" w:hAnsi="宋体" w:cs="宋体" w:eastAsia="宋体" w:hint="default"/>
                <w:sz w:val="13"/>
                <w:szCs w:val="13"/>
              </w:rPr>
            </w:pP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库</w:t>
            </w:r>
            <w:r>
              <w:rPr>
                <w:rFonts w:ascii="宋体" w:hAnsi="宋体" w:cs="宋体" w:eastAsia="宋体" w:hint="default"/>
                <w:w w:val="99"/>
                <w:sz w:val="13"/>
                <w:szCs w:val="13"/>
              </w:rPr>
              <w:t> </w:t>
            </w:r>
            <w:r>
              <w:rPr>
                <w:rFonts w:ascii="宋体" w:hAnsi="宋体" w:cs="宋体" w:eastAsia="宋体" w:hint="default"/>
                <w:sz w:val="13"/>
                <w:szCs w:val="13"/>
              </w:rPr>
              <w:t>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left="247"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3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38" w:lineRule="auto"/>
              <w:ind w:left="103" w:right="103"/>
              <w:jc w:val="both"/>
              <w:rPr>
                <w:rFonts w:ascii="宋体" w:hAnsi="宋体" w:cs="宋体" w:eastAsia="宋体" w:hint="default"/>
                <w:sz w:val="13"/>
                <w:szCs w:val="13"/>
              </w:rPr>
            </w:pPr>
            <w:r>
              <w:rPr>
                <w:rFonts w:ascii="宋体" w:hAnsi="宋体" w:cs="宋体" w:eastAsia="宋体" w:hint="default"/>
                <w:sz w:val="13"/>
                <w:szCs w:val="13"/>
              </w:rPr>
              <w:t>专</w:t>
            </w:r>
            <w:r>
              <w:rPr>
                <w:rFonts w:ascii="宋体" w:hAnsi="宋体" w:cs="宋体" w:eastAsia="宋体" w:hint="default"/>
                <w:w w:val="99"/>
                <w:sz w:val="13"/>
                <w:szCs w:val="13"/>
              </w:rPr>
              <w:t> </w:t>
            </w:r>
            <w:r>
              <w:rPr>
                <w:rFonts w:ascii="宋体" w:hAnsi="宋体" w:cs="宋体" w:eastAsia="宋体" w:hint="default"/>
                <w:sz w:val="13"/>
                <w:szCs w:val="13"/>
              </w:rPr>
              <w:t>项</w:t>
            </w:r>
            <w:r>
              <w:rPr>
                <w:rFonts w:ascii="宋体" w:hAnsi="宋体" w:cs="宋体" w:eastAsia="宋体" w:hint="default"/>
                <w:w w:val="99"/>
                <w:sz w:val="13"/>
                <w:szCs w:val="13"/>
              </w:rPr>
              <w:t> </w:t>
            </w:r>
            <w:r>
              <w:rPr>
                <w:rFonts w:ascii="宋体" w:hAnsi="宋体" w:cs="宋体" w:eastAsia="宋体" w:hint="default"/>
                <w:sz w:val="13"/>
                <w:szCs w:val="13"/>
              </w:rPr>
              <w:t>储</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left="316"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72" w:type="dxa"/>
            <w:vMerge w:val="restart"/>
            <w:tcBorders>
              <w:top w:val="single" w:sz="4" w:space="0" w:color="000000"/>
              <w:left w:val="single" w:sz="4" w:space="0" w:color="000000"/>
              <w:right w:val="single" w:sz="4" w:space="0" w:color="000000"/>
            </w:tcBorders>
          </w:tcPr>
          <w:p>
            <w:pPr>
              <w:pStyle w:val="TableParagraph"/>
              <w:spacing w:line="338" w:lineRule="auto" w:before="47"/>
              <w:ind w:left="115" w:right="115"/>
              <w:jc w:val="both"/>
              <w:rPr>
                <w:rFonts w:ascii="宋体" w:hAnsi="宋体" w:cs="宋体" w:eastAsia="宋体" w:hint="default"/>
                <w:sz w:val="13"/>
                <w:szCs w:val="13"/>
              </w:rPr>
            </w:pPr>
            <w:r>
              <w:rPr>
                <w:rFonts w:ascii="宋体" w:hAnsi="宋体" w:cs="宋体" w:eastAsia="宋体" w:hint="default"/>
                <w:sz w:val="13"/>
                <w:szCs w:val="13"/>
              </w:rPr>
              <w:t>一</w:t>
            </w:r>
            <w:r>
              <w:rPr>
                <w:rFonts w:ascii="宋体" w:hAnsi="宋体" w:cs="宋体" w:eastAsia="宋体" w:hint="default"/>
                <w:w w:val="99"/>
                <w:sz w:val="13"/>
                <w:szCs w:val="13"/>
              </w:rPr>
              <w:t> </w:t>
            </w:r>
            <w:r>
              <w:rPr>
                <w:rFonts w:ascii="宋体" w:hAnsi="宋体" w:cs="宋体" w:eastAsia="宋体" w:hint="default"/>
                <w:sz w:val="13"/>
                <w:szCs w:val="13"/>
              </w:rPr>
              <w:t>般</w:t>
            </w:r>
            <w:r>
              <w:rPr>
                <w:rFonts w:ascii="宋体" w:hAnsi="宋体" w:cs="宋体" w:eastAsia="宋体" w:hint="default"/>
                <w:w w:val="99"/>
                <w:sz w:val="13"/>
                <w:szCs w:val="13"/>
              </w:rPr>
              <w:t> </w:t>
            </w:r>
            <w:r>
              <w:rPr>
                <w:rFonts w:ascii="宋体" w:hAnsi="宋体" w:cs="宋体" w:eastAsia="宋体" w:hint="default"/>
                <w:sz w:val="13"/>
                <w:szCs w:val="13"/>
              </w:rPr>
              <w:t>风</w:t>
            </w:r>
            <w:r>
              <w:rPr>
                <w:rFonts w:ascii="宋体" w:hAnsi="宋体" w:cs="宋体" w:eastAsia="宋体" w:hint="default"/>
                <w:w w:val="99"/>
                <w:sz w:val="13"/>
                <w:szCs w:val="13"/>
              </w:rPr>
              <w:t> </w:t>
            </w:r>
            <w:r>
              <w:rPr>
                <w:rFonts w:ascii="宋体" w:hAnsi="宋体" w:cs="宋体" w:eastAsia="宋体" w:hint="default"/>
                <w:sz w:val="13"/>
                <w:szCs w:val="13"/>
              </w:rPr>
              <w:t>险</w:t>
            </w:r>
            <w:r>
              <w:rPr>
                <w:rFonts w:ascii="宋体" w:hAnsi="宋体" w:cs="宋体" w:eastAsia="宋体" w:hint="default"/>
                <w:w w:val="99"/>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left="297"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2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9"/>
                <w:szCs w:val="9"/>
              </w:rPr>
            </w:pPr>
          </w:p>
          <w:p>
            <w:pPr>
              <w:pStyle w:val="TableParagraph"/>
              <w:spacing w:line="240" w:lineRule="auto"/>
              <w:ind w:left="19" w:right="103"/>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小计</w:t>
            </w:r>
          </w:p>
        </w:tc>
        <w:tc>
          <w:tcPr>
            <w:tcW w:w="1133"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961" w:hRule="exact"/>
        </w:trPr>
        <w:tc>
          <w:tcPr>
            <w:tcW w:w="20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37" w:lineRule="auto"/>
              <w:ind w:left="100" w:right="41"/>
              <w:jc w:val="both"/>
              <w:rPr>
                <w:rFonts w:ascii="宋体" w:hAnsi="宋体" w:cs="宋体" w:eastAsia="宋体" w:hint="default"/>
                <w:sz w:val="13"/>
                <w:szCs w:val="13"/>
              </w:rPr>
            </w:pPr>
            <w:r>
              <w:rPr>
                <w:rFonts w:ascii="宋体" w:hAnsi="宋体" w:cs="宋体" w:eastAsia="宋体" w:hint="default"/>
                <w:sz w:val="13"/>
                <w:szCs w:val="13"/>
              </w:rPr>
              <w:t>优</w:t>
            </w:r>
            <w:r>
              <w:rPr>
                <w:rFonts w:ascii="宋体" w:hAnsi="宋体" w:cs="宋体" w:eastAsia="宋体" w:hint="default"/>
                <w:w w:val="99"/>
                <w:sz w:val="13"/>
                <w:szCs w:val="13"/>
              </w:rPr>
              <w:t> </w:t>
            </w: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37" w:lineRule="auto"/>
              <w:ind w:left="103" w:right="41"/>
              <w:jc w:val="both"/>
              <w:rPr>
                <w:rFonts w:ascii="宋体" w:hAnsi="宋体" w:cs="宋体" w:eastAsia="宋体" w:hint="default"/>
                <w:sz w:val="13"/>
                <w:szCs w:val="13"/>
              </w:rPr>
            </w:pPr>
            <w:r>
              <w:rPr>
                <w:rFonts w:ascii="宋体" w:hAnsi="宋体" w:cs="宋体" w:eastAsia="宋体" w:hint="default"/>
                <w:sz w:val="13"/>
                <w:szCs w:val="13"/>
              </w:rPr>
              <w:t>永</w:t>
            </w:r>
            <w:r>
              <w:rPr>
                <w:rFonts w:ascii="宋体" w:hAnsi="宋体" w:cs="宋体" w:eastAsia="宋体" w:hint="default"/>
                <w:w w:val="99"/>
                <w:sz w:val="13"/>
                <w:szCs w:val="13"/>
              </w:rPr>
              <w:t> </w:t>
            </w:r>
            <w:r>
              <w:rPr>
                <w:rFonts w:ascii="宋体" w:hAnsi="宋体" w:cs="宋体" w:eastAsia="宋体" w:hint="default"/>
                <w:sz w:val="13"/>
                <w:szCs w:val="13"/>
              </w:rPr>
              <w:t>续</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168" w:lineRule="exact"/>
              <w:ind w:left="103" w:right="41"/>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255"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34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372" w:type="dxa"/>
            <w:vMerge/>
            <w:tcBorders>
              <w:left w:val="single" w:sz="4" w:space="0" w:color="000000"/>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264" w:type="dxa"/>
            <w:vMerge/>
            <w:tcBorders>
              <w:left w:val="single" w:sz="4" w:space="0" w:color="000000"/>
              <w:bottom w:val="single" w:sz="4" w:space="0" w:color="000000"/>
              <w:right w:val="single" w:sz="4" w:space="0" w:color="000000"/>
            </w:tcBorders>
          </w:tcPr>
          <w:p>
            <w:pPr/>
          </w:p>
        </w:tc>
        <w:tc>
          <w:tcPr>
            <w:tcW w:w="128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1,233,841,000.00</w:t>
            </w:r>
            <w:r>
              <w:rPr>
                <w:rFonts w:ascii="宋体"/>
                <w:sz w:val="13"/>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2,619,467,530.11</w:t>
            </w:r>
            <w:r>
              <w:rPr>
                <w:rFonts w:ascii="宋体"/>
                <w:sz w:val="13"/>
              </w:rPr>
            </w: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6"/>
              <w:jc w:val="right"/>
              <w:rPr>
                <w:rFonts w:ascii="宋体" w:hAnsi="宋体" w:cs="宋体" w:eastAsia="宋体" w:hint="default"/>
                <w:sz w:val="13"/>
                <w:szCs w:val="13"/>
              </w:rPr>
            </w:pPr>
            <w:r>
              <w:rPr>
                <w:rFonts w:ascii="宋体"/>
                <w:w w:val="95"/>
                <w:sz w:val="13"/>
              </w:rPr>
              <w:t>2,045,820,792.23</w:t>
            </w:r>
            <w:r>
              <w:rPr>
                <w:rFonts w:ascii="宋体"/>
                <w:sz w:val="13"/>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8" w:right="0"/>
              <w:jc w:val="center"/>
              <w:rPr>
                <w:rFonts w:ascii="宋体" w:hAnsi="宋体" w:cs="宋体" w:eastAsia="宋体" w:hint="default"/>
                <w:sz w:val="13"/>
                <w:szCs w:val="13"/>
              </w:rPr>
            </w:pPr>
            <w:r>
              <w:rPr>
                <w:rFonts w:ascii="宋体"/>
                <w:sz w:val="13"/>
              </w:rPr>
              <w:t>539,564,967.34</w:t>
            </w: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1,896,996,070.84</w:t>
            </w:r>
            <w:r>
              <w:rPr>
                <w:rFonts w:ascii="宋体"/>
                <w:sz w:val="13"/>
              </w:rPr>
            </w: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8,335,690,360.52</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-41,213,009.74</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6"/>
              <w:jc w:val="right"/>
              <w:rPr>
                <w:rFonts w:ascii="宋体" w:hAnsi="宋体" w:cs="宋体" w:eastAsia="宋体" w:hint="default"/>
                <w:sz w:val="13"/>
                <w:szCs w:val="13"/>
              </w:rPr>
            </w:pPr>
            <w:r>
              <w:rPr>
                <w:rFonts w:ascii="宋体"/>
                <w:w w:val="95"/>
                <w:sz w:val="13"/>
              </w:rPr>
              <w:t>8,294,477,350.78</w:t>
            </w:r>
            <w:r>
              <w:rPr>
                <w:rFonts w:ascii="宋体"/>
                <w:sz w:val="13"/>
              </w:rPr>
            </w:r>
          </w:p>
        </w:tc>
      </w:tr>
      <w:tr>
        <w:trPr>
          <w:trHeight w:val="180"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1,233,841,000.00</w:t>
            </w:r>
            <w:r>
              <w:rPr>
                <w:rFonts w:ascii="宋体"/>
                <w:sz w:val="13"/>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2,619,467,530.11</w:t>
            </w:r>
            <w:r>
              <w:rPr>
                <w:rFonts w:ascii="宋体"/>
                <w:sz w:val="13"/>
              </w:rPr>
            </w: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6"/>
              <w:jc w:val="right"/>
              <w:rPr>
                <w:rFonts w:ascii="宋体" w:hAnsi="宋体" w:cs="宋体" w:eastAsia="宋体" w:hint="default"/>
                <w:sz w:val="13"/>
                <w:szCs w:val="13"/>
              </w:rPr>
            </w:pPr>
            <w:r>
              <w:rPr>
                <w:rFonts w:ascii="宋体"/>
                <w:w w:val="95"/>
                <w:sz w:val="13"/>
              </w:rPr>
              <w:t>2,045,820,792.23</w:t>
            </w:r>
            <w:r>
              <w:rPr>
                <w:rFonts w:ascii="宋体"/>
                <w:sz w:val="13"/>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8" w:right="0"/>
              <w:jc w:val="center"/>
              <w:rPr>
                <w:rFonts w:ascii="宋体" w:hAnsi="宋体" w:cs="宋体" w:eastAsia="宋体" w:hint="default"/>
                <w:sz w:val="13"/>
                <w:szCs w:val="13"/>
              </w:rPr>
            </w:pPr>
            <w:r>
              <w:rPr>
                <w:rFonts w:ascii="宋体"/>
                <w:sz w:val="13"/>
              </w:rPr>
              <w:t>539,564,967.34</w:t>
            </w: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1,896,996,070.84</w:t>
            </w:r>
            <w:r>
              <w:rPr>
                <w:rFonts w:ascii="宋体"/>
                <w:sz w:val="13"/>
              </w:rPr>
            </w: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8,335,690,360.52</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-41,213,009.74</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6"/>
              <w:jc w:val="right"/>
              <w:rPr>
                <w:rFonts w:ascii="宋体" w:hAnsi="宋体" w:cs="宋体" w:eastAsia="宋体" w:hint="default"/>
                <w:sz w:val="13"/>
                <w:szCs w:val="13"/>
              </w:rPr>
            </w:pPr>
            <w:r>
              <w:rPr>
                <w:rFonts w:ascii="宋体"/>
                <w:w w:val="95"/>
                <w:sz w:val="13"/>
              </w:rPr>
              <w:t>8,294,477,350.78</w:t>
            </w:r>
            <w:r>
              <w:rPr>
                <w:rFonts w:ascii="宋体"/>
                <w:sz w:val="13"/>
              </w:rPr>
            </w:r>
          </w:p>
        </w:tc>
      </w:tr>
      <w:tr>
        <w:trPr>
          <w:trHeight w:val="34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-46,879,845.29</w:t>
            </w:r>
            <w:r>
              <w:rPr>
                <w:rFonts w:ascii="宋体"/>
                <w:sz w:val="13"/>
              </w:rPr>
            </w: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6"/>
              <w:jc w:val="right"/>
              <w:rPr>
                <w:rFonts w:ascii="宋体" w:hAnsi="宋体" w:cs="宋体" w:eastAsia="宋体" w:hint="default"/>
                <w:sz w:val="13"/>
                <w:szCs w:val="13"/>
              </w:rPr>
            </w:pPr>
            <w:r>
              <w:rPr>
                <w:rFonts w:ascii="宋体"/>
                <w:w w:val="95"/>
                <w:sz w:val="13"/>
              </w:rPr>
              <w:t>-815,201,000.16</w:t>
            </w:r>
            <w:r>
              <w:rPr>
                <w:rFonts w:ascii="宋体"/>
                <w:sz w:val="13"/>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center"/>
              <w:rPr>
                <w:rFonts w:ascii="宋体" w:hAnsi="宋体" w:cs="宋体" w:eastAsia="宋体" w:hint="default"/>
                <w:sz w:val="13"/>
                <w:szCs w:val="13"/>
              </w:rPr>
            </w:pPr>
            <w:r>
              <w:rPr>
                <w:rFonts w:ascii="宋体"/>
                <w:sz w:val="13"/>
              </w:rPr>
              <w:t>86,178,668.08</w:t>
            </w: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467,513,531.96</w:t>
            </w:r>
            <w:r>
              <w:rPr>
                <w:rFonts w:ascii="宋体"/>
                <w:sz w:val="13"/>
              </w:rPr>
            </w: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-308,388,645.41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-29,266,474.98</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6"/>
              <w:jc w:val="right"/>
              <w:rPr>
                <w:rFonts w:ascii="宋体" w:hAnsi="宋体" w:cs="宋体" w:eastAsia="宋体" w:hint="default"/>
                <w:sz w:val="13"/>
                <w:szCs w:val="13"/>
              </w:rPr>
            </w:pPr>
            <w:r>
              <w:rPr>
                <w:rFonts w:ascii="宋体"/>
                <w:w w:val="95"/>
                <w:sz w:val="13"/>
              </w:rPr>
              <w:t>-337,655,120.39</w:t>
            </w:r>
            <w:r>
              <w:rPr>
                <w:rFonts w:ascii="宋体"/>
                <w:sz w:val="13"/>
              </w:rPr>
            </w: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6"/>
              <w:jc w:val="right"/>
              <w:rPr>
                <w:rFonts w:ascii="宋体" w:hAnsi="宋体" w:cs="宋体" w:eastAsia="宋体" w:hint="default"/>
                <w:sz w:val="13"/>
                <w:szCs w:val="13"/>
              </w:rPr>
            </w:pPr>
            <w:r>
              <w:rPr>
                <w:rFonts w:ascii="宋体"/>
                <w:w w:val="95"/>
                <w:sz w:val="13"/>
              </w:rPr>
              <w:t>-815,201,000.16</w:t>
            </w:r>
            <w:r>
              <w:rPr>
                <w:rFonts w:ascii="宋体"/>
                <w:sz w:val="13"/>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923,844,500.04</w:t>
            </w:r>
            <w:r>
              <w:rPr>
                <w:rFonts w:ascii="宋体"/>
                <w:sz w:val="13"/>
              </w:rPr>
            </w: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108,643,499.88</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-7,364,129.34</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6"/>
              <w:jc w:val="right"/>
              <w:rPr>
                <w:rFonts w:ascii="宋体" w:hAnsi="宋体" w:cs="宋体" w:eastAsia="宋体" w:hint="default"/>
                <w:sz w:val="13"/>
                <w:szCs w:val="13"/>
              </w:rPr>
            </w:pPr>
            <w:r>
              <w:rPr>
                <w:rFonts w:ascii="宋体"/>
                <w:w w:val="95"/>
                <w:sz w:val="13"/>
              </w:rPr>
              <w:t>101,279,370.54</w:t>
            </w:r>
            <w:r>
              <w:rPr>
                <w:rFonts w:ascii="宋体"/>
                <w:sz w:val="13"/>
              </w:rPr>
            </w:r>
          </w:p>
        </w:tc>
      </w:tr>
      <w:tr>
        <w:trPr>
          <w:trHeight w:val="180"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-46,879,845.29</w:t>
            </w:r>
            <w:r>
              <w:rPr>
                <w:rFonts w:ascii="宋体"/>
                <w:sz w:val="13"/>
              </w:rPr>
            </w: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-46,879,845.29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-21,700,117.35</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6"/>
              <w:jc w:val="right"/>
              <w:rPr>
                <w:rFonts w:ascii="宋体" w:hAnsi="宋体" w:cs="宋体" w:eastAsia="宋体" w:hint="default"/>
                <w:sz w:val="13"/>
                <w:szCs w:val="13"/>
              </w:rPr>
            </w:pPr>
            <w:r>
              <w:rPr>
                <w:rFonts w:ascii="宋体"/>
                <w:w w:val="95"/>
                <w:sz w:val="13"/>
              </w:rPr>
              <w:t>-68,579,962.64</w:t>
            </w:r>
            <w:r>
              <w:rPr>
                <w:rFonts w:ascii="宋体"/>
                <w:sz w:val="13"/>
              </w:rPr>
            </w: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．所有者投入的普通股</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3"/>
              <w:jc w:val="right"/>
              <w:rPr>
                <w:rFonts w:ascii="宋体" w:hAnsi="宋体" w:cs="宋体" w:eastAsia="宋体" w:hint="default"/>
                <w:sz w:val="13"/>
                <w:szCs w:val="13"/>
              </w:rPr>
            </w:pPr>
            <w:r>
              <w:rPr>
                <w:rFonts w:ascii="宋体"/>
                <w:w w:val="99"/>
                <w:sz w:val="13"/>
              </w:rPr>
              <w:t>-</w:t>
            </w:r>
            <w:r>
              <w:rPr>
                <w:rFonts w:ascii="宋体"/>
                <w:sz w:val="13"/>
              </w:rPr>
            </w:r>
          </w:p>
        </w:tc>
      </w:tr>
      <w:tr>
        <w:trPr>
          <w:trHeight w:val="180"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r>
      <w:tr>
        <w:trPr>
          <w:trHeight w:val="346"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额</w:t>
            </w:r>
            <w:r>
              <w:rPr>
                <w:rFonts w:ascii="宋体" w:hAnsi="宋体" w:cs="宋体" w:eastAsia="宋体" w:hint="default"/>
                <w:sz w:val="13"/>
                <w:szCs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r>
      <w:tr>
        <w:trPr>
          <w:trHeight w:val="180"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-46,879,845.29</w:t>
            </w:r>
            <w:r>
              <w:rPr>
                <w:rFonts w:ascii="宋体"/>
                <w:sz w:val="13"/>
              </w:rPr>
            </w: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-46,879,845.29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-21,700,117.35</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6"/>
              <w:jc w:val="right"/>
              <w:rPr>
                <w:rFonts w:ascii="宋体" w:hAnsi="宋体" w:cs="宋体" w:eastAsia="宋体" w:hint="default"/>
                <w:sz w:val="13"/>
                <w:szCs w:val="13"/>
              </w:rPr>
            </w:pPr>
            <w:r>
              <w:rPr>
                <w:rFonts w:ascii="宋体"/>
                <w:w w:val="95"/>
                <w:sz w:val="13"/>
              </w:rPr>
              <w:t>-68,579,962.64</w:t>
            </w:r>
            <w:r>
              <w:rPr>
                <w:rFonts w:ascii="宋体"/>
                <w:sz w:val="13"/>
              </w:rPr>
            </w: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center"/>
              <w:rPr>
                <w:rFonts w:ascii="宋体" w:hAnsi="宋体" w:cs="宋体" w:eastAsia="宋体" w:hint="default"/>
                <w:sz w:val="13"/>
                <w:szCs w:val="13"/>
              </w:rPr>
            </w:pPr>
            <w:r>
              <w:rPr>
                <w:rFonts w:ascii="宋体"/>
                <w:sz w:val="13"/>
              </w:rPr>
              <w:t>86,178,668.08</w:t>
            </w: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-456,330,968.08</w:t>
            </w:r>
            <w:r>
              <w:rPr>
                <w:rFonts w:ascii="宋体"/>
                <w:sz w:val="13"/>
              </w:rPr>
            </w: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-370,152,300.00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-202,228.29</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6"/>
              <w:jc w:val="right"/>
              <w:rPr>
                <w:rFonts w:ascii="宋体" w:hAnsi="宋体" w:cs="宋体" w:eastAsia="宋体" w:hint="default"/>
                <w:sz w:val="13"/>
                <w:szCs w:val="13"/>
              </w:rPr>
            </w:pPr>
            <w:r>
              <w:rPr>
                <w:rFonts w:ascii="宋体"/>
                <w:w w:val="95"/>
                <w:sz w:val="13"/>
              </w:rPr>
              <w:t>-370,354,528.29</w:t>
            </w:r>
            <w:r>
              <w:rPr>
                <w:rFonts w:ascii="宋体"/>
                <w:sz w:val="13"/>
              </w:rPr>
            </w: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center"/>
              <w:rPr>
                <w:rFonts w:ascii="宋体" w:hAnsi="宋体" w:cs="宋体" w:eastAsia="宋体" w:hint="default"/>
                <w:sz w:val="13"/>
                <w:szCs w:val="13"/>
              </w:rPr>
            </w:pPr>
            <w:r>
              <w:rPr>
                <w:rFonts w:ascii="宋体"/>
                <w:sz w:val="13"/>
              </w:rPr>
              <w:t>86,178,668.08</w:t>
            </w: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-86,178,668.08</w:t>
            </w:r>
            <w:r>
              <w:rPr>
                <w:rFonts w:ascii="宋体"/>
                <w:sz w:val="13"/>
              </w:rPr>
            </w: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-370,152,300.00</w:t>
            </w:r>
            <w:r>
              <w:rPr>
                <w:rFonts w:ascii="宋体"/>
                <w:sz w:val="13"/>
              </w:rPr>
            </w: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-370,152,300.00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-202,228.29</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6"/>
              <w:jc w:val="right"/>
              <w:rPr>
                <w:rFonts w:ascii="宋体" w:hAnsi="宋体" w:cs="宋体" w:eastAsia="宋体" w:hint="default"/>
                <w:sz w:val="13"/>
                <w:szCs w:val="13"/>
              </w:rPr>
            </w:pPr>
            <w:r>
              <w:rPr>
                <w:rFonts w:ascii="宋体"/>
                <w:w w:val="95"/>
                <w:sz w:val="13"/>
              </w:rPr>
              <w:t>-370,354,528.29</w:t>
            </w:r>
            <w:r>
              <w:rPr>
                <w:rFonts w:ascii="宋体"/>
                <w:sz w:val="13"/>
              </w:rPr>
            </w:r>
          </w:p>
        </w:tc>
      </w:tr>
      <w:tr>
        <w:trPr>
          <w:trHeight w:val="180"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r>
      <w:tr>
        <w:trPr>
          <w:trHeight w:val="180"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r>
      <w:tr>
        <w:trPr>
          <w:trHeight w:val="349"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．设定受益计划变动额结转留存</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．其他综合收益结转留存收益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6</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r>
      <w:tr>
        <w:trPr>
          <w:trHeight w:val="180"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9"/>
                <w:sz w:val="13"/>
              </w:rPr>
              <w:t>-</w:t>
            </w:r>
            <w:r>
              <w:rPr>
                <w:rFonts w:ascii="宋体"/>
                <w:sz w:val="13"/>
              </w:rPr>
            </w:r>
          </w:p>
        </w:tc>
      </w:tr>
      <w:tr>
        <w:trPr>
          <w:trHeight w:val="180"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1,233,841,000.00</w:t>
            </w:r>
            <w:r>
              <w:rPr>
                <w:rFonts w:ascii="宋体"/>
                <w:sz w:val="13"/>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 w:right="0"/>
              <w:jc w:val="center"/>
              <w:rPr>
                <w:rFonts w:ascii="宋体" w:hAnsi="宋体" w:cs="宋体" w:eastAsia="宋体" w:hint="default"/>
                <w:sz w:val="13"/>
                <w:szCs w:val="13"/>
              </w:rPr>
            </w:pPr>
            <w:r>
              <w:rPr>
                <w:rFonts w:ascii="宋体"/>
                <w:w w:val="99"/>
                <w:sz w:val="13"/>
              </w:rPr>
              <w:t>-</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4" w:right="0"/>
              <w:jc w:val="center"/>
              <w:rPr>
                <w:rFonts w:ascii="宋体" w:hAnsi="宋体" w:cs="宋体" w:eastAsia="宋体" w:hint="default"/>
                <w:sz w:val="13"/>
                <w:szCs w:val="13"/>
              </w:rPr>
            </w:pPr>
            <w:r>
              <w:rPr>
                <w:rFonts w:ascii="宋体"/>
                <w:w w:val="99"/>
                <w:sz w:val="13"/>
              </w:rPr>
              <w:t>-</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4" w:right="0"/>
              <w:jc w:val="center"/>
              <w:rPr>
                <w:rFonts w:ascii="宋体" w:hAnsi="宋体" w:cs="宋体" w:eastAsia="宋体" w:hint="default"/>
                <w:sz w:val="13"/>
                <w:szCs w:val="13"/>
              </w:rPr>
            </w:pPr>
            <w:r>
              <w:rPr>
                <w:rFonts w:ascii="宋体"/>
                <w:w w:val="99"/>
                <w:sz w:val="13"/>
              </w:rPr>
              <w:t>-</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2,572,587,684.82</w:t>
            </w:r>
            <w:r>
              <w:rPr>
                <w:rFonts w:ascii="宋体"/>
                <w:sz w:val="13"/>
              </w:rPr>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261" w:right="0"/>
              <w:jc w:val="left"/>
              <w:rPr>
                <w:rFonts w:ascii="宋体" w:hAnsi="宋体" w:cs="宋体" w:eastAsia="宋体" w:hint="default"/>
                <w:sz w:val="13"/>
                <w:szCs w:val="13"/>
              </w:rPr>
            </w:pPr>
            <w:r>
              <w:rPr>
                <w:rFonts w:ascii="宋体"/>
                <w:w w:val="99"/>
                <w:sz w:val="13"/>
              </w:rPr>
              <w:t>-</w:t>
            </w:r>
            <w:r>
              <w:rPr>
                <w:rFonts w:ascii="宋体"/>
                <w:sz w:val="13"/>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6"/>
              <w:jc w:val="right"/>
              <w:rPr>
                <w:rFonts w:ascii="宋体" w:hAnsi="宋体" w:cs="宋体" w:eastAsia="宋体" w:hint="default"/>
                <w:sz w:val="13"/>
                <w:szCs w:val="13"/>
              </w:rPr>
            </w:pPr>
            <w:r>
              <w:rPr>
                <w:rFonts w:ascii="宋体"/>
                <w:w w:val="95"/>
                <w:sz w:val="13"/>
              </w:rPr>
              <w:t>1,230,619,792.07</w:t>
            </w:r>
            <w:r>
              <w:rPr>
                <w:rFonts w:ascii="宋体"/>
                <w:sz w:val="13"/>
              </w:rPr>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70" w:right="0"/>
              <w:jc w:val="left"/>
              <w:rPr>
                <w:rFonts w:ascii="宋体" w:hAnsi="宋体" w:cs="宋体" w:eastAsia="宋体" w:hint="default"/>
                <w:sz w:val="13"/>
                <w:szCs w:val="13"/>
              </w:rPr>
            </w:pPr>
            <w:r>
              <w:rPr>
                <w:rFonts w:ascii="宋体"/>
                <w:w w:val="99"/>
                <w:sz w:val="13"/>
              </w:rPr>
              <w:t>-</w:t>
            </w:r>
            <w:r>
              <w:rPr>
                <w:rFonts w:ascii="宋体"/>
                <w:sz w:val="13"/>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8" w:right="0"/>
              <w:jc w:val="center"/>
              <w:rPr>
                <w:rFonts w:ascii="宋体" w:hAnsi="宋体" w:cs="宋体" w:eastAsia="宋体" w:hint="default"/>
                <w:sz w:val="13"/>
                <w:szCs w:val="13"/>
              </w:rPr>
            </w:pPr>
            <w:r>
              <w:rPr>
                <w:rFonts w:ascii="宋体"/>
                <w:sz w:val="13"/>
              </w:rPr>
              <w:t>625,743,635.42</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94" w:right="0"/>
              <w:jc w:val="left"/>
              <w:rPr>
                <w:rFonts w:ascii="宋体" w:hAnsi="宋体" w:cs="宋体" w:eastAsia="宋体" w:hint="default"/>
                <w:sz w:val="13"/>
                <w:szCs w:val="13"/>
              </w:rPr>
            </w:pPr>
            <w:r>
              <w:rPr>
                <w:rFonts w:ascii="宋体"/>
                <w:w w:val="99"/>
                <w:sz w:val="13"/>
              </w:rPr>
              <w:t>-</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4"/>
              <w:jc w:val="right"/>
              <w:rPr>
                <w:rFonts w:ascii="宋体" w:hAnsi="宋体" w:cs="宋体" w:eastAsia="宋体" w:hint="default"/>
                <w:sz w:val="13"/>
                <w:szCs w:val="13"/>
              </w:rPr>
            </w:pPr>
            <w:r>
              <w:rPr>
                <w:rFonts w:ascii="宋体"/>
                <w:w w:val="95"/>
                <w:sz w:val="13"/>
              </w:rPr>
              <w:t>2,364,509,602.80</w:t>
            </w:r>
            <w:r>
              <w:rPr>
                <w:rFonts w:ascii="宋体"/>
                <w:sz w:val="13"/>
              </w:rPr>
            </w:r>
          </w:p>
        </w:tc>
        <w:tc>
          <w:tcPr>
            <w:tcW w:w="26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8,027,301,715.11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-70,479,484.72</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6"/>
              <w:jc w:val="right"/>
              <w:rPr>
                <w:rFonts w:ascii="宋体" w:hAnsi="宋体" w:cs="宋体" w:eastAsia="宋体" w:hint="default"/>
                <w:sz w:val="13"/>
                <w:szCs w:val="13"/>
              </w:rPr>
            </w:pPr>
            <w:r>
              <w:rPr>
                <w:rFonts w:ascii="宋体"/>
                <w:w w:val="95"/>
                <w:sz w:val="13"/>
              </w:rPr>
              <w:t>7,956,822,230.39</w:t>
            </w:r>
            <w:r>
              <w:rPr>
                <w:rFonts w:ascii="宋体"/>
                <w:sz w:val="13"/>
              </w:rPr>
            </w:r>
          </w:p>
        </w:tc>
      </w:tr>
    </w:tbl>
    <w:p>
      <w:pPr>
        <w:spacing w:after="0" w:line="148" w:lineRule="exact"/>
        <w:jc w:val="right"/>
        <w:rPr>
          <w:rFonts w:ascii="宋体" w:hAnsi="宋体" w:cs="宋体" w:eastAsia="宋体" w:hint="default"/>
          <w:sz w:val="13"/>
          <w:szCs w:val="13"/>
        </w:rPr>
        <w:sectPr>
          <w:pgSz w:w="16840" w:h="11910" w:orient="landscape"/>
          <w:pgMar w:header="882" w:footer="1195" w:top="1120" w:bottom="138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p>
      <w:pPr>
        <w:pStyle w:val="BodyText"/>
        <w:tabs>
          <w:tab w:pos="5647" w:val="left" w:leader="none"/>
          <w:tab w:pos="10796" w:val="left" w:leader="none"/>
        </w:tabs>
        <w:spacing w:line="240" w:lineRule="auto" w:before="36"/>
        <w:ind w:left="818" w:right="0"/>
        <w:jc w:val="left"/>
      </w:pPr>
      <w:r>
        <w:rPr>
          <w:spacing w:val="-1"/>
        </w:rPr>
        <w:t>法定代表人：何志勇</w:t>
        <w:tab/>
      </w:r>
      <w:r>
        <w:rPr>
          <w:spacing w:val="-2"/>
        </w:rPr>
        <w:t>主管会计工作负责人：朱在祥</w:t>
        <w:tab/>
        <w:t>会计机构负责人：吴素芳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3"/>
          <w:pgSz w:w="16840" w:h="11910" w:orient="landscape"/>
          <w:pgMar w:footer="1195" w:header="882" w:top="1120" w:bottom="1380" w:left="980" w:right="960"/>
        </w:sectPr>
      </w:pPr>
    </w:p>
    <w:p>
      <w:pPr>
        <w:spacing w:line="272" w:lineRule="exact" w:before="64"/>
        <w:ind w:left="6667"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278" w:val="left" w:leader="none"/>
        </w:tabs>
        <w:spacing w:line="240" w:lineRule="auto"/>
        <w:ind w:left="333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060" w:bottom="1380" w:left="980" w:right="960"/>
          <w:cols w:num="2" w:equalWidth="0">
            <w:col w:w="8590" w:space="40"/>
            <w:col w:w="6270"/>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451"/>
        <w:gridCol w:w="1719"/>
        <w:gridCol w:w="410"/>
        <w:gridCol w:w="439"/>
        <w:gridCol w:w="425"/>
        <w:gridCol w:w="1702"/>
        <w:gridCol w:w="425"/>
        <w:gridCol w:w="1702"/>
        <w:gridCol w:w="425"/>
        <w:gridCol w:w="1561"/>
        <w:gridCol w:w="1680"/>
        <w:gridCol w:w="1724"/>
      </w:tblGrid>
      <w:tr>
        <w:trPr>
          <w:trHeight w:val="245"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21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76" w:hRule="exact"/>
        </w:trPr>
        <w:tc>
          <w:tcPr>
            <w:tcW w:w="2451" w:type="dxa"/>
            <w:vMerge/>
            <w:tcBorders>
              <w:left w:val="single" w:sz="4" w:space="0" w:color="000000"/>
              <w:right w:val="single" w:sz="4" w:space="0" w:color="000000"/>
            </w:tcBorders>
          </w:tcPr>
          <w:p>
            <w:pPr/>
          </w:p>
        </w:tc>
        <w:tc>
          <w:tcPr>
            <w:tcW w:w="17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股本</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09" w:lineRule="exact"/>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before="1"/>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32" w:lineRule="exact" w:before="117"/>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0" w:hRule="exact"/>
        </w:trPr>
        <w:tc>
          <w:tcPr>
            <w:tcW w:w="2451" w:type="dxa"/>
            <w:vMerge/>
            <w:tcBorders>
              <w:left w:val="single" w:sz="4" w:space="0" w:color="000000"/>
              <w:bottom w:val="single" w:sz="4" w:space="0" w:color="000000"/>
              <w:right w:val="single" w:sz="4" w:space="0" w:color="000000"/>
            </w:tcBorders>
          </w:tcPr>
          <w:p>
            <w:pPr/>
          </w:p>
        </w:tc>
        <w:tc>
          <w:tcPr>
            <w:tcW w:w="1719" w:type="dxa"/>
            <w:vMerge/>
            <w:tcBorders>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07" w:right="110"/>
              <w:jc w:val="left"/>
              <w:rPr>
                <w:rFonts w:ascii="宋体" w:hAnsi="宋体" w:cs="宋体" w:eastAsia="宋体" w:hint="default"/>
                <w:sz w:val="18"/>
                <w:szCs w:val="18"/>
              </w:rPr>
            </w:pPr>
            <w:r>
              <w:rPr>
                <w:rFonts w:ascii="宋体" w:hAnsi="宋体" w:cs="宋体" w:eastAsia="宋体" w:hint="default"/>
                <w:sz w:val="18"/>
                <w:szCs w:val="18"/>
              </w:rPr>
              <w:t>先 股</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24" w:right="122"/>
              <w:jc w:val="left"/>
              <w:rPr>
                <w:rFonts w:ascii="宋体" w:hAnsi="宋体" w:cs="宋体" w:eastAsia="宋体" w:hint="default"/>
                <w:sz w:val="18"/>
                <w:szCs w:val="18"/>
              </w:rPr>
            </w:pPr>
            <w:r>
              <w:rPr>
                <w:rFonts w:ascii="宋体" w:hAnsi="宋体" w:cs="宋体" w:eastAsia="宋体" w:hint="default"/>
                <w:sz w:val="18"/>
                <w:szCs w:val="18"/>
              </w:rPr>
              <w:t>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680" w:type="dxa"/>
            <w:vMerge/>
            <w:tcBorders>
              <w:left w:val="single" w:sz="4" w:space="0" w:color="000000"/>
              <w:bottom w:val="single" w:sz="4" w:space="0" w:color="000000"/>
              <w:right w:val="single" w:sz="4" w:space="0" w:color="000000"/>
            </w:tcBorders>
          </w:tcPr>
          <w:p>
            <w:pPr/>
          </w:p>
        </w:tc>
        <w:tc>
          <w:tcPr>
            <w:tcW w:w="1724" w:type="dxa"/>
            <w:vMerge/>
            <w:tcBorders>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1,233,841,000.00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2,631,057,328.10</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1,136,163,193.05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624,908,885.29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2,046,248,858.13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7,672,219,264.57</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274,857,013.05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5,198,986.95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280,056,000.00</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1,233,841,000.00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2,631,057,328.10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1,411,020,206.10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624,908,885.29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2,051,447,845.08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7,952,275,264.57</w:t>
            </w: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-387,912,000.00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85,324,723.53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397,770,211.73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95,182,935.26</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-387,912,000.00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853,247,235.26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465,335,235.26</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85,324,723.53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-455,477,023.53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-370,152,300.00</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85,324,723.53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-85,324,723.53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-370,152,300.00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-370,152,300.00</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380" w:left="980" w:right="960"/>
        </w:sectPr>
      </w:pPr>
    </w:p>
    <w:p>
      <w:pPr>
        <w:spacing w:line="240" w:lineRule="auto" w:before="4"/>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2451"/>
        <w:gridCol w:w="1719"/>
        <w:gridCol w:w="410"/>
        <w:gridCol w:w="439"/>
        <w:gridCol w:w="425"/>
        <w:gridCol w:w="1702"/>
        <w:gridCol w:w="425"/>
        <w:gridCol w:w="1702"/>
        <w:gridCol w:w="425"/>
        <w:gridCol w:w="1561"/>
        <w:gridCol w:w="1680"/>
        <w:gridCol w:w="1724"/>
      </w:tblGrid>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1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1,233,841,000.00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2,631,057,328.10</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1,023,108,206.10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710,233,608.82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2,449,218,056.81</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8,047,458,199.83</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296" w:type="dxa"/>
        <w:tblLayout w:type="fixed"/>
        <w:tblCellMar>
          <w:top w:w="0" w:type="dxa"/>
          <w:left w:w="0" w:type="dxa"/>
          <w:bottom w:w="0" w:type="dxa"/>
          <w:right w:w="0" w:type="dxa"/>
        </w:tblCellMar>
        <w:tblLook w:val="01E0"/>
      </w:tblPr>
      <w:tblGrid>
        <w:gridCol w:w="2064"/>
        <w:gridCol w:w="1717"/>
        <w:gridCol w:w="425"/>
        <w:gridCol w:w="427"/>
        <w:gridCol w:w="425"/>
        <w:gridCol w:w="1702"/>
        <w:gridCol w:w="425"/>
        <w:gridCol w:w="1702"/>
        <w:gridCol w:w="425"/>
        <w:gridCol w:w="1561"/>
        <w:gridCol w:w="1678"/>
        <w:gridCol w:w="1724"/>
      </w:tblGrid>
      <w:tr>
        <w:trPr>
          <w:trHeight w:val="247" w:hRule="exact"/>
        </w:trPr>
        <w:tc>
          <w:tcPr>
            <w:tcW w:w="20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0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80" w:hRule="exact"/>
        </w:trPr>
        <w:tc>
          <w:tcPr>
            <w:tcW w:w="2064" w:type="dxa"/>
            <w:vMerge/>
            <w:tcBorders>
              <w:left w:val="single" w:sz="6" w:space="0" w:color="000000"/>
              <w:right w:val="single" w:sz="6" w:space="0" w:color="000000"/>
            </w:tcBorders>
          </w:tcPr>
          <w:p>
            <w:pPr/>
          </w:p>
        </w:tc>
        <w:tc>
          <w:tcPr>
            <w:tcW w:w="1717"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6" w:space="0" w:color="000000"/>
              <w:left w:val="single" w:sz="4"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6" w:space="0" w:color="000000"/>
              <w:left w:val="single" w:sz="6" w:space="0" w:color="000000"/>
              <w:right w:val="single" w:sz="6" w:space="0" w:color="000000"/>
            </w:tcBorders>
          </w:tcPr>
          <w:p>
            <w:pPr>
              <w:pStyle w:val="TableParagraph"/>
              <w:spacing w:line="214" w:lineRule="exact"/>
              <w:ind w:left="11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13"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6" w:space="0" w:color="000000"/>
              <w:left w:val="single" w:sz="6" w:space="0" w:color="000000"/>
              <w:right w:val="single" w:sz="6" w:space="0" w:color="000000"/>
            </w:tcBorders>
          </w:tcPr>
          <w:p>
            <w:pPr>
              <w:pStyle w:val="TableParagraph"/>
              <w:spacing w:line="237" w:lineRule="auto" w:before="96"/>
              <w:ind w:left="112"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7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2064" w:type="dxa"/>
            <w:vMerge/>
            <w:tcBorders>
              <w:left w:val="single" w:sz="6" w:space="0" w:color="000000"/>
              <w:bottom w:val="single" w:sz="6" w:space="0" w:color="000000"/>
              <w:right w:val="single" w:sz="6" w:space="0" w:color="000000"/>
            </w:tcBorders>
          </w:tcPr>
          <w:p>
            <w:pPr/>
          </w:p>
        </w:tc>
        <w:tc>
          <w:tcPr>
            <w:tcW w:w="1717"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17" w:right="115"/>
              <w:jc w:val="left"/>
              <w:rPr>
                <w:rFonts w:ascii="宋体" w:hAnsi="宋体" w:cs="宋体" w:eastAsia="宋体" w:hint="default"/>
                <w:sz w:val="18"/>
                <w:szCs w:val="18"/>
              </w:rPr>
            </w:pPr>
            <w:r>
              <w:rPr>
                <w:rFonts w:ascii="宋体" w:hAnsi="宋体" w:cs="宋体" w:eastAsia="宋体" w:hint="default"/>
                <w:sz w:val="18"/>
                <w:szCs w:val="18"/>
              </w:rPr>
              <w:t>先 股</w:t>
            </w:r>
          </w:p>
        </w:tc>
        <w:tc>
          <w:tcPr>
            <w:tcW w:w="427"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117"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17" w:right="119"/>
              <w:jc w:val="left"/>
              <w:rPr>
                <w:rFonts w:ascii="宋体" w:hAnsi="宋体" w:cs="宋体" w:eastAsia="宋体" w:hint="default"/>
                <w:sz w:val="18"/>
                <w:szCs w:val="18"/>
              </w:rPr>
            </w:pPr>
            <w:r>
              <w:rPr>
                <w:rFonts w:ascii="宋体" w:hAnsi="宋体" w:cs="宋体" w:eastAsia="宋体" w:hint="default"/>
                <w:sz w:val="18"/>
                <w:szCs w:val="18"/>
              </w:rPr>
              <w:t>续 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17"/>
              <w:ind w:left="117"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561" w:type="dxa"/>
            <w:vMerge/>
            <w:tcBorders>
              <w:left w:val="single" w:sz="6" w:space="0" w:color="000000"/>
              <w:bottom w:val="single" w:sz="6" w:space="0" w:color="000000"/>
              <w:right w:val="single" w:sz="6" w:space="0" w:color="000000"/>
            </w:tcBorders>
          </w:tcPr>
          <w:p>
            <w:pPr/>
          </w:p>
        </w:tc>
        <w:tc>
          <w:tcPr>
            <w:tcW w:w="1678"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r>
      <w:tr>
        <w:trPr>
          <w:trHeight w:val="250"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1,233,841,000.00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2,630,651,083.92</w:t>
            </w: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2,008,398,036.83</w:t>
            </w: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538,730,217.21</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1,647,331,966.56</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8,058,952,304.52</w:t>
            </w:r>
          </w:p>
        </w:tc>
      </w:tr>
      <w:tr>
        <w:trPr>
          <w:trHeight w:val="2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1,233,841,000.00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2,630,651,083.92</w:t>
            </w: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2,008,398,036.83</w:t>
            </w: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538,730,217.21</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1,647,331,966.56</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8,058,952,304.52</w:t>
            </w:r>
          </w:p>
        </w:tc>
      </w:tr>
      <w:tr>
        <w:trPr>
          <w:trHeight w:val="715"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2" w:lineRule="exact" w:before="23"/>
              <w:ind w:left="100" w:right="326"/>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406,244.18</w:t>
            </w: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-872,234,843.78</w:t>
            </w: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86,178,668.08</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398,916,891.57</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-386,733,039.95</w:t>
            </w:r>
          </w:p>
        </w:tc>
      </w:tr>
      <w:tr>
        <w:trPr>
          <w:trHeight w:val="248"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-872,234,843.78</w:t>
            </w: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861,786,680.75</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-10,448,163.03</w:t>
            </w:r>
          </w:p>
        </w:tc>
      </w:tr>
      <w:tr>
        <w:trPr>
          <w:trHeight w:val="482"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406,244.18</w:t>
            </w: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406,244.18</w:t>
            </w:r>
          </w:p>
        </w:tc>
      </w:tr>
      <w:tr>
        <w:trPr>
          <w:trHeight w:val="2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．所有者投入的普通股</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．其他权益工具持有者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4"/>
          <w:pgSz w:w="16840" w:h="11910" w:orient="landscape"/>
          <w:pgMar w:footer="1195" w:header="882" w:top="1120" w:bottom="1380" w:left="980" w:right="960"/>
          <w:pgNumType w:start="81"/>
        </w:sectPr>
      </w:pPr>
    </w:p>
    <w:p>
      <w:pPr>
        <w:spacing w:line="240" w:lineRule="auto" w:before="4"/>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064"/>
        <w:gridCol w:w="1717"/>
        <w:gridCol w:w="425"/>
        <w:gridCol w:w="427"/>
        <w:gridCol w:w="425"/>
        <w:gridCol w:w="1702"/>
        <w:gridCol w:w="425"/>
        <w:gridCol w:w="1702"/>
        <w:gridCol w:w="425"/>
        <w:gridCol w:w="1561"/>
        <w:gridCol w:w="1678"/>
        <w:gridCol w:w="1724"/>
      </w:tblGrid>
      <w:tr>
        <w:trPr>
          <w:trHeight w:val="482"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．股份支付计入所有者</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406,244.18</w:t>
            </w: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406,244.18</w:t>
            </w:r>
          </w:p>
        </w:tc>
      </w:tr>
      <w:tr>
        <w:trPr>
          <w:trHeight w:val="250"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86,178,668.08</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-462,869,789.18</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-376,691,121.10</w:t>
            </w:r>
          </w:p>
        </w:tc>
      </w:tr>
      <w:tr>
        <w:trPr>
          <w:trHeight w:val="2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86,178,668.08</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-86,178,668.08</w:t>
            </w: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-370,152,300.00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-370,152,300.00</w:t>
            </w:r>
          </w:p>
        </w:tc>
      </w:tr>
      <w:tr>
        <w:trPr>
          <w:trHeight w:val="250"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-6,538,821.10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-6,538,821.10</w:t>
            </w:r>
          </w:p>
        </w:tc>
      </w:tr>
      <w:tr>
        <w:trPr>
          <w:trHeight w:val="481"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4</w:t>
            </w:r>
            <w:r>
              <w:rPr>
                <w:rFonts w:ascii="宋体" w:hAnsi="宋体" w:cs="宋体" w:eastAsia="宋体" w:hint="default"/>
                <w:spacing w:val="-4"/>
                <w:sz w:val="18"/>
                <w:szCs w:val="18"/>
              </w:rPr>
              <w:t>．设定受益计划变动额</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结转留存收益</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．其他综合收益结转留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存收益</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1,233,841,000.00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2,631,057,328.10</w:t>
            </w:r>
          </w:p>
        </w:tc>
        <w:tc>
          <w:tcPr>
            <w:tcW w:w="42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1,136,163,193.05</w:t>
            </w:r>
          </w:p>
        </w:tc>
        <w:tc>
          <w:tcPr>
            <w:tcW w:w="42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624,908,885.29</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2,046,248,858.13</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7,672,219,264.57</w:t>
            </w:r>
          </w:p>
        </w:tc>
      </w:tr>
    </w:tbl>
    <w:p>
      <w:pPr>
        <w:pStyle w:val="BodyText"/>
        <w:tabs>
          <w:tab w:pos="5364" w:val="left" w:leader="none"/>
          <w:tab w:pos="10721" w:val="left" w:leader="none"/>
        </w:tabs>
        <w:spacing w:line="241" w:lineRule="exact"/>
        <w:ind w:left="638" w:right="0"/>
        <w:jc w:val="left"/>
      </w:pPr>
      <w:r>
        <w:rPr>
          <w:spacing w:val="-1"/>
        </w:rPr>
        <w:t>法定代表人：何志勇</w:t>
        <w:tab/>
      </w:r>
      <w:r>
        <w:rPr>
          <w:spacing w:val="-2"/>
        </w:rPr>
        <w:t>主管会计工作负责人：朱在祥</w:t>
        <w:tab/>
        <w:t>会计机构负责人：吴素芳</w:t>
      </w:r>
    </w:p>
    <w:p>
      <w:pPr>
        <w:spacing w:after="0" w:line="241" w:lineRule="exact"/>
        <w:jc w:val="left"/>
        <w:sectPr>
          <w:pgSz w:w="16840" w:h="11910" w:orient="landscape"/>
          <w:pgMar w:header="882" w:footer="1195" w:top="1120" w:bottom="1380" w:left="11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560" w:val="left" w:leader="none"/>
        </w:tabs>
        <w:spacing w:line="290" w:lineRule="auto" w:before="175"/>
        <w:ind w:left="140" w:right="7551"/>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82" w:val="left" w:leader="none"/>
        </w:tabs>
        <w:spacing w:line="272" w:lineRule="exact" w:before="42"/>
        <w:ind w:left="565" w:right="213" w:hanging="425"/>
        <w:jc w:val="left"/>
      </w:pPr>
      <w:r>
        <w:rPr/>
        <w:t>√适用</w:t>
        <w:tab/>
        <w:t>□不适用</w:t>
      </w:r>
      <w:r>
        <w:rPr>
          <w:w w:val="100"/>
        </w:rPr>
        <w:t> </w:t>
      </w:r>
      <w:r>
        <w:rPr>
          <w:spacing w:val="-2"/>
        </w:rPr>
        <w:t>新华文轩出版传媒股份有限公司</w:t>
      </w:r>
      <w:r>
        <w:rPr>
          <w:rFonts w:ascii="宋体" w:hAnsi="宋体" w:cs="宋体" w:eastAsia="宋体" w:hint="default"/>
          <w:spacing w:val="-2"/>
        </w:rPr>
        <w:t>(</w:t>
      </w:r>
      <w:r>
        <w:rPr>
          <w:spacing w:val="-2"/>
        </w:rPr>
        <w:t>以下简称“本公司”或“公司”)，原名为四川新华文轩连锁</w:t>
      </w:r>
    </w:p>
    <w:p>
      <w:pPr>
        <w:pStyle w:val="BodyText"/>
        <w:spacing w:line="357" w:lineRule="auto" w:before="108"/>
        <w:ind w:left="140" w:right="211"/>
        <w:jc w:val="both"/>
      </w:pPr>
      <w:r>
        <w:rPr/>
        <w:t>股份有限公司，由四川新华发行集团有限公司</w:t>
      </w:r>
      <w:r>
        <w:rPr>
          <w:rFonts w:ascii="宋体" w:hAnsi="宋体" w:cs="宋体" w:eastAsia="宋体" w:hint="default"/>
        </w:rPr>
        <w:t>(</w:t>
      </w:r>
      <w:r>
        <w:rPr/>
        <w:t>以下简称“四川新华发行集团”)、成都市华盛</w:t>
      </w:r>
      <w:r>
        <w:rPr>
          <w:rFonts w:ascii="宋体" w:hAnsi="宋体" w:cs="宋体" w:eastAsia="宋体" w:hint="default"/>
        </w:rPr>
        <w:t>(</w:t>
      </w:r>
      <w:r>
        <w:rPr/>
        <w:t>集</w:t>
      </w:r>
      <w:r>
        <w:rPr>
          <w:spacing w:val="-3"/>
        </w:rPr>
        <w:t> </w:t>
      </w:r>
      <w:r>
        <w:rPr/>
        <w:t>团</w:t>
      </w:r>
      <w:r>
        <w:rPr>
          <w:rFonts w:ascii="宋体" w:hAnsi="宋体" w:cs="宋体" w:eastAsia="宋体" w:hint="default"/>
        </w:rPr>
        <w:t>)</w:t>
      </w:r>
      <w:r>
        <w:rPr/>
        <w:t>实业有限公司</w:t>
      </w:r>
      <w:r>
        <w:rPr>
          <w:rFonts w:ascii="宋体" w:hAnsi="宋体" w:cs="宋体" w:eastAsia="宋体" w:hint="default"/>
        </w:rPr>
        <w:t>(</w:t>
      </w:r>
      <w:r>
        <w:rPr/>
        <w:t>以下简称“成都华盛”)、四川日报报业集团有限公司、四川出版集团有限责任</w:t>
      </w:r>
      <w:r>
        <w:rPr>
          <w:spacing w:val="-9"/>
        </w:rPr>
        <w:t> </w:t>
      </w:r>
      <w:r>
        <w:rPr>
          <w:spacing w:val="-9"/>
        </w:rPr>
      </w:r>
      <w:r>
        <w:rPr>
          <w:spacing w:val="-2"/>
        </w:rPr>
        <w:t>公司</w:t>
      </w:r>
      <w:r>
        <w:rPr>
          <w:rFonts w:ascii="宋体" w:hAnsi="宋体" w:cs="宋体" w:eastAsia="宋体" w:hint="default"/>
          <w:spacing w:val="-2"/>
        </w:rPr>
        <w:t>(</w:t>
      </w:r>
      <w:r>
        <w:rPr>
          <w:spacing w:val="-2"/>
        </w:rPr>
        <w:t>以下简称“四川出版集团”)、四川少年儿童出版社有限公司和辽宁出版集团有限公司作为发</w:t>
      </w:r>
      <w:r>
        <w:rPr>
          <w:spacing w:val="-28"/>
        </w:rPr>
        <w:t> </w:t>
      </w:r>
      <w:r>
        <w:rPr>
          <w:spacing w:val="-28"/>
        </w:rPr>
      </w:r>
      <w:r>
        <w:rPr>
          <w:spacing w:val="-2"/>
        </w:rPr>
        <w:t>起人共同发起，并经四川省政府国有资产监督管理委员会川国资委</w:t>
      </w:r>
      <w:r>
        <w:rPr>
          <w:rFonts w:ascii="宋体" w:hAnsi="宋体" w:cs="宋体" w:eastAsia="宋体" w:hint="default"/>
          <w:spacing w:val="-2"/>
        </w:rPr>
        <w:t>[2005]81</w:t>
      </w:r>
      <w:r>
        <w:rPr>
          <w:rFonts w:ascii="宋体" w:hAnsi="宋体" w:cs="宋体" w:eastAsia="宋体" w:hint="default"/>
          <w:spacing w:val="-13"/>
        </w:rPr>
        <w:t> </w:t>
      </w:r>
      <w:r>
        <w:rPr>
          <w:spacing w:val="-5"/>
        </w:rPr>
        <w:t>号文件《关于四川新华</w:t>
      </w:r>
      <w:r>
        <w:rPr>
          <w:spacing w:val="-87"/>
        </w:rPr>
        <w:t> </w:t>
      </w:r>
      <w:r>
        <w:rPr>
          <w:spacing w:val="-87"/>
        </w:rPr>
      </w:r>
      <w:r>
        <w:rPr/>
        <w:t>文轩连锁股份有限公司</w:t>
      </w:r>
      <w:r>
        <w:rPr>
          <w:rFonts w:ascii="宋体" w:hAnsi="宋体" w:cs="宋体" w:eastAsia="宋体" w:hint="default"/>
        </w:rPr>
        <w:t>(</w:t>
      </w:r>
      <w:r>
        <w:rPr/>
        <w:t>筹</w:t>
      </w:r>
      <w:r>
        <w:rPr>
          <w:rFonts w:ascii="宋体" w:hAnsi="宋体" w:cs="宋体" w:eastAsia="宋体" w:hint="default"/>
        </w:rPr>
        <w:t>)</w:t>
      </w:r>
      <w:r>
        <w:rPr/>
        <w:t>国有股权管理有关问题的批复》和四川省人民政府川府函</w:t>
      </w:r>
      <w:r>
        <w:rPr>
          <w:rFonts w:ascii="宋体" w:hAnsi="宋体" w:cs="宋体" w:eastAsia="宋体" w:hint="default"/>
        </w:rPr>
        <w:t>[2005]69</w:t>
      </w:r>
      <w:r>
        <w:rPr>
          <w:rFonts w:ascii="宋体" w:hAnsi="宋体" w:cs="宋体" w:eastAsia="宋体" w:hint="default"/>
          <w:spacing w:val="96"/>
        </w:rPr>
        <w:t> </w:t>
      </w:r>
      <w:r>
        <w:rPr/>
        <w:t>号</w:t>
      </w:r>
    </w:p>
    <w:p>
      <w:pPr>
        <w:pStyle w:val="BodyText"/>
        <w:spacing w:line="240" w:lineRule="auto" w:before="30"/>
        <w:ind w:left="140" w:right="0"/>
        <w:jc w:val="both"/>
        <w:rPr>
          <w:rFonts w:ascii="宋体" w:hAnsi="宋体" w:cs="宋体" w:eastAsia="宋体" w:hint="default"/>
        </w:rPr>
      </w:pPr>
      <w:r>
        <w:rPr/>
        <w:t>《四川省人民政府关于同意设立四川新华文轩连锁股份有限公司的批复》批准，于</w:t>
      </w:r>
      <w:r>
        <w:rPr>
          <w:spacing w:val="-44"/>
        </w:rPr>
        <w:t> </w:t>
      </w:r>
      <w:r>
        <w:rPr>
          <w:rFonts w:ascii="宋体" w:hAnsi="宋体" w:cs="宋体" w:eastAsia="宋体" w:hint="default"/>
        </w:rPr>
        <w:t>2005</w:t>
      </w:r>
      <w:r>
        <w:rPr>
          <w:rFonts w:ascii="宋体" w:hAnsi="宋体" w:cs="宋体" w:eastAsia="宋体" w:hint="default"/>
          <w:spacing w:val="-44"/>
        </w:rPr>
        <w:t> </w:t>
      </w:r>
      <w:r>
        <w:rPr/>
        <w:t>年</w:t>
      </w:r>
      <w:r>
        <w:rPr>
          <w:spacing w:val="-46"/>
        </w:rPr>
        <w:t> </w:t>
      </w:r>
      <w:r>
        <w:rPr>
          <w:rFonts w:ascii="宋体" w:hAnsi="宋体" w:cs="宋体" w:eastAsia="宋体" w:hint="default"/>
        </w:rPr>
        <w:t>6</w:t>
      </w:r>
      <w:r>
        <w:rPr>
          <w:rFonts w:ascii="宋体" w:hAnsi="宋体" w:cs="宋体" w:eastAsia="宋体" w:hint="default"/>
          <w:spacing w:val="-44"/>
        </w:rPr>
        <w:t> </w:t>
      </w:r>
      <w:r>
        <w:rPr/>
        <w:t>月</w:t>
      </w:r>
      <w:r>
        <w:rPr>
          <w:spacing w:val="-44"/>
        </w:rPr>
        <w:t> </w:t>
      </w:r>
      <w:r>
        <w:rPr>
          <w:rFonts w:ascii="宋体" w:hAnsi="宋体" w:cs="宋体" w:eastAsia="宋体" w:hint="default"/>
          <w:spacing w:val="-3"/>
        </w:rPr>
        <w:t>11</w:t>
      </w:r>
      <w:r>
        <w:rPr>
          <w:rFonts w:ascii="宋体" w:hAnsi="宋体" w:cs="宋体" w:eastAsia="宋体" w:hint="default"/>
        </w:rPr>
      </w:r>
    </w:p>
    <w:p>
      <w:pPr>
        <w:pStyle w:val="BodyText"/>
        <w:spacing w:line="240" w:lineRule="auto" w:before="135"/>
        <w:ind w:left="140" w:right="0"/>
        <w:jc w:val="both"/>
      </w:pPr>
      <w:r>
        <w:rPr/>
        <w:t>日经四川省工商行政管理局登记注册成立，股本为人民币</w:t>
      </w:r>
      <w:r>
        <w:rPr>
          <w:spacing w:val="-53"/>
        </w:rPr>
        <w:t> </w:t>
      </w:r>
      <w:r>
        <w:rPr>
          <w:rFonts w:ascii="宋体" w:hAnsi="宋体" w:cs="宋体" w:eastAsia="宋体" w:hint="default"/>
        </w:rPr>
        <w:t>733,370,000</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140" w:right="117" w:firstLine="424"/>
        <w:jc w:val="left"/>
      </w:pPr>
      <w:r>
        <w:rPr/>
        <w:t>根据本公司</w:t>
      </w:r>
      <w:r>
        <w:rPr>
          <w:spacing w:val="-42"/>
        </w:rPr>
        <w:t> </w:t>
      </w:r>
      <w:r>
        <w:rPr>
          <w:rFonts w:ascii="宋体" w:hAnsi="宋体" w:cs="宋体" w:eastAsia="宋体" w:hint="default"/>
        </w:rPr>
        <w:t>2010</w:t>
      </w:r>
      <w:r>
        <w:rPr>
          <w:rFonts w:ascii="宋体" w:hAnsi="宋体" w:cs="宋体" w:eastAsia="宋体" w:hint="default"/>
          <w:spacing w:val="-42"/>
        </w:rPr>
        <w:t> </w:t>
      </w:r>
      <w:r>
        <w:rPr/>
        <w:t>年</w:t>
      </w:r>
      <w:r>
        <w:rPr>
          <w:spacing w:val="-42"/>
        </w:rPr>
        <w:t> </w:t>
      </w:r>
      <w:r>
        <w:rPr>
          <w:rFonts w:ascii="宋体" w:hAnsi="宋体" w:cs="宋体" w:eastAsia="宋体" w:hint="default"/>
        </w:rPr>
        <w:t>8</w:t>
      </w:r>
      <w:r>
        <w:rPr>
          <w:rFonts w:ascii="宋体" w:hAnsi="宋体" w:cs="宋体" w:eastAsia="宋体" w:hint="default"/>
          <w:spacing w:val="-43"/>
        </w:rPr>
        <w:t> </w:t>
      </w:r>
      <w:r>
        <w:rPr/>
        <w:t>月</w:t>
      </w:r>
      <w:r>
        <w:rPr>
          <w:spacing w:val="-42"/>
        </w:rPr>
        <w:t> </w:t>
      </w:r>
      <w:r>
        <w:rPr>
          <w:rFonts w:ascii="宋体" w:hAnsi="宋体" w:cs="宋体" w:eastAsia="宋体" w:hint="default"/>
        </w:rPr>
        <w:t>20</w:t>
      </w:r>
      <w:r>
        <w:rPr>
          <w:rFonts w:ascii="宋体" w:hAnsi="宋体" w:cs="宋体" w:eastAsia="宋体" w:hint="default"/>
          <w:spacing w:val="-42"/>
        </w:rPr>
        <w:t> </w:t>
      </w:r>
      <w:r>
        <w:rPr/>
        <w:t>日第二届董事会</w:t>
      </w:r>
      <w:r>
        <w:rPr>
          <w:spacing w:val="-42"/>
        </w:rPr>
        <w:t> </w:t>
      </w:r>
      <w:r>
        <w:rPr>
          <w:rFonts w:ascii="宋体" w:hAnsi="宋体" w:cs="宋体" w:eastAsia="宋体" w:hint="default"/>
        </w:rPr>
        <w:t>2010</w:t>
      </w:r>
      <w:r>
        <w:rPr>
          <w:rFonts w:ascii="宋体" w:hAnsi="宋体" w:cs="宋体" w:eastAsia="宋体" w:hint="default"/>
          <w:spacing w:val="-41"/>
        </w:rPr>
        <w:t> </w:t>
      </w:r>
      <w:r>
        <w:rPr/>
        <w:t>年第七次会议决议，本公司名称由四川新华</w:t>
      </w:r>
      <w:r>
        <w:rPr>
          <w:w w:val="100"/>
        </w:rPr>
        <w:t> </w:t>
      </w:r>
      <w:r>
        <w:rPr/>
        <w:t>文轩连锁股份有限公司变更为新华文轩出版传媒股份有限公司。</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565" w:right="117"/>
        <w:jc w:val="left"/>
      </w:pPr>
      <w:r>
        <w:rPr/>
        <w:t>本公司于</w:t>
      </w:r>
      <w:r>
        <w:rPr>
          <w:spacing w:val="-41"/>
        </w:rPr>
        <w:t> </w:t>
      </w:r>
      <w:r>
        <w:rPr>
          <w:rFonts w:ascii="宋体" w:hAnsi="宋体" w:cs="宋体" w:eastAsia="宋体" w:hint="default"/>
        </w:rPr>
        <w:t>2007</w:t>
      </w:r>
      <w:r>
        <w:rPr>
          <w:rFonts w:ascii="宋体" w:hAnsi="宋体" w:cs="宋体" w:eastAsia="宋体" w:hint="default"/>
          <w:spacing w:val="-43"/>
        </w:rPr>
        <w:t> </w:t>
      </w:r>
      <w:r>
        <w:rPr/>
        <w:t>年</w:t>
      </w:r>
      <w:r>
        <w:rPr>
          <w:spacing w:val="-41"/>
        </w:rPr>
        <w:t> </w:t>
      </w:r>
      <w:r>
        <w:rPr>
          <w:rFonts w:ascii="宋体" w:hAnsi="宋体" w:cs="宋体" w:eastAsia="宋体" w:hint="default"/>
        </w:rPr>
        <w:t>5</w:t>
      </w:r>
      <w:r>
        <w:rPr>
          <w:rFonts w:ascii="宋体" w:hAnsi="宋体" w:cs="宋体" w:eastAsia="宋体" w:hint="default"/>
          <w:spacing w:val="-43"/>
        </w:rPr>
        <w:t> </w:t>
      </w:r>
      <w:r>
        <w:rPr/>
        <w:t>月</w:t>
      </w:r>
      <w:r>
        <w:rPr>
          <w:spacing w:val="-40"/>
        </w:rPr>
        <w:t> </w:t>
      </w:r>
      <w:r>
        <w:rPr>
          <w:rFonts w:ascii="宋体" w:hAnsi="宋体" w:cs="宋体" w:eastAsia="宋体" w:hint="default"/>
        </w:rPr>
        <w:t>30</w:t>
      </w:r>
      <w:r>
        <w:rPr>
          <w:rFonts w:ascii="宋体" w:hAnsi="宋体" w:cs="宋体" w:eastAsia="宋体" w:hint="default"/>
          <w:spacing w:val="-43"/>
        </w:rPr>
        <w:t> </w:t>
      </w:r>
      <w:r>
        <w:rPr/>
        <w:t>日在香港上市，向社会公开发行</w:t>
      </w:r>
      <w:r>
        <w:rPr>
          <w:spacing w:val="-41"/>
        </w:rPr>
        <w:t> </w:t>
      </w:r>
      <w:r>
        <w:rPr>
          <w:rFonts w:ascii="宋体" w:hAnsi="宋体" w:cs="宋体" w:eastAsia="宋体" w:hint="default"/>
        </w:rPr>
        <w:t>401,761,000</w:t>
      </w:r>
      <w:r>
        <w:rPr>
          <w:rFonts w:ascii="宋体" w:hAnsi="宋体" w:cs="宋体" w:eastAsia="宋体" w:hint="default"/>
          <w:spacing w:val="-43"/>
        </w:rPr>
        <w:t> </w:t>
      </w:r>
      <w:r>
        <w:rPr/>
        <w:t>股境外上市外资股</w:t>
      </w:r>
      <w:r>
        <w:rPr>
          <w:rFonts w:ascii="宋体" w:hAnsi="宋体" w:cs="宋体" w:eastAsia="宋体" w:hint="default"/>
        </w:rPr>
        <w:t>(</w:t>
      </w:r>
      <w:r>
        <w:rPr/>
        <w:t>含</w:t>
      </w:r>
    </w:p>
    <w:p>
      <w:pPr>
        <w:pStyle w:val="BodyText"/>
        <w:spacing w:line="240" w:lineRule="auto" w:before="133"/>
        <w:ind w:left="140" w:right="0"/>
        <w:jc w:val="both"/>
      </w:pPr>
      <w:r>
        <w:rPr/>
        <w:t>超额配售</w:t>
      </w:r>
      <w:r>
        <w:rPr>
          <w:rFonts w:ascii="宋体" w:hAnsi="宋体" w:cs="宋体" w:eastAsia="宋体" w:hint="default"/>
        </w:rPr>
        <w:t>)("H</w:t>
      </w:r>
      <w:r>
        <w:rPr>
          <w:rFonts w:ascii="宋体" w:hAnsi="宋体" w:cs="宋体" w:eastAsia="宋体" w:hint="default"/>
          <w:spacing w:val="-48"/>
        </w:rPr>
        <w:t> </w:t>
      </w:r>
      <w:r>
        <w:rPr/>
        <w:t>股</w:t>
      </w:r>
      <w:r>
        <w:rPr>
          <w:rFonts w:ascii="宋体" w:hAnsi="宋体" w:cs="宋体" w:eastAsia="宋体" w:hint="default"/>
        </w:rPr>
        <w:t>")</w:t>
      </w:r>
      <w:r>
        <w:rPr/>
        <w:t>，股票每股面值人民币</w:t>
      </w:r>
      <w:r>
        <w:rPr>
          <w:spacing w:val="-45"/>
        </w:rPr>
        <w:t> </w:t>
      </w:r>
      <w:r>
        <w:rPr>
          <w:rFonts w:ascii="宋体" w:hAnsi="宋体" w:cs="宋体" w:eastAsia="宋体" w:hint="default"/>
        </w:rPr>
        <w:t>1</w:t>
      </w:r>
      <w:r>
        <w:rPr>
          <w:rFonts w:ascii="宋体" w:hAnsi="宋体" w:cs="宋体" w:eastAsia="宋体" w:hint="default"/>
          <w:spacing w:val="-45"/>
        </w:rPr>
        <w:t> </w:t>
      </w:r>
      <w:r>
        <w:rPr/>
        <w:t>元，发行价格每股</w:t>
      </w:r>
      <w:r>
        <w:rPr>
          <w:spacing w:val="-45"/>
        </w:rPr>
        <w:t> </w:t>
      </w:r>
      <w:r>
        <w:rPr>
          <w:rFonts w:ascii="宋体" w:hAnsi="宋体" w:cs="宋体" w:eastAsia="宋体" w:hint="default"/>
        </w:rPr>
        <w:t>5.80</w:t>
      </w:r>
      <w:r>
        <w:rPr>
          <w:rFonts w:ascii="宋体" w:hAnsi="宋体" w:cs="宋体" w:eastAsia="宋体" w:hint="default"/>
          <w:spacing w:val="-45"/>
        </w:rPr>
        <w:t> </w:t>
      </w:r>
      <w:r>
        <w:rPr/>
        <w:t>港元。发行完成后，股本变更</w:t>
      </w:r>
    </w:p>
    <w:p>
      <w:pPr>
        <w:pStyle w:val="BodyText"/>
        <w:spacing w:line="240" w:lineRule="auto" w:before="133"/>
        <w:ind w:left="140" w:right="0"/>
        <w:jc w:val="both"/>
      </w:pPr>
      <w:r>
        <w:rPr/>
        <w:t>为人民币</w:t>
      </w:r>
      <w:r>
        <w:rPr>
          <w:spacing w:val="-54"/>
        </w:rPr>
        <w:t> </w:t>
      </w:r>
      <w:r>
        <w:rPr>
          <w:rFonts w:ascii="宋体" w:hAnsi="宋体" w:cs="宋体" w:eastAsia="宋体" w:hint="default"/>
        </w:rPr>
        <w:t>1,135,131,000.00</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ind w:left="140" w:right="211" w:firstLine="424"/>
        <w:jc w:val="both"/>
      </w:pPr>
      <w:r>
        <w:rPr>
          <w:spacing w:val="-2"/>
        </w:rPr>
        <w:t>经中国证券监督管理委员会《关于核准新华文轩出版传媒股份有限公司首次公开发行股票的批</w:t>
      </w:r>
      <w:r>
        <w:rPr>
          <w:w w:val="100"/>
        </w:rPr>
        <w:t> </w:t>
      </w:r>
      <w:r>
        <w:rPr/>
        <w:t>复》</w:t>
      </w:r>
      <w:r>
        <w:rPr>
          <w:rFonts w:ascii="宋体" w:hAnsi="宋体" w:cs="宋体" w:eastAsia="宋体" w:hint="default"/>
        </w:rPr>
        <w:t>(</w:t>
      </w:r>
      <w:r>
        <w:rPr/>
        <w:t>证监许可</w:t>
      </w:r>
      <w:r>
        <w:rPr>
          <w:rFonts w:ascii="宋体" w:hAnsi="宋体" w:cs="宋体" w:eastAsia="宋体" w:hint="default"/>
        </w:rPr>
        <w:t>[2016]1544</w:t>
      </w:r>
      <w:r>
        <w:rPr>
          <w:rFonts w:ascii="宋体" w:hAnsi="宋体" w:cs="宋体" w:eastAsia="宋体" w:hint="default"/>
          <w:spacing w:val="-47"/>
        </w:rPr>
        <w:t> </w:t>
      </w:r>
      <w:r>
        <w:rPr/>
        <w:t>号</w:t>
      </w:r>
      <w:r>
        <w:rPr>
          <w:rFonts w:ascii="宋体" w:hAnsi="宋体" w:cs="宋体" w:eastAsia="宋体" w:hint="default"/>
        </w:rPr>
        <w:t>)</w:t>
      </w:r>
      <w:r>
        <w:rPr/>
        <w:t>核准，本公司于</w:t>
      </w:r>
      <w:r>
        <w:rPr>
          <w:spacing w:val="-48"/>
        </w:rPr>
        <w:t> </w:t>
      </w:r>
      <w:r>
        <w:rPr>
          <w:rFonts w:ascii="宋体" w:hAnsi="宋体" w:cs="宋体" w:eastAsia="宋体" w:hint="default"/>
        </w:rPr>
        <w:t>2016</w:t>
      </w:r>
      <w:r>
        <w:rPr>
          <w:rFonts w:ascii="宋体" w:hAnsi="宋体" w:cs="宋体" w:eastAsia="宋体" w:hint="default"/>
          <w:spacing w:val="-48"/>
        </w:rPr>
        <w:t> </w:t>
      </w:r>
      <w:r>
        <w:rPr/>
        <w:t>年</w:t>
      </w:r>
      <w:r>
        <w:rPr>
          <w:spacing w:val="-49"/>
        </w:rPr>
        <w:t> </w:t>
      </w:r>
      <w:r>
        <w:rPr>
          <w:rFonts w:ascii="宋体" w:hAnsi="宋体" w:cs="宋体" w:eastAsia="宋体" w:hint="default"/>
        </w:rPr>
        <w:t>8</w:t>
      </w:r>
      <w:r>
        <w:rPr>
          <w:rFonts w:ascii="宋体" w:hAnsi="宋体" w:cs="宋体" w:eastAsia="宋体" w:hint="default"/>
          <w:spacing w:val="-47"/>
        </w:rPr>
        <w:t> </w:t>
      </w:r>
      <w:r>
        <w:rPr/>
        <w:t>月</w:t>
      </w:r>
      <w:r>
        <w:rPr>
          <w:spacing w:val="-50"/>
        </w:rPr>
        <w:t> </w:t>
      </w:r>
      <w:r>
        <w:rPr>
          <w:rFonts w:ascii="宋体" w:hAnsi="宋体" w:cs="宋体" w:eastAsia="宋体" w:hint="default"/>
        </w:rPr>
        <w:t>8</w:t>
      </w:r>
      <w:r>
        <w:rPr>
          <w:rFonts w:ascii="宋体" w:hAnsi="宋体" w:cs="宋体" w:eastAsia="宋体" w:hint="default"/>
          <w:spacing w:val="-47"/>
        </w:rPr>
        <w:t> </w:t>
      </w:r>
      <w:r>
        <w:rPr/>
        <w:t>日在上海证券交易所公开发行人民币</w:t>
      </w:r>
      <w:r>
        <w:rPr>
          <w:w w:val="100"/>
        </w:rPr>
        <w:t> </w:t>
      </w:r>
      <w:r>
        <w:rPr/>
        <w:t>普通股</w:t>
      </w:r>
      <w:r>
        <w:rPr>
          <w:rFonts w:ascii="宋体" w:hAnsi="宋体" w:cs="宋体" w:eastAsia="宋体" w:hint="default"/>
        </w:rPr>
        <w:t>(A</w:t>
      </w:r>
      <w:r>
        <w:rPr>
          <w:rFonts w:ascii="宋体" w:hAnsi="宋体" w:cs="宋体" w:eastAsia="宋体" w:hint="default"/>
          <w:spacing w:val="-30"/>
        </w:rPr>
        <w:t> </w:t>
      </w:r>
      <w:r>
        <w:rPr/>
        <w:t>股</w:t>
      </w:r>
      <w:r>
        <w:rPr>
          <w:rFonts w:ascii="宋体" w:hAnsi="宋体" w:cs="宋体" w:eastAsia="宋体" w:hint="default"/>
        </w:rPr>
        <w:t>)98,710,000</w:t>
      </w:r>
      <w:r>
        <w:rPr>
          <w:rFonts w:ascii="宋体" w:hAnsi="宋体" w:cs="宋体" w:eastAsia="宋体" w:hint="default"/>
          <w:spacing w:val="-30"/>
        </w:rPr>
        <w:t> </w:t>
      </w:r>
      <w:r>
        <w:rPr/>
        <w:t>股，发行价格为每股人民币</w:t>
      </w:r>
      <w:r>
        <w:rPr>
          <w:spacing w:val="-29"/>
        </w:rPr>
        <w:t> </w:t>
      </w:r>
      <w:r>
        <w:rPr>
          <w:rFonts w:ascii="宋体" w:hAnsi="宋体" w:cs="宋体" w:eastAsia="宋体" w:hint="default"/>
        </w:rPr>
        <w:t>7.12</w:t>
      </w:r>
      <w:r>
        <w:rPr>
          <w:rFonts w:ascii="宋体" w:hAnsi="宋体" w:cs="宋体" w:eastAsia="宋体" w:hint="default"/>
          <w:spacing w:val="-30"/>
        </w:rPr>
        <w:t> </w:t>
      </w:r>
      <w:r>
        <w:rPr/>
        <w:t>元。发行完成后，本公司股本变更为人</w:t>
      </w:r>
      <w:r>
        <w:rPr>
          <w:w w:val="100"/>
        </w:rPr>
        <w:t> </w:t>
      </w:r>
      <w:r>
        <w:rPr/>
        <w:t>民币</w:t>
      </w:r>
      <w:r>
        <w:rPr>
          <w:spacing w:val="-52"/>
        </w:rPr>
        <w:t> </w:t>
      </w:r>
      <w:r>
        <w:rPr>
          <w:rFonts w:ascii="宋体" w:hAnsi="宋体" w:cs="宋体" w:eastAsia="宋体" w:hint="default"/>
        </w:rPr>
        <w:t>1,233,841,000.00</w:t>
      </w:r>
      <w:r>
        <w:rPr>
          <w:rFonts w:ascii="宋体" w:hAnsi="宋体" w:cs="宋体" w:eastAsia="宋体" w:hint="default"/>
          <w:spacing w:val="-54"/>
        </w:rPr>
        <w:t> </w:t>
      </w:r>
      <w:r>
        <w:rPr>
          <w:spacing w:val="-3"/>
        </w:rPr>
        <w:t>元。</w:t>
      </w:r>
      <w:r>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65" w:right="117"/>
        <w:jc w:val="left"/>
      </w:pPr>
      <w:r>
        <w:rPr/>
        <w:t>本公司法定代表人为何志勇。注册地址为四川省成都市锦江区金石路</w:t>
      </w:r>
      <w:r>
        <w:rPr>
          <w:spacing w:val="-54"/>
        </w:rPr>
        <w:t> </w:t>
      </w:r>
      <w:r>
        <w:rPr>
          <w:rFonts w:ascii="宋体" w:hAnsi="宋体" w:cs="宋体" w:eastAsia="宋体" w:hint="default"/>
        </w:rPr>
        <w:t>239</w:t>
      </w:r>
      <w:r>
        <w:rPr>
          <w:rFonts w:ascii="宋体" w:hAnsi="宋体" w:cs="宋体" w:eastAsia="宋体" w:hint="default"/>
          <w:spacing w:val="-56"/>
        </w:rPr>
        <w:t> </w:t>
      </w:r>
      <w:r>
        <w:rPr/>
        <w:t>号</w:t>
      </w:r>
      <w:r>
        <w:rPr>
          <w:spacing w:val="-56"/>
        </w:rPr>
        <w:t> </w:t>
      </w:r>
      <w:r>
        <w:rPr>
          <w:rFonts w:ascii="宋体" w:hAnsi="宋体" w:cs="宋体" w:eastAsia="宋体" w:hint="default"/>
        </w:rPr>
        <w:t>4</w:t>
      </w:r>
      <w:r>
        <w:rPr>
          <w:rFonts w:ascii="宋体" w:hAnsi="宋体" w:cs="宋体" w:eastAsia="宋体" w:hint="default"/>
          <w:spacing w:val="-53"/>
        </w:rPr>
        <w:t> </w:t>
      </w:r>
      <w:r>
        <w:rPr/>
        <w:t>栋</w:t>
      </w:r>
      <w:r>
        <w:rPr>
          <w:spacing w:val="-54"/>
        </w:rPr>
        <w:t> </w:t>
      </w:r>
      <w:r>
        <w:rPr>
          <w:rFonts w:ascii="宋体" w:hAnsi="宋体" w:cs="宋体" w:eastAsia="宋体" w:hint="default"/>
        </w:rPr>
        <w:t>1</w:t>
      </w:r>
      <w:r>
        <w:rPr>
          <w:rFonts w:ascii="宋体" w:hAnsi="宋体" w:cs="宋体" w:eastAsia="宋体" w:hint="default"/>
          <w:spacing w:val="-56"/>
        </w:rPr>
        <w:t> </w:t>
      </w:r>
      <w:r>
        <w:rPr/>
        <w:t>层</w:t>
      </w:r>
      <w:r>
        <w:rPr>
          <w:spacing w:val="-54"/>
        </w:rPr>
        <w:t> </w:t>
      </w:r>
      <w:r>
        <w:rPr>
          <w:rFonts w:ascii="宋体" w:hAnsi="宋体" w:cs="宋体" w:eastAsia="宋体" w:hint="default"/>
        </w:rPr>
        <w:t>1</w:t>
      </w:r>
      <w:r>
        <w:rPr>
          <w:rFonts w:ascii="宋体" w:hAnsi="宋体" w:cs="宋体" w:eastAsia="宋体" w:hint="default"/>
          <w:spacing w:val="-56"/>
        </w:rPr>
        <w:t> </w:t>
      </w:r>
      <w:r>
        <w:rPr/>
        <w:t>号，本</w:t>
      </w:r>
    </w:p>
    <w:p>
      <w:pPr>
        <w:pStyle w:val="BodyText"/>
        <w:spacing w:line="240" w:lineRule="auto" w:before="133"/>
        <w:ind w:left="140" w:right="0"/>
        <w:jc w:val="both"/>
      </w:pPr>
      <w:r>
        <w:rPr/>
        <w:t>公司总部办公地址为四川省成都市蓉北商贸大道文轩路</w:t>
      </w:r>
      <w:r>
        <w:rPr>
          <w:spacing w:val="-52"/>
        </w:rPr>
        <w:t> </w:t>
      </w:r>
      <w:r>
        <w:rPr>
          <w:rFonts w:ascii="宋体" w:hAnsi="宋体" w:cs="宋体" w:eastAsia="宋体" w:hint="default"/>
        </w:rPr>
        <w:t>6</w:t>
      </w:r>
      <w:r>
        <w:rPr>
          <w:rFonts w:ascii="宋体" w:hAnsi="宋体" w:cs="宋体" w:eastAsia="宋体" w:hint="default"/>
          <w:spacing w:val="-55"/>
        </w:rPr>
        <w:t> </w:t>
      </w:r>
      <w:r>
        <w:rPr/>
        <w:t>号。</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140" w:right="117" w:firstLine="424"/>
        <w:jc w:val="left"/>
      </w:pPr>
      <w:r>
        <w:rPr/>
        <w:t>本公司及子公司</w:t>
      </w:r>
      <w:r>
        <w:rPr>
          <w:rFonts w:ascii="宋体" w:hAnsi="宋体" w:cs="宋体" w:eastAsia="宋体" w:hint="default"/>
        </w:rPr>
        <w:t>(</w:t>
      </w:r>
      <w:r>
        <w:rPr/>
        <w:t>以下简称“本集团”或“集团”)主要经营范围为：图书、报纸、期刊、电子</w:t>
      </w:r>
      <w:r>
        <w:rPr>
          <w:w w:val="100"/>
        </w:rPr>
        <w:t> </w:t>
      </w:r>
      <w:r>
        <w:rPr/>
        <w:t>出版物销售；音像制品批发</w:t>
      </w:r>
      <w:r>
        <w:rPr>
          <w:rFonts w:ascii="宋体" w:hAnsi="宋体" w:cs="宋体" w:eastAsia="宋体" w:hint="default"/>
        </w:rPr>
        <w:t>(</w:t>
      </w:r>
      <w:r>
        <w:rPr/>
        <w:t>连锁专用</w:t>
      </w:r>
      <w:r>
        <w:rPr>
          <w:rFonts w:ascii="宋体" w:hAnsi="宋体" w:cs="宋体" w:eastAsia="宋体" w:hint="default"/>
        </w:rPr>
        <w:t>)</w:t>
      </w:r>
      <w:r>
        <w:rPr/>
        <w:t>；电子出版物、音像制品制作；录音带、录像带复制；普通</w:t>
      </w:r>
      <w:r>
        <w:rPr>
          <w:w w:val="100"/>
        </w:rPr>
        <w:t> </w:t>
      </w:r>
      <w:r>
        <w:rPr/>
        <w:t>货运；批发兼零售预包装食品，乳制品</w:t>
      </w:r>
      <w:r>
        <w:rPr>
          <w:rFonts w:ascii="宋体" w:hAnsi="宋体" w:cs="宋体" w:eastAsia="宋体" w:hint="default"/>
        </w:rPr>
        <w:t>(</w:t>
      </w:r>
      <w:r>
        <w:rPr/>
        <w:t>不含婴幼儿配方乳粉</w:t>
      </w:r>
      <w:r>
        <w:rPr>
          <w:rFonts w:ascii="宋体" w:hAnsi="宋体" w:cs="宋体" w:eastAsia="宋体" w:hint="default"/>
        </w:rPr>
        <w:t>)(</w:t>
      </w:r>
      <w:r>
        <w:rPr/>
        <w:t>仅限分支机构经营</w:t>
      </w:r>
      <w:r>
        <w:rPr>
          <w:rFonts w:ascii="宋体" w:hAnsi="宋体" w:cs="宋体" w:eastAsia="宋体" w:hint="default"/>
        </w:rPr>
        <w:t>)</w:t>
      </w:r>
      <w:r>
        <w:rPr/>
        <w:t>；出版物印刷、</w:t>
      </w:r>
      <w:r>
        <w:rPr>
          <w:spacing w:val="-8"/>
        </w:rPr>
        <w:t> </w:t>
      </w:r>
      <w:r>
        <w:rPr>
          <w:spacing w:val="-8"/>
        </w:rPr>
      </w:r>
      <w:r>
        <w:rPr/>
        <w:t>包装装潢印刷品印刷和其他印刷品印刷；</w:t>
      </w:r>
      <w:r>
        <w:rPr>
          <w:rFonts w:ascii="宋体" w:hAnsi="宋体" w:cs="宋体" w:eastAsia="宋体" w:hint="default"/>
        </w:rPr>
        <w:t>(</w:t>
      </w:r>
      <w:r>
        <w:rPr/>
        <w:t>以上经营范围有效期以许可证为准</w:t>
      </w:r>
      <w:r>
        <w:rPr>
          <w:rFonts w:ascii="宋体" w:hAnsi="宋体" w:cs="宋体" w:eastAsia="宋体" w:hint="default"/>
        </w:rPr>
        <w:t>)</w:t>
      </w:r>
      <w:r>
        <w:rPr/>
        <w:t>。教材租型印供；出</w:t>
      </w:r>
      <w:r>
        <w:rPr>
          <w:w w:val="100"/>
        </w:rPr>
        <w:t> </w:t>
      </w:r>
      <w:r>
        <w:rPr/>
        <w:t>版行业投资及资产管理；房屋租赁；商务服务业；商品批发与零售；进出口业；职业技能培训；教</w:t>
      </w:r>
    </w:p>
    <w:p>
      <w:pPr>
        <w:spacing w:after="0" w:line="357" w:lineRule="auto"/>
        <w:jc w:val="left"/>
        <w:sectPr>
          <w:headerReference w:type="default" r:id="rId35"/>
          <w:footerReference w:type="default" r:id="rId36"/>
          <w:pgSz w:w="11910" w:h="16840"/>
          <w:pgMar w:header="882" w:footer="1195" w:top="1120" w:bottom="1380" w:left="1300" w:right="1220"/>
          <w:pgNumType w:start="8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900" w:right="96"/>
        <w:jc w:val="left"/>
      </w:pPr>
      <w:r>
        <w:rPr/>
        <w:t>育辅助服务；餐饮业；票务代理。</w:t>
      </w:r>
      <w:r>
        <w:rPr>
          <w:rFonts w:ascii="宋体" w:hAnsi="宋体" w:cs="宋体" w:eastAsia="宋体" w:hint="default"/>
        </w:rPr>
        <w:t>(</w:t>
      </w:r>
      <w:r>
        <w:rPr/>
        <w:t>以上项目不含前置许可项目，后置许可项目凭许可证或审批文</w:t>
      </w:r>
      <w:r>
        <w:rPr>
          <w:spacing w:val="-2"/>
        </w:rPr>
        <w:t> </w:t>
      </w:r>
      <w:r>
        <w:rPr>
          <w:spacing w:val="-2"/>
        </w:rPr>
      </w:r>
      <w:r>
        <w:rPr/>
        <w:t>件经营</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pStyle w:val="BodyText"/>
        <w:spacing w:line="357" w:lineRule="auto" w:before="178"/>
        <w:ind w:left="900" w:right="908" w:firstLine="424"/>
        <w:jc w:val="both"/>
      </w:pPr>
      <w:r>
        <w:rPr/>
        <w:t>本公司的母公司为四川新华发行集团。四川省政府国有资产监督管理委员会</w:t>
      </w:r>
      <w:r>
        <w:rPr>
          <w:rFonts w:ascii="宋体" w:hAnsi="宋体" w:cs="宋体" w:eastAsia="宋体" w:hint="default"/>
        </w:rPr>
        <w:t>(</w:t>
      </w:r>
      <w:r>
        <w:rPr/>
        <w:t>以下简称“四川</w:t>
      </w:r>
      <w:r>
        <w:rPr>
          <w:spacing w:val="2"/>
          <w:w w:val="100"/>
        </w:rPr>
        <w:t> </w:t>
      </w:r>
      <w:r>
        <w:rPr/>
        <w:t>省国资委”)按四川省政府的指示于 </w:t>
      </w:r>
      <w:r>
        <w:rPr>
          <w:rFonts w:ascii="宋体" w:hAnsi="宋体" w:cs="宋体" w:eastAsia="宋体" w:hint="default"/>
        </w:rPr>
        <w:t>2009</w:t>
      </w:r>
      <w:r>
        <w:rPr>
          <w:rFonts w:ascii="宋体" w:hAnsi="宋体" w:cs="宋体" w:eastAsia="宋体" w:hint="default"/>
          <w:spacing w:val="-17"/>
        </w:rPr>
        <w:t> </w:t>
      </w:r>
      <w:r>
        <w:rPr/>
        <w:t>年设立了四川发展</w:t>
      </w:r>
      <w:r>
        <w:rPr>
          <w:rFonts w:ascii="宋体" w:hAnsi="宋体" w:cs="宋体" w:eastAsia="宋体" w:hint="default"/>
        </w:rPr>
        <w:t>(</w:t>
      </w:r>
      <w:r>
        <w:rPr/>
        <w:t>控股</w:t>
      </w:r>
      <w:r>
        <w:rPr>
          <w:rFonts w:ascii="宋体" w:hAnsi="宋体" w:cs="宋体" w:eastAsia="宋体" w:hint="default"/>
        </w:rPr>
        <w:t>)</w:t>
      </w:r>
      <w:r>
        <w:rPr/>
        <w:t>有限责任公司</w:t>
      </w:r>
      <w:r>
        <w:rPr>
          <w:rFonts w:ascii="宋体" w:hAnsi="宋体" w:cs="宋体" w:eastAsia="宋体" w:hint="default"/>
        </w:rPr>
        <w:t>(</w:t>
      </w:r>
      <w:r>
        <w:rPr/>
        <w:t>以下简称“四川</w:t>
      </w:r>
      <w:r>
        <w:rPr>
          <w:spacing w:val="-3"/>
          <w:w w:val="100"/>
        </w:rPr>
        <w:t> </w:t>
      </w:r>
      <w:r>
        <w:rPr/>
        <w:t>发展”)，并将其持有的四川新华发行集团股权划转至四川发展，四川新华发行集团成为四川发展</w:t>
      </w:r>
      <w:r>
        <w:rPr>
          <w:spacing w:val="-10"/>
        </w:rPr>
        <w:t> </w:t>
      </w:r>
      <w:r>
        <w:rPr>
          <w:spacing w:val="-10"/>
        </w:rPr>
      </w:r>
      <w:r>
        <w:rPr/>
        <w:t>的全资子公司，由于四川发展由四川省国资委全资拥有，故本公司由四川省国资委实际控制。</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540" w:right="520"/>
        </w:sectPr>
      </w:pPr>
    </w:p>
    <w:p>
      <w:pPr>
        <w:pStyle w:val="Heading2"/>
        <w:tabs>
          <w:tab w:pos="1320" w:val="left" w:leader="none"/>
        </w:tabs>
        <w:spacing w:line="240" w:lineRule="auto" w:before="36"/>
        <w:ind w:left="900" w:right="-10"/>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1742" w:val="left" w:leader="none"/>
        </w:tabs>
        <w:spacing w:line="271" w:lineRule="exact" w:before="56"/>
        <w:ind w:left="900" w:right="-10"/>
        <w:jc w:val="left"/>
      </w:pPr>
      <w:r>
        <w:rPr/>
        <w:t>√适用</w:t>
        <w:tab/>
        <w:t>□不适用</w:t>
      </w:r>
    </w:p>
    <w:p>
      <w:pPr>
        <w:spacing w:line="329" w:lineRule="exact" w:before="0"/>
        <w:ind w:left="900" w:right="-10" w:firstLine="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(1)</w:t>
      </w:r>
      <w:r>
        <w:rPr>
          <w:rFonts w:ascii="宋体" w:hAnsi="宋体" w:cs="宋体" w:eastAsia="宋体" w:hint="default"/>
          <w:spacing w:val="-1"/>
          <w:sz w:val="24"/>
          <w:szCs w:val="24"/>
        </w:rPr>
        <w:t>投资成立的子公司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2057" w:val="left" w:leader="none"/>
        </w:tabs>
        <w:spacing w:line="240" w:lineRule="auto" w:before="165"/>
        <w:ind w:left="900" w:right="0"/>
        <w:jc w:val="left"/>
      </w:pPr>
      <w:r>
        <w:rPr>
          <w:spacing w:val="-1"/>
        </w:rPr>
        <w:t>单位：元</w:t>
        <w:tab/>
      </w:r>
      <w:r>
        <w:rPr>
          <w:spacing w:val="-2"/>
        </w:rPr>
        <w:t>币种：人民币</w:t>
      </w:r>
    </w:p>
    <w:p>
      <w:pPr>
        <w:spacing w:after="0" w:line="240" w:lineRule="auto"/>
        <w:jc w:val="left"/>
        <w:sectPr>
          <w:type w:val="continuous"/>
          <w:pgSz w:w="11910" w:h="16840"/>
          <w:pgMar w:top="1060" w:bottom="1380" w:left="540" w:right="520"/>
          <w:cols w:num="2" w:equalWidth="0">
            <w:col w:w="3099" w:space="3514"/>
            <w:col w:w="4237"/>
          </w:cols>
        </w:sectPr>
      </w:pPr>
    </w:p>
    <w:p>
      <w:pPr>
        <w:spacing w:line="240" w:lineRule="auto" w:before="3"/>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2693"/>
        <w:gridCol w:w="1107"/>
        <w:gridCol w:w="595"/>
        <w:gridCol w:w="960"/>
        <w:gridCol w:w="1340"/>
        <w:gridCol w:w="1844"/>
        <w:gridCol w:w="708"/>
        <w:gridCol w:w="710"/>
        <w:gridCol w:w="636"/>
      </w:tblGrid>
      <w:tr>
        <w:trPr>
          <w:trHeight w:val="7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58" w:right="188" w:hanging="272"/>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01" w:right="110" w:hanging="89"/>
              <w:jc w:val="left"/>
              <w:rPr>
                <w:rFonts w:ascii="宋体" w:hAnsi="宋体" w:cs="宋体" w:eastAsia="宋体" w:hint="default"/>
                <w:sz w:val="18"/>
                <w:szCs w:val="18"/>
              </w:rPr>
            </w:pPr>
            <w:r>
              <w:rPr>
                <w:rFonts w:ascii="宋体" w:hAnsi="宋体" w:cs="宋体" w:eastAsia="宋体" w:hint="default"/>
                <w:sz w:val="18"/>
                <w:szCs w:val="18"/>
              </w:rPr>
              <w:t>注册 地</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2" w:lineRule="exact" w:before="24"/>
              <w:ind w:left="213" w:right="16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表决</w:t>
            </w:r>
          </w:p>
          <w:p>
            <w:pPr>
              <w:pStyle w:val="TableParagraph"/>
              <w:spacing w:line="232" w:lineRule="exact" w:before="24"/>
              <w:ind w:left="122" w:right="122" w:firstLine="45"/>
              <w:jc w:val="left"/>
              <w:rPr>
                <w:rFonts w:ascii="宋体" w:hAnsi="宋体" w:cs="宋体" w:eastAsia="宋体" w:hint="default"/>
                <w:sz w:val="18"/>
                <w:szCs w:val="18"/>
              </w:rPr>
            </w:pPr>
            <w:r>
              <w:rPr>
                <w:rFonts w:ascii="宋体" w:hAnsi="宋体" w:cs="宋体" w:eastAsia="宋体" w:hint="default"/>
                <w:sz w:val="18"/>
                <w:szCs w:val="18"/>
              </w:rPr>
              <w:t>权比 例</w:t>
            </w:r>
            <w:r>
              <w:rPr>
                <w:rFonts w:ascii="宋体" w:hAnsi="宋体" w:cs="宋体" w:eastAsia="宋体" w:hint="default"/>
                <w:sz w:val="18"/>
                <w:szCs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2" w:lineRule="exact" w:before="24"/>
              <w:ind w:left="132" w:right="132"/>
              <w:jc w:val="left"/>
              <w:rPr>
                <w:rFonts w:ascii="宋体" w:hAnsi="宋体" w:cs="宋体" w:eastAsia="宋体" w:hint="default"/>
                <w:sz w:val="18"/>
                <w:szCs w:val="18"/>
              </w:rPr>
            </w:pPr>
            <w:r>
              <w:rPr>
                <w:rFonts w:ascii="宋体" w:hAnsi="宋体" w:cs="宋体" w:eastAsia="宋体" w:hint="default"/>
                <w:sz w:val="18"/>
                <w:szCs w:val="18"/>
              </w:rPr>
              <w:t>合并 报表</w:t>
            </w:r>
          </w:p>
        </w:tc>
      </w:tr>
      <w:tr>
        <w:trPr>
          <w:trHeight w:val="478"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四川人教时代新华音像有限责</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人教时代</w:t>
            </w:r>
            <w:r>
              <w:rPr>
                <w:rFonts w:ascii="Times New Roman" w:hAnsi="Times New Roman" w:cs="Times New Roman" w:eastAsia="Times New Roman" w:hint="default"/>
                <w:sz w:val="18"/>
                <w:szCs w:val="18"/>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音像品销</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音像制品制作及销售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80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80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693" w:type="dxa"/>
            <w:tcBorders>
              <w:top w:val="single" w:sz="4"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四川新华文轩传媒有限公司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文</w:t>
            </w:r>
          </w:p>
          <w:p>
            <w:pPr>
              <w:pStyle w:val="TableParagraph"/>
              <w:spacing w:line="241"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轩传媒</w:t>
            </w:r>
            <w:r>
              <w:rPr>
                <w:rFonts w:ascii="Times New Roman" w:hAnsi="Times New Roman" w:cs="Times New Roman" w:eastAsia="Times New Roman" w:hint="default"/>
                <w:sz w:val="18"/>
                <w:szCs w:val="18"/>
              </w:rPr>
              <w:t>")</w:t>
            </w:r>
          </w:p>
        </w:tc>
        <w:tc>
          <w:tcPr>
            <w:tcW w:w="1107" w:type="dxa"/>
            <w:tcBorders>
              <w:top w:val="single" w:sz="4"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6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期刊</w:t>
            </w:r>
          </w:p>
        </w:tc>
        <w:tc>
          <w:tcPr>
            <w:tcW w:w="134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spacing w:val="-1"/>
                <w:sz w:val="18"/>
              </w:rPr>
              <w:t>3,990,000.00</w:t>
            </w:r>
          </w:p>
        </w:tc>
        <w:tc>
          <w:tcPr>
            <w:tcW w:w="184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图书、期刊销售等</w:t>
            </w:r>
          </w:p>
        </w:tc>
        <w:tc>
          <w:tcPr>
            <w:tcW w:w="70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100</w:t>
            </w:r>
          </w:p>
        </w:tc>
        <w:tc>
          <w:tcPr>
            <w:tcW w:w="63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8"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四川文轩教育科技有限公司</w:t>
            </w:r>
            <w:r>
              <w:rPr>
                <w:rFonts w:ascii="宋体" w:hAnsi="宋体" w:cs="宋体" w:eastAsia="宋体" w:hint="default"/>
                <w:sz w:val="18"/>
                <w:szCs w:val="18"/>
              </w:rPr>
              <w:t>("</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文轩教育科技</w:t>
            </w:r>
            <w:r>
              <w:rPr>
                <w:rFonts w:ascii="宋体" w:hAnsi="宋体" w:cs="宋体" w:eastAsia="宋体"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零售批发</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4"/>
              <w:jc w:val="right"/>
              <w:rPr>
                <w:rFonts w:ascii="Times New Roman" w:hAnsi="Times New Roman" w:cs="Times New Roman" w:eastAsia="Times New Roman" w:hint="default"/>
                <w:sz w:val="18"/>
                <w:szCs w:val="18"/>
              </w:rPr>
            </w:pPr>
            <w:r>
              <w:rPr>
                <w:rFonts w:ascii="Times New Roman"/>
                <w:spacing w:val="-1"/>
                <w:sz w:val="18"/>
              </w:rPr>
              <w:t>330,000,000.00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软件开发、电子设备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6"/>
              <w:jc w:val="right"/>
              <w:rPr>
                <w:rFonts w:ascii="Times New Roman" w:hAnsi="Times New Roman" w:cs="Times New Roman" w:eastAsia="Times New Roman" w:hint="default"/>
                <w:sz w:val="18"/>
                <w:szCs w:val="18"/>
              </w:rPr>
            </w:pPr>
            <w:r>
              <w:rPr>
                <w:rFonts w:ascii="Times New Roman"/>
                <w:sz w:val="18"/>
              </w:rPr>
              <w:t>100</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5"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四川文传物流有限公司</w:t>
            </w:r>
            <w:r>
              <w:rPr>
                <w:rFonts w:ascii="宋体" w:hAnsi="宋体" w:cs="宋体" w:eastAsia="宋体" w:hint="default"/>
                <w:sz w:val="18"/>
                <w:szCs w:val="18"/>
              </w:rPr>
              <w:t>("</w:t>
            </w:r>
            <w:r>
              <w:rPr>
                <w:rFonts w:ascii="宋体" w:hAnsi="宋体" w:cs="宋体" w:eastAsia="宋体" w:hint="default"/>
                <w:sz w:val="18"/>
                <w:szCs w:val="18"/>
              </w:rPr>
              <w:t>文传</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物流</w:t>
            </w:r>
            <w:r>
              <w:rPr>
                <w:rFonts w:ascii="宋体" w:hAnsi="宋体" w:cs="宋体" w:eastAsia="宋体"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仓储配送</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spacing w:val="-1"/>
                <w:sz w:val="18"/>
              </w:rPr>
              <w:t>350,000,000.00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货物仓储、配送</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100</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新华文轩商业连锁</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w:t>
            </w:r>
          </w:p>
          <w:p>
            <w:pPr>
              <w:pStyle w:val="TableParagraph"/>
              <w:spacing w:line="241"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北京商超</w:t>
            </w:r>
            <w:r>
              <w:rPr>
                <w:rFonts w:ascii="Times New Roman" w:hAnsi="Times New Roman" w:cs="Times New Roman" w:eastAsia="Times New Roman"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出版物销</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180,000,000.00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图书、报纸、期刊销</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售</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51</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z w:val="18"/>
              </w:rPr>
              <w:t>51</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四川文轩艺术投资管理有限责</w:t>
            </w:r>
          </w:p>
          <w:p>
            <w:pPr>
              <w:pStyle w:val="TableParagraph"/>
              <w:spacing w:line="248"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艺术投资</w:t>
            </w:r>
            <w:r>
              <w:rPr>
                <w:rFonts w:ascii="Times New Roman" w:hAnsi="Times New Roman" w:cs="Times New Roman" w:eastAsia="Times New Roman"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艺术品销</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20,000,000.00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项目投资及管理、艺</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术品销售</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z w:val="18"/>
              </w:rPr>
              <w:t>100</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四川文轩在线电子商务有限公</w:t>
            </w:r>
          </w:p>
          <w:p>
            <w:pPr>
              <w:pStyle w:val="TableParagraph"/>
              <w:spacing w:line="240" w:lineRule="auto"/>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文轩在线</w:t>
            </w:r>
            <w:r>
              <w:rPr>
                <w:rFonts w:ascii="Times New Roman" w:hAnsi="Times New Roman" w:cs="Times New Roman" w:eastAsia="Times New Roman"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出版物销</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60,000,000.00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网络销售各类产品</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75</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z w:val="18"/>
              </w:rPr>
              <w:t>75</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华盛顿文轩媒体发展有限公司</w:t>
            </w:r>
            <w:r>
              <w:rPr>
                <w:rFonts w:ascii="Times New Roman" w:hAnsi="Times New Roman" w:cs="Times New Roman" w:eastAsia="Times New Roman" w:hint="default"/>
                <w:sz w:val="18"/>
                <w:szCs w:val="18"/>
              </w:rPr>
              <w:t>("</w:t>
            </w:r>
          </w:p>
          <w:p>
            <w:pPr>
              <w:pStyle w:val="TableParagraph"/>
              <w:spacing w:line="242"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华盛顿文轩媒体</w:t>
            </w:r>
            <w:r>
              <w:rPr>
                <w:rFonts w:ascii="Times New Roman" w:hAnsi="Times New Roman" w:cs="Times New Roman" w:eastAsia="Times New Roman"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出版物发</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spacing w:val="-1"/>
                <w:sz w:val="18"/>
              </w:rPr>
              <w:t>1,910,430.00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版权贸易、对外合作</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出版与发行</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90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90</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8"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四川看熊猫杂志有限公司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看熊</w:t>
            </w:r>
          </w:p>
          <w:p>
            <w:pPr>
              <w:pStyle w:val="TableParagraph"/>
              <w:spacing w:line="241"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猫</w:t>
            </w:r>
            <w:r>
              <w:rPr>
                <w:rFonts w:ascii="Times New Roman" w:hAnsi="Times New Roman" w:cs="Times New Roman" w:eastAsia="Times New Roman"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期刊</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spacing w:val="-1"/>
                <w:sz w:val="18"/>
              </w:rPr>
              <w:t>2,000,000.00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期刊销售</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100</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文轩薇薇广告传媒</w:t>
            </w:r>
            <w:r>
              <w:rPr>
                <w:rFonts w:ascii="Times New Roman" w:hAnsi="Times New Roman" w:cs="Times New Roman" w:eastAsia="Times New Roman" w:hint="default"/>
                <w:sz w:val="18"/>
                <w:szCs w:val="18"/>
              </w:rPr>
              <w:t>(</w:t>
            </w:r>
            <w:r>
              <w:rPr>
                <w:rFonts w:ascii="宋体" w:hAnsi="宋体" w:cs="宋体" w:eastAsia="宋体" w:hint="default"/>
                <w:sz w:val="18"/>
                <w:szCs w:val="18"/>
              </w:rPr>
              <w:t>成都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w:t>
            </w:r>
          </w:p>
          <w:p>
            <w:pPr>
              <w:pStyle w:val="TableParagraph"/>
              <w:spacing w:line="241"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薇薇广告</w:t>
            </w:r>
            <w:r>
              <w:rPr>
                <w:rFonts w:ascii="Times New Roman" w:hAnsi="Times New Roman" w:cs="Times New Roman" w:eastAsia="Times New Roman"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广告</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spacing w:val="-1"/>
                <w:sz w:val="18"/>
              </w:rPr>
              <w:t>7,500,000.00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广告</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53</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53</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5"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四川文轩云图文创科技有限公</w:t>
            </w:r>
          </w:p>
          <w:p>
            <w:pPr>
              <w:pStyle w:val="TableParagraph"/>
              <w:spacing w:line="248"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文轩云图</w:t>
            </w:r>
            <w:r>
              <w:rPr>
                <w:rFonts w:ascii="Times New Roman" w:hAnsi="Times New Roman" w:cs="Times New Roman" w:eastAsia="Times New Roman"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spacing w:val="-1"/>
                <w:sz w:val="18"/>
              </w:rPr>
              <w:t>25,000,000.00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软件及配套硬件销售</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100</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文轩投资有限公司（</w:t>
            </w:r>
            <w:r>
              <w:rPr>
                <w:rFonts w:ascii="宋体" w:hAnsi="宋体" w:cs="宋体" w:eastAsia="宋体" w:hint="default"/>
                <w:sz w:val="18"/>
                <w:szCs w:val="18"/>
              </w:rPr>
              <w:t>"</w:t>
            </w:r>
            <w:r>
              <w:rPr>
                <w:rFonts w:ascii="宋体" w:hAnsi="宋体" w:cs="宋体" w:eastAsia="宋体" w:hint="default"/>
                <w:sz w:val="18"/>
                <w:szCs w:val="18"/>
              </w:rPr>
              <w:t>文轩投资</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200,000,000.00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创业投资、企业投资</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z w:val="18"/>
              </w:rPr>
              <w:t>100</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before="109"/>
              <w:ind w:left="98"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文轩国际文化传播有限公司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文 轩国际</w:t>
            </w:r>
            <w:r>
              <w:rPr>
                <w:rFonts w:ascii="Times New Roman" w:hAnsi="Times New Roman" w:cs="Times New Roman" w:eastAsia="Times New Roman"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62" w:right="183"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90" w:right="108" w:hanging="180"/>
              <w:jc w:val="left"/>
              <w:rPr>
                <w:rFonts w:ascii="宋体" w:hAnsi="宋体" w:cs="宋体" w:eastAsia="宋体" w:hint="default"/>
                <w:sz w:val="18"/>
                <w:szCs w:val="18"/>
              </w:rPr>
            </w:pPr>
            <w:r>
              <w:rPr>
                <w:rFonts w:ascii="宋体" w:hAnsi="宋体" w:cs="宋体" w:eastAsia="宋体" w:hint="default"/>
                <w:sz w:val="18"/>
                <w:szCs w:val="18"/>
              </w:rPr>
              <w:t>商务咨询 服务</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50,000,000.00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组织策划文化艺术交</w:t>
            </w:r>
          </w:p>
          <w:p>
            <w:pPr>
              <w:pStyle w:val="TableParagraph"/>
              <w:spacing w:line="232" w:lineRule="exact" w:before="23"/>
              <w:ind w:left="100" w:right="101"/>
              <w:jc w:val="left"/>
              <w:rPr>
                <w:rFonts w:ascii="宋体" w:hAnsi="宋体" w:cs="宋体" w:eastAsia="宋体" w:hint="default"/>
                <w:sz w:val="18"/>
                <w:szCs w:val="18"/>
              </w:rPr>
            </w:pPr>
            <w:r>
              <w:rPr>
                <w:rFonts w:ascii="宋体" w:hAnsi="宋体" w:cs="宋体" w:eastAsia="宋体" w:hint="default"/>
                <w:sz w:val="18"/>
                <w:szCs w:val="18"/>
              </w:rPr>
              <w:t>流活动、商务咨询、 会议及展览展示服务</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文轩全媒</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文化传播有限公</w:t>
            </w:r>
          </w:p>
          <w:p>
            <w:pPr>
              <w:pStyle w:val="TableParagraph"/>
              <w:spacing w:line="241"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文轩全媒</w:t>
            </w:r>
            <w:r>
              <w:rPr>
                <w:rFonts w:ascii="Times New Roman" w:hAnsi="Times New Roman" w:cs="Times New Roman" w:eastAsia="Times New Roman"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商务咨询</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10,000,000.00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组织文化艺术交流活</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动</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z w:val="18"/>
              </w:rPr>
              <w:t>100</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8"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四川文轩音乐文化传播有限公</w:t>
            </w:r>
          </w:p>
          <w:p>
            <w:pPr>
              <w:pStyle w:val="TableParagraph"/>
              <w:spacing w:line="248"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文轩音乐</w:t>
            </w:r>
            <w:r>
              <w:rPr>
                <w:rFonts w:ascii="Times New Roman" w:hAnsi="Times New Roman" w:cs="Times New Roman" w:eastAsia="Times New Roman"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商务服务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业</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10,000,000.00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商务服务及乐器销售</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z w:val="18"/>
              </w:rPr>
              <w:t>100</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北京航天云教育科技有限公司</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8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4"/>
              <w:jc w:val="right"/>
              <w:rPr>
                <w:rFonts w:ascii="Times New Roman" w:hAnsi="Times New Roman" w:cs="Times New Roman" w:eastAsia="Times New Roman" w:hint="default"/>
                <w:sz w:val="18"/>
                <w:szCs w:val="18"/>
              </w:rPr>
            </w:pPr>
            <w:r>
              <w:rPr>
                <w:rFonts w:ascii="Times New Roman"/>
                <w:spacing w:val="-1"/>
                <w:sz w:val="18"/>
              </w:rPr>
              <w:t>31,783,300.00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计算机软件开发及系</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z w:val="18"/>
              </w:rPr>
              <w:t>70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z w:val="18"/>
              </w:rPr>
              <w:t>70</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32" w:lineRule="exact"/>
        <w:jc w:val="center"/>
        <w:rPr>
          <w:rFonts w:ascii="宋体" w:hAnsi="宋体" w:cs="宋体" w:eastAsia="宋体" w:hint="default"/>
          <w:sz w:val="18"/>
          <w:szCs w:val="18"/>
        </w:rPr>
        <w:sectPr>
          <w:type w:val="continuous"/>
          <w:pgSz w:w="11910" w:h="16840"/>
          <w:pgMar w:top="1060" w:bottom="1380" w:left="540" w:right="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2693"/>
        <w:gridCol w:w="1107"/>
        <w:gridCol w:w="595"/>
        <w:gridCol w:w="960"/>
        <w:gridCol w:w="1340"/>
        <w:gridCol w:w="1844"/>
        <w:gridCol w:w="708"/>
        <w:gridCol w:w="710"/>
        <w:gridCol w:w="636"/>
      </w:tblGrid>
      <w:tr>
        <w:trPr>
          <w:trHeight w:val="295" w:hRule="exact"/>
        </w:trPr>
        <w:tc>
          <w:tcPr>
            <w:tcW w:w="2693" w:type="dxa"/>
            <w:tcBorders>
              <w:top w:val="nil" w:sz="6" w:space="0" w:color="auto"/>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北京航天云</w:t>
            </w:r>
            <w:r>
              <w:rPr>
                <w:rFonts w:ascii="宋体" w:hAnsi="宋体" w:cs="宋体" w:eastAsia="宋体" w:hint="default"/>
                <w:sz w:val="18"/>
                <w:szCs w:val="18"/>
              </w:rPr>
              <w:t>")</w:t>
            </w:r>
          </w:p>
        </w:tc>
        <w:tc>
          <w:tcPr>
            <w:tcW w:w="1107" w:type="dxa"/>
            <w:tcBorders>
              <w:top w:val="nil" w:sz="6" w:space="0" w:color="auto"/>
              <w:left w:val="single" w:sz="8" w:space="0" w:color="000000"/>
              <w:bottom w:val="single" w:sz="8" w:space="0" w:color="000000"/>
              <w:right w:val="single" w:sz="8" w:space="0" w:color="000000"/>
            </w:tcBorders>
          </w:tcPr>
          <w:p>
            <w:pPr>
              <w:pStyle w:val="TableParagraph"/>
              <w:spacing w:line="205" w:lineRule="exact"/>
              <w:ind w:left="36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nil" w:sz="6" w:space="0" w:color="auto"/>
              <w:left w:val="single" w:sz="8" w:space="0" w:color="000000"/>
              <w:bottom w:val="single" w:sz="8" w:space="0" w:color="000000"/>
              <w:right w:val="single" w:sz="8" w:space="0" w:color="000000"/>
            </w:tcBorders>
          </w:tcPr>
          <w:p>
            <w:pPr/>
          </w:p>
        </w:tc>
        <w:tc>
          <w:tcPr>
            <w:tcW w:w="960" w:type="dxa"/>
            <w:tcBorders>
              <w:top w:val="nil" w:sz="6" w:space="0" w:color="auto"/>
              <w:left w:val="single" w:sz="8" w:space="0" w:color="000000"/>
              <w:bottom w:val="single" w:sz="8" w:space="0" w:color="000000"/>
              <w:right w:val="single" w:sz="8" w:space="0" w:color="000000"/>
            </w:tcBorders>
          </w:tcPr>
          <w:p>
            <w:pPr/>
          </w:p>
        </w:tc>
        <w:tc>
          <w:tcPr>
            <w:tcW w:w="1340" w:type="dxa"/>
            <w:tcBorders>
              <w:top w:val="nil" w:sz="6" w:space="0" w:color="auto"/>
              <w:left w:val="single" w:sz="8" w:space="0" w:color="000000"/>
              <w:bottom w:val="single" w:sz="8" w:space="0" w:color="000000"/>
              <w:right w:val="single" w:sz="8" w:space="0" w:color="000000"/>
            </w:tcBorders>
          </w:tcPr>
          <w:p>
            <w:pPr/>
          </w:p>
        </w:tc>
        <w:tc>
          <w:tcPr>
            <w:tcW w:w="1844" w:type="dxa"/>
            <w:tcBorders>
              <w:top w:val="nil" w:sz="6" w:space="0" w:color="auto"/>
              <w:left w:val="single" w:sz="8" w:space="0" w:color="000000"/>
              <w:bottom w:val="single" w:sz="8" w:space="0" w:color="000000"/>
              <w:right w:val="single" w:sz="8"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统服务</w:t>
            </w:r>
          </w:p>
        </w:tc>
        <w:tc>
          <w:tcPr>
            <w:tcW w:w="708" w:type="dxa"/>
            <w:tcBorders>
              <w:top w:val="nil" w:sz="6" w:space="0" w:color="auto"/>
              <w:left w:val="single" w:sz="8" w:space="0" w:color="000000"/>
              <w:bottom w:val="single" w:sz="8" w:space="0" w:color="000000"/>
              <w:right w:val="single" w:sz="8" w:space="0" w:color="000000"/>
            </w:tcBorders>
          </w:tcPr>
          <w:p>
            <w:pPr/>
          </w:p>
        </w:tc>
        <w:tc>
          <w:tcPr>
            <w:tcW w:w="710" w:type="dxa"/>
            <w:tcBorders>
              <w:top w:val="nil" w:sz="6" w:space="0" w:color="auto"/>
              <w:left w:val="single" w:sz="8" w:space="0" w:color="000000"/>
              <w:bottom w:val="single" w:sz="8" w:space="0" w:color="000000"/>
              <w:right w:val="single" w:sz="8" w:space="0" w:color="000000"/>
            </w:tcBorders>
          </w:tcPr>
          <w:p>
            <w:pPr/>
          </w:p>
        </w:tc>
        <w:tc>
          <w:tcPr>
            <w:tcW w:w="636" w:type="dxa"/>
            <w:tcBorders>
              <w:top w:val="nil" w:sz="6" w:space="0" w:color="auto"/>
              <w:left w:val="single" w:sz="8" w:space="0" w:color="000000"/>
              <w:bottom w:val="single" w:sz="8" w:space="0" w:color="000000"/>
              <w:right w:val="single" w:sz="8" w:space="0" w:color="000000"/>
            </w:tcBorders>
          </w:tcPr>
          <w:p>
            <w:pPr/>
          </w:p>
        </w:tc>
      </w:tr>
      <w:tr>
        <w:trPr>
          <w:trHeight w:val="485"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北京华夏盛轩图书有限公司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w:t>
            </w:r>
          </w:p>
          <w:p>
            <w:pPr>
              <w:pStyle w:val="TableParagraph"/>
              <w:spacing w:line="241"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夏盛轩</w:t>
            </w:r>
            <w:r>
              <w:rPr>
                <w:rFonts w:ascii="Times New Roman" w:hAnsi="Times New Roman" w:cs="Times New Roman" w:eastAsia="Times New Roman"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出版物销</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spacing w:val="-1"/>
                <w:sz w:val="18"/>
              </w:rPr>
              <w:t>15,000,000.00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出版物销售等</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100</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四川文轩轩客会文化发展有限</w:t>
            </w:r>
          </w:p>
          <w:p>
            <w:pPr>
              <w:pStyle w:val="TableParagraph"/>
              <w:spacing w:line="248"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轩客会</w:t>
            </w:r>
            <w:r>
              <w:rPr>
                <w:rFonts w:ascii="Times New Roman" w:hAnsi="Times New Roman" w:cs="Times New Roman" w:eastAsia="Times New Roman" w:hint="default"/>
                <w:sz w:val="18"/>
                <w:szCs w:val="18"/>
              </w:rPr>
              <w:t>")</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批发和零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售业</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50,000,000.00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图书批发和零售</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z w:val="18"/>
              </w:rPr>
              <w:t>100</w:t>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1" w:lineRule="exact"/>
        <w:ind w:left="900" w:right="0"/>
        <w:jc w:val="left"/>
      </w:pPr>
      <w:r>
        <w:rPr>
          <w:rFonts w:ascii="宋体" w:hAnsi="宋体" w:cs="宋体" w:eastAsia="宋体" w:hint="default"/>
        </w:rPr>
        <w:t>(2)</w:t>
      </w:r>
      <w:r>
        <w:rPr/>
        <w:t>同一控制下企业合并取得的子公司</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693"/>
        <w:gridCol w:w="992"/>
        <w:gridCol w:w="710"/>
        <w:gridCol w:w="991"/>
        <w:gridCol w:w="1419"/>
        <w:gridCol w:w="1702"/>
        <w:gridCol w:w="708"/>
        <w:gridCol w:w="708"/>
        <w:gridCol w:w="710"/>
      </w:tblGrid>
      <w:tr>
        <w:trPr>
          <w:trHeight w:val="7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7"/>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9" w:right="170"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left="213" w:right="16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表决</w:t>
            </w:r>
          </w:p>
          <w:p>
            <w:pPr>
              <w:pStyle w:val="TableParagraph"/>
              <w:spacing w:line="240" w:lineRule="auto"/>
              <w:ind w:left="122" w:right="120" w:firstLine="45"/>
              <w:jc w:val="left"/>
              <w:rPr>
                <w:rFonts w:ascii="宋体" w:hAnsi="宋体" w:cs="宋体" w:eastAsia="宋体" w:hint="default"/>
                <w:sz w:val="18"/>
                <w:szCs w:val="18"/>
              </w:rPr>
            </w:pPr>
            <w:r>
              <w:rPr>
                <w:rFonts w:ascii="宋体" w:hAnsi="宋体" w:cs="宋体" w:eastAsia="宋体" w:hint="default"/>
                <w:sz w:val="18"/>
                <w:szCs w:val="18"/>
              </w:rPr>
              <w:t>权比 例</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40" w:lineRule="auto"/>
              <w:ind w:left="168" w:right="170"/>
              <w:jc w:val="left"/>
              <w:rPr>
                <w:rFonts w:ascii="宋体" w:hAnsi="宋体" w:cs="宋体" w:eastAsia="宋体" w:hint="default"/>
                <w:sz w:val="18"/>
                <w:szCs w:val="18"/>
              </w:rPr>
            </w:pPr>
            <w:r>
              <w:rPr>
                <w:rFonts w:ascii="宋体" w:hAnsi="宋体" w:cs="宋体" w:eastAsia="宋体" w:hint="default"/>
                <w:sz w:val="18"/>
                <w:szCs w:val="18"/>
              </w:rPr>
              <w:t>合并 报表</w:t>
            </w:r>
          </w:p>
        </w:tc>
      </w:tr>
      <w:tr>
        <w:trPr>
          <w:trHeight w:val="482" w:hRule="exact"/>
        </w:trPr>
        <w:tc>
          <w:tcPr>
            <w:tcW w:w="2693" w:type="dxa"/>
            <w:tcBorders>
              <w:top w:val="single" w:sz="4"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四川新华在线网络有限责任公</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新华在线</w:t>
            </w:r>
            <w:r>
              <w:rPr>
                <w:rFonts w:ascii="宋体" w:hAnsi="宋体" w:cs="宋体" w:eastAsia="宋体" w:hint="default"/>
                <w:sz w:val="18"/>
                <w:szCs w:val="18"/>
              </w:rPr>
              <w:t>")</w:t>
            </w:r>
          </w:p>
        </w:tc>
        <w:tc>
          <w:tcPr>
            <w:tcW w:w="992" w:type="dxa"/>
            <w:tcBorders>
              <w:top w:val="single" w:sz="4"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4"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出版物销</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14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left="391" w:right="0"/>
              <w:jc w:val="left"/>
              <w:rPr>
                <w:rFonts w:ascii="宋体" w:hAnsi="宋体" w:cs="宋体" w:eastAsia="宋体" w:hint="default"/>
                <w:sz w:val="18"/>
                <w:szCs w:val="18"/>
              </w:rPr>
            </w:pPr>
            <w:r>
              <w:rPr>
                <w:rFonts w:ascii="宋体" w:hAnsi="宋体" w:cs="宋体" w:eastAsia="宋体" w:hint="default"/>
                <w:sz w:val="18"/>
                <w:szCs w:val="18"/>
              </w:rPr>
              <w:t>互联网出版</w:t>
            </w:r>
          </w:p>
        </w:tc>
        <w:tc>
          <w:tcPr>
            <w:tcW w:w="70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8"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北京蜀川新华书店图书发行有</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限责任公司</w:t>
            </w:r>
            <w:r>
              <w:rPr>
                <w:rFonts w:ascii="宋体" w:hAnsi="宋体" w:cs="宋体" w:eastAsia="宋体" w:hint="default"/>
                <w:sz w:val="18"/>
                <w:szCs w:val="18"/>
              </w:rPr>
              <w:t>("</w:t>
            </w:r>
            <w:r>
              <w:rPr>
                <w:rFonts w:ascii="宋体" w:hAnsi="宋体" w:cs="宋体" w:eastAsia="宋体" w:hint="default"/>
                <w:sz w:val="18"/>
                <w:szCs w:val="18"/>
              </w:rPr>
              <w:t>北京蜀川</w:t>
            </w:r>
            <w:r>
              <w:rPr>
                <w:rFonts w:ascii="宋体" w:hAnsi="宋体" w:cs="宋体" w:eastAsia="宋体" w:hint="default"/>
                <w:sz w:val="18"/>
                <w:szCs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北京</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出版物销</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2,000,000.00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91" w:right="0"/>
              <w:jc w:val="left"/>
              <w:rPr>
                <w:rFonts w:ascii="宋体" w:hAnsi="宋体" w:cs="宋体" w:eastAsia="宋体" w:hint="default"/>
                <w:sz w:val="18"/>
                <w:szCs w:val="18"/>
              </w:rPr>
            </w:pPr>
            <w:r>
              <w:rPr>
                <w:rFonts w:ascii="宋体" w:hAnsi="宋体" w:cs="宋体" w:eastAsia="宋体" w:hint="default"/>
                <w:sz w:val="18"/>
                <w:szCs w:val="18"/>
              </w:rPr>
              <w:t>出版物销售</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四川新华文化传播有限责任公</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四川文化传播</w:t>
            </w:r>
            <w:r>
              <w:rPr>
                <w:rFonts w:ascii="宋体" w:hAnsi="宋体" w:cs="宋体" w:eastAsia="宋体" w:hint="default"/>
                <w:sz w:val="18"/>
                <w:szCs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216" w:right="0" w:hanging="92"/>
              <w:jc w:val="left"/>
              <w:rPr>
                <w:rFonts w:ascii="宋体" w:hAnsi="宋体" w:cs="宋体" w:eastAsia="宋体" w:hint="default"/>
                <w:sz w:val="18"/>
                <w:szCs w:val="18"/>
              </w:rPr>
            </w:pPr>
            <w:r>
              <w:rPr>
                <w:rFonts w:ascii="宋体" w:hAnsi="宋体" w:cs="宋体" w:eastAsia="宋体" w:hint="default"/>
                <w:sz w:val="18"/>
                <w:szCs w:val="18"/>
              </w:rPr>
              <w:t>广告代理</w:t>
            </w:r>
          </w:p>
          <w:p>
            <w:pPr>
              <w:pStyle w:val="TableParagraph"/>
              <w:spacing w:line="234" w:lineRule="exact"/>
              <w:ind w:left="216" w:right="0"/>
              <w:jc w:val="left"/>
              <w:rPr>
                <w:rFonts w:ascii="宋体" w:hAnsi="宋体" w:cs="宋体" w:eastAsia="宋体" w:hint="default"/>
                <w:sz w:val="18"/>
                <w:szCs w:val="18"/>
              </w:rPr>
            </w:pPr>
            <w:r>
              <w:rPr>
                <w:rFonts w:ascii="宋体" w:hAnsi="宋体" w:cs="宋体" w:eastAsia="宋体" w:hint="default"/>
                <w:sz w:val="18"/>
                <w:szCs w:val="18"/>
              </w:rPr>
              <w:t>和租赁</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20,523,700.00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sz w:val="18"/>
                <w:szCs w:val="18"/>
              </w:rPr>
              <w:t>广告代理和租赁</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5"/>
        <w:rPr>
          <w:rFonts w:ascii="宋体" w:hAnsi="宋体" w:cs="宋体" w:eastAsia="宋体" w:hint="default"/>
          <w:sz w:val="15"/>
          <w:szCs w:val="15"/>
        </w:rPr>
      </w:pPr>
    </w:p>
    <w:p>
      <w:pPr>
        <w:pStyle w:val="BodyText"/>
        <w:spacing w:line="240" w:lineRule="auto" w:before="36"/>
        <w:ind w:left="900" w:right="0"/>
        <w:jc w:val="left"/>
      </w:pPr>
      <w:r>
        <w:rPr>
          <w:rFonts w:ascii="宋体" w:hAnsi="宋体" w:cs="宋体" w:eastAsia="宋体" w:hint="default"/>
        </w:rPr>
        <w:t>(3)</w:t>
      </w:r>
      <w:r>
        <w:rPr/>
        <w:t>非同一控制下企业合并取得的子公司</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693"/>
        <w:gridCol w:w="992"/>
        <w:gridCol w:w="710"/>
        <w:gridCol w:w="991"/>
        <w:gridCol w:w="1419"/>
        <w:gridCol w:w="1702"/>
        <w:gridCol w:w="708"/>
        <w:gridCol w:w="708"/>
        <w:gridCol w:w="710"/>
      </w:tblGrid>
      <w:tr>
        <w:trPr>
          <w:trHeight w:val="7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9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01" w:right="130" w:hanging="272"/>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9" w:right="170"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2" w:lineRule="exact" w:before="23"/>
              <w:ind w:left="213" w:right="16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表决</w:t>
            </w:r>
          </w:p>
          <w:p>
            <w:pPr>
              <w:pStyle w:val="TableParagraph"/>
              <w:spacing w:line="232" w:lineRule="exact" w:before="23"/>
              <w:ind w:left="122" w:right="120" w:firstLine="45"/>
              <w:jc w:val="left"/>
              <w:rPr>
                <w:rFonts w:ascii="宋体" w:hAnsi="宋体" w:cs="宋体" w:eastAsia="宋体" w:hint="default"/>
                <w:sz w:val="18"/>
                <w:szCs w:val="18"/>
              </w:rPr>
            </w:pPr>
            <w:r>
              <w:rPr>
                <w:rFonts w:ascii="宋体" w:hAnsi="宋体" w:cs="宋体" w:eastAsia="宋体" w:hint="default"/>
                <w:sz w:val="18"/>
                <w:szCs w:val="18"/>
              </w:rPr>
              <w:t>权比 例</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2" w:lineRule="exact" w:before="23"/>
              <w:ind w:left="168" w:right="170"/>
              <w:jc w:val="left"/>
              <w:rPr>
                <w:rFonts w:ascii="宋体" w:hAnsi="宋体" w:cs="宋体" w:eastAsia="宋体" w:hint="default"/>
                <w:sz w:val="18"/>
                <w:szCs w:val="18"/>
              </w:rPr>
            </w:pPr>
            <w:r>
              <w:rPr>
                <w:rFonts w:ascii="宋体" w:hAnsi="宋体" w:cs="宋体" w:eastAsia="宋体" w:hint="default"/>
                <w:sz w:val="18"/>
                <w:szCs w:val="18"/>
              </w:rPr>
              <w:t>合并 报表</w:t>
            </w:r>
          </w:p>
        </w:tc>
      </w:tr>
      <w:tr>
        <w:trPr>
          <w:trHeight w:val="47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四川新华商纸业有限公司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新华</w:t>
            </w:r>
          </w:p>
          <w:p>
            <w:pPr>
              <w:pStyle w:val="TableParagraph"/>
              <w:spacing w:line="24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纸张销售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纸浆、纸及纸制品</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文轩体育文化发展有限公司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文</w:t>
            </w:r>
          </w:p>
          <w:p>
            <w:pPr>
              <w:pStyle w:val="TableParagraph"/>
              <w:spacing w:line="232" w:lineRule="exact" w:before="16"/>
              <w:ind w:left="103" w:right="225"/>
              <w:jc w:val="left"/>
              <w:rPr>
                <w:rFonts w:ascii="Times New Roman" w:hAnsi="Times New Roman" w:cs="Times New Roman" w:eastAsia="Times New Roman" w:hint="default"/>
                <w:sz w:val="18"/>
                <w:szCs w:val="18"/>
              </w:rPr>
            </w:pPr>
            <w:r>
              <w:rPr>
                <w:rFonts w:ascii="宋体" w:hAnsi="宋体" w:cs="宋体" w:eastAsia="宋体" w:hint="default"/>
                <w:sz w:val="18"/>
                <w:szCs w:val="18"/>
              </w:rPr>
              <w:t>轩体育</w:t>
            </w:r>
            <w:r>
              <w:rPr>
                <w:rFonts w:ascii="Times New Roman" w:hAnsi="Times New Roman" w:cs="Times New Roman" w:eastAsia="Times New Roman" w:hint="default"/>
                <w:sz w:val="18"/>
                <w:szCs w:val="18"/>
              </w:rPr>
              <w:t>")(</w:t>
            </w:r>
            <w:r>
              <w:rPr>
                <w:rFonts w:ascii="宋体" w:hAnsi="宋体" w:cs="宋体" w:eastAsia="宋体" w:hint="default"/>
                <w:sz w:val="18"/>
                <w:szCs w:val="18"/>
              </w:rPr>
              <w:t>原四川新华彩色印务</w:t>
            </w:r>
            <w:r>
              <w:rPr>
                <w:rFonts w:ascii="宋体" w:hAnsi="宋体" w:cs="宋体" w:eastAsia="宋体" w:hint="default"/>
                <w:w w:val="99"/>
                <w:sz w:val="18"/>
                <w:szCs w:val="18"/>
              </w:rPr>
              <w:t> </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09" w:right="130"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场地出租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4" w:right="125"/>
              <w:jc w:val="left"/>
              <w:rPr>
                <w:rFonts w:ascii="宋体" w:hAnsi="宋体" w:cs="宋体" w:eastAsia="宋体" w:hint="default"/>
                <w:sz w:val="18"/>
                <w:szCs w:val="18"/>
              </w:rPr>
            </w:pPr>
            <w:r>
              <w:rPr>
                <w:rFonts w:ascii="宋体" w:hAnsi="宋体" w:cs="宋体" w:eastAsia="宋体" w:hint="default"/>
                <w:sz w:val="18"/>
                <w:szCs w:val="18"/>
              </w:rPr>
              <w:t>场馆管理服务、广 告、自有房屋租赁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3" w:hRule="exact"/>
        </w:trPr>
        <w:tc>
          <w:tcPr>
            <w:tcW w:w="2693" w:type="dxa"/>
            <w:tcBorders>
              <w:top w:val="single" w:sz="4" w:space="0" w:color="000000"/>
              <w:left w:val="single" w:sz="8" w:space="0" w:color="000000"/>
              <w:bottom w:val="single" w:sz="8" w:space="0" w:color="000000"/>
              <w:right w:val="single" w:sz="8" w:space="0" w:color="000000"/>
            </w:tcBorders>
          </w:tcPr>
          <w:p>
            <w:pPr>
              <w:pStyle w:val="TableParagraph"/>
              <w:spacing w:line="21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四川人民出版社有限公司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人民</w:t>
            </w:r>
          </w:p>
          <w:p>
            <w:pPr>
              <w:pStyle w:val="TableParagraph"/>
              <w:spacing w:line="241"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社</w:t>
            </w:r>
            <w:r>
              <w:rPr>
                <w:rFonts w:ascii="Times New Roman" w:hAnsi="Times New Roman" w:cs="Times New Roman" w:eastAsia="Times New Roman" w:hint="default"/>
                <w:sz w:val="18"/>
                <w:szCs w:val="18"/>
              </w:rPr>
              <w:t>")</w:t>
            </w:r>
          </w:p>
        </w:tc>
        <w:tc>
          <w:tcPr>
            <w:tcW w:w="992" w:type="dxa"/>
            <w:tcBorders>
              <w:top w:val="single" w:sz="4"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34,000,000.00</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70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四川出版印刷有限公司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出版印</w:t>
            </w:r>
          </w:p>
          <w:p>
            <w:pPr>
              <w:pStyle w:val="TableParagraph"/>
              <w:spacing w:line="242"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刷</w:t>
            </w:r>
            <w:r>
              <w:rPr>
                <w:rFonts w:ascii="Times New Roman" w:hAnsi="Times New Roman" w:cs="Times New Roman" w:eastAsia="Times New Roman" w:hint="default"/>
                <w:sz w:val="18"/>
                <w:szCs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教材租型印供</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四川教育出版社有限公司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教育</w:t>
            </w:r>
          </w:p>
          <w:p>
            <w:pPr>
              <w:pStyle w:val="TableParagraph"/>
              <w:spacing w:line="242"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社</w:t>
            </w:r>
            <w:r>
              <w:rPr>
                <w:rFonts w:ascii="Times New Roman" w:hAnsi="Times New Roman" w:cs="Times New Roman" w:eastAsia="Times New Roman" w:hint="default"/>
                <w:sz w:val="18"/>
                <w:szCs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10,000,000.00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四川少年儿童出版社有限公司</w:t>
            </w:r>
            <w:r>
              <w:rPr>
                <w:rFonts w:ascii="Times New Roman" w:hAnsi="Times New Roman" w:cs="Times New Roman" w:eastAsia="Times New Roman" w:hint="default"/>
                <w:sz w:val="18"/>
                <w:szCs w:val="18"/>
              </w:rPr>
              <w:t>("</w:t>
            </w:r>
          </w:p>
          <w:p>
            <w:pPr>
              <w:pStyle w:val="TableParagraph"/>
              <w:spacing w:line="241"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少儿社</w:t>
            </w:r>
            <w:r>
              <w:rPr>
                <w:rFonts w:ascii="Times New Roman" w:hAnsi="Times New Roman" w:cs="Times New Roman" w:eastAsia="Times New Roman" w:hint="default"/>
                <w:sz w:val="18"/>
                <w:szCs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110,000,000.00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图书、期刊出版</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5"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四川科学技术出版社有限公司</w:t>
            </w:r>
            <w:r>
              <w:rPr>
                <w:rFonts w:ascii="Times New Roman" w:hAnsi="Times New Roman" w:cs="Times New Roman" w:eastAsia="Times New Roman" w:hint="default"/>
                <w:sz w:val="18"/>
                <w:szCs w:val="18"/>
              </w:rPr>
              <w:t>("</w:t>
            </w:r>
          </w:p>
          <w:p>
            <w:pPr>
              <w:pStyle w:val="TableParagraph"/>
              <w:spacing w:line="241"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科技社</w:t>
            </w:r>
            <w:r>
              <w:rPr>
                <w:rFonts w:ascii="Times New Roman" w:hAnsi="Times New Roman" w:cs="Times New Roman" w:eastAsia="Times New Roman" w:hint="default"/>
                <w:sz w:val="18"/>
                <w:szCs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4,000,000.00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四川大自然探索杂志社有限公</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300,000.00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四川美术出版社有限公司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美术</w:t>
            </w:r>
          </w:p>
          <w:p>
            <w:pPr>
              <w:pStyle w:val="TableParagraph"/>
              <w:spacing w:line="241"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社</w:t>
            </w:r>
            <w:r>
              <w:rPr>
                <w:rFonts w:ascii="Times New Roman" w:hAnsi="Times New Roman" w:cs="Times New Roman" w:eastAsia="Times New Roman" w:hint="default"/>
                <w:sz w:val="18"/>
                <w:szCs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16,250,000.00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8"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四川辞书出版社有限公司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辞书</w:t>
            </w:r>
          </w:p>
          <w:p>
            <w:pPr>
              <w:pStyle w:val="TableParagraph"/>
              <w:spacing w:line="241"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社</w:t>
            </w:r>
            <w:r>
              <w:rPr>
                <w:rFonts w:ascii="Times New Roman" w:hAnsi="Times New Roman" w:cs="Times New Roman" w:eastAsia="Times New Roman" w:hint="default"/>
                <w:sz w:val="18"/>
                <w:szCs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20,000,000.00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四川文艺出版社有限公司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文艺</w:t>
            </w:r>
          </w:p>
          <w:p>
            <w:pPr>
              <w:pStyle w:val="TableParagraph"/>
              <w:spacing w:line="242"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社</w:t>
            </w:r>
            <w:r>
              <w:rPr>
                <w:rFonts w:ascii="Times New Roman" w:hAnsi="Times New Roman" w:cs="Times New Roman" w:eastAsia="Times New Roman" w:hint="default"/>
                <w:sz w:val="18"/>
                <w:szCs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45,000,000.00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四川天地出版社有限公司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天地</w:t>
            </w:r>
          </w:p>
          <w:p>
            <w:pPr>
              <w:pStyle w:val="TableParagraph"/>
              <w:spacing w:line="242"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社</w:t>
            </w:r>
            <w:r>
              <w:rPr>
                <w:rFonts w:ascii="Times New Roman" w:hAnsi="Times New Roman" w:cs="Times New Roman" w:eastAsia="Times New Roman" w:hint="default"/>
                <w:sz w:val="18"/>
                <w:szCs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130,634,700.00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四川时代英语文化传播有限公</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600,000.00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51</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四川巴蜀书社有限公司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巴蜀社</w:t>
            </w:r>
          </w:p>
          <w:p>
            <w:pPr>
              <w:pStyle w:val="TableParagraph"/>
              <w:spacing w:line="240" w:lineRule="auto" w:before="9"/>
              <w:ind w:left="98"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42,000,000.00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5"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四川省印刷物资有限责任公司</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印刷物资</w:t>
            </w:r>
            <w:r>
              <w:rPr>
                <w:rFonts w:ascii="宋体" w:hAnsi="宋体" w:cs="宋体" w:eastAsia="宋体" w:hint="default"/>
                <w:sz w:val="18"/>
                <w:szCs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批发与零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30,000,000.00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提供印刷相关物资</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四川数字出版传媒有限公司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数</w:t>
            </w:r>
          </w:p>
          <w:p>
            <w:pPr>
              <w:pStyle w:val="TableParagraph"/>
              <w:spacing w:line="241"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字社</w:t>
            </w:r>
            <w:r>
              <w:rPr>
                <w:rFonts w:ascii="Times New Roman" w:hAnsi="Times New Roman" w:cs="Times New Roman" w:eastAsia="Times New Roman" w:hint="default"/>
                <w:sz w:val="18"/>
                <w:szCs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10,000,000.00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82" w:footer="1195" w:top="1120" w:bottom="1380" w:left="540" w:right="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693"/>
        <w:gridCol w:w="992"/>
        <w:gridCol w:w="710"/>
        <w:gridCol w:w="991"/>
        <w:gridCol w:w="1419"/>
        <w:gridCol w:w="1702"/>
        <w:gridCol w:w="708"/>
        <w:gridCol w:w="708"/>
        <w:gridCol w:w="710"/>
      </w:tblGrid>
      <w:tr>
        <w:trPr>
          <w:trHeight w:val="943" w:hRule="exact"/>
        </w:trPr>
        <w:tc>
          <w:tcPr>
            <w:tcW w:w="269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四川读者报社有限公司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读者报</w:t>
            </w:r>
          </w:p>
          <w:p>
            <w:pPr>
              <w:pStyle w:val="TableParagraph"/>
              <w:spacing w:line="240" w:lineRule="auto" w:before="9"/>
              <w:ind w:left="98"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04" w:right="125"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71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1,500,000.00</w:t>
            </w:r>
          </w:p>
        </w:tc>
        <w:tc>
          <w:tcPr>
            <w:tcW w:w="1702" w:type="dxa"/>
            <w:tcBorders>
              <w:top w:val="nil" w:sz="6" w:space="0" w:color="auto"/>
              <w:left w:val="single" w:sz="8" w:space="0" w:color="000000"/>
              <w:bottom w:val="single" w:sz="8" w:space="0" w:color="000000"/>
              <w:right w:val="single" w:sz="8"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《读者报》出版、</w:t>
            </w:r>
          </w:p>
          <w:p>
            <w:pPr>
              <w:pStyle w:val="TableParagraph"/>
              <w:spacing w:line="237" w:lineRule="auto"/>
              <w:ind w:left="120" w:right="122"/>
              <w:jc w:val="center"/>
              <w:rPr>
                <w:rFonts w:ascii="宋体" w:hAnsi="宋体" w:cs="宋体" w:eastAsia="宋体" w:hint="default"/>
                <w:sz w:val="18"/>
                <w:szCs w:val="18"/>
              </w:rPr>
            </w:pPr>
            <w:r>
              <w:rPr>
                <w:rFonts w:ascii="宋体" w:hAnsi="宋体" w:cs="宋体" w:eastAsia="宋体" w:hint="default"/>
                <w:sz w:val="18"/>
                <w:szCs w:val="18"/>
              </w:rPr>
              <w:t>广告、商品批发与 零售、软件和信息 技术服务业</w:t>
            </w:r>
          </w:p>
        </w:tc>
        <w:tc>
          <w:tcPr>
            <w:tcW w:w="708"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四川画报社有限公司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画报社</w:t>
            </w:r>
            <w:r>
              <w:rPr>
                <w:rFonts w:ascii="Times New Roman" w:hAnsi="Times New Roman" w:cs="Times New Roman" w:eastAsia="Times New Roman" w:hint="default"/>
                <w:sz w:val="18"/>
                <w:szCs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305"/>
              <w:jc w:val="right"/>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1,500,000.00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期刊出版</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四川新华印刷有限责任公司</w:t>
            </w:r>
            <w:r>
              <w:rPr>
                <w:rFonts w:ascii="宋体" w:hAnsi="宋体" w:cs="宋体" w:eastAsia="宋体" w:hint="default"/>
                <w:sz w:val="18"/>
                <w:szCs w:val="18"/>
              </w:rPr>
              <w:t>("</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四川新华印刷</w:t>
            </w:r>
            <w:r>
              <w:rPr>
                <w:rFonts w:ascii="宋体" w:hAnsi="宋体" w:cs="宋体" w:eastAsia="宋体" w:hint="default"/>
                <w:sz w:val="18"/>
                <w:szCs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305"/>
              <w:jc w:val="right"/>
              <w:rPr>
                <w:rFonts w:ascii="宋体" w:hAnsi="宋体" w:cs="宋体" w:eastAsia="宋体" w:hint="default"/>
                <w:sz w:val="18"/>
                <w:szCs w:val="18"/>
              </w:rPr>
            </w:pPr>
            <w:r>
              <w:rPr>
                <w:rFonts w:ascii="宋体" w:hAnsi="宋体" w:cs="宋体" w:eastAsia="宋体" w:hint="default"/>
                <w:sz w:val="18"/>
                <w:szCs w:val="18"/>
              </w:rPr>
              <w:t>出版</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100,160,000.00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出版物印刷</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245" w:val="left" w:leader="none"/>
        </w:tabs>
        <w:spacing w:line="290" w:lineRule="auto" w:before="36"/>
        <w:ind w:left="820" w:right="7718"/>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5"/>
        <w:ind w:left="820" w:right="4413"/>
        <w:jc w:val="left"/>
      </w:pPr>
      <w:r>
        <w:rPr/>
        <w:t>本公司财务报表以持续经营为编制基础。</w:t>
      </w:r>
    </w:p>
    <w:p>
      <w:pPr>
        <w:spacing w:line="240" w:lineRule="auto" w:before="3"/>
        <w:rPr>
          <w:rFonts w:ascii="宋体" w:hAnsi="宋体" w:cs="宋体" w:eastAsia="宋体" w:hint="default"/>
          <w:sz w:val="25"/>
          <w:szCs w:val="25"/>
        </w:rPr>
      </w:pPr>
    </w:p>
    <w:p>
      <w:pPr>
        <w:pStyle w:val="Heading2"/>
        <w:tabs>
          <w:tab w:pos="1245" w:val="left" w:leader="none"/>
        </w:tabs>
        <w:spacing w:line="240" w:lineRule="auto"/>
        <w:ind w:left="820" w:right="7718"/>
        <w:jc w:val="left"/>
        <w:rPr>
          <w:b w:val="0"/>
          <w:bCs w:val="0"/>
        </w:rPr>
      </w:pPr>
      <w:r>
        <w:rPr>
          <w:rFonts w:ascii="宋体" w:hAnsi="宋体" w:cs="宋体" w:eastAsia="宋体" w:hint="default"/>
          <w:w w:val="95"/>
        </w:rPr>
        <w:t>2.</w:t>
        <w:tab/>
      </w:r>
      <w:r>
        <w:rPr/>
        <w:t>持续经营</w:t>
      </w:r>
      <w:r>
        <w:rPr>
          <w:b w:val="0"/>
          <w:bCs w:val="0"/>
        </w:rPr>
      </w:r>
    </w:p>
    <w:p>
      <w:pPr>
        <w:pStyle w:val="BodyText"/>
        <w:tabs>
          <w:tab w:pos="1662" w:val="left" w:leader="none"/>
        </w:tabs>
        <w:spacing w:line="274" w:lineRule="exact" w:before="56"/>
        <w:ind w:left="820" w:right="7718"/>
        <w:jc w:val="left"/>
      </w:pPr>
      <w:r>
        <w:rPr/>
        <w:t>√适用</w:t>
        <w:tab/>
        <w:t>□不适用</w:t>
      </w:r>
    </w:p>
    <w:p>
      <w:pPr>
        <w:pStyle w:val="BodyText"/>
        <w:spacing w:line="355" w:lineRule="auto"/>
        <w:ind w:left="820" w:right="1013" w:firstLine="424"/>
        <w:jc w:val="both"/>
      </w:pPr>
      <w:r>
        <w:rPr/>
        <w:t>本集团对自</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t>日起</w:t>
      </w:r>
      <w:r>
        <w:rPr>
          <w:spacing w:val="-55"/>
        </w:rPr>
        <w:t> </w:t>
      </w:r>
      <w:r>
        <w:rPr>
          <w:rFonts w:ascii="宋体" w:hAnsi="宋体" w:cs="宋体" w:eastAsia="宋体" w:hint="default"/>
        </w:rPr>
        <w:t>12</w:t>
      </w:r>
      <w:r>
        <w:rPr>
          <w:rFonts w:ascii="宋体" w:hAnsi="宋体" w:cs="宋体" w:eastAsia="宋体" w:hint="default"/>
          <w:spacing w:val="-57"/>
        </w:rPr>
        <w:t> </w:t>
      </w:r>
      <w:r>
        <w:rPr/>
        <w:t>个月的持续经营能力进行了评价，未发现对持续经营能力</w:t>
      </w:r>
      <w:r>
        <w:rPr>
          <w:w w:val="100"/>
        </w:rPr>
        <w:t> </w:t>
      </w:r>
      <w:r>
        <w:rPr/>
        <w:t>产生重大怀疑的事项和情况。因此，本财务报表系在持续经营假设的基础上编制。</w:t>
      </w:r>
    </w:p>
    <w:p>
      <w:pPr>
        <w:spacing w:line="240" w:lineRule="auto" w:before="13"/>
        <w:rPr>
          <w:rFonts w:ascii="宋体" w:hAnsi="宋体" w:cs="宋体" w:eastAsia="宋体" w:hint="default"/>
          <w:sz w:val="27"/>
          <w:szCs w:val="27"/>
        </w:rPr>
      </w:pPr>
    </w:p>
    <w:p>
      <w:pPr>
        <w:spacing w:line="290" w:lineRule="auto" w:before="0"/>
        <w:ind w:left="820" w:right="4413"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28" w:lineRule="exact"/>
        <w:ind w:left="820" w:right="7718"/>
        <w:jc w:val="left"/>
      </w:pPr>
      <w:r>
        <w:rPr/>
        <w:t>√适用 □不适用</w:t>
      </w:r>
    </w:p>
    <w:p>
      <w:pPr>
        <w:pStyle w:val="BodyText"/>
        <w:spacing w:line="355" w:lineRule="auto"/>
        <w:ind w:left="820" w:right="1011" w:firstLine="424"/>
        <w:jc w:val="both"/>
      </w:pPr>
      <w:r>
        <w:rPr>
          <w:spacing w:val="-2"/>
        </w:rPr>
        <w:t>本集团在运用会计政策过程中，由于经营活动内在的不确定性，本集团需要对无法准确计量的</w:t>
      </w:r>
      <w:r>
        <w:rPr>
          <w:w w:val="100"/>
        </w:rPr>
        <w:t> </w:t>
      </w:r>
      <w:r>
        <w:rPr>
          <w:spacing w:val="-2"/>
        </w:rPr>
        <w:t>报表项目的账面价值进行判断、估计和假设。这些判断、估计和假设是基于本集团管理层过去的历</w:t>
      </w:r>
      <w:r>
        <w:rPr>
          <w:spacing w:val="-32"/>
        </w:rPr>
        <w:t> </w:t>
      </w:r>
      <w:r>
        <w:rPr>
          <w:spacing w:val="-32"/>
        </w:rPr>
      </w:r>
      <w:r>
        <w:rPr/>
        <w:t>史经验，并在考虑其他相关因素的基础上作出的。实际的结果可能与本集团的估计存在差异。</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820" w:right="1011" w:firstLine="424"/>
        <w:jc w:val="both"/>
      </w:pPr>
      <w:r>
        <w:rPr>
          <w:spacing w:val="-2"/>
        </w:rPr>
        <w:t>本集团对前述判断、估计和假设在持续经营的基础上进行定期复核，会计估计的变更仅影响变</w:t>
      </w:r>
      <w:r>
        <w:rPr>
          <w:w w:val="100"/>
        </w:rPr>
        <w:t> </w:t>
      </w:r>
      <w:r>
        <w:rPr>
          <w:spacing w:val="-2"/>
        </w:rPr>
        <w:t>更当期的，其影响数在变更当期予以确认；既影响变更当期又影响未来期间的，其影响数在变更当</w:t>
      </w:r>
      <w:r>
        <w:rPr>
          <w:spacing w:val="-30"/>
        </w:rPr>
        <w:t> </w:t>
      </w:r>
      <w:r>
        <w:rPr>
          <w:spacing w:val="-30"/>
        </w:rPr>
      </w:r>
      <w:r>
        <w:rPr/>
        <w:t>期和未来期间予以确认。</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712" w:lineRule="auto"/>
        <w:ind w:left="820" w:right="6258" w:firstLine="420"/>
        <w:jc w:val="left"/>
      </w:pPr>
      <w:r>
        <w:rPr>
          <w:spacing w:val="-2"/>
        </w:rPr>
        <w:t>运用会计政策过程中所做的重要判断</w:t>
      </w:r>
      <w:r>
        <w:rPr>
          <w:w w:val="100"/>
        </w:rPr>
        <w:t> </w:t>
      </w:r>
      <w:r>
        <w:rPr/>
        <w:t>经营租赁承诺</w:t>
      </w:r>
      <w:r>
        <w:rPr>
          <w:rFonts w:ascii="宋体" w:hAnsi="宋体" w:cs="宋体" w:eastAsia="宋体" w:hint="default"/>
        </w:rPr>
        <w:t>-</w:t>
      </w:r>
      <w:r>
        <w:rPr/>
        <w:t>本集团作为承租人</w:t>
      </w:r>
    </w:p>
    <w:p>
      <w:pPr>
        <w:pStyle w:val="BodyText"/>
        <w:spacing w:line="355" w:lineRule="auto" w:before="130"/>
        <w:ind w:left="820" w:right="1011" w:firstLine="420"/>
        <w:jc w:val="both"/>
      </w:pPr>
      <w:r>
        <w:rPr>
          <w:spacing w:val="-2"/>
        </w:rPr>
        <w:t>本集团就部分业务签订了商业物业租赁合同。本集团认为出租人保留了与该等物业所有权有关</w:t>
      </w:r>
      <w:r>
        <w:rPr>
          <w:w w:val="100"/>
        </w:rPr>
        <w:t> </w:t>
      </w:r>
      <w:r>
        <w:rPr/>
        <w:t>的所有重大风险和报酬，故将其作为经营租赁核算。</w:t>
      </w:r>
    </w:p>
    <w:p>
      <w:pPr>
        <w:spacing w:line="240" w:lineRule="auto" w:before="0"/>
        <w:rPr>
          <w:rFonts w:ascii="宋体" w:hAnsi="宋体" w:cs="宋体" w:eastAsia="宋体" w:hint="default"/>
          <w:sz w:val="20"/>
          <w:szCs w:val="20"/>
        </w:rPr>
      </w:pPr>
    </w:p>
    <w:p>
      <w:pPr>
        <w:pStyle w:val="BodyText"/>
        <w:spacing w:line="240" w:lineRule="auto" w:before="178"/>
        <w:ind w:left="820" w:right="4413"/>
        <w:jc w:val="left"/>
      </w:pPr>
      <w:r>
        <w:rPr/>
        <w:t>经营租赁承诺</w:t>
      </w:r>
      <w:r>
        <w:rPr>
          <w:rFonts w:ascii="宋体" w:hAnsi="宋体" w:cs="宋体" w:eastAsia="宋体" w:hint="default"/>
        </w:rPr>
        <w:t>-</w:t>
      </w:r>
      <w:r>
        <w:rPr/>
        <w:t>本集团作为出租人</w:t>
      </w:r>
    </w:p>
    <w:p>
      <w:pPr>
        <w:spacing w:after="0" w:line="240" w:lineRule="auto"/>
        <w:jc w:val="left"/>
        <w:sectPr>
          <w:pgSz w:w="11910" w:h="16840"/>
          <w:pgMar w:header="882" w:footer="1195" w:top="1120" w:bottom="1380" w:left="620" w:right="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123" w:firstLine="420"/>
        <w:jc w:val="left"/>
      </w:pPr>
      <w:r>
        <w:rPr>
          <w:spacing w:val="-2"/>
        </w:rPr>
        <w:t>本集团就投资物业组合签订商业物业租赁合同。本集团在对有关安排的条款及条件进行评估后，</w:t>
      </w:r>
      <w:r>
        <w:rPr>
          <w:w w:val="100"/>
        </w:rPr>
        <w:t> </w:t>
      </w:r>
      <w:r>
        <w:rPr/>
        <w:t>认为其保留了该等经营租赁中出租物业所有权有关的所有重大风险和报酬。</w:t>
      </w:r>
    </w:p>
    <w:p>
      <w:pPr>
        <w:pStyle w:val="BodyText"/>
        <w:spacing w:line="818" w:lineRule="exact" w:before="31"/>
        <w:ind w:left="565" w:right="123" w:hanging="425"/>
        <w:jc w:val="left"/>
      </w:pPr>
      <w:r>
        <w:rPr/>
        <w:t>投资性房地产和自用固定资产的划分</w:t>
      </w:r>
      <w:r>
        <w:rPr>
          <w:w w:val="100"/>
        </w:rPr>
        <w:t> </w:t>
      </w:r>
      <w:r>
        <w:rPr>
          <w:spacing w:val="-2"/>
        </w:rPr>
        <w:t>本集团厘定固定资产是否符合投资性房地产的定义，并制定出此类判断的标准。投资性房地产</w:t>
      </w:r>
    </w:p>
    <w:p>
      <w:pPr>
        <w:pStyle w:val="BodyText"/>
        <w:spacing w:line="357" w:lineRule="auto"/>
        <w:ind w:left="140" w:right="123"/>
        <w:jc w:val="left"/>
      </w:pPr>
      <w:r>
        <w:rPr/>
        <w:t>是指为赚取租金或资本升值或者两者兼有而持有的房地产，故本集团考虑一项房地产产生的现金流</w:t>
      </w:r>
      <w:r>
        <w:rPr>
          <w:w w:val="100"/>
        </w:rPr>
        <w:t> </w:t>
      </w:r>
      <w:r>
        <w:rPr/>
        <w:t>是否大部分独立于本集团持有的其他资产时需要运用大量判断。针对若干房地产的一部分是为赚取</w:t>
      </w:r>
      <w:r>
        <w:rPr>
          <w:w w:val="100"/>
        </w:rPr>
        <w:t> </w:t>
      </w:r>
      <w:r>
        <w:rPr/>
        <w:t>租金或资本升值而持有，而另一部分是为用于生产或提供商品或服务或行政用途而持有的情形，倘</w:t>
      </w:r>
      <w:r>
        <w:rPr>
          <w:w w:val="100"/>
        </w:rPr>
        <w:t> </w:t>
      </w:r>
      <w:r>
        <w:rPr/>
        <w:t>若该等部分可以分开出售</w:t>
      </w:r>
      <w:r>
        <w:rPr>
          <w:rFonts w:ascii="宋体" w:hAnsi="宋体" w:cs="宋体" w:eastAsia="宋体" w:hint="default"/>
        </w:rPr>
        <w:t>(</w:t>
      </w:r>
      <w:r>
        <w:rPr/>
        <w:t>或可以按融资租赁分开出租</w:t>
      </w:r>
      <w:r>
        <w:rPr>
          <w:rFonts w:ascii="宋体" w:hAnsi="宋体" w:cs="宋体" w:eastAsia="宋体" w:hint="default"/>
        </w:rPr>
        <w:t>)</w:t>
      </w:r>
      <w:r>
        <w:rPr/>
        <w:t>，则本集团对这些部分分别进行会计处理；</w:t>
      </w:r>
      <w:r>
        <w:rPr>
          <w:spacing w:val="-7"/>
        </w:rPr>
        <w:t> </w:t>
      </w:r>
      <w:r>
        <w:rPr>
          <w:spacing w:val="-7"/>
        </w:rPr>
      </w:r>
      <w:r>
        <w:rPr/>
        <w:t>倘若该等不能分开出售，则只有在为用于生产或提供商品或服务或行政用途而持有的部分不重大的</w:t>
      </w:r>
      <w:r>
        <w:rPr>
          <w:w w:val="100"/>
        </w:rPr>
        <w:t> </w:t>
      </w:r>
      <w:r>
        <w:rPr/>
        <w:t>情形下，该等房地产方认定为投资性房地产。判断按个别房地产为基准进行，以确定配套服务是否</w:t>
      </w:r>
      <w:r>
        <w:rPr>
          <w:w w:val="100"/>
        </w:rPr>
        <w:t> </w:t>
      </w:r>
      <w:r>
        <w:rPr/>
        <w:t>重大以致使该房地产不符合投资性房地产的定义。</w:t>
      </w:r>
    </w:p>
    <w:p>
      <w:pPr>
        <w:pStyle w:val="BodyText"/>
        <w:spacing w:line="816" w:lineRule="exact" w:before="33"/>
        <w:ind w:left="565" w:right="123" w:hanging="425"/>
        <w:jc w:val="left"/>
      </w:pPr>
      <w:r>
        <w:rPr/>
        <w:t>会计估计中采用的关键假设和不确定因素</w:t>
      </w:r>
      <w:r>
        <w:rPr>
          <w:w w:val="100"/>
        </w:rPr>
        <w:t> </w:t>
      </w:r>
      <w:r>
        <w:rPr>
          <w:spacing w:val="-2"/>
        </w:rPr>
        <w:t>资产负债表日，会计估计中很可能导致未来期间资产、负债账面价值作出重大调整的关键假设</w:t>
      </w:r>
    </w:p>
    <w:p>
      <w:pPr>
        <w:pStyle w:val="BodyText"/>
        <w:spacing w:line="715" w:lineRule="auto"/>
        <w:ind w:left="140" w:right="7445"/>
        <w:jc w:val="left"/>
      </w:pPr>
      <w:r>
        <w:rPr>
          <w:spacing w:val="-1"/>
        </w:rPr>
        <w:t>和不确定性主要有：</w:t>
      </w:r>
      <w:r>
        <w:rPr>
          <w:spacing w:val="-95"/>
        </w:rPr>
        <w:t> </w:t>
      </w:r>
      <w:r>
        <w:rPr>
          <w:spacing w:val="-95"/>
        </w:rPr>
      </w:r>
      <w:r>
        <w:rPr/>
        <w:t>信用损失准备</w:t>
      </w:r>
    </w:p>
    <w:p>
      <w:pPr>
        <w:pStyle w:val="BodyText"/>
        <w:spacing w:line="357" w:lineRule="auto" w:before="125"/>
        <w:ind w:left="140" w:right="123" w:firstLine="424"/>
        <w:jc w:val="left"/>
      </w:pPr>
      <w:r>
        <w:rPr>
          <w:spacing w:val="-2"/>
        </w:rPr>
        <w:t>本集团以应收款项的预期信用损失率的估计为基础确认信用损失准备。报告期末，本集团根据</w:t>
      </w:r>
      <w:r>
        <w:rPr>
          <w:w w:val="100"/>
        </w:rPr>
        <w:t> </w:t>
      </w:r>
      <w:r>
        <w:rPr>
          <w:spacing w:val="-2"/>
        </w:rPr>
        <w:t>现有客户的历史数据及前瞻性信息对预期信用损失率的估计以及信用损失准备作出调整。如重新估</w:t>
      </w:r>
      <w:r>
        <w:rPr>
          <w:spacing w:val="-30"/>
        </w:rPr>
        <w:t> </w:t>
      </w:r>
      <w:r>
        <w:rPr>
          <w:spacing w:val="-30"/>
        </w:rPr>
      </w:r>
      <w:r>
        <w:rPr/>
        <w:t>计结果与现有估计存在差异，该差异将会影响估计改变期间的应收款项账面价值及损益。</w:t>
      </w:r>
      <w:r>
        <w:rPr>
          <w:w w:val="100"/>
        </w:rPr>
        <w:t> </w:t>
      </w:r>
      <w:r>
        <w:rPr/>
        <w:t>存货跌价准备</w:t>
      </w:r>
    </w:p>
    <w:p>
      <w:pPr>
        <w:spacing w:line="240" w:lineRule="auto" w:before="0"/>
        <w:rPr>
          <w:rFonts w:ascii="宋体" w:hAnsi="宋体" w:cs="宋体" w:eastAsia="宋体" w:hint="default"/>
          <w:sz w:val="20"/>
          <w:szCs w:val="20"/>
        </w:rPr>
      </w:pPr>
    </w:p>
    <w:p>
      <w:pPr>
        <w:pStyle w:val="BodyText"/>
        <w:spacing w:line="357" w:lineRule="auto" w:before="176"/>
        <w:ind w:left="140" w:right="311" w:firstLine="424"/>
        <w:jc w:val="both"/>
      </w:pPr>
      <w:r>
        <w:rPr>
          <w:spacing w:val="-2"/>
        </w:rPr>
        <w:t>本集团根据存货的可变现净值估计为判断基础确认跌价准备。可变现净值的确认和计量需要运</w:t>
      </w:r>
      <w:r>
        <w:rPr>
          <w:w w:val="100"/>
        </w:rPr>
        <w:t> </w:t>
      </w:r>
      <w:r>
        <w:rPr>
          <w:spacing w:val="-2"/>
        </w:rPr>
        <w:t>用判断和估计。如重新估计结果与现有估计存在差异，该差异将会影响估计改变期间的存货账面价</w:t>
      </w:r>
      <w:r>
        <w:rPr>
          <w:spacing w:val="-30"/>
        </w:rPr>
        <w:t> </w:t>
      </w:r>
      <w:r>
        <w:rPr>
          <w:spacing w:val="-30"/>
        </w:rPr>
      </w:r>
      <w:r>
        <w:rPr/>
        <w:t>值及损益。</w:t>
      </w:r>
    </w:p>
    <w:p>
      <w:pPr>
        <w:spacing w:line="240" w:lineRule="auto" w:before="0"/>
        <w:rPr>
          <w:rFonts w:ascii="宋体" w:hAnsi="宋体" w:cs="宋体" w:eastAsia="宋体" w:hint="default"/>
          <w:sz w:val="20"/>
          <w:szCs w:val="20"/>
        </w:rPr>
      </w:pPr>
    </w:p>
    <w:p>
      <w:pPr>
        <w:pStyle w:val="BodyText"/>
        <w:spacing w:line="240" w:lineRule="auto" w:before="176"/>
        <w:ind w:left="140" w:right="123"/>
        <w:jc w:val="left"/>
      </w:pPr>
      <w:r>
        <w:rPr/>
        <w:t>商誉减值</w:t>
      </w:r>
    </w:p>
    <w:p>
      <w:pPr>
        <w:spacing w:after="0" w:line="240" w:lineRule="auto"/>
        <w:jc w:val="left"/>
        <w:sectPr>
          <w:pgSz w:w="11910" w:h="16840"/>
          <w:pgMar w:header="882" w:footer="1195" w:top="1120" w:bottom="1380" w:left="130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191" w:firstLine="420"/>
        <w:jc w:val="both"/>
      </w:pPr>
      <w:r>
        <w:rPr>
          <w:spacing w:val="-2"/>
        </w:rPr>
        <w:t>在厘定商誉是否出现减值时，本集团需要估计已分配商誉的现金产出单元的使用价值。本集团</w:t>
      </w:r>
      <w:r>
        <w:rPr>
          <w:w w:val="100"/>
        </w:rPr>
        <w:t> </w:t>
      </w:r>
      <w:r>
        <w:rPr>
          <w:spacing w:val="-2"/>
        </w:rPr>
        <w:t>管理层在计算使用价值时，以估计预期从现金产出单元所得的未来现金流量，并按适用的贴现率计</w:t>
      </w:r>
      <w:r>
        <w:rPr>
          <w:spacing w:val="-31"/>
        </w:rPr>
        <w:t> </w:t>
      </w:r>
      <w:r>
        <w:rPr>
          <w:spacing w:val="-31"/>
        </w:rPr>
      </w:r>
      <w:r>
        <w:rPr/>
        <w:t>算现值。如果日后实际现金流量低于预期，则可能产生重大减值损失。</w:t>
      </w:r>
    </w:p>
    <w:p>
      <w:pPr>
        <w:spacing w:line="240" w:lineRule="auto" w:before="13"/>
        <w:rPr>
          <w:rFonts w:ascii="宋体" w:hAnsi="宋体" w:cs="宋体" w:eastAsia="宋体" w:hint="default"/>
          <w:sz w:val="27"/>
          <w:szCs w:val="27"/>
        </w:rPr>
      </w:pPr>
    </w:p>
    <w:p>
      <w:pPr>
        <w:tabs>
          <w:tab w:pos="565" w:val="left" w:leader="none"/>
        </w:tabs>
        <w:spacing w:line="290" w:lineRule="auto" w:before="0"/>
        <w:ind w:left="560" w:right="193"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本公司所编制的财务报表符合企业会计准则的要求，真实、完整地反映了公司的财务状况、经</w:t>
      </w:r>
    </w:p>
    <w:p>
      <w:pPr>
        <w:pStyle w:val="BodyText"/>
        <w:spacing w:line="240" w:lineRule="auto" w:before="91"/>
        <w:ind w:left="140" w:right="0"/>
        <w:jc w:val="left"/>
      </w:pPr>
      <w:r>
        <w:rPr/>
        <w:t>营成果、股东权益变动和现金流量等有关信息。</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tabs>
          <w:tab w:pos="565" w:val="left" w:leader="none"/>
        </w:tabs>
        <w:spacing w:line="240" w:lineRule="auto"/>
        <w:ind w:left="140"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8"/>
        <w:ind w:left="560"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2"/>
        <w:tabs>
          <w:tab w:pos="565" w:val="left" w:leader="none"/>
        </w:tabs>
        <w:spacing w:line="240" w:lineRule="auto"/>
        <w:ind w:left="140" w:right="0"/>
        <w:jc w:val="left"/>
        <w:rPr>
          <w:b w:val="0"/>
          <w:bCs w:val="0"/>
        </w:rPr>
      </w:pPr>
      <w:r>
        <w:rPr>
          <w:rFonts w:ascii="宋体" w:hAnsi="宋体" w:cs="宋体" w:eastAsia="宋体" w:hint="default"/>
          <w:w w:val="95"/>
        </w:rPr>
        <w:t>3.</w:t>
        <w:tab/>
      </w:r>
      <w:r>
        <w:rPr/>
        <w:t>营业周期</w:t>
      </w:r>
      <w:r>
        <w:rPr>
          <w:b w:val="0"/>
          <w:bCs w:val="0"/>
        </w:rPr>
      </w:r>
    </w:p>
    <w:p>
      <w:pPr>
        <w:pStyle w:val="BodyText"/>
        <w:tabs>
          <w:tab w:pos="982" w:val="left" w:leader="none"/>
        </w:tabs>
        <w:spacing w:line="240" w:lineRule="auto" w:before="56"/>
        <w:ind w:left="560" w:right="193" w:hanging="420"/>
        <w:jc w:val="left"/>
      </w:pPr>
      <w:r>
        <w:rPr/>
        <w:t>√适用</w:t>
        <w:tab/>
        <w:t>□不适用</w:t>
      </w:r>
      <w:r>
        <w:rPr>
          <w:w w:val="100"/>
        </w:rPr>
        <w:t> </w:t>
      </w:r>
      <w:r>
        <w:rPr>
          <w:spacing w:val="-2"/>
        </w:rPr>
        <w:t>营业周期是指企业从购买用于加工的资产起至实现现金或现金等价物的期间。本集团的营业周</w:t>
      </w:r>
    </w:p>
    <w:p>
      <w:pPr>
        <w:pStyle w:val="BodyText"/>
        <w:spacing w:line="240" w:lineRule="auto" w:before="133"/>
        <w:ind w:left="140" w:right="0"/>
        <w:jc w:val="left"/>
      </w:pPr>
      <w:r>
        <w:rPr/>
        <w:t>期为</w:t>
      </w:r>
      <w:r>
        <w:rPr>
          <w:spacing w:val="-53"/>
        </w:rPr>
        <w:t> </w:t>
      </w:r>
      <w:r>
        <w:rPr>
          <w:rFonts w:ascii="宋体" w:hAnsi="宋体" w:cs="宋体" w:eastAsia="宋体" w:hint="default"/>
        </w:rPr>
        <w:t>12</w:t>
      </w:r>
      <w:r>
        <w:rPr>
          <w:rFonts w:ascii="宋体" w:hAnsi="宋体" w:cs="宋体" w:eastAsia="宋体" w:hint="default"/>
          <w:spacing w:val="-53"/>
        </w:rPr>
        <w:t> </w:t>
      </w:r>
      <w:r>
        <w:rPr/>
        <w:t>个月。</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565" w:val="left" w:leader="none"/>
        </w:tabs>
        <w:spacing w:line="290" w:lineRule="auto" w:before="0"/>
        <w:ind w:left="140" w:right="6278"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1"/>
          <w:szCs w:val="21"/>
        </w:rPr>
      </w:pPr>
    </w:p>
    <w:p>
      <w:pPr>
        <w:pStyle w:val="Heading2"/>
        <w:tabs>
          <w:tab w:pos="565" w:val="left" w:leader="none"/>
        </w:tabs>
        <w:spacing w:line="240" w:lineRule="auto"/>
        <w:ind w:left="140"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82" w:val="left" w:leader="none"/>
        </w:tabs>
        <w:spacing w:line="240" w:lineRule="auto" w:before="56"/>
        <w:ind w:left="140" w:right="3338"/>
        <w:jc w:val="left"/>
      </w:pPr>
      <w:r>
        <w:rPr/>
        <w:t>√适用</w:t>
        <w:tab/>
        <w:t>□不适用</w:t>
      </w:r>
      <w:r>
        <w:rPr>
          <w:w w:val="100"/>
        </w:rPr>
        <w:t> </w:t>
      </w:r>
      <w:r>
        <w:rPr>
          <w:spacing w:val="-2"/>
        </w:rPr>
        <w:t>企业合并分为同一控制下的企业合并和非同一控制下的企业合并</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560" w:right="0" w:hanging="420"/>
        <w:jc w:val="left"/>
      </w:pPr>
      <w:r>
        <w:rPr>
          <w:rFonts w:ascii="宋体" w:hAnsi="宋体" w:cs="宋体" w:eastAsia="宋体" w:hint="default"/>
        </w:rPr>
        <w:t>5.1</w:t>
      </w:r>
      <w:r>
        <w:rPr>
          <w:rFonts w:ascii="宋体" w:hAnsi="宋体" w:cs="宋体" w:eastAsia="宋体" w:hint="default"/>
          <w:spacing w:val="-53"/>
        </w:rPr>
        <w:t> </w:t>
      </w:r>
      <w:r>
        <w:rPr/>
        <w:t>同一控制下的企业合并</w:t>
      </w:r>
      <w:r>
        <w:rPr>
          <w:w w:val="100"/>
        </w:rPr>
        <w:t> </w:t>
      </w:r>
      <w:r>
        <w:rPr>
          <w:spacing w:val="-2"/>
        </w:rPr>
        <w:t>参与合并的企业在合并前后均受同一方或相同的多方最终控制，且该控制并非暂时性的，为同</w:t>
      </w:r>
    </w:p>
    <w:p>
      <w:pPr>
        <w:pStyle w:val="BodyText"/>
        <w:spacing w:line="355" w:lineRule="auto" w:before="30"/>
        <w:ind w:left="560" w:right="0" w:hanging="420"/>
        <w:jc w:val="left"/>
      </w:pPr>
      <w:r>
        <w:rPr/>
        <w:t>一控制下的企业合并。</w:t>
      </w:r>
      <w:r>
        <w:rPr>
          <w:w w:val="100"/>
        </w:rPr>
        <w:t> </w:t>
      </w:r>
      <w:r>
        <w:rPr>
          <w:spacing w:val="-2"/>
        </w:rPr>
        <w:t>在企业合并中取得的资产和负债，按合并日其在被合并方的账面价值计量。合并方取得的净资</w:t>
      </w:r>
    </w:p>
    <w:p>
      <w:pPr>
        <w:pStyle w:val="BodyText"/>
        <w:spacing w:line="355" w:lineRule="auto" w:before="33"/>
        <w:ind w:left="140" w:right="0"/>
        <w:jc w:val="left"/>
      </w:pPr>
      <w:r>
        <w:rPr>
          <w:spacing w:val="-2"/>
        </w:rPr>
        <w:t>产账面价值与支付的合并对价的账面价值的差额，调整资本公积中的资本溢价，资本溢价不足冲减</w:t>
      </w:r>
      <w:r>
        <w:rPr>
          <w:spacing w:val="-30"/>
        </w:rPr>
        <w:t> </w:t>
      </w:r>
      <w:r>
        <w:rPr>
          <w:spacing w:val="-30"/>
        </w:rPr>
      </w:r>
      <w:r>
        <w:rPr/>
        <w:t>的则调整留存收益。</w:t>
      </w:r>
    </w:p>
    <w:p>
      <w:pPr>
        <w:pStyle w:val="BodyText"/>
        <w:spacing w:line="240" w:lineRule="auto" w:before="34"/>
        <w:ind w:left="565" w:right="0"/>
        <w:jc w:val="left"/>
      </w:pPr>
      <w:r>
        <w:rPr/>
        <w:t>为进行企业合并发生的各项直接费用，于发生时计入当期损益。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560" w:right="0" w:hanging="420"/>
        <w:jc w:val="left"/>
      </w:pPr>
      <w:r>
        <w:rPr>
          <w:rFonts w:ascii="宋体" w:hAnsi="宋体" w:cs="宋体" w:eastAsia="宋体" w:hint="default"/>
        </w:rPr>
        <w:t>5.2</w:t>
      </w:r>
      <w:r>
        <w:rPr>
          <w:rFonts w:ascii="宋体" w:hAnsi="宋体" w:cs="宋体" w:eastAsia="宋体" w:hint="default"/>
          <w:spacing w:val="-53"/>
        </w:rPr>
        <w:t> </w:t>
      </w:r>
      <w:r>
        <w:rPr/>
        <w:t>非同一控制下企业合并及商誉</w:t>
      </w:r>
      <w:r>
        <w:rPr>
          <w:w w:val="100"/>
        </w:rPr>
        <w:t> </w:t>
      </w:r>
      <w:r>
        <w:rPr/>
        <w:t>参与合并的企业在合并前后不受同一方或相同的多方最终控制，为非同一控制下的企业合并。</w:t>
      </w:r>
      <w:r>
        <w:rPr>
          <w:w w:val="100"/>
        </w:rPr>
        <w:t> </w:t>
      </w:r>
      <w:r>
        <w:rPr/>
        <w:t>合并成本指购买方为取得被购买方的控制权而付出的资产、发生或承担的负债和发行的权益性</w:t>
      </w:r>
    </w:p>
    <w:p>
      <w:pPr>
        <w:pStyle w:val="BodyText"/>
        <w:spacing w:line="240" w:lineRule="auto" w:before="30"/>
        <w:ind w:left="140" w:right="0"/>
        <w:jc w:val="left"/>
      </w:pPr>
      <w:r>
        <w:rPr/>
        <w:t>工具的公允价值。购买方为企业合并发生的审计、法律服务、评估咨询等中介费用以及其他相关管</w:t>
      </w:r>
    </w:p>
    <w:p>
      <w:pPr>
        <w:spacing w:after="0" w:line="240" w:lineRule="auto"/>
        <w:jc w:val="left"/>
        <w:sectPr>
          <w:pgSz w:w="11910" w:h="16840"/>
          <w:pgMar w:header="882" w:footer="1195" w:top="1120" w:bottom="1380" w:left="130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7" w:lineRule="auto" w:before="36"/>
        <w:ind w:left="140" w:right="311"/>
        <w:jc w:val="both"/>
      </w:pPr>
      <w:r>
        <w:rPr>
          <w:spacing w:val="-2"/>
        </w:rPr>
        <w:t>理费用，于发生时计入当期损益。通过多次交易分步实现非同一控制下的企业合并的，合并成本为</w:t>
      </w:r>
      <w:r>
        <w:rPr>
          <w:spacing w:val="-30"/>
        </w:rPr>
        <w:t> </w:t>
      </w:r>
      <w:r>
        <w:rPr>
          <w:spacing w:val="-30"/>
        </w:rPr>
      </w:r>
      <w:r>
        <w:rPr>
          <w:spacing w:val="-2"/>
        </w:rPr>
        <w:t>购买日支付的对价与购买日之前已经持有的被购买方的股权在购买日的公允价值之和。对于购买日</w:t>
      </w:r>
      <w:r>
        <w:rPr>
          <w:spacing w:val="-30"/>
        </w:rPr>
        <w:t> </w:t>
      </w:r>
      <w:r>
        <w:rPr>
          <w:spacing w:val="-30"/>
        </w:rPr>
      </w:r>
      <w:r>
        <w:rPr>
          <w:spacing w:val="-2"/>
        </w:rPr>
        <w:t>之前已经持有的被购买方的股权，按照购买日的公允价值进行重新计量，公允价值与其账面价值之</w:t>
      </w:r>
      <w:r>
        <w:rPr>
          <w:spacing w:val="-31"/>
        </w:rPr>
        <w:t> </w:t>
      </w:r>
      <w:r>
        <w:rPr>
          <w:spacing w:val="-31"/>
        </w:rPr>
      </w:r>
      <w:r>
        <w:rPr>
          <w:spacing w:val="-2"/>
        </w:rPr>
        <w:t>间的差额计入当期投资收益；购买日之前已经持有的被购买方的股权涉及其他综合收益的，与其相</w:t>
      </w:r>
      <w:r>
        <w:rPr>
          <w:spacing w:val="-30"/>
        </w:rPr>
        <w:t> </w:t>
      </w:r>
      <w:r>
        <w:rPr>
          <w:spacing w:val="-30"/>
        </w:rPr>
      </w:r>
      <w:r>
        <w:rPr/>
        <w:t>关的其他综合收益转为购买日当期投资收益。</w:t>
      </w:r>
    </w:p>
    <w:p>
      <w:pPr>
        <w:pStyle w:val="BodyText"/>
        <w:spacing w:line="357" w:lineRule="auto" w:before="30"/>
        <w:ind w:left="140" w:right="311" w:firstLine="420"/>
        <w:jc w:val="both"/>
      </w:pPr>
      <w:r>
        <w:rPr>
          <w:spacing w:val="-2"/>
        </w:rPr>
        <w:t>购买方在合并中所取得的被购买方符合确认条件的可辨认资产、负债及或有负债在购买日以公</w:t>
      </w:r>
      <w:r>
        <w:rPr>
          <w:w w:val="100"/>
        </w:rPr>
        <w:t> </w:t>
      </w:r>
      <w:r>
        <w:rPr>
          <w:spacing w:val="-2"/>
        </w:rPr>
        <w:t>允价值计量。合并成本大于合并中取得的被购买方可辨认净资产公允价值份额的差额，作为一项资</w:t>
      </w:r>
      <w:r>
        <w:rPr>
          <w:spacing w:val="-30"/>
        </w:rPr>
        <w:t> </w:t>
      </w:r>
      <w:r>
        <w:rPr>
          <w:spacing w:val="-30"/>
        </w:rPr>
      </w:r>
      <w:r>
        <w:rPr>
          <w:spacing w:val="-2"/>
        </w:rPr>
        <w:t>产确认为商誉并按成本进行初始计量。合并成本小于合并中取得的被购买方可辨认净资产公允价值</w:t>
      </w:r>
      <w:r>
        <w:rPr>
          <w:spacing w:val="-30"/>
        </w:rPr>
        <w:t> </w:t>
      </w:r>
      <w:r>
        <w:rPr>
          <w:spacing w:val="-30"/>
        </w:rPr>
      </w:r>
      <w:r>
        <w:rPr>
          <w:spacing w:val="-2"/>
        </w:rPr>
        <w:t>份额的，首先对取得的被购买方各项可辨认资产、负债及或有负债的公允价值以及合并成本的计量</w:t>
      </w:r>
      <w:r>
        <w:rPr>
          <w:spacing w:val="-31"/>
        </w:rPr>
        <w:t> </w:t>
      </w:r>
      <w:r>
        <w:rPr>
          <w:spacing w:val="-31"/>
        </w:rPr>
      </w:r>
      <w:r>
        <w:rPr>
          <w:spacing w:val="-2"/>
        </w:rPr>
        <w:t>进行复核，复核后合并成本仍小于合并中取得的被购买方可辨认净资产公允价值份额的，计入当期</w:t>
      </w:r>
      <w:r>
        <w:rPr>
          <w:spacing w:val="-30"/>
        </w:rPr>
        <w:t> </w:t>
      </w:r>
      <w:r>
        <w:rPr>
          <w:spacing w:val="-30"/>
        </w:rPr>
      </w:r>
      <w:r>
        <w:rPr/>
        <w:t>损益。</w:t>
      </w:r>
    </w:p>
    <w:p>
      <w:pPr>
        <w:pStyle w:val="BodyText"/>
        <w:spacing w:line="355" w:lineRule="auto" w:before="30"/>
        <w:ind w:left="140" w:right="311" w:firstLine="420"/>
        <w:jc w:val="both"/>
      </w:pPr>
      <w:r>
        <w:rPr>
          <w:spacing w:val="-2"/>
        </w:rPr>
        <w:t>因企业合并形成的商誉在合并财务报表中单独列报，并按照成本扣除累计减值准备后的金额计</w:t>
      </w:r>
      <w:r>
        <w:rPr>
          <w:w w:val="100"/>
        </w:rPr>
        <w:t> </w:t>
      </w:r>
      <w:r>
        <w:rPr/>
        <w:t>量。商誉至少在每年年度终了进行减值测试。</w:t>
      </w:r>
    </w:p>
    <w:p>
      <w:pPr>
        <w:spacing w:line="240" w:lineRule="auto" w:before="13"/>
        <w:rPr>
          <w:rFonts w:ascii="宋体" w:hAnsi="宋体" w:cs="宋体" w:eastAsia="宋体" w:hint="default"/>
          <w:sz w:val="27"/>
          <w:szCs w:val="27"/>
        </w:rPr>
      </w:pPr>
    </w:p>
    <w:p>
      <w:pPr>
        <w:pStyle w:val="Heading2"/>
        <w:spacing w:line="240" w:lineRule="auto"/>
        <w:ind w:left="140"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tabs>
          <w:tab w:pos="982" w:val="left" w:leader="none"/>
        </w:tabs>
        <w:spacing w:line="240" w:lineRule="auto" w:before="56"/>
        <w:ind w:left="565" w:right="311" w:hanging="425"/>
        <w:jc w:val="left"/>
      </w:pPr>
      <w:r>
        <w:rPr/>
        <w:t>√适用</w:t>
        <w:tab/>
        <w:t>□不适用</w:t>
      </w:r>
      <w:r>
        <w:rPr>
          <w:w w:val="100"/>
        </w:rPr>
        <w:t> </w:t>
      </w:r>
      <w:r>
        <w:rPr>
          <w:spacing w:val="-2"/>
        </w:rPr>
        <w:t>合并财务报表的合并范围以控制为基础予以确定。控制是指本集团拥有对被投资方的权力，通</w:t>
      </w:r>
    </w:p>
    <w:p>
      <w:pPr>
        <w:pStyle w:val="BodyText"/>
        <w:spacing w:line="355" w:lineRule="auto" w:before="133"/>
        <w:ind w:left="140" w:right="123"/>
        <w:jc w:val="left"/>
      </w:pPr>
      <w:r>
        <w:rPr/>
        <w:t>过参与被投资方的相关活动而享有可变回报，并且有能力运用对被投资方的权力影响其回报金额。</w:t>
      </w:r>
      <w:r>
        <w:rPr>
          <w:spacing w:val="-8"/>
        </w:rPr>
        <w:t> </w:t>
      </w:r>
      <w:r>
        <w:rPr>
          <w:spacing w:val="-8"/>
        </w:rPr>
      </w:r>
      <w:r>
        <w:rPr>
          <w:spacing w:val="-2"/>
        </w:rPr>
        <w:t>一旦相关事实和情况的变化导致上述控制定义涉及的相关要素发生了变化，本集团将进行重新评估。</w:t>
      </w:r>
    </w:p>
    <w:p>
      <w:pPr>
        <w:pStyle w:val="BodyText"/>
        <w:spacing w:line="355" w:lineRule="auto" w:before="34"/>
        <w:ind w:left="140" w:right="311" w:firstLine="424"/>
        <w:jc w:val="both"/>
      </w:pPr>
      <w:r>
        <w:rPr>
          <w:spacing w:val="-2"/>
        </w:rPr>
        <w:t>对于本集团处置的子公司，处置日</w:t>
      </w:r>
      <w:r>
        <w:rPr>
          <w:rFonts w:ascii="宋体" w:hAnsi="宋体" w:cs="宋体" w:eastAsia="宋体" w:hint="default"/>
          <w:spacing w:val="-2"/>
        </w:rPr>
        <w:t>(</w:t>
      </w:r>
      <w:r>
        <w:rPr>
          <w:spacing w:val="-2"/>
        </w:rPr>
        <w:t>丧失控制权的日期</w:t>
      </w:r>
      <w:r>
        <w:rPr>
          <w:rFonts w:ascii="宋体" w:hAnsi="宋体" w:cs="宋体" w:eastAsia="宋体" w:hint="default"/>
          <w:spacing w:val="-2"/>
        </w:rPr>
        <w:t>)</w:t>
      </w:r>
      <w:r>
        <w:rPr>
          <w:spacing w:val="-2"/>
        </w:rPr>
        <w:t>前的经营成果和现金流量已经适当地包</w:t>
      </w:r>
      <w:r>
        <w:rPr>
          <w:w w:val="100"/>
        </w:rPr>
        <w:t> </w:t>
      </w:r>
      <w:r>
        <w:rPr/>
        <w:t>括在合并利润表和合并现金流量表中。</w:t>
      </w:r>
    </w:p>
    <w:p>
      <w:pPr>
        <w:pStyle w:val="BodyText"/>
        <w:spacing w:line="355" w:lineRule="auto" w:before="32"/>
        <w:ind w:left="140" w:right="311" w:firstLine="424"/>
        <w:jc w:val="both"/>
      </w:pPr>
      <w:r>
        <w:rPr>
          <w:spacing w:val="-2"/>
        </w:rPr>
        <w:t>对于通过非同一控制下的企业合并取得的子公司，其自购买日</w:t>
      </w:r>
      <w:r>
        <w:rPr>
          <w:rFonts w:ascii="宋体" w:hAnsi="宋体" w:cs="宋体" w:eastAsia="宋体" w:hint="default"/>
          <w:spacing w:val="-2"/>
        </w:rPr>
        <w:t>(</w:t>
      </w:r>
      <w:r>
        <w:rPr>
          <w:spacing w:val="-2"/>
        </w:rPr>
        <w:t>取得控制权的日期</w:t>
      </w:r>
      <w:r>
        <w:rPr>
          <w:rFonts w:ascii="宋体" w:hAnsi="宋体" w:cs="宋体" w:eastAsia="宋体" w:hint="default"/>
          <w:spacing w:val="-2"/>
        </w:rPr>
        <w:t>)</w:t>
      </w:r>
      <w:r>
        <w:rPr>
          <w:spacing w:val="-2"/>
        </w:rPr>
        <w:t>起的经营成</w:t>
      </w:r>
      <w:r>
        <w:rPr>
          <w:w w:val="100"/>
        </w:rPr>
        <w:t> </w:t>
      </w:r>
      <w:r>
        <w:rPr>
          <w:spacing w:val="-2"/>
        </w:rPr>
        <w:t>果及现金流量已经适当地包括在合并利润表和合并现金流量表中，不调整合并财务报表的期初数和</w:t>
      </w:r>
      <w:r>
        <w:rPr>
          <w:spacing w:val="-30"/>
        </w:rPr>
        <w:t> </w:t>
      </w:r>
      <w:r>
        <w:rPr>
          <w:spacing w:val="-30"/>
        </w:rPr>
      </w:r>
      <w:r>
        <w:rPr/>
        <w:t>对比数。</w:t>
      </w:r>
    </w:p>
    <w:p>
      <w:pPr>
        <w:pStyle w:val="BodyText"/>
        <w:spacing w:line="355" w:lineRule="auto" w:before="35"/>
        <w:ind w:left="140" w:right="123" w:firstLine="424"/>
        <w:jc w:val="left"/>
      </w:pPr>
      <w:r>
        <w:rPr/>
        <w:t>对于通过同一控制下的企业合并取得的子公司，无论该项企业合并发生在报告期的任一时点，</w:t>
      </w:r>
      <w:r>
        <w:rPr>
          <w:w w:val="100"/>
        </w:rPr>
        <w:t> </w:t>
      </w:r>
      <w:r>
        <w:rPr/>
        <w:t>视同该子公司同受最终控制方控制之日起纳入本集团的合并范围，其自同受最终控制方控制之日起</w:t>
      </w:r>
      <w:r>
        <w:rPr>
          <w:w w:val="100"/>
        </w:rPr>
        <w:t> </w:t>
      </w:r>
      <w:r>
        <w:rPr/>
        <w:t>的经营成果和现金流量已适当地包括在合并利润表和合并现金流量表中。</w:t>
      </w:r>
    </w:p>
    <w:p>
      <w:pPr>
        <w:pStyle w:val="BodyText"/>
        <w:spacing w:line="357" w:lineRule="auto" w:before="32"/>
        <w:ind w:left="565" w:right="123"/>
        <w:jc w:val="left"/>
      </w:pPr>
      <w:r>
        <w:rPr/>
        <w:t>子公司采用的主要会计政策和会计期间按照公司统一规定的会计政策和会计期间厘定。</w:t>
      </w:r>
      <w:r>
        <w:rPr>
          <w:w w:val="100"/>
        </w:rPr>
        <w:t> </w:t>
      </w:r>
      <w:r>
        <w:rPr/>
        <w:t>公司与子公司及子公司相互之间的所有重大账目及交易于合并时抵销。</w:t>
      </w:r>
      <w:r>
        <w:rPr>
          <w:w w:val="100"/>
        </w:rPr>
        <w:t> </w:t>
      </w:r>
      <w:r>
        <w:rPr>
          <w:spacing w:val="-2"/>
        </w:rPr>
        <w:t>子公司所有者权益中不属于母公司的份额作为少数股东权益，在合并资产负债表中股东权益项</w:t>
      </w:r>
    </w:p>
    <w:p>
      <w:pPr>
        <w:pStyle w:val="BodyText"/>
        <w:spacing w:line="355" w:lineRule="auto" w:before="30"/>
        <w:ind w:left="140" w:right="311"/>
        <w:jc w:val="both"/>
      </w:pPr>
      <w:r>
        <w:rPr>
          <w:spacing w:val="-2"/>
        </w:rPr>
        <w:t>目下以“少数股东权益”项目列示。子公司当期净损益中属于少数股东的份额，在合并利润表中净</w:t>
      </w:r>
      <w:r>
        <w:rPr>
          <w:spacing w:val="-31"/>
        </w:rPr>
        <w:t> </w:t>
      </w:r>
      <w:r>
        <w:rPr>
          <w:spacing w:val="-31"/>
        </w:rPr>
      </w:r>
      <w:r>
        <w:rPr/>
        <w:t>利润项目下以“少数股东损益”项目列示。</w:t>
      </w:r>
    </w:p>
    <w:p>
      <w:pPr>
        <w:spacing w:after="0" w:line="355" w:lineRule="auto"/>
        <w:jc w:val="both"/>
        <w:sectPr>
          <w:pgSz w:w="11910" w:h="16840"/>
          <w:pgMar w:header="882" w:footer="1195" w:top="1120" w:bottom="1380" w:left="130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111" w:firstLine="424"/>
        <w:jc w:val="both"/>
      </w:pPr>
      <w:r>
        <w:rPr>
          <w:spacing w:val="-2"/>
        </w:rPr>
        <w:t>少数股东分担的子公司的亏损超过了少数股东在该子公司期初所有者权益中所享有的份额，其</w:t>
      </w:r>
      <w:r>
        <w:rPr>
          <w:w w:val="100"/>
        </w:rPr>
        <w:t> </w:t>
      </w:r>
      <w:r>
        <w:rPr/>
        <w:t>余额仍应当冲减少数股东权益。</w:t>
      </w:r>
    </w:p>
    <w:p>
      <w:pPr>
        <w:pStyle w:val="BodyText"/>
        <w:spacing w:line="357" w:lineRule="auto" w:before="32"/>
        <w:ind w:left="140" w:right="111" w:firstLine="424"/>
        <w:jc w:val="both"/>
      </w:pPr>
      <w:r>
        <w:rPr>
          <w:spacing w:val="-2"/>
        </w:rPr>
        <w:t>对于购买子公司少数股权或因处置部分股权投资但没有丧失对该子公司控制权的交易，作为权</w:t>
      </w:r>
      <w:r>
        <w:rPr>
          <w:w w:val="100"/>
        </w:rPr>
        <w:t> </w:t>
      </w:r>
      <w:r>
        <w:rPr>
          <w:spacing w:val="-2"/>
        </w:rPr>
        <w:t>益性交易核算，调整归属于母公司所有者权益和少数股东权益的账面价值以反映其在子公司中相关</w:t>
      </w:r>
      <w:r>
        <w:rPr>
          <w:spacing w:val="-30"/>
        </w:rPr>
        <w:t> </w:t>
      </w:r>
      <w:r>
        <w:rPr>
          <w:spacing w:val="-30"/>
        </w:rPr>
      </w:r>
      <w:r>
        <w:rPr/>
        <w:t>权益的变化。少数股东权益的调整额与支付</w:t>
      </w:r>
      <w:r>
        <w:rPr>
          <w:rFonts w:ascii="宋体" w:hAnsi="宋体" w:cs="宋体" w:eastAsia="宋体" w:hint="default"/>
        </w:rPr>
        <w:t>/</w:t>
      </w:r>
      <w:r>
        <w:rPr/>
        <w:t>收到对价的公允价值之间的差额调整资本公积，资本</w:t>
      </w:r>
      <w:r>
        <w:rPr>
          <w:spacing w:val="-6"/>
        </w:rPr>
        <w:t> </w:t>
      </w:r>
      <w:r>
        <w:rPr>
          <w:spacing w:val="-6"/>
        </w:rPr>
      </w:r>
      <w:r>
        <w:rPr/>
        <w:t>公积不足冲减的，调整留存收益。</w:t>
      </w:r>
    </w:p>
    <w:p>
      <w:pPr>
        <w:spacing w:line="240" w:lineRule="auto" w:before="11"/>
        <w:rPr>
          <w:rFonts w:ascii="宋体" w:hAnsi="宋体" w:cs="宋体" w:eastAsia="宋体" w:hint="default"/>
          <w:sz w:val="27"/>
          <w:szCs w:val="27"/>
        </w:rPr>
      </w:pPr>
    </w:p>
    <w:p>
      <w:pPr>
        <w:pStyle w:val="Heading2"/>
        <w:spacing w:line="240" w:lineRule="auto"/>
        <w:ind w:left="140" w:right="0"/>
        <w:jc w:val="both"/>
        <w:rPr>
          <w:b w:val="0"/>
          <w:bCs w:val="0"/>
        </w:rPr>
      </w:pPr>
      <w:r>
        <w:rPr>
          <w:rFonts w:ascii="宋体" w:hAnsi="宋体" w:cs="宋体" w:eastAsia="宋体" w:hint="default"/>
        </w:rPr>
        <w:t>7.  </w:t>
      </w:r>
      <w:r>
        <w:rPr/>
        <w:t>合营安排分类及共同经营会计处理方法</w:t>
      </w:r>
      <w:r>
        <w:rPr>
          <w:b w:val="0"/>
          <w:bCs w:val="0"/>
        </w:rPr>
      </w:r>
    </w:p>
    <w:p>
      <w:pPr>
        <w:pStyle w:val="BodyText"/>
        <w:tabs>
          <w:tab w:pos="982" w:val="left" w:leader="none"/>
        </w:tabs>
        <w:spacing w:line="272" w:lineRule="exact" w:before="84"/>
        <w:ind w:left="565" w:right="117" w:hanging="425"/>
        <w:jc w:val="left"/>
      </w:pPr>
      <w:r>
        <w:rPr/>
        <w:t>√适用</w:t>
        <w:tab/>
        <w:t>□不适用</w:t>
      </w:r>
      <w:r>
        <w:rPr>
          <w:w w:val="100"/>
        </w:rPr>
        <w:t> </w:t>
      </w:r>
      <w:r>
        <w:rPr>
          <w:spacing w:val="-2"/>
        </w:rPr>
        <w:t>合营安排分为共同经营和合营企业，该分类通过考虑该安排的结构、法律形式以及合同条款等</w:t>
      </w:r>
    </w:p>
    <w:p>
      <w:pPr>
        <w:pStyle w:val="BodyText"/>
        <w:spacing w:line="355" w:lineRule="auto" w:before="110"/>
        <w:ind w:left="140" w:right="111"/>
        <w:jc w:val="both"/>
      </w:pPr>
      <w:r>
        <w:rPr>
          <w:spacing w:val="-2"/>
        </w:rPr>
        <w:t>因素根据合营方在合营安排中享有的权利和承担的义务确定。共同经营，是指合营方享有该安排相</w:t>
      </w:r>
      <w:r>
        <w:rPr>
          <w:spacing w:val="-30"/>
        </w:rPr>
        <w:t> </w:t>
      </w:r>
      <w:r>
        <w:rPr>
          <w:spacing w:val="-30"/>
        </w:rPr>
      </w:r>
      <w:r>
        <w:rPr>
          <w:spacing w:val="-2"/>
        </w:rPr>
        <w:t>关资产且承担该安排相关负债的合营安排。合营企业是指合营方仅对该安排的净资产享有权利的合</w:t>
      </w:r>
      <w:r>
        <w:rPr>
          <w:spacing w:val="-30"/>
        </w:rPr>
        <w:t> </w:t>
      </w:r>
      <w:r>
        <w:rPr>
          <w:spacing w:val="-30"/>
        </w:rPr>
      </w:r>
      <w:r>
        <w:rPr>
          <w:spacing w:val="-2"/>
        </w:rPr>
        <w:t>营安排。本集团的合营安排均为合营企业。对合营企业的投资采用权益法核算，具体参见“</w:t>
      </w:r>
      <w:r>
        <w:rPr>
          <w:rFonts w:ascii="宋体" w:hAnsi="宋体" w:cs="宋体" w:eastAsia="宋体" w:hint="default"/>
          <w:spacing w:val="-2"/>
        </w:rPr>
        <w:t>19.3.2</w:t>
      </w:r>
      <w:r>
        <w:rPr>
          <w:rFonts w:ascii="宋体" w:hAnsi="宋体" w:cs="宋体" w:eastAsia="宋体" w:hint="default"/>
          <w:spacing w:val="-26"/>
        </w:rPr>
        <w:t> </w:t>
      </w:r>
      <w:r>
        <w:rPr>
          <w:rFonts w:ascii="宋体" w:hAnsi="宋体" w:cs="宋体" w:eastAsia="宋体" w:hint="default"/>
          <w:spacing w:val="-26"/>
        </w:rPr>
      </w:r>
      <w:r>
        <w:rPr/>
        <w:t>按权益法核算的长期股权投资”。</w:t>
      </w:r>
    </w:p>
    <w:p>
      <w:pPr>
        <w:spacing w:line="240" w:lineRule="auto" w:before="13"/>
        <w:rPr>
          <w:rFonts w:ascii="宋体" w:hAnsi="宋体" w:cs="宋体" w:eastAsia="宋体" w:hint="default"/>
          <w:sz w:val="27"/>
          <w:szCs w:val="27"/>
        </w:rPr>
      </w:pPr>
    </w:p>
    <w:p>
      <w:pPr>
        <w:tabs>
          <w:tab w:pos="565" w:val="left" w:leader="none"/>
        </w:tabs>
        <w:spacing w:line="290" w:lineRule="auto" w:before="0"/>
        <w:ind w:left="565" w:right="117" w:hanging="425"/>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现金是指企业库存现金以及可以随时用于支付的存款。现金等价物是指本集团持有的期限短</w:t>
      </w:r>
    </w:p>
    <w:p>
      <w:pPr>
        <w:pStyle w:val="BodyText"/>
        <w:spacing w:line="355" w:lineRule="auto" w:before="92"/>
        <w:ind w:left="140" w:right="111"/>
        <w:jc w:val="both"/>
      </w:pPr>
      <w:r>
        <w:rPr>
          <w:spacing w:val="-2"/>
        </w:rPr>
        <w:t>（一般指从购买日起三个月内到期）、流动性强、易于转换为已知金额现金、价值变动风险很小的</w:t>
      </w:r>
      <w:r>
        <w:rPr>
          <w:spacing w:val="-31"/>
        </w:rPr>
        <w:t> </w:t>
      </w:r>
      <w:r>
        <w:rPr>
          <w:spacing w:val="-31"/>
        </w:rPr>
      </w:r>
      <w:r>
        <w:rPr/>
        <w:t>投资。</w:t>
      </w:r>
    </w:p>
    <w:p>
      <w:pPr>
        <w:spacing w:line="240" w:lineRule="auto" w:before="13"/>
        <w:rPr>
          <w:rFonts w:ascii="宋体" w:hAnsi="宋体" w:cs="宋体" w:eastAsia="宋体" w:hint="default"/>
          <w:sz w:val="27"/>
          <w:szCs w:val="27"/>
        </w:rPr>
      </w:pPr>
    </w:p>
    <w:p>
      <w:pPr>
        <w:pStyle w:val="Heading2"/>
        <w:spacing w:line="240" w:lineRule="auto"/>
        <w:ind w:left="140"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tabs>
          <w:tab w:pos="982" w:val="left" w:leader="none"/>
        </w:tabs>
        <w:spacing w:line="240" w:lineRule="auto" w:before="56"/>
        <w:ind w:left="140" w:right="7461"/>
        <w:jc w:val="left"/>
      </w:pPr>
      <w:r>
        <w:rPr/>
        <w:t>√适用</w:t>
        <w:tab/>
      </w:r>
      <w:r>
        <w:rPr>
          <w:spacing w:val="-2"/>
        </w:rPr>
        <w:t>□不适用</w:t>
      </w:r>
      <w:r>
        <w:rPr>
          <w:spacing w:val="-99"/>
        </w:rPr>
        <w:t> </w:t>
      </w:r>
      <w:r>
        <w:rPr>
          <w:spacing w:val="-99"/>
        </w:rPr>
      </w:r>
      <w:r>
        <w:rPr>
          <w:rFonts w:ascii="宋体" w:hAnsi="宋体" w:cs="宋体" w:eastAsia="宋体" w:hint="default"/>
        </w:rPr>
        <w:t>9.1</w:t>
      </w:r>
      <w:r>
        <w:rPr>
          <w:rFonts w:ascii="宋体" w:hAnsi="宋体" w:cs="宋体" w:eastAsia="宋体" w:hint="default"/>
          <w:spacing w:val="-53"/>
        </w:rPr>
        <w:t> </w:t>
      </w:r>
      <w:r>
        <w:rPr/>
        <w:t>外币业务</w:t>
      </w:r>
    </w:p>
    <w:p>
      <w:pPr>
        <w:pStyle w:val="BodyText"/>
        <w:spacing w:line="357" w:lineRule="auto"/>
        <w:ind w:left="140" w:right="111" w:firstLine="424"/>
        <w:jc w:val="both"/>
      </w:pPr>
      <w:r>
        <w:rPr>
          <w:spacing w:val="-2"/>
        </w:rPr>
        <w:t>外币交易在初始确认时采用交易发生日的即期汇率折算。于资产负债表日，外币货币性项目采</w:t>
      </w:r>
      <w:r>
        <w:rPr>
          <w:w w:val="100"/>
        </w:rPr>
        <w:t> </w:t>
      </w:r>
      <w:r>
        <w:rPr>
          <w:spacing w:val="-2"/>
        </w:rPr>
        <w:t>用该日即期汇率折算为人民币，因该日的即期汇率与初始确认时或者前一资产负债表日即期汇率不</w:t>
      </w:r>
      <w:r>
        <w:rPr>
          <w:spacing w:val="-30"/>
        </w:rPr>
        <w:t> </w:t>
      </w:r>
      <w:r>
        <w:rPr>
          <w:spacing w:val="-30"/>
        </w:rPr>
      </w:r>
      <w:r>
        <w:rPr>
          <w:spacing w:val="-2"/>
        </w:rPr>
        <w:t>同而产生的汇兑差额，计入当期损益。以历史成本计量的外币非货币性项目仍以交易发生日的即期</w:t>
      </w:r>
      <w:r>
        <w:rPr>
          <w:spacing w:val="-31"/>
        </w:rPr>
        <w:t> </w:t>
      </w:r>
      <w:r>
        <w:rPr>
          <w:spacing w:val="-31"/>
        </w:rPr>
      </w:r>
      <w:r>
        <w:rPr/>
        <w:t>汇率折算的记账本位币金额计量。</w:t>
      </w:r>
    </w:p>
    <w:p>
      <w:pPr>
        <w:spacing w:line="240" w:lineRule="auto" w:before="0"/>
        <w:rPr>
          <w:rFonts w:ascii="宋体" w:hAnsi="宋体" w:cs="宋体" w:eastAsia="宋体" w:hint="default"/>
          <w:sz w:val="20"/>
          <w:szCs w:val="20"/>
        </w:rPr>
      </w:pPr>
    </w:p>
    <w:p>
      <w:pPr>
        <w:pStyle w:val="BodyText"/>
        <w:spacing w:line="355" w:lineRule="auto" w:before="176"/>
        <w:ind w:left="565" w:right="106" w:hanging="425"/>
        <w:jc w:val="left"/>
      </w:pPr>
      <w:r>
        <w:rPr>
          <w:rFonts w:ascii="宋体" w:hAnsi="宋体" w:cs="宋体" w:eastAsia="宋体" w:hint="default"/>
        </w:rPr>
        <w:t>9.2</w:t>
      </w:r>
      <w:r>
        <w:rPr>
          <w:rFonts w:ascii="宋体" w:hAnsi="宋体" w:cs="宋体" w:eastAsia="宋体" w:hint="default"/>
          <w:spacing w:val="-53"/>
        </w:rPr>
        <w:t> </w:t>
      </w:r>
      <w:r>
        <w:rPr/>
        <w:t>外币财务报表折算</w:t>
      </w:r>
      <w:r>
        <w:rPr>
          <w:w w:val="100"/>
        </w:rPr>
        <w:t> </w:t>
      </w:r>
      <w:r>
        <w:rPr>
          <w:spacing w:val="-2"/>
        </w:rPr>
        <w:t>为编制合并财务报表，境外经营的外币财务报表按以下方法折算为人民币报表：资产负债表中</w:t>
      </w:r>
    </w:p>
    <w:p>
      <w:pPr>
        <w:pStyle w:val="BodyText"/>
        <w:spacing w:line="355" w:lineRule="auto" w:before="34"/>
        <w:ind w:left="140" w:right="111"/>
        <w:jc w:val="both"/>
      </w:pPr>
      <w:r>
        <w:rPr>
          <w:spacing w:val="-2"/>
        </w:rPr>
        <w:t>的所有资产、负债类项目按资产负债表日的即期汇率折算；除“未分配利润”项目外的股东权益项</w:t>
      </w:r>
      <w:r>
        <w:rPr>
          <w:spacing w:val="-31"/>
        </w:rPr>
        <w:t> </w:t>
      </w:r>
      <w:r>
        <w:rPr>
          <w:spacing w:val="-31"/>
        </w:rPr>
      </w:r>
      <w:r>
        <w:rPr>
          <w:spacing w:val="-2"/>
        </w:rPr>
        <w:t>目按发生时的即期汇率折算；利润表中的所有项目及反映利润分配发生额的项目按交易发生日的即</w:t>
      </w:r>
      <w:r>
        <w:rPr>
          <w:spacing w:val="-30"/>
        </w:rPr>
        <w:t> </w:t>
      </w:r>
      <w:r>
        <w:rPr>
          <w:spacing w:val="-30"/>
        </w:rPr>
      </w:r>
      <w:r>
        <w:rPr>
          <w:spacing w:val="-2"/>
        </w:rPr>
        <w:t>期汇率折算；年初未分配利润为上一年折算后的年末未分配利润；年末未分配利润按折算后的利润</w:t>
      </w:r>
    </w:p>
    <w:p>
      <w:pPr>
        <w:spacing w:after="0" w:line="355" w:lineRule="auto"/>
        <w:jc w:val="both"/>
        <w:sectPr>
          <w:footerReference w:type="default" r:id="rId37"/>
          <w:pgSz w:w="11910" w:h="16840"/>
          <w:pgMar w:footer="1195" w:header="882" w:top="112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117"/>
        <w:jc w:val="left"/>
      </w:pPr>
      <w:r>
        <w:rPr>
          <w:spacing w:val="-2"/>
        </w:rPr>
        <w:t>分配各项目计算列示；折算后资产类项目与负债类项目和股东权益类项目合计数的差额，作为外币</w:t>
      </w:r>
      <w:r>
        <w:rPr>
          <w:spacing w:val="-31"/>
        </w:rPr>
        <w:t> </w:t>
      </w:r>
      <w:r>
        <w:rPr>
          <w:spacing w:val="-31"/>
        </w:rPr>
      </w:r>
      <w:r>
        <w:rPr/>
        <w:t>报表折算差额确认为其他综合收益并计入股东权益。</w:t>
      </w:r>
    </w:p>
    <w:p>
      <w:pPr>
        <w:pStyle w:val="BodyText"/>
        <w:spacing w:line="357" w:lineRule="auto" w:before="32"/>
        <w:ind w:left="140" w:right="211" w:firstLine="420"/>
        <w:jc w:val="both"/>
      </w:pPr>
      <w:r>
        <w:rPr>
          <w:spacing w:val="-2"/>
        </w:rPr>
        <w:t>外币现金流量以及境外子公司的现金流量，采用现金流量发生日的即期汇率折算，汇率变动对</w:t>
      </w:r>
      <w:r>
        <w:rPr>
          <w:w w:val="100"/>
        </w:rPr>
        <w:t> </w:t>
      </w:r>
      <w:r>
        <w:rPr>
          <w:spacing w:val="-2"/>
        </w:rPr>
        <w:t>现金及现金等价物的影响额，作为调节项目，在现金流量表中以“汇率变动对现金及现金等价物的</w:t>
      </w:r>
      <w:r>
        <w:rPr>
          <w:spacing w:val="-34"/>
        </w:rPr>
        <w:t> </w:t>
      </w:r>
      <w:r>
        <w:rPr>
          <w:spacing w:val="-34"/>
        </w:rPr>
      </w:r>
      <w:r>
        <w:rPr/>
        <w:t>影响”单独列示。</w:t>
      </w:r>
    </w:p>
    <w:p>
      <w:pPr>
        <w:pStyle w:val="BodyText"/>
        <w:spacing w:line="240" w:lineRule="auto" w:before="30"/>
        <w:ind w:left="560" w:right="117"/>
        <w:jc w:val="left"/>
      </w:pPr>
      <w:r>
        <w:rPr/>
        <w:t>年初数和上年实际数按照上年财务报表折算后的数额列示。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40" w:right="117"/>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82" w:val="left" w:leader="none"/>
        </w:tabs>
        <w:spacing w:line="272" w:lineRule="exact" w:before="84"/>
        <w:ind w:left="565" w:right="213" w:hanging="425"/>
        <w:jc w:val="left"/>
      </w:pPr>
      <w:r>
        <w:rPr/>
        <w:t>√适用</w:t>
        <w:tab/>
        <w:t>□不适用</w:t>
      </w:r>
      <w:r>
        <w:rPr>
          <w:w w:val="100"/>
        </w:rPr>
        <w:t> </w:t>
      </w:r>
      <w:r>
        <w:rPr>
          <w:spacing w:val="-2"/>
        </w:rPr>
        <w:t>在本集团成为金融工具合同的一方时确认一项金融资产或金融负债。金融资产和金融负债在初</w:t>
      </w:r>
    </w:p>
    <w:p>
      <w:pPr>
        <w:pStyle w:val="BodyText"/>
        <w:spacing w:line="357" w:lineRule="auto" w:before="110"/>
        <w:ind w:left="140" w:right="210"/>
        <w:jc w:val="both"/>
      </w:pPr>
      <w:r>
        <w:rPr>
          <w:spacing w:val="-2"/>
        </w:rPr>
        <w:t>始确认时以公允价值计量。对于以公允价值计量且其变动计入当期损益的金融资产和金融负债，相</w:t>
      </w:r>
      <w:r>
        <w:rPr>
          <w:spacing w:val="-30"/>
        </w:rPr>
        <w:t> </w:t>
      </w:r>
      <w:r>
        <w:rPr>
          <w:spacing w:val="-30"/>
        </w:rPr>
      </w:r>
      <w:r>
        <w:rPr>
          <w:spacing w:val="-2"/>
        </w:rPr>
        <w:t>关的交易费用直接计入当期损益；对于其他类别的金融资产和金融负债，相关交易费用计入初始确</w:t>
      </w:r>
      <w:r>
        <w:rPr>
          <w:spacing w:val="-31"/>
        </w:rPr>
        <w:t> </w:t>
      </w:r>
      <w:r>
        <w:rPr>
          <w:spacing w:val="-31"/>
        </w:rPr>
      </w:r>
      <w:r>
        <w:rPr/>
        <w:t>认金额。当本集团按照《企业会计准则第 </w:t>
      </w:r>
      <w:r>
        <w:rPr>
          <w:rFonts w:ascii="宋体" w:hAnsi="宋体" w:cs="宋体" w:eastAsia="宋体" w:hint="default"/>
        </w:rPr>
        <w:t>14</w:t>
      </w:r>
      <w:r>
        <w:rPr>
          <w:rFonts w:ascii="宋体" w:hAnsi="宋体" w:cs="宋体" w:eastAsia="宋体" w:hint="default"/>
          <w:spacing w:val="-11"/>
        </w:rPr>
        <w:t> </w:t>
      </w:r>
      <w:r>
        <w:rPr/>
        <w:t>号——收入》(“收入准则”)确认的未包含重大融资</w:t>
      </w:r>
      <w:r>
        <w:rPr>
          <w:w w:val="100"/>
        </w:rPr>
        <w:t> </w:t>
      </w:r>
      <w:r>
        <w:rPr>
          <w:spacing w:val="-2"/>
        </w:rPr>
        <w:t>成分应收账款或不考虑不超过一年的合同中的融资成分的，初始确认的应收账款则按照收入准则定</w:t>
      </w:r>
      <w:r>
        <w:rPr>
          <w:spacing w:val="-30"/>
        </w:rPr>
        <w:t> </w:t>
      </w:r>
      <w:r>
        <w:rPr>
          <w:spacing w:val="-30"/>
        </w:rPr>
      </w:r>
      <w:r>
        <w:rPr/>
        <w:t>义的交易价格进行初始计量。</w:t>
      </w:r>
    </w:p>
    <w:p>
      <w:pPr>
        <w:pStyle w:val="BodyText"/>
        <w:spacing w:line="357" w:lineRule="auto" w:before="30"/>
        <w:ind w:left="140" w:right="225" w:firstLine="424"/>
        <w:jc w:val="both"/>
      </w:pPr>
      <w:r>
        <w:rPr>
          <w:spacing w:val="2"/>
        </w:rPr>
        <w:t>实际利率法是指计算金融资产或金融负债的摊余成本以及将利息收入或利息费用分摊计入各</w:t>
      </w:r>
      <w:r>
        <w:rPr>
          <w:w w:val="100"/>
        </w:rPr>
        <w:t> </w:t>
      </w:r>
      <w:r>
        <w:rPr/>
        <w:t>会计期间的方法。</w:t>
      </w:r>
    </w:p>
    <w:p>
      <w:pPr>
        <w:pStyle w:val="BodyText"/>
        <w:spacing w:line="357" w:lineRule="auto" w:before="30"/>
        <w:ind w:left="140" w:right="211" w:firstLine="424"/>
        <w:jc w:val="both"/>
      </w:pPr>
      <w:r>
        <w:rPr>
          <w:spacing w:val="-2"/>
        </w:rPr>
        <w:t>实际利率，是指将金融资产或金融负债在预计存续期的估计未来现金流量，折现为该金融资产</w:t>
      </w:r>
      <w:r>
        <w:rPr>
          <w:w w:val="100"/>
        </w:rPr>
        <w:t> </w:t>
      </w:r>
      <w:r>
        <w:rPr>
          <w:spacing w:val="-2"/>
        </w:rPr>
        <w:t>账面余额或该金融负债摊余成本所使用的利率。在确定实际利率时，在考虑金融资产或金融负债所</w:t>
      </w:r>
      <w:r>
        <w:rPr>
          <w:spacing w:val="-31"/>
        </w:rPr>
        <w:t> </w:t>
      </w:r>
      <w:r>
        <w:rPr>
          <w:spacing w:val="-31"/>
        </w:rPr>
      </w:r>
      <w:r>
        <w:rPr>
          <w:spacing w:val="-2"/>
        </w:rPr>
        <w:t>有合同条款</w:t>
      </w:r>
      <w:r>
        <w:rPr>
          <w:rFonts w:ascii="宋体" w:hAnsi="宋体" w:cs="宋体" w:eastAsia="宋体" w:hint="default"/>
          <w:spacing w:val="-2"/>
        </w:rPr>
        <w:t>(</w:t>
      </w:r>
      <w:r>
        <w:rPr>
          <w:spacing w:val="-2"/>
        </w:rPr>
        <w:t>如提前还款、展期、看涨期权或其他类似期权等</w:t>
      </w:r>
      <w:r>
        <w:rPr>
          <w:rFonts w:ascii="宋体" w:hAnsi="宋体" w:cs="宋体" w:eastAsia="宋体" w:hint="default"/>
          <w:spacing w:val="-2"/>
        </w:rPr>
        <w:t>)</w:t>
      </w:r>
      <w:r>
        <w:rPr>
          <w:spacing w:val="-2"/>
        </w:rPr>
        <w:t>的基础上估计预期现金流量，但不考</w:t>
      </w:r>
      <w:r>
        <w:rPr>
          <w:spacing w:val="-30"/>
        </w:rPr>
        <w:t> </w:t>
      </w:r>
      <w:r>
        <w:rPr>
          <w:spacing w:val="-30"/>
        </w:rPr>
      </w:r>
      <w:r>
        <w:rPr/>
        <w:t>虑预期信用损失。</w:t>
      </w:r>
    </w:p>
    <w:p>
      <w:pPr>
        <w:pStyle w:val="BodyText"/>
        <w:spacing w:line="355" w:lineRule="auto" w:before="30"/>
        <w:ind w:left="140" w:right="211" w:firstLine="424"/>
        <w:jc w:val="both"/>
      </w:pPr>
      <w:r>
        <w:rPr>
          <w:spacing w:val="2"/>
        </w:rPr>
        <w:t>金融资产或金融负债的摊余成本是以该金融资产或金融负债的初始确认金额扣除已偿还的本</w:t>
      </w:r>
      <w:r>
        <w:rPr>
          <w:w w:val="100"/>
        </w:rPr>
        <w:t> </w:t>
      </w:r>
      <w:r>
        <w:rPr>
          <w:spacing w:val="-2"/>
        </w:rPr>
        <w:t>金，加上或减去采用实际利率法将该初始确认金额与到期日金额之间的差额进行摊销形成的累计摊</w:t>
      </w:r>
      <w:r>
        <w:rPr>
          <w:spacing w:val="-30"/>
        </w:rPr>
        <w:t> </w:t>
      </w:r>
      <w:r>
        <w:rPr>
          <w:spacing w:val="-30"/>
        </w:rPr>
      </w:r>
      <w:r>
        <w:rPr/>
        <w:t>销额，再扣除累计计提的损失准备</w:t>
      </w:r>
      <w:r>
        <w:rPr>
          <w:rFonts w:ascii="宋体" w:hAnsi="宋体" w:cs="宋体" w:eastAsia="宋体" w:hint="default"/>
        </w:rPr>
        <w:t>(</w:t>
      </w:r>
      <w:r>
        <w:rPr/>
        <w:t>仅适用于金融资产</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55" w:lineRule="auto"/>
        <w:ind w:left="565" w:right="117" w:hanging="425"/>
        <w:jc w:val="left"/>
      </w:pPr>
      <w:r>
        <w:rPr>
          <w:rFonts w:ascii="宋体" w:hAnsi="宋体" w:cs="宋体" w:eastAsia="宋体" w:hint="default"/>
        </w:rPr>
        <w:t>10.1</w:t>
      </w:r>
      <w:r>
        <w:rPr>
          <w:rFonts w:ascii="宋体" w:hAnsi="宋体" w:cs="宋体" w:eastAsia="宋体" w:hint="default"/>
          <w:spacing w:val="-55"/>
        </w:rPr>
        <w:t> </w:t>
      </w:r>
      <w:r>
        <w:rPr/>
        <w:t>金融资产的分类与计量</w:t>
      </w:r>
      <w:r>
        <w:rPr>
          <w:w w:val="100"/>
        </w:rPr>
        <w:t> </w:t>
      </w:r>
      <w:r>
        <w:rPr>
          <w:spacing w:val="-2"/>
        </w:rPr>
        <w:t>初始确认后，本集团对不同类别的金融资产，分别以摊余成本、以公允价值计量且其变动计入</w:t>
      </w:r>
    </w:p>
    <w:p>
      <w:pPr>
        <w:pStyle w:val="BodyText"/>
        <w:spacing w:line="357" w:lineRule="auto" w:before="32"/>
        <w:ind w:left="565" w:right="117" w:hanging="425"/>
        <w:jc w:val="left"/>
      </w:pPr>
      <w:r>
        <w:rPr/>
        <w:t>其他综合收益或以公允价值计量且其变动计入当期损益进行后续计量。</w:t>
      </w:r>
      <w:r>
        <w:rPr>
          <w:w w:val="100"/>
        </w:rPr>
        <w:t> </w:t>
      </w:r>
      <w:r>
        <w:rPr>
          <w:spacing w:val="2"/>
        </w:rPr>
        <w:t>金融资产的合同条款规定在特定日期产生的现金流量仅为对本金和以未偿付本金金额为基础</w:t>
      </w:r>
    </w:p>
    <w:p>
      <w:pPr>
        <w:pStyle w:val="BodyText"/>
        <w:spacing w:line="355" w:lineRule="auto" w:before="30"/>
        <w:ind w:left="140" w:right="117"/>
        <w:jc w:val="left"/>
      </w:pPr>
      <w:r>
        <w:rPr/>
        <w:t>的利息的支付，且本集团管理该金融资产的业务模式是以收取合同现金流量为目标，则本集团将该</w:t>
      </w:r>
      <w:r>
        <w:rPr>
          <w:w w:val="100"/>
        </w:rPr>
        <w:t> </w:t>
      </w:r>
      <w:r>
        <w:rPr/>
        <w:t>金融资产分类为以摊余成本计量的金融资产。此类金融资产包括货币资金、应收票据及应收账款、</w:t>
      </w:r>
      <w:r>
        <w:rPr>
          <w:spacing w:val="-8"/>
        </w:rPr>
        <w:t> </w:t>
      </w:r>
      <w:r>
        <w:rPr>
          <w:spacing w:val="-8"/>
        </w:rPr>
      </w:r>
      <w:r>
        <w:rPr/>
        <w:t>其他应收款和长期应收款等。</w:t>
      </w:r>
    </w:p>
    <w:p>
      <w:pPr>
        <w:spacing w:after="0" w:line="355" w:lineRule="auto"/>
        <w:jc w:val="left"/>
        <w:sectPr>
          <w:footerReference w:type="default" r:id="rId38"/>
          <w:pgSz w:w="11910" w:h="16840"/>
          <w:pgMar w:footer="1195" w:header="882" w:top="1120" w:bottom="1380" w:left="1300" w:right="1220"/>
          <w:pgNumType w:start="9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111" w:firstLine="424"/>
        <w:jc w:val="both"/>
      </w:pPr>
      <w:r>
        <w:rPr>
          <w:spacing w:val="2"/>
        </w:rPr>
        <w:t>以公允价值计量且其变动计入当期损益的金融资产包括分类为以公允价值计量且其变动计入</w:t>
      </w:r>
      <w:r>
        <w:rPr>
          <w:w w:val="100"/>
        </w:rPr>
        <w:t> </w:t>
      </w:r>
      <w:r>
        <w:rPr>
          <w:spacing w:val="-2"/>
        </w:rPr>
        <w:t>当期损益的金融资产和指定为以公允价值计量且其变动计入当期损益的金融资产，列示于交易性金</w:t>
      </w:r>
      <w:r>
        <w:rPr>
          <w:spacing w:val="-30"/>
        </w:rPr>
        <w:t> </w:t>
      </w:r>
      <w:r>
        <w:rPr>
          <w:spacing w:val="-30"/>
        </w:rPr>
      </w:r>
      <w:r>
        <w:rPr/>
        <w:t>融资产。自资产负债表日起超过一年到期且预期持有超过一年的，列示于其他非流动金融资产。</w:t>
      </w:r>
    </w:p>
    <w:p>
      <w:pPr>
        <w:pStyle w:val="BodyText"/>
        <w:spacing w:line="357" w:lineRule="auto" w:before="32"/>
        <w:ind w:left="140" w:right="120"/>
        <w:jc w:val="both"/>
      </w:pPr>
      <w:r>
        <w:rPr/>
        <w:t>•</w:t>
      </w:r>
      <w:r>
        <w:rPr>
          <w:spacing w:val="94"/>
        </w:rPr>
        <w:t> </w:t>
      </w:r>
      <w:r>
        <w:rPr>
          <w:spacing w:val="2"/>
        </w:rPr>
        <w:t>不符合分类为以摊余成本计量的金融资产或分类为以公允价值计量且其变动计入其他综合收</w:t>
      </w:r>
      <w:r>
        <w:rPr>
          <w:spacing w:val="-97"/>
        </w:rPr>
        <w:t> </w:t>
      </w:r>
      <w:r>
        <w:rPr>
          <w:spacing w:val="-97"/>
        </w:rPr>
      </w:r>
      <w:r>
        <w:rPr/>
        <w:t>益的金融资产条件的金融资产均分类为以公允价值计量且其变动计入当期损益。</w:t>
      </w:r>
    </w:p>
    <w:p>
      <w:pPr>
        <w:pStyle w:val="BodyText"/>
        <w:spacing w:line="355" w:lineRule="auto" w:before="30"/>
        <w:ind w:left="140" w:right="111"/>
        <w:jc w:val="both"/>
      </w:pPr>
      <w:r>
        <w:rPr/>
        <w:t>•</w:t>
      </w:r>
      <w:r>
        <w:rPr>
          <w:spacing w:val="96"/>
        </w:rPr>
        <w:t> </w:t>
      </w:r>
      <w:r>
        <w:rPr/>
        <w:t>在初始确认时，为消除或显著减少会计错配，本集团可将金融资产不可撤销地指定为以公允价</w:t>
      </w:r>
      <w:r>
        <w:rPr>
          <w:w w:val="100"/>
        </w:rPr>
        <w:t> </w:t>
      </w:r>
      <w:r>
        <w:rPr/>
        <w:t>值计量且其变动计入当期损益的金融资产。</w:t>
      </w:r>
    </w:p>
    <w:p>
      <w:pPr>
        <w:pStyle w:val="BodyText"/>
        <w:spacing w:line="357" w:lineRule="auto" w:before="32"/>
        <w:ind w:left="140" w:right="111" w:firstLine="424"/>
        <w:jc w:val="both"/>
      </w:pPr>
      <w:r>
        <w:rPr>
          <w:spacing w:val="-2"/>
        </w:rPr>
        <w:t>初始确认时，本集团可以单项金融资产为基础不可撤销地将非交易性权益工具指定为以公允价</w:t>
      </w:r>
      <w:r>
        <w:rPr>
          <w:w w:val="100"/>
        </w:rPr>
        <w:t> </w:t>
      </w:r>
      <w:r>
        <w:rPr/>
        <w:t>值计量且其变动计入其他综合收益的金融资产。此类金融资产作为其他权益工具投资列示。</w:t>
      </w:r>
    </w:p>
    <w:p>
      <w:pPr>
        <w:spacing w:line="240" w:lineRule="auto" w:before="0"/>
        <w:rPr>
          <w:rFonts w:ascii="宋体" w:hAnsi="宋体" w:cs="宋体" w:eastAsia="宋体" w:hint="default"/>
          <w:sz w:val="20"/>
          <w:szCs w:val="20"/>
        </w:rPr>
      </w:pPr>
    </w:p>
    <w:p>
      <w:pPr>
        <w:pStyle w:val="BodyText"/>
        <w:spacing w:line="355" w:lineRule="auto" w:before="179"/>
        <w:ind w:left="565" w:right="106" w:hanging="425"/>
        <w:jc w:val="left"/>
      </w:pPr>
      <w:r>
        <w:rPr>
          <w:rFonts w:ascii="宋体" w:hAnsi="宋体" w:cs="宋体" w:eastAsia="宋体" w:hint="default"/>
        </w:rPr>
        <w:t>10.1.1</w:t>
      </w:r>
      <w:r>
        <w:rPr>
          <w:rFonts w:ascii="宋体" w:hAnsi="宋体" w:cs="宋体" w:eastAsia="宋体" w:hint="default"/>
          <w:spacing w:val="-2"/>
        </w:rPr>
        <w:t> </w:t>
      </w:r>
      <w:r>
        <w:rPr/>
        <w:t>以摊余成本计量的金融资产</w:t>
      </w:r>
      <w:r>
        <w:rPr>
          <w:w w:val="100"/>
        </w:rPr>
        <w:t> </w:t>
      </w:r>
      <w:r>
        <w:rPr>
          <w:spacing w:val="-2"/>
        </w:rPr>
        <w:t>以摊余成本计量的金融资产采用实际利率法，按摊余成本进行后续计量，减值或终止确认产生</w:t>
      </w:r>
    </w:p>
    <w:p>
      <w:pPr>
        <w:pStyle w:val="BodyText"/>
        <w:spacing w:line="357" w:lineRule="auto" w:before="32"/>
        <w:ind w:left="565" w:right="106" w:hanging="425"/>
        <w:jc w:val="left"/>
      </w:pPr>
      <w:r>
        <w:rPr/>
        <w:t>的利得或损失，计入当期损益。</w:t>
      </w:r>
      <w:r>
        <w:rPr>
          <w:w w:val="100"/>
        </w:rPr>
        <w:t> </w:t>
      </w:r>
      <w:r>
        <w:rPr>
          <w:spacing w:val="-2"/>
        </w:rPr>
        <w:t>本集团对以摊余成本计量的金融资产按照实际利率法确认利息收入。除下列情况外，本集团根</w:t>
      </w:r>
    </w:p>
    <w:p>
      <w:pPr>
        <w:pStyle w:val="BodyText"/>
        <w:spacing w:line="240" w:lineRule="auto" w:before="30"/>
        <w:ind w:left="140" w:right="106"/>
        <w:jc w:val="left"/>
      </w:pPr>
      <w:r>
        <w:rPr/>
        <w:t>据金融资产账面余额乘以实际利率计算确定利息收入：</w:t>
      </w:r>
    </w:p>
    <w:p>
      <w:pPr>
        <w:pStyle w:val="BodyText"/>
        <w:spacing w:line="357" w:lineRule="auto" w:before="133"/>
        <w:ind w:left="140" w:right="111"/>
        <w:jc w:val="both"/>
      </w:pPr>
      <w:r>
        <w:rPr/>
        <w:t>•</w:t>
      </w:r>
      <w:r>
        <w:rPr>
          <w:spacing w:val="95"/>
        </w:rPr>
        <w:t> </w:t>
      </w:r>
      <w:r>
        <w:rPr/>
        <w:t>对于购入或源生的已发生信用减值的金融资产，本集团自初始确认起，按照该金融资产的摊余</w:t>
      </w:r>
      <w:r>
        <w:rPr>
          <w:w w:val="100"/>
        </w:rPr>
        <w:t> </w:t>
      </w:r>
      <w:r>
        <w:rPr/>
        <w:t>成本和经信用调整的实际利率计算确定其利息收入。</w:t>
      </w:r>
    </w:p>
    <w:p>
      <w:pPr>
        <w:pStyle w:val="BodyText"/>
        <w:spacing w:line="357" w:lineRule="auto" w:before="30"/>
        <w:ind w:left="140" w:right="111"/>
        <w:jc w:val="both"/>
      </w:pPr>
      <w:r>
        <w:rPr/>
        <w:t>•</w:t>
      </w:r>
      <w:r>
        <w:rPr>
          <w:spacing w:val="95"/>
        </w:rPr>
        <w:t> </w:t>
      </w:r>
      <w:r>
        <w:rPr/>
        <w:t>对于购入或源生的未发生信用减值、但在后续期间成为已发生信用减值的金融资产，本集团在</w:t>
      </w:r>
      <w:r>
        <w:rPr>
          <w:w w:val="100"/>
        </w:rPr>
        <w:t> </w:t>
      </w:r>
      <w:r>
        <w:rPr>
          <w:spacing w:val="-2"/>
        </w:rPr>
        <w:t>后续期间，按照该金融资产的摊余成本和实际利率计算确定其利息收入。若该金融工具在后续期间</w:t>
      </w:r>
      <w:r>
        <w:rPr>
          <w:spacing w:val="-30"/>
        </w:rPr>
        <w:t> </w:t>
      </w:r>
      <w:r>
        <w:rPr>
          <w:spacing w:val="-30"/>
        </w:rPr>
      </w:r>
      <w:r>
        <w:rPr>
          <w:spacing w:val="-2"/>
        </w:rPr>
        <w:t>因其信用风险有所改善而不再存在信用减值，本集团转按实际利率乘以该金融资产账面余额来计算</w:t>
      </w:r>
      <w:r>
        <w:rPr>
          <w:spacing w:val="-30"/>
        </w:rPr>
        <w:t> </w:t>
      </w:r>
      <w:r>
        <w:rPr>
          <w:spacing w:val="-30"/>
        </w:rPr>
      </w:r>
      <w:r>
        <w:rPr/>
        <w:t>确定利息收入。</w:t>
      </w:r>
    </w:p>
    <w:p>
      <w:pPr>
        <w:spacing w:line="240" w:lineRule="auto" w:before="0"/>
        <w:rPr>
          <w:rFonts w:ascii="宋体" w:hAnsi="宋体" w:cs="宋体" w:eastAsia="宋体" w:hint="default"/>
          <w:sz w:val="20"/>
          <w:szCs w:val="20"/>
        </w:rPr>
      </w:pPr>
    </w:p>
    <w:p>
      <w:pPr>
        <w:pStyle w:val="BodyText"/>
        <w:spacing w:line="360" w:lineRule="auto" w:before="176"/>
        <w:ind w:left="565" w:right="106" w:hanging="425"/>
        <w:jc w:val="left"/>
      </w:pPr>
      <w:r>
        <w:rPr>
          <w:rFonts w:ascii="宋体" w:hAnsi="宋体" w:cs="宋体" w:eastAsia="宋体" w:hint="default"/>
        </w:rPr>
        <w:t>10.1.2</w:t>
      </w:r>
      <w:r>
        <w:rPr>
          <w:rFonts w:ascii="宋体" w:hAnsi="宋体" w:cs="宋体" w:eastAsia="宋体" w:hint="default"/>
          <w:spacing w:val="-54"/>
        </w:rPr>
        <w:t> </w:t>
      </w:r>
      <w:r>
        <w:rPr/>
        <w:t>指定为以公允价值计量且其变动计入其他综合收益的金融资产</w:t>
      </w:r>
      <w:r>
        <w:rPr>
          <w:w w:val="100"/>
        </w:rPr>
        <w:t> </w:t>
      </w:r>
      <w:r>
        <w:rPr>
          <w:spacing w:val="-2"/>
        </w:rPr>
        <w:t>将非交易性权益工具投资指定为以公允价值计量且其变动计入其他综合收益的金融资产后，金</w:t>
      </w:r>
    </w:p>
    <w:p>
      <w:pPr>
        <w:pStyle w:val="BodyText"/>
        <w:spacing w:line="357" w:lineRule="auto" w:before="28"/>
        <w:ind w:left="140" w:right="111"/>
        <w:jc w:val="both"/>
      </w:pPr>
      <w:r>
        <w:rPr>
          <w:spacing w:val="-2"/>
        </w:rPr>
        <w:t>融资产的公允价值变动在其他综合收益中进行确认，该金融资产终止确认时，之前计入其他综合收</w:t>
      </w:r>
      <w:r>
        <w:rPr>
          <w:spacing w:val="-31"/>
        </w:rPr>
        <w:t> </w:t>
      </w:r>
      <w:r>
        <w:rPr>
          <w:spacing w:val="-31"/>
        </w:rPr>
      </w:r>
      <w:r>
        <w:rPr>
          <w:spacing w:val="-2"/>
        </w:rPr>
        <w:t>益的累计利得或损失从其他综合收益中转出，计入留存收益。本集团持有该等非交易性权益工具投</w:t>
      </w:r>
      <w:r>
        <w:rPr>
          <w:spacing w:val="-29"/>
        </w:rPr>
        <w:t> </w:t>
      </w:r>
      <w:r>
        <w:rPr>
          <w:spacing w:val="-29"/>
        </w:rPr>
      </w:r>
      <w:r>
        <w:rPr>
          <w:spacing w:val="-2"/>
        </w:rPr>
        <w:t>资期间，在本集团收取股利的权利已经确立，与股利相关的经济利益很可能流入本集团，且股利的</w:t>
      </w:r>
      <w:r>
        <w:rPr>
          <w:spacing w:val="-31"/>
        </w:rPr>
        <w:t> </w:t>
      </w:r>
      <w:r>
        <w:rPr>
          <w:spacing w:val="-31"/>
        </w:rPr>
      </w:r>
      <w:r>
        <w:rPr/>
        <w:t>金额能够可靠计量时，确认股利收入并计入当期损益。</w:t>
      </w:r>
    </w:p>
    <w:p>
      <w:pPr>
        <w:spacing w:line="240" w:lineRule="auto" w:before="0"/>
        <w:rPr>
          <w:rFonts w:ascii="宋体" w:hAnsi="宋体" w:cs="宋体" w:eastAsia="宋体" w:hint="default"/>
          <w:sz w:val="20"/>
          <w:szCs w:val="20"/>
        </w:rPr>
      </w:pPr>
    </w:p>
    <w:p>
      <w:pPr>
        <w:pStyle w:val="BodyText"/>
        <w:spacing w:line="355" w:lineRule="auto" w:before="176"/>
        <w:ind w:left="565" w:right="106" w:hanging="425"/>
        <w:jc w:val="left"/>
      </w:pPr>
      <w:r>
        <w:rPr>
          <w:rFonts w:ascii="宋体" w:hAnsi="宋体" w:cs="宋体" w:eastAsia="宋体" w:hint="default"/>
        </w:rPr>
        <w:t>10.1.3</w:t>
      </w:r>
      <w:r>
        <w:rPr>
          <w:rFonts w:ascii="宋体" w:hAnsi="宋体" w:cs="宋体" w:eastAsia="宋体" w:hint="default"/>
          <w:spacing w:val="-54"/>
        </w:rPr>
        <w:t> </w:t>
      </w:r>
      <w:r>
        <w:rPr/>
        <w:t>以公允价值计量且其变动计入当期损益的金融资产</w:t>
      </w:r>
      <w:r>
        <w:rPr>
          <w:w w:val="100"/>
        </w:rPr>
        <w:t> </w:t>
      </w:r>
      <w:r>
        <w:rPr>
          <w:spacing w:val="-2"/>
        </w:rPr>
        <w:t>以公允价值计量且其变动计入当期损益的金融资产以公允价值进行后续计量，公允价值变动形</w:t>
      </w:r>
    </w:p>
    <w:p>
      <w:pPr>
        <w:pStyle w:val="BodyText"/>
        <w:spacing w:line="240" w:lineRule="auto" w:before="32"/>
        <w:ind w:left="140" w:right="106"/>
        <w:jc w:val="left"/>
      </w:pPr>
      <w:r>
        <w:rPr/>
        <w:t>成的利得或损失以及与该金融资产相关的股利和利息收入计入当期损益。</w:t>
      </w:r>
    </w:p>
    <w:p>
      <w:pPr>
        <w:spacing w:after="0" w:line="240" w:lineRule="auto"/>
        <w:jc w:val="left"/>
        <w:sectPr>
          <w:pgSz w:w="11910" w:h="16840"/>
          <w:pgMar w:header="882" w:footer="1195" w:top="112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355" w:lineRule="auto" w:before="36"/>
        <w:ind w:left="565" w:right="123" w:hanging="425"/>
        <w:jc w:val="left"/>
      </w:pPr>
      <w:r>
        <w:rPr>
          <w:rFonts w:ascii="宋体" w:hAnsi="宋体" w:cs="宋体" w:eastAsia="宋体" w:hint="default"/>
        </w:rPr>
        <w:t>10.2</w:t>
      </w:r>
      <w:r>
        <w:rPr>
          <w:rFonts w:ascii="宋体" w:hAnsi="宋体" w:cs="宋体" w:eastAsia="宋体" w:hint="default"/>
          <w:spacing w:val="-55"/>
        </w:rPr>
        <w:t> </w:t>
      </w:r>
      <w:r>
        <w:rPr/>
        <w:t>金融工具减值</w:t>
      </w:r>
      <w:r>
        <w:rPr>
          <w:spacing w:val="-102"/>
        </w:rPr>
        <w:t> </w:t>
      </w:r>
      <w:r>
        <w:rPr>
          <w:spacing w:val="-102"/>
        </w:rPr>
      </w:r>
      <w:r>
        <w:rPr/>
        <w:t>本集团对以摊余成本计量的金融资产以预期信用损失为基础进行减值测试并确认损失准备。</w:t>
      </w:r>
      <w:r>
        <w:rPr>
          <w:w w:val="100"/>
        </w:rPr>
        <w:t> </w:t>
      </w:r>
      <w:r>
        <w:rPr>
          <w:spacing w:val="2"/>
        </w:rPr>
        <w:t>本集团对由收入准则规范的交易形成的未包含重大融资成分或不考虑不超过一年的合同中的</w:t>
      </w:r>
    </w:p>
    <w:p>
      <w:pPr>
        <w:pStyle w:val="BodyText"/>
        <w:spacing w:line="355" w:lineRule="auto" w:before="34"/>
        <w:ind w:left="140" w:right="123"/>
        <w:jc w:val="left"/>
      </w:pPr>
      <w:r>
        <w:rPr>
          <w:spacing w:val="-2"/>
        </w:rPr>
        <w:t>融资成分的合同资产与应收账款、由收入准则规范的交易形成的包含重大融资成分的合同资产与应</w:t>
      </w:r>
      <w:r>
        <w:rPr>
          <w:spacing w:val="-30"/>
        </w:rPr>
        <w:t> </w:t>
      </w:r>
      <w:r>
        <w:rPr>
          <w:spacing w:val="-30"/>
        </w:rPr>
      </w:r>
      <w:r>
        <w:rPr/>
        <w:t>收账款按照相当于整个存续期内预期信用损失的金额计量损失准备。</w:t>
      </w:r>
    </w:p>
    <w:p>
      <w:pPr>
        <w:pStyle w:val="BodyText"/>
        <w:spacing w:line="357" w:lineRule="auto" w:before="32"/>
        <w:ind w:left="140" w:right="311" w:firstLine="424"/>
        <w:jc w:val="both"/>
      </w:pPr>
      <w:r>
        <w:rPr>
          <w:spacing w:val="-2"/>
        </w:rPr>
        <w:t>对于其他金融资产，除购买或源生的已发生信用减值的金融资产外，本集团在每个资产负债表</w:t>
      </w:r>
      <w:r>
        <w:rPr>
          <w:w w:val="100"/>
        </w:rPr>
        <w:t> </w:t>
      </w:r>
      <w:r>
        <w:rPr>
          <w:spacing w:val="-2"/>
        </w:rPr>
        <w:t>日评估相关金融工具的信用风险自初始确认后的变动情况。若该金融资产的信用风险自初始确认后</w:t>
      </w:r>
      <w:r>
        <w:rPr>
          <w:spacing w:val="-30"/>
        </w:rPr>
        <w:t> </w:t>
      </w:r>
      <w:r>
        <w:rPr>
          <w:spacing w:val="-30"/>
        </w:rPr>
      </w:r>
      <w:r>
        <w:rPr>
          <w:spacing w:val="-2"/>
        </w:rPr>
        <w:t>已显著增加，本集团按照相当于该金融资产整个存续期内预期信用损失的金额计量其损失准备；若</w:t>
      </w:r>
      <w:r>
        <w:rPr>
          <w:spacing w:val="-30"/>
        </w:rPr>
        <w:t> </w:t>
      </w:r>
      <w:r>
        <w:rPr>
          <w:spacing w:val="-30"/>
        </w:rPr>
      </w:r>
      <w:r>
        <w:rPr/>
        <w:t>该金融资产的信用风险自初始确认后并未显著增加，本集团按照相当于该金融资产未来 </w:t>
      </w:r>
      <w:r>
        <w:rPr>
          <w:rFonts w:ascii="宋体" w:hAnsi="宋体" w:cs="宋体" w:eastAsia="宋体" w:hint="default"/>
        </w:rPr>
        <w:t>12</w:t>
      </w:r>
      <w:r>
        <w:rPr>
          <w:rFonts w:ascii="宋体" w:hAnsi="宋体" w:cs="宋体" w:eastAsia="宋体" w:hint="default"/>
          <w:spacing w:val="-11"/>
        </w:rPr>
        <w:t> </w:t>
      </w:r>
      <w:r>
        <w:rPr/>
        <w:t>个月内</w:t>
      </w:r>
      <w:r>
        <w:rPr>
          <w:w w:val="100"/>
        </w:rPr>
        <w:t> </w:t>
      </w:r>
      <w:r>
        <w:rPr>
          <w:spacing w:val="-2"/>
        </w:rPr>
        <w:t>预期信用损失的金额计量其损失准备。信用损失准备的增加或转回金额，作为减值损失或利得计入</w:t>
      </w:r>
      <w:r>
        <w:rPr>
          <w:spacing w:val="-31"/>
        </w:rPr>
        <w:t> </w:t>
      </w:r>
      <w:r>
        <w:rPr>
          <w:spacing w:val="-31"/>
        </w:rPr>
      </w:r>
      <w:r>
        <w:rPr/>
        <w:t>当期损益。</w:t>
      </w:r>
    </w:p>
    <w:p>
      <w:pPr>
        <w:pStyle w:val="BodyText"/>
        <w:spacing w:line="357" w:lineRule="auto" w:before="30"/>
        <w:ind w:left="140" w:right="123" w:firstLine="424"/>
        <w:jc w:val="left"/>
      </w:pPr>
      <w:r>
        <w:rPr>
          <w:spacing w:val="2"/>
        </w:rPr>
        <w:t>本集团在前一会计期间已经按照相当于金融工具整个存续期内预期信用损失的金额计量了损</w:t>
      </w:r>
      <w:r>
        <w:rPr>
          <w:w w:val="100"/>
        </w:rPr>
        <w:t> </w:t>
      </w:r>
      <w:r>
        <w:rPr>
          <w:spacing w:val="-4"/>
        </w:rPr>
        <w:t>失准备，但在当期资产负债表日，该金融工具已不再属于自初始确认后信用风险显著增加的情形的，</w:t>
      </w:r>
      <w:r>
        <w:rPr>
          <w:spacing w:val="-45"/>
        </w:rPr>
        <w:t> </w:t>
      </w:r>
      <w:r>
        <w:rPr>
          <w:spacing w:val="-45"/>
        </w:rPr>
      </w:r>
      <w:r>
        <w:rPr/>
        <w:t>本集团在当期资产负债表日按照相当于未来 </w:t>
      </w:r>
      <w:r>
        <w:rPr>
          <w:rFonts w:ascii="宋体" w:hAnsi="宋体" w:cs="宋体" w:eastAsia="宋体" w:hint="default"/>
        </w:rPr>
        <w:t>12</w:t>
      </w:r>
      <w:r>
        <w:rPr>
          <w:rFonts w:ascii="宋体" w:hAnsi="宋体" w:cs="宋体" w:eastAsia="宋体" w:hint="default"/>
          <w:spacing w:val="-8"/>
        </w:rPr>
        <w:t> </w:t>
      </w:r>
      <w:r>
        <w:rPr/>
        <w:t>个月内预期信用损失的金额计量该金融工具的损失</w:t>
      </w:r>
      <w:r>
        <w:rPr>
          <w:w w:val="100"/>
        </w:rPr>
        <w:t> </w:t>
      </w:r>
      <w:r>
        <w:rPr/>
        <w:t>准备，由此形成的损失准备的转回金额作为减值利得计入当期损益。</w:t>
      </w:r>
    </w:p>
    <w:p>
      <w:pPr>
        <w:spacing w:line="240" w:lineRule="auto" w:before="0"/>
        <w:rPr>
          <w:rFonts w:ascii="宋体" w:hAnsi="宋体" w:cs="宋体" w:eastAsia="宋体" w:hint="default"/>
          <w:sz w:val="20"/>
          <w:szCs w:val="20"/>
        </w:rPr>
      </w:pPr>
    </w:p>
    <w:p>
      <w:pPr>
        <w:pStyle w:val="BodyText"/>
        <w:spacing w:line="357" w:lineRule="auto" w:before="177"/>
        <w:ind w:left="565" w:right="123" w:hanging="425"/>
        <w:jc w:val="left"/>
      </w:pPr>
      <w:r>
        <w:rPr>
          <w:rFonts w:ascii="宋体" w:hAnsi="宋体" w:cs="宋体" w:eastAsia="宋体" w:hint="default"/>
        </w:rPr>
        <w:t>10.2.1</w:t>
      </w:r>
      <w:r>
        <w:rPr>
          <w:rFonts w:ascii="宋体" w:hAnsi="宋体" w:cs="宋体" w:eastAsia="宋体" w:hint="default"/>
          <w:spacing w:val="-53"/>
        </w:rPr>
        <w:t> </w:t>
      </w:r>
      <w:r>
        <w:rPr/>
        <w:t>信用风险显著增加</w:t>
      </w:r>
      <w:r>
        <w:rPr>
          <w:w w:val="100"/>
        </w:rPr>
        <w:t> </w:t>
      </w:r>
      <w:r>
        <w:rPr>
          <w:spacing w:val="-2"/>
        </w:rPr>
        <w:t>本集团利用可获得的合理且有依据的前瞻性信息，通过比较金融工具在资产负债表日发生违约</w:t>
      </w:r>
    </w:p>
    <w:p>
      <w:pPr>
        <w:pStyle w:val="BodyText"/>
        <w:spacing w:line="355" w:lineRule="auto" w:before="30"/>
        <w:ind w:left="565" w:right="123" w:hanging="425"/>
        <w:jc w:val="left"/>
      </w:pPr>
      <w:r>
        <w:rPr>
          <w:spacing w:val="-2"/>
        </w:rPr>
        <w:t>的风险与在初始确认日发生违约的风险，以确定金融工具的信用风险自初始确认后是否已显著增加。</w:t>
      </w:r>
      <w:r>
        <w:rPr>
          <w:spacing w:val="-32"/>
        </w:rPr>
        <w:t> </w:t>
      </w:r>
      <w:r>
        <w:rPr>
          <w:spacing w:val="-32"/>
        </w:rPr>
      </w:r>
      <w:r>
        <w:rPr/>
        <w:t>本集团在评估信用风险是否显著增加时会考虑如下因素：</w:t>
      </w:r>
    </w:p>
    <w:p>
      <w:pPr>
        <w:pStyle w:val="BodyText"/>
        <w:spacing w:line="355" w:lineRule="auto" w:before="32"/>
        <w:ind w:left="140" w:right="305"/>
        <w:jc w:val="left"/>
      </w:pPr>
      <w:r>
        <w:rPr>
          <w:rFonts w:ascii="宋体" w:hAnsi="宋体" w:cs="宋体" w:eastAsia="宋体" w:hint="default"/>
        </w:rPr>
        <w:t>(1)</w:t>
      </w:r>
      <w:r>
        <w:rPr>
          <w:rFonts w:ascii="宋体" w:hAnsi="宋体" w:cs="宋体" w:eastAsia="宋体" w:hint="default"/>
          <w:spacing w:val="-9"/>
        </w:rPr>
        <w:t> </w:t>
      </w:r>
      <w:r>
        <w:rPr/>
        <w:t>预期将导致债务人履行其偿债义务的能力是否发生显著变化的业务、财务或经济状况的不利变</w:t>
      </w:r>
      <w:r>
        <w:rPr>
          <w:w w:val="100"/>
        </w:rPr>
        <w:t> </w:t>
      </w:r>
      <w:r>
        <w:rPr/>
        <w:t>化。</w:t>
      </w:r>
    </w:p>
    <w:p>
      <w:pPr>
        <w:pStyle w:val="BodyText"/>
        <w:spacing w:line="240" w:lineRule="auto" w:before="35"/>
        <w:ind w:left="140" w:right="123"/>
        <w:jc w:val="left"/>
      </w:pPr>
      <w:r>
        <w:rPr>
          <w:rFonts w:ascii="宋体" w:hAnsi="宋体" w:cs="宋体" w:eastAsia="宋体" w:hint="default"/>
        </w:rPr>
        <w:t>(2)</w:t>
      </w:r>
      <w:r>
        <w:rPr>
          <w:rFonts w:ascii="宋体" w:hAnsi="宋体" w:cs="宋体" w:eastAsia="宋体" w:hint="default"/>
          <w:spacing w:val="-2"/>
        </w:rPr>
        <w:t> </w:t>
      </w:r>
      <w:r>
        <w:rPr/>
        <w:t>债务人经营成果实际或预期是否发生显著变化。</w:t>
      </w:r>
    </w:p>
    <w:p>
      <w:pPr>
        <w:pStyle w:val="BodyText"/>
        <w:spacing w:line="240" w:lineRule="auto" w:before="133"/>
        <w:ind w:left="140" w:right="123"/>
        <w:jc w:val="left"/>
      </w:pPr>
      <w:r>
        <w:rPr>
          <w:rFonts w:ascii="宋体" w:hAnsi="宋体" w:cs="宋体" w:eastAsia="宋体" w:hint="default"/>
        </w:rPr>
        <w:t>(3)</w:t>
      </w:r>
      <w:r>
        <w:rPr>
          <w:rFonts w:ascii="宋体" w:hAnsi="宋体" w:cs="宋体" w:eastAsia="宋体" w:hint="default"/>
          <w:spacing w:val="-2"/>
        </w:rPr>
        <w:t> </w:t>
      </w:r>
      <w:r>
        <w:rPr/>
        <w:t>同一债务人发行的其他金融工具的信用风险是否显著增加。</w:t>
      </w:r>
    </w:p>
    <w:p>
      <w:pPr>
        <w:pStyle w:val="BodyText"/>
        <w:spacing w:line="240" w:lineRule="auto" w:before="133"/>
        <w:ind w:left="140" w:right="123"/>
        <w:jc w:val="left"/>
      </w:pPr>
      <w:r>
        <w:rPr>
          <w:rFonts w:ascii="宋体" w:hAnsi="宋体" w:cs="宋体" w:eastAsia="宋体" w:hint="default"/>
        </w:rPr>
        <w:t>(4)</w:t>
      </w:r>
      <w:r>
        <w:rPr>
          <w:rFonts w:ascii="宋体" w:hAnsi="宋体" w:cs="宋体" w:eastAsia="宋体" w:hint="default"/>
          <w:spacing w:val="-1"/>
        </w:rPr>
        <w:t> </w:t>
      </w:r>
      <w:r>
        <w:rPr/>
        <w:t>债务人所处的监管、经济或技术环境是否发生显著不利变化。</w:t>
      </w:r>
    </w:p>
    <w:p>
      <w:pPr>
        <w:pStyle w:val="BodyText"/>
        <w:spacing w:line="357" w:lineRule="auto" w:before="133"/>
        <w:ind w:left="565" w:right="123" w:hanging="425"/>
        <w:jc w:val="left"/>
      </w:pPr>
      <w:r>
        <w:rPr>
          <w:rFonts w:ascii="宋体" w:hAnsi="宋体" w:cs="宋体" w:eastAsia="宋体" w:hint="default"/>
        </w:rPr>
        <w:t>(5)</w:t>
      </w:r>
      <w:r>
        <w:rPr>
          <w:rFonts w:ascii="宋体" w:hAnsi="宋体" w:cs="宋体" w:eastAsia="宋体" w:hint="default"/>
          <w:spacing w:val="-2"/>
        </w:rPr>
        <w:t> </w:t>
      </w:r>
      <w:r>
        <w:rPr/>
        <w:t>债务人预期表现和还款行为是否发生显著变化。</w:t>
      </w:r>
      <w:r>
        <w:rPr>
          <w:w w:val="100"/>
        </w:rPr>
        <w:t> </w:t>
      </w:r>
      <w:r>
        <w:rPr>
          <w:spacing w:val="-2"/>
        </w:rPr>
        <w:t>于资产负债表日，若本集团判断金融工具只具有较低的信用风险，则本集团假定该金融工具的</w:t>
      </w:r>
    </w:p>
    <w:p>
      <w:pPr>
        <w:pStyle w:val="BodyText"/>
        <w:spacing w:line="712" w:lineRule="auto" w:before="30"/>
        <w:ind w:left="140" w:right="5740"/>
        <w:jc w:val="left"/>
      </w:pPr>
      <w:r>
        <w:rPr>
          <w:spacing w:val="-2"/>
        </w:rPr>
        <w:t>信用风险自初始确认后并未显著增加。</w:t>
      </w:r>
      <w:r>
        <w:rPr>
          <w:spacing w:val="-72"/>
        </w:rPr>
        <w:t> </w:t>
      </w:r>
      <w:r>
        <w:rPr>
          <w:spacing w:val="-72"/>
        </w:rPr>
      </w:r>
      <w:r>
        <w:rPr>
          <w:rFonts w:ascii="宋体" w:hAnsi="宋体" w:cs="宋体" w:eastAsia="宋体" w:hint="default"/>
        </w:rPr>
        <w:t>10.2.2</w:t>
      </w:r>
      <w:r>
        <w:rPr>
          <w:rFonts w:ascii="宋体" w:hAnsi="宋体" w:cs="宋体" w:eastAsia="宋体" w:hint="default"/>
          <w:spacing w:val="-2"/>
        </w:rPr>
        <w:t> </w:t>
      </w:r>
      <w:r>
        <w:rPr/>
        <w:t>已发生信用减值的金融资产</w:t>
      </w:r>
    </w:p>
    <w:p>
      <w:pPr>
        <w:spacing w:after="0" w:line="712" w:lineRule="auto"/>
        <w:jc w:val="left"/>
        <w:sectPr>
          <w:pgSz w:w="11910" w:h="16840"/>
          <w:pgMar w:header="882" w:footer="1195" w:top="1120" w:bottom="1380" w:left="130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111" w:firstLine="424"/>
        <w:jc w:val="both"/>
      </w:pPr>
      <w:r>
        <w:rPr>
          <w:spacing w:val="-2"/>
        </w:rPr>
        <w:t>当本集团预期对金融资产未来现金流量具有不利影响的一项或多项事件发生时，该金融资产成</w:t>
      </w:r>
      <w:r>
        <w:rPr>
          <w:w w:val="100"/>
        </w:rPr>
        <w:t> </w:t>
      </w:r>
      <w:r>
        <w:rPr/>
        <w:t>为已发生信用减值的金融资产。金融资产已发生信用减值的证据包括下列可观察信息：</w:t>
      </w:r>
    </w:p>
    <w:p>
      <w:pPr>
        <w:pStyle w:val="BodyText"/>
        <w:spacing w:line="240" w:lineRule="auto" w:before="32"/>
        <w:ind w:left="140" w:right="106"/>
        <w:jc w:val="left"/>
      </w:pPr>
      <w:r>
        <w:rPr>
          <w:rFonts w:ascii="宋体" w:hAnsi="宋体" w:cs="宋体" w:eastAsia="宋体" w:hint="default"/>
        </w:rPr>
        <w:t>(1)</w:t>
      </w:r>
      <w:r>
        <w:rPr>
          <w:rFonts w:ascii="宋体" w:hAnsi="宋体" w:cs="宋体" w:eastAsia="宋体" w:hint="default"/>
          <w:spacing w:val="1"/>
        </w:rPr>
        <w:t> </w:t>
      </w:r>
      <w:r>
        <w:rPr/>
        <w:t>发行方或债务人发生重大财务困难；</w:t>
      </w:r>
    </w:p>
    <w:p>
      <w:pPr>
        <w:pStyle w:val="BodyText"/>
        <w:spacing w:line="240" w:lineRule="auto" w:before="133"/>
        <w:ind w:left="140" w:right="106"/>
        <w:jc w:val="left"/>
      </w:pPr>
      <w:r>
        <w:rPr>
          <w:rFonts w:ascii="宋体" w:hAnsi="宋体" w:cs="宋体" w:eastAsia="宋体" w:hint="default"/>
        </w:rPr>
        <w:t>(2)</w:t>
      </w:r>
      <w:r>
        <w:rPr>
          <w:rFonts w:ascii="宋体" w:hAnsi="宋体" w:cs="宋体" w:eastAsia="宋体" w:hint="default"/>
          <w:spacing w:val="-3"/>
        </w:rPr>
        <w:t> </w:t>
      </w:r>
      <w:r>
        <w:rPr/>
        <w:t>债务人违反合同，如偿付利息或本金违约或逾期等；</w:t>
      </w:r>
    </w:p>
    <w:p>
      <w:pPr>
        <w:pStyle w:val="BodyText"/>
        <w:spacing w:line="355" w:lineRule="auto" w:before="135"/>
        <w:ind w:left="140" w:right="105"/>
        <w:jc w:val="left"/>
      </w:pPr>
      <w:r>
        <w:rPr>
          <w:rFonts w:ascii="宋体" w:hAnsi="宋体" w:cs="宋体" w:eastAsia="宋体" w:hint="default"/>
        </w:rPr>
        <w:t>(3)</w:t>
      </w:r>
      <w:r>
        <w:rPr>
          <w:rFonts w:ascii="宋体" w:hAnsi="宋体" w:cs="宋体" w:eastAsia="宋体" w:hint="default"/>
          <w:spacing w:val="-9"/>
        </w:rPr>
        <w:t> </w:t>
      </w:r>
      <w:r>
        <w:rPr/>
        <w:t>债权人出于与债务人财务困难有关的经济或合同考虑，给予债务人在任何其他情况下都不会做</w:t>
      </w:r>
      <w:r>
        <w:rPr>
          <w:w w:val="100"/>
        </w:rPr>
        <w:t> </w:t>
      </w:r>
      <w:r>
        <w:rPr/>
        <w:t>出的让步；</w:t>
      </w:r>
    </w:p>
    <w:p>
      <w:pPr>
        <w:pStyle w:val="BodyText"/>
        <w:spacing w:line="240" w:lineRule="auto" w:before="32"/>
        <w:ind w:left="140" w:right="106"/>
        <w:jc w:val="left"/>
      </w:pPr>
      <w:r>
        <w:rPr>
          <w:rFonts w:ascii="宋体" w:hAnsi="宋体" w:cs="宋体" w:eastAsia="宋体" w:hint="default"/>
        </w:rPr>
        <w:t>(4) </w:t>
      </w:r>
      <w:r>
        <w:rPr/>
        <w:t>债务人很可能破产或进行其他财务重组；</w:t>
      </w:r>
    </w:p>
    <w:p>
      <w:pPr>
        <w:pStyle w:val="BodyText"/>
        <w:spacing w:line="240" w:lineRule="auto" w:before="133"/>
        <w:ind w:left="140" w:right="106"/>
        <w:jc w:val="left"/>
      </w:pPr>
      <w:r>
        <w:rPr>
          <w:rFonts w:ascii="宋体" w:hAnsi="宋体" w:cs="宋体" w:eastAsia="宋体" w:hint="default"/>
        </w:rPr>
        <w:t>(5)</w:t>
      </w:r>
      <w:r>
        <w:rPr>
          <w:rFonts w:ascii="宋体" w:hAnsi="宋体" w:cs="宋体" w:eastAsia="宋体" w:hint="default"/>
          <w:spacing w:val="-1"/>
        </w:rPr>
        <w:t> </w:t>
      </w:r>
      <w:r>
        <w:rPr/>
        <w:t>发行方或债务人财务困难导致该金融资产的活跃市场消失</w:t>
      </w:r>
    </w:p>
    <w:p>
      <w:pPr>
        <w:pStyle w:val="BodyText"/>
        <w:spacing w:line="240" w:lineRule="auto" w:before="133"/>
        <w:ind w:left="140" w:right="106"/>
        <w:jc w:val="left"/>
      </w:pPr>
      <w:r>
        <w:rPr>
          <w:rFonts w:ascii="宋体" w:hAnsi="宋体" w:cs="宋体" w:eastAsia="宋体" w:hint="default"/>
        </w:rPr>
        <w:t>(6)</w:t>
      </w:r>
      <w:r>
        <w:rPr>
          <w:rFonts w:ascii="宋体" w:hAnsi="宋体" w:cs="宋体" w:eastAsia="宋体" w:hint="default"/>
          <w:spacing w:val="-3"/>
        </w:rPr>
        <w:t> </w:t>
      </w:r>
      <w:r>
        <w:rPr/>
        <w:t>以大幅折扣购买或源生一项金融资产，该折扣反映了发生信用损失的事实。</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ind w:left="565" w:right="106" w:hanging="425"/>
        <w:jc w:val="left"/>
      </w:pPr>
      <w:r>
        <w:rPr>
          <w:rFonts w:ascii="宋体" w:hAnsi="宋体" w:cs="宋体" w:eastAsia="宋体" w:hint="default"/>
        </w:rPr>
        <w:t>10.2.3</w:t>
      </w:r>
      <w:r>
        <w:rPr>
          <w:rFonts w:ascii="宋体" w:hAnsi="宋体" w:cs="宋体" w:eastAsia="宋体" w:hint="default"/>
          <w:spacing w:val="-2"/>
        </w:rPr>
        <w:t> </w:t>
      </w:r>
      <w:r>
        <w:rPr/>
        <w:t>预期信用损失的确定</w:t>
      </w:r>
      <w:r>
        <w:rPr>
          <w:w w:val="100"/>
        </w:rPr>
        <w:t> </w:t>
      </w:r>
      <w:r>
        <w:rPr>
          <w:spacing w:val="-2"/>
        </w:rPr>
        <w:t>本集团对其他应收款在单项资产的基础上确定其信用损失，对应收账款及合同资产在组合基础</w:t>
      </w:r>
    </w:p>
    <w:p>
      <w:pPr>
        <w:pStyle w:val="BodyText"/>
        <w:spacing w:line="357" w:lineRule="auto" w:before="32"/>
        <w:ind w:left="140" w:right="106"/>
        <w:jc w:val="left"/>
      </w:pPr>
      <w:r>
        <w:rPr>
          <w:spacing w:val="-2"/>
        </w:rPr>
        <w:t>上采用减值矩阵确定相关金融工具的信用损失。本集团以共同风险特征为依据，将金融工具分为不</w:t>
      </w:r>
      <w:r>
        <w:rPr>
          <w:spacing w:val="-31"/>
        </w:rPr>
        <w:t> </w:t>
      </w:r>
      <w:r>
        <w:rPr>
          <w:spacing w:val="-31"/>
        </w:rPr>
      </w:r>
      <w:r>
        <w:rPr>
          <w:spacing w:val="-2"/>
        </w:rPr>
        <w:t>同组别。本集团采用的共同信用风险特征包括：金融工具类型、信用风险评级、初始确认日期、剩</w:t>
      </w:r>
      <w:r>
        <w:rPr>
          <w:spacing w:val="-37"/>
        </w:rPr>
        <w:t> </w:t>
      </w:r>
      <w:r>
        <w:rPr>
          <w:spacing w:val="-37"/>
        </w:rPr>
      </w:r>
      <w:r>
        <w:rPr/>
        <w:t>余合同期限、债务人所处行业、债务人所处地理位置等。</w:t>
      </w:r>
      <w:r>
        <w:rPr>
          <w:w w:val="100"/>
        </w:rPr>
        <w:t> </w:t>
      </w:r>
      <w:r>
        <w:rPr/>
        <w:t>本集团按照下列方法确定相关金融工具的预期信用损失：</w:t>
      </w:r>
    </w:p>
    <w:p>
      <w:pPr>
        <w:pStyle w:val="BodyText"/>
        <w:tabs>
          <w:tab w:pos="560" w:val="left" w:leader="none"/>
        </w:tabs>
        <w:spacing w:line="355" w:lineRule="auto" w:before="30"/>
        <w:ind w:left="140" w:right="117"/>
        <w:jc w:val="left"/>
      </w:pPr>
      <w:r>
        <w:rPr/>
        <w:t>•</w:t>
        <w:tab/>
      </w:r>
      <w:r>
        <w:rPr>
          <w:spacing w:val="-2"/>
        </w:rPr>
        <w:t>对于金融资产，信用损失为本集团应收取的合同现金流量与预期收取的现金流量之间差额的现</w:t>
      </w:r>
      <w:r>
        <w:rPr>
          <w:spacing w:val="-33"/>
        </w:rPr>
        <w:t> </w:t>
      </w:r>
      <w:r>
        <w:rPr>
          <w:spacing w:val="-33"/>
        </w:rPr>
      </w:r>
      <w:r>
        <w:rPr/>
        <w:t>值。</w:t>
      </w:r>
    </w:p>
    <w:p>
      <w:pPr>
        <w:pStyle w:val="BodyText"/>
        <w:tabs>
          <w:tab w:pos="560" w:val="left" w:leader="none"/>
        </w:tabs>
        <w:spacing w:line="355" w:lineRule="auto" w:before="34"/>
        <w:ind w:left="140" w:right="117"/>
        <w:jc w:val="left"/>
      </w:pPr>
      <w:r>
        <w:rPr/>
        <w:t>•</w:t>
        <w:tab/>
      </w:r>
      <w:r>
        <w:rPr>
          <w:spacing w:val="-2"/>
        </w:rPr>
        <w:t>对于资产负债表日已发生信用减值但并非购买或源生已发生信用减值的金融资产，信用损失为</w:t>
      </w:r>
      <w:r>
        <w:rPr>
          <w:spacing w:val="-33"/>
        </w:rPr>
        <w:t> </w:t>
      </w:r>
      <w:r>
        <w:rPr>
          <w:spacing w:val="-33"/>
        </w:rPr>
      </w:r>
      <w:r>
        <w:rPr/>
        <w:t>该金融资产账面余额与按原实际利率折现的估计未来现金流量的现值之间的差额。</w:t>
      </w:r>
    </w:p>
    <w:p>
      <w:pPr>
        <w:pStyle w:val="BodyText"/>
        <w:spacing w:line="355" w:lineRule="auto" w:before="32"/>
        <w:ind w:left="140" w:right="111" w:firstLine="424"/>
        <w:jc w:val="both"/>
      </w:pPr>
      <w:r>
        <w:rPr>
          <w:spacing w:val="-2"/>
        </w:rPr>
        <w:t>本集团计量金融工具预期信用损失的方法反映的因素包括：通过评价一系列可能的结果而确定</w:t>
      </w:r>
      <w:r>
        <w:rPr>
          <w:w w:val="100"/>
        </w:rPr>
        <w:t> </w:t>
      </w:r>
      <w:r>
        <w:rPr>
          <w:spacing w:val="-2"/>
        </w:rPr>
        <w:t>的无偏概率加权平均金额；货币时间价值；在资产负债表日无须付出不必要的额外成本或努力即可</w:t>
      </w:r>
      <w:r>
        <w:rPr>
          <w:spacing w:val="-31"/>
        </w:rPr>
        <w:t> </w:t>
      </w:r>
      <w:r>
        <w:rPr>
          <w:spacing w:val="-31"/>
        </w:rPr>
      </w:r>
      <w:r>
        <w:rPr/>
        <w:t>获得的有关过去事项、当前状况以及未来经济状况预测的合理且有依据的信息。</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55" w:lineRule="auto"/>
        <w:ind w:left="565" w:right="106" w:hanging="425"/>
        <w:jc w:val="left"/>
      </w:pPr>
      <w:r>
        <w:rPr>
          <w:rFonts w:ascii="宋体" w:hAnsi="宋体" w:cs="宋体" w:eastAsia="宋体" w:hint="default"/>
        </w:rPr>
        <w:t>10.2.4</w:t>
      </w:r>
      <w:r>
        <w:rPr>
          <w:rFonts w:ascii="宋体" w:hAnsi="宋体" w:cs="宋体" w:eastAsia="宋体" w:hint="default"/>
          <w:spacing w:val="-2"/>
        </w:rPr>
        <w:t> </w:t>
      </w:r>
      <w:r>
        <w:rPr/>
        <w:t>减记金融资产</w:t>
      </w:r>
      <w:r>
        <w:rPr>
          <w:w w:val="100"/>
        </w:rPr>
        <w:t> </w:t>
      </w:r>
      <w:r>
        <w:rPr>
          <w:spacing w:val="-2"/>
        </w:rPr>
        <w:t>当本集团不再合理预期金融资产合同现金流量能够全部或部分收回的，直接减记该金融资产的</w:t>
      </w:r>
    </w:p>
    <w:p>
      <w:pPr>
        <w:pStyle w:val="BodyText"/>
        <w:spacing w:line="240" w:lineRule="auto" w:before="32"/>
        <w:ind w:left="140" w:right="106"/>
        <w:jc w:val="left"/>
      </w:pPr>
      <w:r>
        <w:rPr/>
        <w:t>账面余额。这种减记构成相关金融资产的终止确认。</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ind w:left="565" w:right="106" w:hanging="425"/>
        <w:jc w:val="left"/>
      </w:pPr>
      <w:r>
        <w:rPr>
          <w:rFonts w:ascii="宋体" w:hAnsi="宋体" w:cs="宋体" w:eastAsia="宋体" w:hint="default"/>
        </w:rPr>
        <w:t>10.3</w:t>
      </w:r>
      <w:r>
        <w:rPr>
          <w:rFonts w:ascii="宋体" w:hAnsi="宋体" w:cs="宋体" w:eastAsia="宋体" w:hint="default"/>
          <w:spacing w:val="-55"/>
        </w:rPr>
        <w:t> </w:t>
      </w:r>
      <w:r>
        <w:rPr/>
        <w:t>金融资产的转移</w:t>
      </w:r>
      <w:r>
        <w:rPr>
          <w:w w:val="100"/>
        </w:rPr>
        <w:t> </w:t>
      </w:r>
      <w:r>
        <w:rPr>
          <w:spacing w:val="-4"/>
        </w:rPr>
        <w:t>满足下列条件之一的金融资产，予以终止确认：</w:t>
      </w:r>
      <w:r>
        <w:rPr>
          <w:rFonts w:ascii="宋体" w:hAnsi="宋体" w:cs="宋体" w:eastAsia="宋体" w:hint="default"/>
          <w:spacing w:val="-4"/>
        </w:rPr>
        <w:t>(1)</w:t>
      </w:r>
      <w:r>
        <w:rPr>
          <w:spacing w:val="-4"/>
        </w:rPr>
        <w:t>收取该金融资产现金流量的合同权利终止；</w:t>
      </w:r>
    </w:p>
    <w:p>
      <w:pPr>
        <w:pStyle w:val="BodyText"/>
        <w:spacing w:line="240" w:lineRule="auto" w:before="32"/>
        <w:ind w:left="140" w:right="0"/>
        <w:jc w:val="left"/>
      </w:pPr>
      <w:r>
        <w:rPr>
          <w:rFonts w:ascii="宋体" w:hAnsi="宋体" w:cs="宋体" w:eastAsia="宋体" w:hint="default"/>
        </w:rPr>
        <w:t>(2)</w:t>
      </w:r>
      <w:r>
        <w:rPr/>
        <w:t>该金融资产已转移，且将金融资产所有权上几乎所有的风险和报酬转移给转入方；</w:t>
      </w:r>
      <w:r>
        <w:rPr>
          <w:rFonts w:ascii="宋体" w:hAnsi="宋体" w:cs="宋体" w:eastAsia="宋体" w:hint="default"/>
        </w:rPr>
        <w:t>(3)</w:t>
      </w:r>
      <w:r>
        <w:rPr/>
        <w:t>该金融资</w:t>
      </w:r>
    </w:p>
    <w:p>
      <w:pPr>
        <w:spacing w:after="0" w:line="240" w:lineRule="auto"/>
        <w:jc w:val="left"/>
        <w:sectPr>
          <w:pgSz w:w="11910" w:h="16840"/>
          <w:pgMar w:header="882" w:footer="1195" w:top="112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106"/>
        <w:jc w:val="left"/>
      </w:pPr>
      <w:r>
        <w:rPr>
          <w:spacing w:val="-2"/>
        </w:rPr>
        <w:t>产已转移，虽然本集团既没有转移也没有保留金融资产所有权上几乎所有的风险和报酬，但是未保</w:t>
      </w:r>
      <w:r>
        <w:rPr>
          <w:spacing w:val="-30"/>
        </w:rPr>
        <w:t> </w:t>
      </w:r>
      <w:r>
        <w:rPr>
          <w:spacing w:val="-30"/>
        </w:rPr>
      </w:r>
      <w:r>
        <w:rPr/>
        <w:t>留对该金融资产的控制。</w:t>
      </w:r>
    </w:p>
    <w:p>
      <w:pPr>
        <w:pStyle w:val="BodyText"/>
        <w:spacing w:line="357" w:lineRule="auto" w:before="32"/>
        <w:ind w:left="140" w:right="111" w:firstLine="424"/>
        <w:jc w:val="both"/>
      </w:pPr>
      <w:r>
        <w:rPr>
          <w:spacing w:val="-2"/>
        </w:rPr>
        <w:t>金融资产整体转移满足终止确认条件的，针对分类为以摊余成本计量的金融资产，将所转移金</w:t>
      </w:r>
      <w:r>
        <w:rPr>
          <w:w w:val="100"/>
        </w:rPr>
        <w:t> </w:t>
      </w:r>
      <w:r>
        <w:rPr>
          <w:spacing w:val="-2"/>
        </w:rPr>
        <w:t>融资产的账面价值及因转移而收到的对价的差额计入当期损益。针对被本集团指定为以公允价值计</w:t>
      </w:r>
      <w:r>
        <w:rPr>
          <w:spacing w:val="-30"/>
        </w:rPr>
        <w:t> </w:t>
      </w:r>
      <w:r>
        <w:rPr>
          <w:spacing w:val="-30"/>
        </w:rPr>
      </w:r>
      <w:r>
        <w:rPr>
          <w:spacing w:val="-2"/>
        </w:rPr>
        <w:t>量且其变动计入其他综合收益的非交易性权益工具，之前计入其他综合收益的累计利得或损失从其</w:t>
      </w:r>
      <w:r>
        <w:rPr>
          <w:spacing w:val="-30"/>
        </w:rPr>
        <w:t> </w:t>
      </w:r>
      <w:r>
        <w:rPr>
          <w:spacing w:val="-30"/>
        </w:rPr>
      </w:r>
      <w:r>
        <w:rPr/>
        <w:t>他综合收益中转出，计入留存收益。</w:t>
      </w:r>
    </w:p>
    <w:p>
      <w:pPr>
        <w:pStyle w:val="BodyText"/>
        <w:spacing w:line="357" w:lineRule="auto" w:before="30"/>
        <w:ind w:left="140" w:right="111" w:firstLine="424"/>
        <w:jc w:val="both"/>
      </w:pPr>
      <w:r>
        <w:rPr>
          <w:spacing w:val="-2"/>
        </w:rPr>
        <w:t>金融资产部分转移满足终止确认条件的，将转移前金融资产整体的账面价值在终止确认部分和</w:t>
      </w:r>
      <w:r>
        <w:rPr>
          <w:w w:val="100"/>
        </w:rPr>
        <w:t> </w:t>
      </w:r>
      <w:r>
        <w:rPr>
          <w:spacing w:val="-2"/>
        </w:rPr>
        <w:t>继续确认部分之间按照转移日各自的相对公允价值进行分摊，并将终止确认部分收到的对价和原计</w:t>
      </w:r>
      <w:r>
        <w:rPr>
          <w:spacing w:val="-30"/>
        </w:rPr>
        <w:t> </w:t>
      </w:r>
      <w:r>
        <w:rPr>
          <w:spacing w:val="-30"/>
        </w:rPr>
      </w:r>
      <w:r>
        <w:rPr>
          <w:spacing w:val="2"/>
        </w:rPr>
        <w:t>入其他综合收益的公允价值变动累计额中对应终止确认部分的金额之和与终止确认部分在终止确</w:t>
      </w:r>
      <w:r>
        <w:rPr>
          <w:spacing w:val="-6"/>
        </w:rPr>
        <w:t> </w:t>
      </w:r>
      <w:r>
        <w:rPr>
          <w:spacing w:val="-6"/>
        </w:rPr>
      </w:r>
      <w:r>
        <w:rPr/>
        <w:t>认日的账面价值之差额计入当期损益或留存收益。</w:t>
      </w:r>
    </w:p>
    <w:p>
      <w:pPr>
        <w:pStyle w:val="BodyText"/>
        <w:spacing w:line="355" w:lineRule="auto" w:before="30"/>
        <w:ind w:left="140" w:right="111" w:firstLine="424"/>
        <w:jc w:val="both"/>
      </w:pPr>
      <w:r>
        <w:rPr>
          <w:spacing w:val="-2"/>
        </w:rPr>
        <w:t>金融资产整体转移未满足终止确认条件的，本集团继续确认所转移的金融资产整体，因资产转</w:t>
      </w:r>
      <w:r>
        <w:rPr>
          <w:w w:val="100"/>
        </w:rPr>
        <w:t> </w:t>
      </w:r>
      <w:r>
        <w:rPr/>
        <w:t>移而收到的对价在收到时确认为负债。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565" w:right="106" w:hanging="425"/>
        <w:jc w:val="left"/>
      </w:pPr>
      <w:r>
        <w:rPr>
          <w:rFonts w:ascii="宋体" w:hAnsi="宋体" w:cs="宋体" w:eastAsia="宋体" w:hint="default"/>
        </w:rPr>
        <w:t>10.4</w:t>
      </w:r>
      <w:r>
        <w:rPr>
          <w:rFonts w:ascii="宋体" w:hAnsi="宋体" w:cs="宋体" w:eastAsia="宋体" w:hint="default"/>
          <w:spacing w:val="-55"/>
        </w:rPr>
        <w:t> </w:t>
      </w:r>
      <w:r>
        <w:rPr/>
        <w:t>金融负债和权益工具的分类</w:t>
      </w:r>
      <w:r>
        <w:rPr>
          <w:w w:val="100"/>
        </w:rPr>
        <w:t> </w:t>
      </w:r>
      <w:r>
        <w:rPr>
          <w:spacing w:val="-2"/>
        </w:rPr>
        <w:t>本集团根据所发行金融工具的合同条款及其所反映的经济实质而非仅以法律形式，结合金融负</w:t>
      </w:r>
    </w:p>
    <w:p>
      <w:pPr>
        <w:pStyle w:val="BodyText"/>
        <w:spacing w:line="240" w:lineRule="auto" w:before="32"/>
        <w:ind w:left="140" w:right="106"/>
        <w:jc w:val="left"/>
      </w:pPr>
      <w:r>
        <w:rPr/>
        <w:t>债和权益工具的定义，在初始确认时将该金融工具或其组成部分分类为金融负债或权益工具。</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565" w:right="106" w:hanging="425"/>
        <w:jc w:val="left"/>
      </w:pPr>
      <w:r>
        <w:rPr>
          <w:rFonts w:ascii="宋体" w:hAnsi="宋体" w:cs="宋体" w:eastAsia="宋体" w:hint="default"/>
        </w:rPr>
        <w:t>10.4.1</w:t>
      </w:r>
      <w:r>
        <w:rPr>
          <w:rFonts w:ascii="宋体" w:hAnsi="宋体" w:cs="宋体" w:eastAsia="宋体" w:hint="default"/>
          <w:spacing w:val="-53"/>
        </w:rPr>
        <w:t> </w:t>
      </w:r>
      <w:r>
        <w:rPr/>
        <w:t>金融负债的分类及计量</w:t>
      </w:r>
      <w:r>
        <w:rPr>
          <w:w w:val="100"/>
        </w:rPr>
        <w:t> </w:t>
      </w:r>
      <w:r>
        <w:rPr>
          <w:spacing w:val="2"/>
        </w:rPr>
        <w:t>金融负债在初始确认时划分为以公允价值计量且其变动计入当期损益的金融负债和其他金融</w:t>
      </w:r>
    </w:p>
    <w:p>
      <w:pPr>
        <w:pStyle w:val="BodyText"/>
        <w:spacing w:line="240" w:lineRule="auto" w:before="30"/>
        <w:ind w:left="140" w:right="106"/>
        <w:jc w:val="left"/>
      </w:pPr>
      <w:r>
        <w:rPr/>
        <w:t>负债。本集团的金融负债均为其他金融负债，主要包括应付票据及应付账款和其他应付款。</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565" w:right="106" w:hanging="425"/>
        <w:jc w:val="left"/>
      </w:pPr>
      <w:r>
        <w:rPr>
          <w:rFonts w:ascii="宋体" w:hAnsi="宋体" w:cs="宋体" w:eastAsia="宋体" w:hint="default"/>
        </w:rPr>
        <w:t>10.4.1.1</w:t>
      </w:r>
      <w:r>
        <w:rPr>
          <w:rFonts w:ascii="宋体" w:hAnsi="宋体" w:cs="宋体" w:eastAsia="宋体" w:hint="default"/>
          <w:spacing w:val="-55"/>
        </w:rPr>
        <w:t> </w:t>
      </w:r>
      <w:r>
        <w:rPr/>
        <w:t>其他金融负债</w:t>
      </w:r>
      <w:r>
        <w:rPr>
          <w:spacing w:val="-102"/>
        </w:rPr>
        <w:t> </w:t>
      </w:r>
      <w:r>
        <w:rPr>
          <w:spacing w:val="-102"/>
        </w:rPr>
      </w:r>
      <w:r>
        <w:rPr>
          <w:spacing w:val="-2"/>
        </w:rPr>
        <w:t>其他金融负债按摊余成本进行后续计量，终止确认或摊销产生的利得或损失计入当期损益。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55" w:lineRule="auto"/>
        <w:ind w:left="565" w:right="106" w:hanging="425"/>
        <w:jc w:val="left"/>
      </w:pPr>
      <w:r>
        <w:rPr>
          <w:rFonts w:ascii="宋体" w:hAnsi="宋体" w:cs="宋体" w:eastAsia="宋体" w:hint="default"/>
        </w:rPr>
        <w:t>10.4.2</w:t>
      </w:r>
      <w:r>
        <w:rPr>
          <w:rFonts w:ascii="宋体" w:hAnsi="宋体" w:cs="宋体" w:eastAsia="宋体" w:hint="default"/>
          <w:spacing w:val="-53"/>
        </w:rPr>
        <w:t> </w:t>
      </w:r>
      <w:r>
        <w:rPr/>
        <w:t>金融负债的终止确认</w:t>
      </w:r>
      <w:r>
        <w:rPr>
          <w:w w:val="100"/>
        </w:rPr>
        <w:t> </w:t>
      </w:r>
      <w:r>
        <w:rPr/>
        <w:t>金融负债的现时义务全部或部分已经解除的，终止确认该金融负债或其一部分。本集团</w:t>
      </w:r>
      <w:r>
        <w:rPr>
          <w:rFonts w:ascii="宋体" w:hAnsi="宋体" w:cs="宋体" w:eastAsia="宋体" w:hint="default"/>
        </w:rPr>
        <w:t>(</w:t>
      </w:r>
      <w:r>
        <w:rPr/>
        <w:t>借入</w:t>
      </w:r>
    </w:p>
    <w:p>
      <w:pPr>
        <w:pStyle w:val="BodyText"/>
        <w:spacing w:line="357" w:lineRule="auto" w:before="32"/>
        <w:ind w:left="140" w:right="106"/>
        <w:jc w:val="left"/>
      </w:pPr>
      <w:r>
        <w:rPr/>
        <w:t>方</w:t>
      </w:r>
      <w:r>
        <w:rPr>
          <w:rFonts w:ascii="宋体" w:hAnsi="宋体" w:cs="宋体" w:eastAsia="宋体" w:hint="default"/>
        </w:rPr>
        <w:t>)</w:t>
      </w:r>
      <w:r>
        <w:rPr/>
        <w:t>与借出方之间签订协议，以承担新金融负债方式替换原金融负债，且新金融负债与原金融负债</w:t>
      </w:r>
      <w:r>
        <w:rPr>
          <w:spacing w:val="-9"/>
        </w:rPr>
        <w:t> </w:t>
      </w:r>
      <w:r>
        <w:rPr>
          <w:spacing w:val="-9"/>
        </w:rPr>
      </w:r>
      <w:r>
        <w:rPr/>
        <w:t>的合同条款实质上不同的，本集团终止确认原金融负债，并同时确认新金融负债。</w:t>
      </w:r>
    </w:p>
    <w:p>
      <w:pPr>
        <w:pStyle w:val="BodyText"/>
        <w:spacing w:line="355" w:lineRule="auto" w:before="30"/>
        <w:ind w:left="140" w:right="112" w:firstLine="424"/>
        <w:jc w:val="both"/>
      </w:pPr>
      <w:r>
        <w:rPr/>
        <w:t>金融负债全部或部分终止确认的，将终止确认部分的账面价值与支付的对价</w:t>
      </w:r>
      <w:r>
        <w:rPr>
          <w:rFonts w:ascii="宋体" w:hAnsi="宋体" w:cs="宋体" w:eastAsia="宋体" w:hint="default"/>
        </w:rPr>
        <w:t>(</w:t>
      </w:r>
      <w:r>
        <w:rPr/>
        <w:t>包括转出的非现</w:t>
      </w:r>
      <w:r>
        <w:rPr>
          <w:w w:val="100"/>
        </w:rPr>
        <w:t> </w:t>
      </w:r>
      <w:r>
        <w:rPr/>
        <w:t>金资产或承担的新金融负债</w:t>
      </w:r>
      <w:r>
        <w:rPr>
          <w:rFonts w:ascii="宋体" w:hAnsi="宋体" w:cs="宋体" w:eastAsia="宋体" w:hint="default"/>
        </w:rPr>
        <w:t>)</w:t>
      </w:r>
      <w:r>
        <w:rPr/>
        <w:t>之间的差额，计入当期损益。</w:t>
      </w:r>
    </w:p>
    <w:p>
      <w:pPr>
        <w:spacing w:line="240" w:lineRule="auto" w:before="0"/>
        <w:rPr>
          <w:rFonts w:ascii="宋体" w:hAnsi="宋体" w:cs="宋体" w:eastAsia="宋体" w:hint="default"/>
          <w:sz w:val="20"/>
          <w:szCs w:val="20"/>
        </w:rPr>
      </w:pPr>
    </w:p>
    <w:p>
      <w:pPr>
        <w:pStyle w:val="BodyText"/>
        <w:spacing w:line="240" w:lineRule="auto" w:before="179"/>
        <w:ind w:left="140" w:right="106"/>
        <w:jc w:val="left"/>
      </w:pPr>
      <w:r>
        <w:rPr>
          <w:rFonts w:ascii="宋体" w:hAnsi="宋体" w:cs="宋体" w:eastAsia="宋体" w:hint="default"/>
        </w:rPr>
        <w:t>10.4.3</w:t>
      </w:r>
      <w:r>
        <w:rPr>
          <w:rFonts w:ascii="宋体" w:hAnsi="宋体" w:cs="宋体" w:eastAsia="宋体" w:hint="default"/>
          <w:spacing w:val="-54"/>
        </w:rPr>
        <w:t> </w:t>
      </w:r>
      <w:r>
        <w:rPr/>
        <w:t>权益工具</w:t>
      </w:r>
    </w:p>
    <w:p>
      <w:pPr>
        <w:spacing w:after="0" w:line="240" w:lineRule="auto"/>
        <w:jc w:val="left"/>
        <w:sectPr>
          <w:pgSz w:w="11910" w:h="16840"/>
          <w:pgMar w:header="882" w:footer="1195" w:top="112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213" w:firstLine="424"/>
        <w:jc w:val="both"/>
      </w:pPr>
      <w:r>
        <w:rPr>
          <w:spacing w:val="2"/>
        </w:rPr>
        <w:t>权益工具是指能证明拥有本集团在扣除所有负债后的资产中的剩余权益的合同。本集团发行</w:t>
      </w:r>
      <w:r>
        <w:rPr>
          <w:w w:val="100"/>
        </w:rPr>
        <w:t> </w:t>
      </w:r>
      <w:r>
        <w:rPr>
          <w:rFonts w:ascii="宋体" w:hAnsi="宋体" w:cs="宋体" w:eastAsia="宋体" w:hint="default"/>
          <w:spacing w:val="-2"/>
        </w:rPr>
        <w:t>(</w:t>
      </w:r>
      <w:r>
        <w:rPr>
          <w:spacing w:val="-2"/>
        </w:rPr>
        <w:t>含再融资</w:t>
      </w:r>
      <w:r>
        <w:rPr>
          <w:rFonts w:ascii="宋体" w:hAnsi="宋体" w:cs="宋体" w:eastAsia="宋体" w:hint="default"/>
          <w:spacing w:val="-2"/>
        </w:rPr>
        <w:t>)</w:t>
      </w:r>
      <w:r>
        <w:rPr>
          <w:spacing w:val="-2"/>
        </w:rPr>
        <w:t>、回购、出售或注销权益工具作为权益的变动处理。本集团不确认权益工具的公允价值</w:t>
      </w:r>
      <w:r>
        <w:rPr>
          <w:spacing w:val="-33"/>
        </w:rPr>
        <w:t> </w:t>
      </w:r>
      <w:r>
        <w:rPr>
          <w:spacing w:val="-33"/>
        </w:rPr>
      </w:r>
      <w:r>
        <w:rPr/>
        <w:t>变动。与权益性交易相关的交易费用从权益中扣减。</w:t>
      </w:r>
    </w:p>
    <w:p>
      <w:pPr>
        <w:pStyle w:val="BodyText"/>
        <w:spacing w:line="240" w:lineRule="auto" w:before="32"/>
        <w:ind w:left="565" w:right="117"/>
        <w:jc w:val="left"/>
      </w:pPr>
      <w:r>
        <w:rPr/>
        <w:t>本集团对权益工具持有方的分配作为利润分配处理，发放的股票股利不影响股东权益总额。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ind w:left="565" w:right="117" w:hanging="425"/>
        <w:jc w:val="left"/>
      </w:pPr>
      <w:r>
        <w:rPr>
          <w:rFonts w:ascii="宋体" w:hAnsi="宋体" w:cs="宋体" w:eastAsia="宋体" w:hint="default"/>
        </w:rPr>
        <w:t>10.5</w:t>
      </w:r>
      <w:r>
        <w:rPr>
          <w:rFonts w:ascii="宋体" w:hAnsi="宋体" w:cs="宋体" w:eastAsia="宋体" w:hint="default"/>
          <w:spacing w:val="-55"/>
        </w:rPr>
        <w:t> </w:t>
      </w:r>
      <w:r>
        <w:rPr/>
        <w:t>金融资产和金融负债的抵销</w:t>
      </w:r>
      <w:r>
        <w:rPr>
          <w:w w:val="100"/>
        </w:rPr>
        <w:t> </w:t>
      </w:r>
      <w:r>
        <w:rPr/>
        <w:t>当本集团具有抵销已确认金融资产和金融负债的法定权利，且该种法定权利是当前可执行的，</w:t>
      </w:r>
    </w:p>
    <w:p>
      <w:pPr>
        <w:pStyle w:val="BodyText"/>
        <w:spacing w:line="357" w:lineRule="auto" w:before="32"/>
        <w:ind w:left="140" w:right="117"/>
        <w:jc w:val="left"/>
      </w:pPr>
      <w:r>
        <w:rPr/>
        <w:t>同时本集团计划以净额结算或同时变现该金融资产和清偿该金融负债时，金融资产和金融负债以相</w:t>
      </w:r>
      <w:r>
        <w:rPr>
          <w:w w:val="100"/>
        </w:rPr>
        <w:t> </w:t>
      </w:r>
      <w:r>
        <w:rPr/>
        <w:t>互抵销后的金额在资产负债表内列示。除此以外，金融资产和金融负债在资产负债表内分别列示，</w:t>
      </w:r>
      <w:r>
        <w:rPr>
          <w:spacing w:val="-8"/>
        </w:rPr>
        <w:t> </w:t>
      </w:r>
      <w:r>
        <w:rPr>
          <w:spacing w:val="-8"/>
        </w:rPr>
      </w:r>
      <w:r>
        <w:rPr/>
        <w:t>不予相互抵销。</w:t>
      </w:r>
    </w:p>
    <w:p>
      <w:pPr>
        <w:spacing w:line="240" w:lineRule="auto" w:before="8"/>
        <w:rPr>
          <w:rFonts w:ascii="宋体" w:hAnsi="宋体" w:cs="宋体" w:eastAsia="宋体" w:hint="default"/>
          <w:sz w:val="27"/>
          <w:szCs w:val="27"/>
        </w:rPr>
      </w:pPr>
    </w:p>
    <w:p>
      <w:pPr>
        <w:pStyle w:val="Heading2"/>
        <w:spacing w:line="290" w:lineRule="auto"/>
        <w:ind w:left="140" w:right="2541"/>
        <w:jc w:val="left"/>
        <w:rPr>
          <w:b w:val="0"/>
          <w:bCs w:val="0"/>
        </w:rPr>
      </w:pPr>
      <w:r>
        <w:rPr>
          <w:rFonts w:ascii="宋体" w:hAnsi="宋体" w:cs="宋体" w:eastAsia="宋体" w:hint="default"/>
        </w:rPr>
        <w:t>11. </w:t>
      </w:r>
      <w:r>
        <w:rPr/>
        <w:t>应收票据及应收账款</w:t>
      </w:r>
      <w:r>
        <w:rPr>
          <w:spacing w:val="-102"/>
        </w:rPr>
        <w:t> </w:t>
      </w:r>
      <w:r>
        <w:rPr>
          <w:rFonts w:ascii="宋体" w:hAnsi="宋体" w:cs="宋体" w:eastAsia="宋体" w:hint="default"/>
          <w:spacing w:val="-1"/>
        </w:rPr>
        <w:t>(1).</w:t>
      </w:r>
      <w:r>
        <w:rPr>
          <w:spacing w:val="-1"/>
        </w:rPr>
        <w:t>应收票据的预期信用损失的确定方法及会计处理方法</w:t>
      </w:r>
      <w:r>
        <w:rPr>
          <w:b w:val="0"/>
          <w:bCs w:val="0"/>
          <w:spacing w:val="-1"/>
        </w:rPr>
      </w:r>
    </w:p>
    <w:p>
      <w:pPr>
        <w:pStyle w:val="BodyText"/>
        <w:spacing w:line="240" w:lineRule="auto" w:before="12"/>
        <w:ind w:left="140" w:right="117"/>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140" w:right="117"/>
        <w:jc w:val="left"/>
        <w:rPr>
          <w:b w:val="0"/>
          <w:bCs w:val="0"/>
        </w:rPr>
      </w:pPr>
      <w:r>
        <w:rPr>
          <w:rFonts w:ascii="宋体" w:hAnsi="宋体" w:cs="宋体" w:eastAsia="宋体" w:hint="default"/>
        </w:rPr>
        <w:t>(2).</w:t>
      </w:r>
      <w:r>
        <w:rPr/>
        <w:t>应收账款的预期信用损失的确定方法及会计处理方法</w:t>
      </w:r>
      <w:r>
        <w:rPr>
          <w:b w:val="0"/>
          <w:bCs w:val="0"/>
        </w:rPr>
      </w:r>
    </w:p>
    <w:p>
      <w:pPr>
        <w:pStyle w:val="BodyText"/>
        <w:spacing w:line="274" w:lineRule="exact" w:before="56"/>
        <w:ind w:left="140" w:right="117"/>
        <w:jc w:val="left"/>
      </w:pPr>
      <w:r>
        <w:rPr/>
        <w:t>√适用 □不适用</w:t>
      </w:r>
    </w:p>
    <w:p>
      <w:pPr>
        <w:pStyle w:val="BodyText"/>
        <w:spacing w:line="274" w:lineRule="exact"/>
        <w:ind w:left="140" w:right="117"/>
        <w:jc w:val="left"/>
      </w:pPr>
      <w:r>
        <w:rPr/>
        <w:t>详见金融工具附注 </w:t>
      </w:r>
      <w:r>
        <w:rPr>
          <w:rFonts w:ascii="宋体" w:hAnsi="宋体" w:cs="宋体" w:eastAsia="宋体" w:hint="default"/>
        </w:rPr>
        <w:t>10.2.3</w:t>
      </w:r>
      <w:r>
        <w:rPr>
          <w:rFonts w:ascii="宋体" w:hAnsi="宋体" w:cs="宋体" w:eastAsia="宋体" w:hint="default"/>
          <w:spacing w:val="-58"/>
        </w:rPr>
        <w:t> </w:t>
      </w:r>
      <w:r>
        <w:rPr/>
        <w:t>预期信用损失的确定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90" w:lineRule="auto"/>
        <w:ind w:left="140" w:right="2541"/>
        <w:jc w:val="left"/>
        <w:rPr>
          <w:b w:val="0"/>
          <w:bCs w:val="0"/>
        </w:rPr>
      </w:pPr>
      <w:r>
        <w:rPr>
          <w:rFonts w:ascii="宋体" w:hAnsi="宋体" w:cs="宋体" w:eastAsia="宋体" w:hint="default"/>
        </w:rPr>
        <w:t>12.</w:t>
      </w:r>
      <w:r>
        <w:rPr>
          <w:rFonts w:ascii="宋体" w:hAnsi="宋体" w:cs="宋体" w:eastAsia="宋体" w:hint="default"/>
          <w:spacing w:val="2"/>
        </w:rPr>
        <w:t> </w:t>
      </w:r>
      <w:r>
        <w:rPr/>
        <w:t>其他应收款</w:t>
      </w:r>
      <w:r>
        <w:rPr>
          <w:w w:val="100"/>
        </w:rPr>
        <w:t> </w:t>
      </w:r>
      <w:r>
        <w:rPr>
          <w:rFonts w:ascii="宋体" w:hAnsi="宋体" w:cs="宋体" w:eastAsia="宋体" w:hint="default"/>
          <w:spacing w:val="-1"/>
        </w:rPr>
        <w:t>(1).</w:t>
      </w:r>
      <w:r>
        <w:rPr>
          <w:spacing w:val="-1"/>
        </w:rPr>
        <w:t>其他应收款预期信用损失的确定方法及会计处理方法</w:t>
      </w:r>
      <w:r>
        <w:rPr>
          <w:b w:val="0"/>
          <w:bCs w:val="0"/>
          <w:spacing w:val="-1"/>
        </w:rPr>
      </w:r>
    </w:p>
    <w:p>
      <w:pPr>
        <w:pStyle w:val="BodyText"/>
        <w:spacing w:line="273" w:lineRule="exact" w:before="14"/>
        <w:ind w:left="140" w:right="117"/>
        <w:jc w:val="left"/>
      </w:pPr>
      <w:r>
        <w:rPr/>
        <w:t>√适用 □不适用</w:t>
      </w:r>
    </w:p>
    <w:p>
      <w:pPr>
        <w:pStyle w:val="BodyText"/>
        <w:spacing w:line="273" w:lineRule="exact"/>
        <w:ind w:left="140" w:right="117"/>
        <w:jc w:val="left"/>
      </w:pPr>
      <w:r>
        <w:rPr/>
        <w:t>详见金融工具附注 </w:t>
      </w:r>
      <w:r>
        <w:rPr>
          <w:rFonts w:ascii="宋体" w:hAnsi="宋体" w:cs="宋体" w:eastAsia="宋体" w:hint="default"/>
        </w:rPr>
        <w:t>10.2.3</w:t>
      </w:r>
      <w:r>
        <w:rPr>
          <w:rFonts w:ascii="宋体" w:hAnsi="宋体" w:cs="宋体" w:eastAsia="宋体" w:hint="default"/>
          <w:spacing w:val="-58"/>
        </w:rPr>
        <w:t> </w:t>
      </w:r>
      <w:r>
        <w:rPr/>
        <w:t>预期信用损失的确定</w:t>
      </w:r>
    </w:p>
    <w:p>
      <w:pPr>
        <w:spacing w:line="240" w:lineRule="auto" w:before="3"/>
        <w:rPr>
          <w:rFonts w:ascii="宋体" w:hAnsi="宋体" w:cs="宋体" w:eastAsia="宋体" w:hint="default"/>
          <w:sz w:val="25"/>
          <w:szCs w:val="25"/>
        </w:rPr>
      </w:pPr>
    </w:p>
    <w:p>
      <w:pPr>
        <w:pStyle w:val="Heading2"/>
        <w:spacing w:line="240" w:lineRule="auto"/>
        <w:ind w:left="140" w:right="117"/>
        <w:jc w:val="left"/>
        <w:rPr>
          <w:b w:val="0"/>
          <w:bCs w:val="0"/>
        </w:rPr>
      </w:pPr>
      <w:r>
        <w:rPr>
          <w:rFonts w:ascii="宋体" w:hAnsi="宋体" w:cs="宋体" w:eastAsia="宋体" w:hint="default"/>
        </w:rPr>
        <w:t>13.</w:t>
      </w:r>
      <w:r>
        <w:rPr>
          <w:rFonts w:ascii="宋体" w:hAnsi="宋体" w:cs="宋体" w:eastAsia="宋体" w:hint="default"/>
          <w:spacing w:val="2"/>
        </w:rPr>
        <w:t> </w:t>
      </w:r>
      <w:r>
        <w:rPr/>
        <w:t>存货</w:t>
      </w:r>
      <w:r>
        <w:rPr>
          <w:b w:val="0"/>
          <w:bCs w:val="0"/>
        </w:rPr>
      </w:r>
    </w:p>
    <w:p>
      <w:pPr>
        <w:pStyle w:val="BodyText"/>
        <w:tabs>
          <w:tab w:pos="982" w:val="left" w:leader="none"/>
        </w:tabs>
        <w:spacing w:line="240" w:lineRule="auto" w:before="57"/>
        <w:ind w:left="140" w:right="7561"/>
        <w:jc w:val="left"/>
      </w:pPr>
      <w:r>
        <w:rPr/>
        <w:t>√适用</w:t>
        <w:tab/>
      </w:r>
      <w:r>
        <w:rPr>
          <w:spacing w:val="-2"/>
        </w:rPr>
        <w:t>□不适用</w:t>
      </w:r>
      <w:r>
        <w:rPr>
          <w:spacing w:val="-99"/>
        </w:rPr>
        <w:t> </w:t>
      </w:r>
      <w:r>
        <w:rPr>
          <w:spacing w:val="-99"/>
        </w:rPr>
      </w:r>
      <w:r>
        <w:rPr>
          <w:rFonts w:ascii="宋体" w:hAnsi="宋体" w:cs="宋体" w:eastAsia="宋体" w:hint="default"/>
        </w:rPr>
        <w:t>13.1</w:t>
      </w:r>
      <w:r>
        <w:rPr>
          <w:rFonts w:ascii="宋体" w:hAnsi="宋体" w:cs="宋体" w:eastAsia="宋体" w:hint="default"/>
          <w:spacing w:val="-53"/>
        </w:rPr>
        <w:t> </w:t>
      </w:r>
      <w:r>
        <w:rPr/>
        <w:t>存货的分类</w:t>
      </w:r>
    </w:p>
    <w:p>
      <w:pPr>
        <w:pStyle w:val="BodyText"/>
        <w:spacing w:line="355" w:lineRule="auto" w:before="133"/>
        <w:ind w:left="140" w:right="211" w:firstLine="424"/>
        <w:jc w:val="both"/>
      </w:pPr>
      <w:r>
        <w:rPr>
          <w:spacing w:val="-2"/>
        </w:rPr>
        <w:t>本集团的存货主要包括原材料、包装物、低值易耗品、在产品以及库存商品。存货按成本进行</w:t>
      </w:r>
      <w:r>
        <w:rPr>
          <w:w w:val="100"/>
        </w:rPr>
        <w:t> </w:t>
      </w:r>
      <w:r>
        <w:rPr/>
        <w:t>初始计量，存货成本包括采购成本、加工成本和其他使存货达到目前场所和状态所发生的支出。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565" w:right="2541" w:hanging="425"/>
        <w:jc w:val="left"/>
      </w:pPr>
      <w:r>
        <w:rPr>
          <w:rFonts w:ascii="宋体" w:hAnsi="宋体" w:cs="宋体" w:eastAsia="宋体" w:hint="default"/>
        </w:rPr>
        <w:t>13.2</w:t>
      </w:r>
      <w:r>
        <w:rPr>
          <w:rFonts w:ascii="宋体" w:hAnsi="宋体" w:cs="宋体" w:eastAsia="宋体" w:hint="default"/>
          <w:spacing w:val="-55"/>
        </w:rPr>
        <w:t> </w:t>
      </w:r>
      <w:r>
        <w:rPr/>
        <w:t>发出存货的计价方法</w:t>
      </w:r>
      <w:r>
        <w:rPr>
          <w:w w:val="100"/>
        </w:rPr>
        <w:t> </w:t>
      </w:r>
      <w:r>
        <w:rPr>
          <w:spacing w:val="-2"/>
        </w:rPr>
        <w:t>存货发出时，采用加权平均法确定发出存货的实际成本。</w:t>
      </w:r>
    </w:p>
    <w:p>
      <w:pPr>
        <w:spacing w:line="240" w:lineRule="auto" w:before="0"/>
        <w:rPr>
          <w:rFonts w:ascii="宋体" w:hAnsi="宋体" w:cs="宋体" w:eastAsia="宋体" w:hint="default"/>
          <w:sz w:val="20"/>
          <w:szCs w:val="20"/>
        </w:rPr>
      </w:pPr>
    </w:p>
    <w:p>
      <w:pPr>
        <w:pStyle w:val="BodyText"/>
        <w:spacing w:line="240" w:lineRule="auto" w:before="179"/>
        <w:ind w:left="140" w:right="117"/>
        <w:jc w:val="left"/>
      </w:pPr>
      <w:r>
        <w:rPr>
          <w:rFonts w:ascii="宋体" w:hAnsi="宋体" w:cs="宋体" w:eastAsia="宋体" w:hint="default"/>
        </w:rPr>
        <w:t>13.3</w:t>
      </w:r>
      <w:r>
        <w:rPr>
          <w:rFonts w:ascii="宋体" w:hAnsi="宋体" w:cs="宋体" w:eastAsia="宋体" w:hint="default"/>
          <w:spacing w:val="-57"/>
        </w:rPr>
        <w:t> </w:t>
      </w:r>
      <w:r>
        <w:rPr/>
        <w:t>存货可变现净值的确定依据及存货跌价准备的计提方法</w:t>
      </w:r>
    </w:p>
    <w:p>
      <w:pPr>
        <w:spacing w:after="0" w:line="240" w:lineRule="auto"/>
        <w:jc w:val="left"/>
        <w:sectPr>
          <w:pgSz w:w="11910" w:h="16840"/>
          <w:pgMar w:header="882"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111" w:firstLine="424"/>
        <w:jc w:val="both"/>
      </w:pPr>
      <w:r>
        <w:rPr>
          <w:spacing w:val="-2"/>
        </w:rPr>
        <w:t>资产负债表日，存货按照成本与可变现净值孰低计量。当其可变现净值低于成本时，提取存货</w:t>
      </w:r>
      <w:r>
        <w:rPr>
          <w:w w:val="100"/>
        </w:rPr>
        <w:t> </w:t>
      </w:r>
      <w:r>
        <w:rPr>
          <w:spacing w:val="-2"/>
        </w:rPr>
        <w:t>跌价准备。可变现净值是指在日常活动中，存货的估计售价减去估计的销售费用以及相关税费后的</w:t>
      </w:r>
      <w:r>
        <w:rPr>
          <w:spacing w:val="-30"/>
        </w:rPr>
        <w:t> </w:t>
      </w:r>
      <w:r>
        <w:rPr>
          <w:spacing w:val="-30"/>
        </w:rPr>
      </w:r>
      <w:r>
        <w:rPr>
          <w:spacing w:val="-2"/>
        </w:rPr>
        <w:t>金额。在确定存货的可变现净值时，以取得的确凿证据为基础，同时考虑持有存货的目的以及资产</w:t>
      </w:r>
      <w:r>
        <w:rPr>
          <w:spacing w:val="-32"/>
        </w:rPr>
        <w:t> </w:t>
      </w:r>
      <w:r>
        <w:rPr>
          <w:spacing w:val="-32"/>
        </w:rPr>
      </w:r>
      <w:r>
        <w:rPr/>
        <w:t>负债表日后事项的影响。</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140" w:right="111" w:firstLine="424"/>
        <w:jc w:val="both"/>
      </w:pPr>
      <w:r>
        <w:rPr>
          <w:spacing w:val="-2"/>
        </w:rPr>
        <w:t>对于数量繁多、单价较低的存货，按照存货类别计提存货跌价准备；对在同一地区生产和销售</w:t>
      </w:r>
      <w:r>
        <w:rPr>
          <w:w w:val="100"/>
        </w:rPr>
        <w:t> </w:t>
      </w:r>
      <w:r>
        <w:rPr>
          <w:spacing w:val="-2"/>
        </w:rPr>
        <w:t>的产品系列相关、具有相同或类似最终用途或目的，且难以与其他项目分开计量的存货，合并计提</w:t>
      </w:r>
      <w:r>
        <w:rPr>
          <w:spacing w:val="-31"/>
        </w:rPr>
        <w:t> </w:t>
      </w:r>
      <w:r>
        <w:rPr>
          <w:spacing w:val="-31"/>
        </w:rPr>
      </w:r>
      <w:r>
        <w:rPr/>
        <w:t>存货跌价准备；其他存货按单个存货项目的成本高于其可变现净值的差额计提存货跌价准备。</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55" w:lineRule="auto"/>
        <w:ind w:left="565" w:right="107"/>
        <w:jc w:val="left"/>
      </w:pPr>
      <w:r>
        <w:rPr/>
        <w:t>一般图书和教材及助学类读物按下述方法确定存货跌价准备：</w:t>
      </w:r>
      <w:r>
        <w:rPr>
          <w:w w:val="100"/>
        </w:rPr>
        <w:t> </w:t>
      </w:r>
      <w:r>
        <w:rPr/>
        <w:t>自有、租型、代印及外部采购</w:t>
      </w:r>
      <w:r>
        <w:rPr>
          <w:rFonts w:ascii="宋体" w:hAnsi="宋体" w:cs="宋体" w:eastAsia="宋体" w:hint="default"/>
        </w:rPr>
        <w:t>(</w:t>
      </w:r>
      <w:r>
        <w:rPr/>
        <w:t>包销部分</w:t>
      </w:r>
      <w:r>
        <w:rPr>
          <w:rFonts w:ascii="宋体" w:hAnsi="宋体" w:cs="宋体" w:eastAsia="宋体" w:hint="default"/>
        </w:rPr>
        <w:t>)</w:t>
      </w:r>
      <w:r>
        <w:rPr/>
        <w:t>的一般图书按以下方法计提跌价准备：库龄为</w:t>
      </w:r>
      <w:r>
        <w:rPr>
          <w:spacing w:val="-59"/>
        </w:rPr>
        <w:t> </w:t>
      </w:r>
      <w:r>
        <w:rPr>
          <w:rFonts w:ascii="宋体" w:hAnsi="宋体" w:cs="宋体" w:eastAsia="宋体" w:hint="default"/>
        </w:rPr>
        <w:t>1</w:t>
      </w:r>
      <w:r>
        <w:rPr>
          <w:rFonts w:ascii="宋体" w:hAnsi="宋体" w:cs="宋体" w:eastAsia="宋体" w:hint="default"/>
          <w:spacing w:val="-62"/>
        </w:rPr>
        <w:t> </w:t>
      </w:r>
      <w:r>
        <w:rPr/>
        <w:t>年以</w:t>
      </w:r>
    </w:p>
    <w:p>
      <w:pPr>
        <w:pStyle w:val="BodyText"/>
        <w:spacing w:line="357" w:lineRule="auto" w:before="32"/>
        <w:ind w:left="140" w:right="113"/>
        <w:jc w:val="both"/>
      </w:pPr>
      <w:r>
        <w:rPr/>
        <w:t>内的，不计提；库龄为</w:t>
      </w:r>
      <w:r>
        <w:rPr>
          <w:spacing w:val="-45"/>
        </w:rPr>
        <w:t> </w:t>
      </w:r>
      <w:r>
        <w:rPr>
          <w:rFonts w:ascii="宋体" w:hAnsi="宋体" w:cs="宋体" w:eastAsia="宋体" w:hint="default"/>
        </w:rPr>
        <w:t>1-2</w:t>
      </w:r>
      <w:r>
        <w:rPr>
          <w:rFonts w:ascii="宋体" w:hAnsi="宋体" w:cs="宋体" w:eastAsia="宋体" w:hint="default"/>
          <w:spacing w:val="-45"/>
        </w:rPr>
        <w:t> </w:t>
      </w:r>
      <w:r>
        <w:rPr/>
        <w:t>年的，按期末库存图书总定价的</w:t>
      </w:r>
      <w:r>
        <w:rPr>
          <w:spacing w:val="-45"/>
        </w:rPr>
        <w:t> </w:t>
      </w:r>
      <w:r>
        <w:rPr>
          <w:rFonts w:ascii="宋体" w:hAnsi="宋体" w:cs="宋体" w:eastAsia="宋体" w:hint="default"/>
        </w:rPr>
        <w:t>10%</w:t>
      </w:r>
      <w:r>
        <w:rPr/>
        <w:t>计提；库龄为</w:t>
      </w:r>
      <w:r>
        <w:rPr>
          <w:spacing w:val="-45"/>
        </w:rPr>
        <w:t> </w:t>
      </w:r>
      <w:r>
        <w:rPr>
          <w:rFonts w:ascii="宋体" w:hAnsi="宋体" w:cs="宋体" w:eastAsia="宋体" w:hint="default"/>
        </w:rPr>
        <w:t>2-3</w:t>
      </w:r>
      <w:r>
        <w:rPr>
          <w:rFonts w:ascii="宋体" w:hAnsi="宋体" w:cs="宋体" w:eastAsia="宋体" w:hint="default"/>
          <w:spacing w:val="-47"/>
        </w:rPr>
        <w:t> </w:t>
      </w:r>
      <w:r>
        <w:rPr/>
        <w:t>年的，按期末库</w:t>
      </w:r>
      <w:r>
        <w:rPr>
          <w:w w:val="100"/>
        </w:rPr>
        <w:t> </w:t>
      </w:r>
      <w:r>
        <w:rPr/>
        <w:t>存图书总定价的</w:t>
      </w:r>
      <w:r>
        <w:rPr>
          <w:spacing w:val="-40"/>
        </w:rPr>
        <w:t> </w:t>
      </w:r>
      <w:r>
        <w:rPr>
          <w:rFonts w:ascii="宋体" w:hAnsi="宋体" w:cs="宋体" w:eastAsia="宋体" w:hint="default"/>
          <w:spacing w:val="-6"/>
        </w:rPr>
        <w:t>20%</w:t>
      </w:r>
      <w:r>
        <w:rPr>
          <w:spacing w:val="-6"/>
        </w:rPr>
        <w:t>计提；库龄为</w:t>
      </w:r>
      <w:r>
        <w:rPr>
          <w:spacing w:val="-38"/>
        </w:rPr>
        <w:t> </w:t>
      </w:r>
      <w:r>
        <w:rPr>
          <w:rFonts w:ascii="宋体" w:hAnsi="宋体" w:cs="宋体" w:eastAsia="宋体" w:hint="default"/>
        </w:rPr>
        <w:t>3</w:t>
      </w:r>
      <w:r>
        <w:rPr>
          <w:rFonts w:ascii="宋体" w:hAnsi="宋体" w:cs="宋体" w:eastAsia="宋体" w:hint="default"/>
          <w:spacing w:val="-40"/>
        </w:rPr>
        <w:t> </w:t>
      </w:r>
      <w:r>
        <w:rPr>
          <w:spacing w:val="-4"/>
        </w:rPr>
        <w:t>年以上的，按期末库存图书实际成本的</w:t>
      </w:r>
      <w:r>
        <w:rPr>
          <w:spacing w:val="-40"/>
        </w:rPr>
        <w:t> </w:t>
      </w:r>
      <w:r>
        <w:rPr>
          <w:rFonts w:ascii="宋体" w:hAnsi="宋体" w:cs="宋体" w:eastAsia="宋体" w:hint="default"/>
          <w:spacing w:val="-5"/>
        </w:rPr>
        <w:t>100%</w:t>
      </w:r>
      <w:r>
        <w:rPr>
          <w:spacing w:val="-5"/>
        </w:rPr>
        <w:t>计提。外部采购</w:t>
      </w:r>
      <w:r>
        <w:rPr>
          <w:rFonts w:ascii="宋体" w:hAnsi="宋体" w:cs="宋体" w:eastAsia="宋体" w:hint="default"/>
          <w:spacing w:val="-5"/>
        </w:rPr>
        <w:t>(</w:t>
      </w:r>
      <w:r>
        <w:rPr>
          <w:spacing w:val="-5"/>
        </w:rPr>
        <w:t>可</w:t>
      </w:r>
      <w:r>
        <w:rPr>
          <w:spacing w:val="-98"/>
        </w:rPr>
        <w:t> </w:t>
      </w:r>
      <w:r>
        <w:rPr>
          <w:spacing w:val="-2"/>
        </w:rPr>
        <w:t>退货部分</w:t>
      </w:r>
      <w:r>
        <w:rPr>
          <w:rFonts w:ascii="宋体" w:hAnsi="宋体" w:cs="宋体" w:eastAsia="宋体" w:hint="default"/>
          <w:spacing w:val="-2"/>
        </w:rPr>
        <w:t>)</w:t>
      </w:r>
      <w:r>
        <w:rPr>
          <w:spacing w:val="-2"/>
        </w:rPr>
        <w:t>的一般图书按期末库存图书实际成本的</w:t>
      </w:r>
      <w:r>
        <w:rPr>
          <w:spacing w:val="-6"/>
        </w:rPr>
        <w:t> </w:t>
      </w:r>
      <w:r>
        <w:rPr>
          <w:rFonts w:ascii="宋体" w:hAnsi="宋体" w:cs="宋体" w:eastAsia="宋体" w:hint="default"/>
          <w:spacing w:val="-2"/>
        </w:rPr>
        <w:t>3%</w:t>
      </w:r>
      <w:r>
        <w:rPr>
          <w:spacing w:val="-2"/>
        </w:rPr>
        <w:t>计提。</w:t>
      </w:r>
    </w:p>
    <w:p>
      <w:pPr>
        <w:spacing w:line="240" w:lineRule="auto" w:before="0"/>
        <w:rPr>
          <w:rFonts w:ascii="宋体" w:hAnsi="宋体" w:cs="宋体" w:eastAsia="宋体" w:hint="default"/>
          <w:sz w:val="20"/>
          <w:szCs w:val="20"/>
        </w:rPr>
      </w:pPr>
    </w:p>
    <w:p>
      <w:pPr>
        <w:pStyle w:val="BodyText"/>
        <w:spacing w:line="357" w:lineRule="auto" w:before="176"/>
        <w:ind w:left="140" w:right="110" w:firstLine="424"/>
        <w:jc w:val="both"/>
      </w:pPr>
      <w:r>
        <w:rPr>
          <w:spacing w:val="-2"/>
        </w:rPr>
        <w:t>本集团对于为以前年度教学而生产或采购的教材及助学类读物全额计提减值准备；对于为本期</w:t>
      </w:r>
      <w:r>
        <w:rPr>
          <w:w w:val="100"/>
        </w:rPr>
        <w:t> </w:t>
      </w:r>
      <w:r>
        <w:rPr>
          <w:spacing w:val="-2"/>
        </w:rPr>
        <w:t>教学而生产或采购的教材及助学类读物，如已知下一年度使用情况的，则对无法使用的部分全额计</w:t>
      </w:r>
      <w:r>
        <w:rPr>
          <w:spacing w:val="-29"/>
        </w:rPr>
        <w:t> </w:t>
      </w:r>
      <w:r>
        <w:rPr>
          <w:spacing w:val="-29"/>
        </w:rPr>
      </w:r>
      <w:r>
        <w:rPr/>
        <w:t>提减值准备；对于尚不可知下一年度使用情况的部分，则按照该部分存货成本的</w:t>
      </w:r>
      <w:r>
        <w:rPr>
          <w:spacing w:val="-10"/>
        </w:rPr>
        <w:t> </w:t>
      </w:r>
      <w:r>
        <w:rPr>
          <w:rFonts w:ascii="宋体" w:hAnsi="宋体" w:cs="宋体" w:eastAsia="宋体" w:hint="default"/>
        </w:rPr>
        <w:t>50%</w:t>
      </w:r>
      <w:r>
        <w:rPr/>
        <w:t>计提；对于为</w:t>
      </w:r>
      <w:r>
        <w:rPr>
          <w:w w:val="100"/>
        </w:rPr>
        <w:t> </w:t>
      </w:r>
      <w:r>
        <w:rPr/>
        <w:t>下年度教学而生产或采购的教材及助学类读物，不计提减值准备。</w:t>
      </w:r>
    </w:p>
    <w:p>
      <w:pPr>
        <w:spacing w:line="240" w:lineRule="auto" w:before="0"/>
        <w:rPr>
          <w:rFonts w:ascii="宋体" w:hAnsi="宋体" w:cs="宋体" w:eastAsia="宋体" w:hint="default"/>
          <w:sz w:val="20"/>
          <w:szCs w:val="20"/>
        </w:rPr>
      </w:pPr>
    </w:p>
    <w:p>
      <w:pPr>
        <w:pStyle w:val="BodyText"/>
        <w:spacing w:line="355" w:lineRule="auto" w:before="176"/>
        <w:ind w:left="140" w:right="111" w:firstLine="424"/>
        <w:jc w:val="both"/>
      </w:pPr>
      <w:r>
        <w:rPr>
          <w:spacing w:val="-2"/>
        </w:rPr>
        <w:t>计提存货跌价准备后，如果以前减记存货价值的影响因素已经消失，导致存货的可变现净值高</w:t>
      </w:r>
      <w:r>
        <w:rPr>
          <w:w w:val="100"/>
        </w:rPr>
        <w:t> </w:t>
      </w:r>
      <w:r>
        <w:rPr/>
        <w:t>于其账面价值的，在原已计提的存货跌价准备金额内予以转回，转回的金额计入当期损益。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55" w:lineRule="auto"/>
        <w:ind w:left="565" w:right="5751" w:hanging="425"/>
        <w:jc w:val="left"/>
      </w:pPr>
      <w:r>
        <w:rPr>
          <w:rFonts w:ascii="宋体" w:hAnsi="宋体" w:cs="宋体" w:eastAsia="宋体" w:hint="default"/>
        </w:rPr>
        <w:t>13.4</w:t>
      </w:r>
      <w:r>
        <w:rPr>
          <w:rFonts w:ascii="宋体" w:hAnsi="宋体" w:cs="宋体" w:eastAsia="宋体" w:hint="default"/>
          <w:spacing w:val="-55"/>
        </w:rPr>
        <w:t> </w:t>
      </w:r>
      <w:r>
        <w:rPr/>
        <w:t>存货的盘存制度</w:t>
      </w:r>
      <w:r>
        <w:rPr>
          <w:w w:val="100"/>
        </w:rPr>
        <w:t> </w:t>
      </w:r>
      <w:r>
        <w:rPr>
          <w:spacing w:val="-2"/>
        </w:rPr>
        <w:t>存货盘存制度为永续盘存制。</w:t>
      </w:r>
    </w:p>
    <w:p>
      <w:pPr>
        <w:spacing w:line="240" w:lineRule="auto" w:before="0"/>
        <w:rPr>
          <w:rFonts w:ascii="宋体" w:hAnsi="宋体" w:cs="宋体" w:eastAsia="宋体" w:hint="default"/>
          <w:sz w:val="20"/>
          <w:szCs w:val="20"/>
        </w:rPr>
      </w:pPr>
    </w:p>
    <w:p>
      <w:pPr>
        <w:pStyle w:val="BodyText"/>
        <w:spacing w:line="357" w:lineRule="auto" w:before="178"/>
        <w:ind w:left="565" w:right="1388" w:hanging="425"/>
        <w:jc w:val="left"/>
      </w:pPr>
      <w:r>
        <w:rPr>
          <w:rFonts w:ascii="宋体" w:hAnsi="宋体" w:cs="宋体" w:eastAsia="宋体" w:hint="default"/>
        </w:rPr>
        <w:t>13.5</w:t>
      </w:r>
      <w:r>
        <w:rPr>
          <w:rFonts w:ascii="宋体" w:hAnsi="宋体" w:cs="宋体" w:eastAsia="宋体" w:hint="default"/>
          <w:spacing w:val="-55"/>
        </w:rPr>
        <w:t> </w:t>
      </w:r>
      <w:r>
        <w:rPr/>
        <w:t>低值易耗品和包装物的摊销方法</w:t>
      </w:r>
      <w:r>
        <w:rPr>
          <w:w w:val="100"/>
        </w:rPr>
        <w:t> </w:t>
      </w:r>
      <w:r>
        <w:rPr>
          <w:spacing w:val="-2"/>
        </w:rPr>
        <w:t>低值易耗品和包装物采用一次转销法进行摊销。</w:t>
      </w:r>
    </w:p>
    <w:p>
      <w:pPr>
        <w:spacing w:line="240" w:lineRule="auto" w:before="8"/>
        <w:rPr>
          <w:rFonts w:ascii="宋体" w:hAnsi="宋体" w:cs="宋体" w:eastAsia="宋体" w:hint="default"/>
          <w:sz w:val="27"/>
          <w:szCs w:val="27"/>
        </w:rPr>
      </w:pPr>
    </w:p>
    <w:p>
      <w:pPr>
        <w:pStyle w:val="Heading2"/>
        <w:spacing w:line="290" w:lineRule="auto"/>
        <w:ind w:left="140" w:right="6173"/>
        <w:jc w:val="left"/>
        <w:rPr>
          <w:b w:val="0"/>
          <w:bCs w:val="0"/>
        </w:rPr>
      </w:pPr>
      <w:r>
        <w:rPr>
          <w:rFonts w:ascii="宋体" w:hAnsi="宋体" w:cs="宋体" w:eastAsia="宋体" w:hint="default"/>
        </w:rPr>
        <w:t>14.</w:t>
      </w:r>
      <w:r>
        <w:rPr>
          <w:rFonts w:ascii="宋体" w:hAnsi="宋体" w:cs="宋体" w:eastAsia="宋体" w:hint="default"/>
          <w:spacing w:val="2"/>
        </w:rPr>
        <w:t> </w:t>
      </w:r>
      <w:r>
        <w:rPr/>
        <w:t>合同资产</w:t>
      </w:r>
      <w:r>
        <w:rPr>
          <w:w w:val="100"/>
        </w:rPr>
        <w:t> </w:t>
      </w:r>
      <w:r>
        <w:rPr>
          <w:rFonts w:ascii="宋体" w:hAnsi="宋体" w:cs="宋体" w:eastAsia="宋体" w:hint="default"/>
        </w:rPr>
        <w:t>(1).</w:t>
      </w:r>
      <w:r>
        <w:rPr/>
        <w:t>合同资产的确认方法及标准</w:t>
      </w:r>
      <w:r>
        <w:rPr>
          <w:b w:val="0"/>
          <w:bCs w:val="0"/>
        </w:rPr>
      </w:r>
    </w:p>
    <w:p>
      <w:pPr>
        <w:pStyle w:val="BodyText"/>
        <w:spacing w:line="240" w:lineRule="auto" w:before="12"/>
        <w:ind w:left="140" w:right="106"/>
        <w:jc w:val="left"/>
      </w:pPr>
      <w:r>
        <w:rPr/>
        <w:t>□适用 √不适用</w:t>
      </w:r>
    </w:p>
    <w:p>
      <w:pPr>
        <w:spacing w:after="0" w:line="240" w:lineRule="auto"/>
        <w:jc w:val="left"/>
        <w:sectPr>
          <w:pgSz w:w="11910" w:h="16840"/>
          <w:pgMar w:header="882" w:footer="1195" w:top="112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36"/>
        <w:ind w:left="140" w:right="106"/>
        <w:jc w:val="left"/>
        <w:rPr>
          <w:b w:val="0"/>
          <w:bCs w:val="0"/>
        </w:rPr>
      </w:pPr>
      <w:r>
        <w:rPr>
          <w:rFonts w:ascii="宋体" w:hAnsi="宋体" w:cs="宋体" w:eastAsia="宋体" w:hint="default"/>
        </w:rPr>
        <w:t>(2).</w:t>
      </w:r>
      <w:r>
        <w:rPr/>
        <w:t>合同资产预期信用损失的确定方法及会计处理方法</w:t>
      </w:r>
      <w:r>
        <w:rPr>
          <w:b w:val="0"/>
          <w:bCs w:val="0"/>
        </w:rPr>
      </w:r>
    </w:p>
    <w:p>
      <w:pPr>
        <w:pStyle w:val="BodyText"/>
        <w:spacing w:line="240" w:lineRule="auto" w:before="56"/>
        <w:ind w:left="140" w:right="106"/>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140" w:right="4065"/>
        <w:jc w:val="left"/>
        <w:rPr>
          <w:b w:val="0"/>
          <w:bCs w:val="0"/>
        </w:rPr>
      </w:pPr>
      <w:r>
        <w:rPr>
          <w:rFonts w:ascii="宋体" w:hAnsi="宋体" w:cs="宋体" w:eastAsia="宋体" w:hint="default"/>
        </w:rPr>
        <w:t>15.</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b w:val="0"/>
          <w:bCs w:val="0"/>
        </w:rPr>
      </w:r>
    </w:p>
    <w:p>
      <w:pPr>
        <w:pStyle w:val="BodyText"/>
        <w:spacing w:line="240" w:lineRule="auto" w:before="12"/>
        <w:ind w:left="140" w:right="106"/>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140" w:right="2594"/>
        <w:jc w:val="left"/>
        <w:rPr>
          <w:b w:val="0"/>
          <w:bCs w:val="0"/>
        </w:rPr>
      </w:pPr>
      <w:r>
        <w:rPr>
          <w:rFonts w:ascii="宋体" w:hAnsi="宋体" w:cs="宋体" w:eastAsia="宋体" w:hint="default"/>
        </w:rPr>
        <w:t>16.</w:t>
      </w:r>
      <w:r>
        <w:rPr>
          <w:rFonts w:ascii="宋体" w:hAnsi="宋体" w:cs="宋体" w:eastAsia="宋体" w:hint="default"/>
          <w:spacing w:val="2"/>
        </w:rPr>
        <w:t> </w:t>
      </w:r>
      <w:r>
        <w:rPr/>
        <w:t>其他债权投资</w:t>
      </w:r>
      <w:r>
        <w:rPr>
          <w:w w:val="100"/>
        </w:rPr>
        <w:t> </w:t>
      </w:r>
      <w:r>
        <w:rPr>
          <w:rFonts w:ascii="宋体" w:hAnsi="宋体" w:cs="宋体" w:eastAsia="宋体" w:hint="default"/>
          <w:spacing w:val="-1"/>
        </w:rPr>
        <w:t>(1).</w:t>
      </w:r>
      <w:r>
        <w:rPr>
          <w:spacing w:val="-1"/>
        </w:rPr>
        <w:t>其他债权投资预期信用损失的确定方法及会计处理方法</w:t>
      </w:r>
      <w:r>
        <w:rPr>
          <w:b w:val="0"/>
          <w:bCs w:val="0"/>
          <w:spacing w:val="-1"/>
        </w:rPr>
      </w:r>
    </w:p>
    <w:p>
      <w:pPr>
        <w:pStyle w:val="BodyText"/>
        <w:spacing w:line="240" w:lineRule="auto" w:before="12"/>
        <w:ind w:left="140" w:right="106"/>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140" w:right="2594"/>
        <w:jc w:val="left"/>
        <w:rPr>
          <w:b w:val="0"/>
          <w:bCs w:val="0"/>
        </w:rPr>
      </w:pPr>
      <w:r>
        <w:rPr>
          <w:rFonts w:ascii="宋体" w:hAnsi="宋体" w:cs="宋体" w:eastAsia="宋体" w:hint="default"/>
        </w:rPr>
        <w:t>17.</w:t>
      </w:r>
      <w:r>
        <w:rPr>
          <w:rFonts w:ascii="宋体" w:hAnsi="宋体" w:cs="宋体" w:eastAsia="宋体" w:hint="default"/>
          <w:spacing w:val="2"/>
        </w:rPr>
        <w:t> </w:t>
      </w:r>
      <w:r>
        <w:rPr/>
        <w:t>长期应收款</w:t>
      </w:r>
      <w:r>
        <w:rPr>
          <w:w w:val="100"/>
        </w:rPr>
        <w:t> </w:t>
      </w:r>
      <w:r>
        <w:rPr>
          <w:rFonts w:ascii="宋体" w:hAnsi="宋体" w:cs="宋体" w:eastAsia="宋体" w:hint="default"/>
          <w:spacing w:val="-1"/>
        </w:rPr>
        <w:t>(1).</w:t>
      </w:r>
      <w:r>
        <w:rPr>
          <w:spacing w:val="-1"/>
        </w:rPr>
        <w:t>长期应收款预期信用损失的确定方法及会计处理方法</w:t>
      </w:r>
      <w:r>
        <w:rPr>
          <w:b w:val="0"/>
          <w:bCs w:val="0"/>
          <w:spacing w:val="-1"/>
        </w:rPr>
      </w:r>
    </w:p>
    <w:p>
      <w:pPr>
        <w:pStyle w:val="BodyText"/>
        <w:spacing w:line="240" w:lineRule="auto" w:before="14"/>
        <w:ind w:left="140" w:right="10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宋体" w:hAnsi="宋体" w:cs="宋体" w:eastAsia="宋体" w:hint="default"/>
        </w:rPr>
        <w:t>18.</w:t>
      </w:r>
      <w:r>
        <w:rPr>
          <w:rFonts w:ascii="宋体" w:hAnsi="宋体" w:cs="宋体" w:eastAsia="宋体" w:hint="default"/>
          <w:spacing w:val="2"/>
        </w:rPr>
        <w:t> </w:t>
      </w:r>
      <w:r>
        <w:rPr/>
        <w:t>持有待售资产</w:t>
      </w:r>
      <w:r>
        <w:rPr>
          <w:b w:val="0"/>
          <w:bCs w:val="0"/>
        </w:rPr>
      </w:r>
    </w:p>
    <w:p>
      <w:pPr>
        <w:pStyle w:val="BodyText"/>
        <w:tabs>
          <w:tab w:pos="982" w:val="left" w:leader="none"/>
        </w:tabs>
        <w:spacing w:line="240" w:lineRule="auto" w:before="56"/>
        <w:ind w:left="140" w:right="106"/>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宋体" w:hAnsi="宋体" w:cs="宋体" w:eastAsia="宋体" w:hint="default"/>
        </w:rPr>
        <w:t>19.</w:t>
      </w:r>
      <w:r>
        <w:rPr>
          <w:rFonts w:ascii="宋体" w:hAnsi="宋体" w:cs="宋体" w:eastAsia="宋体" w:hint="default"/>
          <w:spacing w:val="3"/>
        </w:rPr>
        <w:t> </w:t>
      </w:r>
      <w:r>
        <w:rPr/>
        <w:t>长期股权投资</w:t>
      </w:r>
      <w:r>
        <w:rPr>
          <w:b w:val="0"/>
          <w:bCs w:val="0"/>
        </w:rPr>
      </w:r>
    </w:p>
    <w:p>
      <w:pPr>
        <w:pStyle w:val="BodyText"/>
        <w:tabs>
          <w:tab w:pos="982" w:val="left" w:leader="none"/>
        </w:tabs>
        <w:spacing w:line="273" w:lineRule="exact" w:before="58"/>
        <w:ind w:left="140" w:right="106"/>
        <w:jc w:val="left"/>
      </w:pPr>
      <w:r>
        <w:rPr/>
        <w:t>√适用</w:t>
        <w:tab/>
        <w:t>□不适用</w:t>
      </w:r>
    </w:p>
    <w:p>
      <w:pPr>
        <w:pStyle w:val="BodyText"/>
        <w:spacing w:line="355" w:lineRule="auto"/>
        <w:ind w:left="565" w:right="106" w:hanging="425"/>
        <w:jc w:val="left"/>
      </w:pPr>
      <w:r>
        <w:rPr>
          <w:rFonts w:ascii="宋体" w:hAnsi="宋体" w:cs="宋体" w:eastAsia="宋体" w:hint="default"/>
        </w:rPr>
        <w:t>19.1</w:t>
      </w:r>
      <w:r>
        <w:rPr>
          <w:rFonts w:ascii="宋体" w:hAnsi="宋体" w:cs="宋体" w:eastAsia="宋体" w:hint="default"/>
          <w:spacing w:val="-55"/>
        </w:rPr>
        <w:t> </w:t>
      </w:r>
      <w:r>
        <w:rPr/>
        <w:t>控制、共同控制、重大影响的判断标准</w:t>
      </w:r>
      <w:r>
        <w:rPr>
          <w:w w:val="100"/>
        </w:rPr>
        <w:t> </w:t>
      </w:r>
      <w:r>
        <w:rPr>
          <w:spacing w:val="-2"/>
        </w:rPr>
        <w:t>控制是指投资方拥有对被投资方的权力，通过参与被投资方的相关活动而享有可变回报，并且</w:t>
      </w:r>
    </w:p>
    <w:p>
      <w:pPr>
        <w:pStyle w:val="BodyText"/>
        <w:spacing w:line="357" w:lineRule="auto" w:before="34"/>
        <w:ind w:left="140" w:right="111"/>
        <w:jc w:val="both"/>
      </w:pPr>
      <w:r>
        <w:rPr>
          <w:spacing w:val="-2"/>
        </w:rPr>
        <w:t>有能力运用对被投资方的权力影响其回报金额。共同控制是指按照相关约定对某项安排所共有的控</w:t>
      </w:r>
      <w:r>
        <w:rPr>
          <w:spacing w:val="-30"/>
        </w:rPr>
        <w:t> </w:t>
      </w:r>
      <w:r>
        <w:rPr>
          <w:spacing w:val="-30"/>
        </w:rPr>
      </w:r>
      <w:r>
        <w:rPr>
          <w:spacing w:val="-2"/>
        </w:rPr>
        <w:t>制，并且该安排的相关活动必须经过分享控制权的参与方一致同意后才能决策。重大影响是指对被</w:t>
      </w:r>
      <w:r>
        <w:rPr>
          <w:spacing w:val="-31"/>
        </w:rPr>
        <w:t> </w:t>
      </w:r>
      <w:r>
        <w:rPr>
          <w:spacing w:val="-31"/>
        </w:rPr>
      </w:r>
      <w:r>
        <w:rPr>
          <w:spacing w:val="-2"/>
        </w:rPr>
        <w:t>投资方的财务和经营政策有参与决策的权力，但并不能够控制或者与其他方一起共同控制这些政策</w:t>
      </w:r>
      <w:r>
        <w:rPr>
          <w:spacing w:val="-30"/>
        </w:rPr>
        <w:t> </w:t>
      </w:r>
      <w:r>
        <w:rPr>
          <w:spacing w:val="-30"/>
        </w:rPr>
      </w:r>
      <w:r>
        <w:rPr>
          <w:spacing w:val="-2"/>
        </w:rPr>
        <w:t>的制定。在确定能否对被投资单位实施控制或施加重大影响时，已考虑投资方和其他方持有的被投</w:t>
      </w:r>
      <w:r>
        <w:rPr>
          <w:spacing w:val="-31"/>
        </w:rPr>
        <w:t> </w:t>
      </w:r>
      <w:r>
        <w:rPr>
          <w:spacing w:val="-31"/>
        </w:rPr>
      </w:r>
      <w:r>
        <w:rPr/>
        <w:t>资单位当期可转换公司债券、当期可执行认股权证等潜在表决权因素。</w:t>
      </w:r>
    </w:p>
    <w:p>
      <w:pPr>
        <w:spacing w:line="240" w:lineRule="auto" w:before="0"/>
        <w:rPr>
          <w:rFonts w:ascii="宋体" w:hAnsi="宋体" w:cs="宋体" w:eastAsia="宋体" w:hint="default"/>
          <w:sz w:val="20"/>
          <w:szCs w:val="20"/>
        </w:rPr>
      </w:pPr>
    </w:p>
    <w:p>
      <w:pPr>
        <w:pStyle w:val="BodyText"/>
        <w:spacing w:line="355" w:lineRule="auto" w:before="177"/>
        <w:ind w:left="565" w:right="106" w:hanging="425"/>
        <w:jc w:val="left"/>
      </w:pPr>
      <w:r>
        <w:rPr>
          <w:rFonts w:ascii="宋体" w:hAnsi="宋体" w:cs="宋体" w:eastAsia="宋体" w:hint="default"/>
        </w:rPr>
        <w:t>19.2</w:t>
      </w:r>
      <w:r>
        <w:rPr>
          <w:rFonts w:ascii="宋体" w:hAnsi="宋体" w:cs="宋体" w:eastAsia="宋体" w:hint="default"/>
          <w:spacing w:val="-55"/>
        </w:rPr>
        <w:t> </w:t>
      </w:r>
      <w:r>
        <w:rPr/>
        <w:t>初始投资成本的确定</w:t>
      </w:r>
      <w:r>
        <w:rPr>
          <w:w w:val="100"/>
        </w:rPr>
        <w:t> </w:t>
      </w:r>
      <w:r>
        <w:rPr>
          <w:spacing w:val="-2"/>
        </w:rPr>
        <w:t>对于同一控制下企业合并取得的长期股权投资，在合并日按照被合并方所有者权益在最终控制</w:t>
      </w:r>
    </w:p>
    <w:p>
      <w:pPr>
        <w:pStyle w:val="BodyText"/>
        <w:spacing w:line="357" w:lineRule="auto" w:before="32"/>
        <w:ind w:left="140" w:right="106"/>
        <w:jc w:val="left"/>
      </w:pPr>
      <w:r>
        <w:rPr>
          <w:spacing w:val="-2"/>
        </w:rPr>
        <w:t>方合并财务报表中的账面价值的份额作为长期股权投资的初始投资成本。长期股权投资初始投资成</w:t>
      </w:r>
      <w:r>
        <w:rPr>
          <w:spacing w:val="-30"/>
        </w:rPr>
        <w:t> </w:t>
      </w:r>
      <w:r>
        <w:rPr>
          <w:spacing w:val="-30"/>
        </w:rPr>
      </w:r>
      <w:r>
        <w:rPr/>
        <w:t>本与支付的合并对价的账面价值之间的差额，调整资本公积；资本不足冲减的调整留存收益。</w:t>
      </w:r>
    </w:p>
    <w:p>
      <w:pPr>
        <w:pStyle w:val="BodyText"/>
        <w:spacing w:line="355" w:lineRule="auto" w:before="30"/>
        <w:ind w:left="140" w:right="111" w:firstLine="424"/>
        <w:jc w:val="both"/>
      </w:pPr>
      <w:r>
        <w:rPr>
          <w:spacing w:val="-2"/>
        </w:rPr>
        <w:t>对于非同一控制下的企业合并取得的长期股权投资，按照合并成本作为长期股权投资的投资成</w:t>
      </w:r>
      <w:r>
        <w:rPr>
          <w:w w:val="100"/>
        </w:rPr>
        <w:t> </w:t>
      </w:r>
      <w:r>
        <w:rPr>
          <w:spacing w:val="-2"/>
        </w:rPr>
        <w:t>本。对于多次交易实现非同一控制下的企业合并，长期股权投资成本为购买日之前所持被购买方的</w:t>
      </w:r>
      <w:r>
        <w:rPr>
          <w:spacing w:val="-30"/>
        </w:rPr>
        <w:t> </w:t>
      </w:r>
      <w:r>
        <w:rPr>
          <w:spacing w:val="-30"/>
        </w:rPr>
      </w:r>
      <w:r>
        <w:rPr/>
        <w:t>股权投资的账面价值与购买日新增投资成本之和。</w:t>
      </w:r>
    </w:p>
    <w:p>
      <w:pPr>
        <w:pStyle w:val="BodyText"/>
        <w:spacing w:line="357" w:lineRule="auto" w:before="34"/>
        <w:ind w:left="140" w:right="111" w:firstLine="424"/>
        <w:jc w:val="both"/>
      </w:pPr>
      <w:r>
        <w:rPr>
          <w:spacing w:val="-2"/>
        </w:rPr>
        <w:t>合并方或购买方为企业合并发生的审计、法律服务、评估咨询等中介费用以及其他相关管理费</w:t>
      </w:r>
      <w:r>
        <w:rPr>
          <w:w w:val="100"/>
        </w:rPr>
        <w:t> </w:t>
      </w:r>
      <w:r>
        <w:rPr/>
        <w:t>用，于发生时计入当期损益。</w:t>
      </w:r>
    </w:p>
    <w:p>
      <w:pPr>
        <w:spacing w:after="0" w:line="357" w:lineRule="auto"/>
        <w:jc w:val="both"/>
        <w:sectPr>
          <w:pgSz w:w="11910" w:h="16840"/>
          <w:pgMar w:header="882" w:footer="1195" w:top="112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712" w:lineRule="auto" w:before="36"/>
        <w:ind w:left="140" w:right="1558" w:firstLine="424"/>
        <w:jc w:val="left"/>
      </w:pPr>
      <w:r>
        <w:rPr>
          <w:spacing w:val="-2"/>
        </w:rPr>
        <w:t>除企业合并形成的长期股权投资外的其他股权投资，按成本进行初始计量。</w:t>
      </w:r>
      <w:r>
        <w:rPr>
          <w:w w:val="100"/>
        </w:rPr>
        <w:t> </w:t>
      </w:r>
      <w:r>
        <w:rPr>
          <w:rFonts w:ascii="宋体" w:hAnsi="宋体" w:cs="宋体" w:eastAsia="宋体" w:hint="default"/>
        </w:rPr>
        <w:t>19.3</w:t>
      </w:r>
      <w:r>
        <w:rPr>
          <w:rFonts w:ascii="宋体" w:hAnsi="宋体" w:cs="宋体" w:eastAsia="宋体" w:hint="default"/>
          <w:spacing w:val="-55"/>
        </w:rPr>
        <w:t> </w:t>
      </w:r>
      <w:r>
        <w:rPr/>
        <w:t>后续计量及损益确认方法</w:t>
      </w:r>
    </w:p>
    <w:p>
      <w:pPr>
        <w:pStyle w:val="BodyText"/>
        <w:spacing w:line="355" w:lineRule="auto" w:before="130"/>
        <w:ind w:left="565" w:right="117" w:hanging="425"/>
        <w:jc w:val="left"/>
      </w:pPr>
      <w:r>
        <w:rPr>
          <w:rFonts w:ascii="宋体" w:hAnsi="宋体" w:cs="宋体" w:eastAsia="宋体" w:hint="default"/>
        </w:rPr>
        <w:t>19.3.1</w:t>
      </w:r>
      <w:r>
        <w:rPr>
          <w:rFonts w:ascii="宋体" w:hAnsi="宋体" w:cs="宋体" w:eastAsia="宋体" w:hint="default"/>
          <w:spacing w:val="-53"/>
        </w:rPr>
        <w:t> </w:t>
      </w:r>
      <w:r>
        <w:rPr/>
        <w:t>按成本法核算的长期股权投资</w:t>
      </w:r>
      <w:r>
        <w:rPr>
          <w:w w:val="100"/>
        </w:rPr>
        <w:t> </w:t>
      </w:r>
      <w:r>
        <w:rPr>
          <w:spacing w:val="-2"/>
        </w:rPr>
        <w:t>公司财务报表采用成本法核算对子公司的长期股权投资。子公司是指本集团能够对其实施控制</w:t>
      </w:r>
    </w:p>
    <w:p>
      <w:pPr>
        <w:pStyle w:val="BodyText"/>
        <w:spacing w:line="355" w:lineRule="auto" w:before="32"/>
        <w:ind w:left="565" w:right="117" w:hanging="425"/>
        <w:jc w:val="left"/>
      </w:pPr>
      <w:r>
        <w:rPr/>
        <w:t>的被投资主体。</w:t>
      </w:r>
      <w:r>
        <w:rPr>
          <w:spacing w:val="-103"/>
        </w:rPr>
        <w:t> </w:t>
      </w:r>
      <w:r>
        <w:rPr>
          <w:spacing w:val="-103"/>
        </w:rPr>
      </w:r>
      <w:r>
        <w:rPr>
          <w:spacing w:val="-2"/>
        </w:rPr>
        <w:t>采用成本法核算的长期股权投资按初始投资成本计量。当期投资收益按照享有被投资单位宣告</w:t>
      </w:r>
    </w:p>
    <w:p>
      <w:pPr>
        <w:pStyle w:val="BodyText"/>
        <w:spacing w:line="240" w:lineRule="auto" w:before="33"/>
        <w:ind w:left="140" w:right="117"/>
        <w:jc w:val="left"/>
      </w:pPr>
      <w:r>
        <w:rPr/>
        <w:t>发放的现金股利或利润确认。</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ind w:left="560" w:right="117" w:hanging="420"/>
        <w:jc w:val="left"/>
      </w:pPr>
      <w:r>
        <w:rPr>
          <w:rFonts w:ascii="宋体" w:hAnsi="宋体" w:cs="宋体" w:eastAsia="宋体" w:hint="default"/>
        </w:rPr>
        <w:t>19.3.2</w:t>
      </w:r>
      <w:r>
        <w:rPr>
          <w:rFonts w:ascii="宋体" w:hAnsi="宋体" w:cs="宋体" w:eastAsia="宋体" w:hint="default"/>
          <w:spacing w:val="-53"/>
        </w:rPr>
        <w:t> </w:t>
      </w:r>
      <w:r>
        <w:rPr/>
        <w:t>按权益法核算的长期股权投资</w:t>
      </w:r>
      <w:r>
        <w:rPr>
          <w:w w:val="100"/>
        </w:rPr>
        <w:t> </w:t>
      </w:r>
      <w:r>
        <w:rPr>
          <w:spacing w:val="-2"/>
        </w:rPr>
        <w:t>本集团对联营企业和合营企业的投资采用权益法核算。联营企业是指本集团能够对其施加重大</w:t>
      </w:r>
    </w:p>
    <w:p>
      <w:pPr>
        <w:pStyle w:val="BodyText"/>
        <w:spacing w:line="357" w:lineRule="auto" w:before="32"/>
        <w:ind w:left="565" w:right="117" w:hanging="425"/>
        <w:jc w:val="left"/>
      </w:pPr>
      <w:r>
        <w:rPr/>
        <w:t>影响的被投资单位，合营企业的定义参见</w:t>
      </w:r>
      <w:r>
        <w:rPr>
          <w:spacing w:val="-53"/>
        </w:rPr>
        <w:t> </w:t>
      </w:r>
      <w:r>
        <w:rPr>
          <w:rFonts w:ascii="宋体" w:hAnsi="宋体" w:cs="宋体" w:eastAsia="宋体" w:hint="default"/>
        </w:rPr>
        <w:t>7</w:t>
      </w:r>
      <w:r>
        <w:rPr/>
        <w:t>。</w:t>
      </w:r>
      <w:r>
        <w:rPr>
          <w:w w:val="100"/>
        </w:rPr>
        <w:t> </w:t>
      </w:r>
      <w:r>
        <w:rPr>
          <w:spacing w:val="-2"/>
        </w:rPr>
        <w:t>采用权益法核算时，长期股权投资的初始投资成本大于投资时应享有被投资单位可辨认净资产</w:t>
      </w:r>
    </w:p>
    <w:p>
      <w:pPr>
        <w:pStyle w:val="BodyText"/>
        <w:spacing w:line="355" w:lineRule="auto" w:before="30"/>
        <w:ind w:left="140" w:right="117"/>
        <w:jc w:val="left"/>
      </w:pPr>
      <w:r>
        <w:rPr>
          <w:spacing w:val="-2"/>
        </w:rPr>
        <w:t>公允价值份额的，不调整长期股权投资的初始投资成本；初始投资成本小于投资时应享有被投资单</w:t>
      </w:r>
      <w:r>
        <w:rPr>
          <w:spacing w:val="-30"/>
        </w:rPr>
        <w:t> </w:t>
      </w:r>
      <w:r>
        <w:rPr>
          <w:spacing w:val="-30"/>
        </w:rPr>
      </w:r>
      <w:r>
        <w:rPr/>
        <w:t>位可辨认净资产公允价值份额的，其差额计入当期损益，同时调整长期股权投资的成本。</w:t>
      </w:r>
    </w:p>
    <w:p>
      <w:pPr>
        <w:pStyle w:val="BodyText"/>
        <w:spacing w:line="357" w:lineRule="auto" w:before="32"/>
        <w:ind w:left="140" w:right="117" w:firstLine="424"/>
        <w:jc w:val="left"/>
      </w:pPr>
      <w:r>
        <w:rPr/>
        <w:t>采用权益法核算时，按照应享有或应分担的被投资单位当年实现的净损益和其他综合收益的份</w:t>
      </w:r>
      <w:r>
        <w:rPr>
          <w:w w:val="100"/>
        </w:rPr>
        <w:t> </w:t>
      </w:r>
      <w:r>
        <w:rPr/>
        <w:t>额分别确认投资收益和其他综合收益，同时调整长期股权投资的账面价值；按照被投资单位宣告分</w:t>
      </w:r>
      <w:r>
        <w:rPr>
          <w:w w:val="100"/>
        </w:rPr>
        <w:t> </w:t>
      </w:r>
      <w:r>
        <w:rPr/>
        <w:t>派的利润或现金股利计算应享有的部分，相应减少长期股权投资的账面价值；对于被投资单位除净</w:t>
      </w:r>
      <w:r>
        <w:rPr>
          <w:w w:val="100"/>
        </w:rPr>
        <w:t> </w:t>
      </w:r>
      <w:r>
        <w:rPr/>
        <w:t>损益、其他综合收益和利润分配以外所有者权益的其他变动，调整长期股权投资的账面价值并计入</w:t>
      </w:r>
      <w:r>
        <w:rPr>
          <w:w w:val="100"/>
        </w:rPr>
        <w:t> </w:t>
      </w:r>
      <w:r>
        <w:rPr/>
        <w:t>资本公积。在确认应享有被投资单位净损益的份额时，以取得投资时被投资单位各项可辨认资产等</w:t>
      </w:r>
      <w:r>
        <w:rPr>
          <w:w w:val="100"/>
        </w:rPr>
        <w:t> </w:t>
      </w:r>
      <w:r>
        <w:rPr>
          <w:spacing w:val="-4"/>
        </w:rPr>
        <w:t>的公允价值为基础，并按照本集团的会计政策及会计期间，对被投资单位的净利润进行调整后确认。</w:t>
      </w:r>
      <w:r>
        <w:rPr>
          <w:spacing w:val="-44"/>
        </w:rPr>
        <w:t> </w:t>
      </w:r>
      <w:r>
        <w:rPr>
          <w:spacing w:val="-44"/>
        </w:rPr>
      </w:r>
      <w:r>
        <w:rPr/>
        <w:t>对于本集团与联营企业及合营企业之间发生的交易不构成业务的，未实现内部交易损益按照持股比</w:t>
      </w:r>
      <w:r>
        <w:rPr>
          <w:w w:val="100"/>
        </w:rPr>
        <w:t> </w:t>
      </w:r>
      <w:r>
        <w:rPr/>
        <w:t>例计算属于本集团的部分予以抵销，在此基础上确认投资损益。但本集团与被投资单位发生的未实</w:t>
      </w:r>
      <w:r>
        <w:rPr>
          <w:w w:val="100"/>
        </w:rPr>
        <w:t> </w:t>
      </w:r>
      <w:r>
        <w:rPr/>
        <w:t>现内部交易损失，属于所转让资产减值损失的，不予以抵销。对被投资单位除净损益、其他综合收</w:t>
      </w:r>
      <w:r>
        <w:rPr>
          <w:w w:val="100"/>
        </w:rPr>
        <w:t> </w:t>
      </w:r>
      <w:r>
        <w:rPr/>
        <w:t>益和利润分配以外的所有者权益的其他变动，相应调整长期股权投资的账面价值并计入资本公积。</w:t>
      </w:r>
    </w:p>
    <w:p>
      <w:pPr>
        <w:pStyle w:val="BodyText"/>
        <w:spacing w:line="357" w:lineRule="auto" w:before="30"/>
        <w:ind w:left="140" w:right="117" w:firstLine="424"/>
        <w:jc w:val="left"/>
      </w:pPr>
      <w:r>
        <w:rPr/>
        <w:t>在确认应分担被投资单位发生的净亏损时，以长期股权投资的账面价值和其他实质上构成对被</w:t>
      </w:r>
      <w:r>
        <w:rPr>
          <w:w w:val="100"/>
        </w:rPr>
        <w:t> </w:t>
      </w:r>
      <w:r>
        <w:rPr>
          <w:spacing w:val="-4"/>
        </w:rPr>
        <w:t>投资单位净投资的长期权益减记至零为限。此外，如本集团对被投资单位负有承担额外损失的义务，</w:t>
      </w:r>
      <w:r>
        <w:rPr>
          <w:spacing w:val="-45"/>
        </w:rPr>
        <w:t> </w:t>
      </w:r>
      <w:r>
        <w:rPr>
          <w:spacing w:val="-45"/>
        </w:rPr>
      </w:r>
      <w:r>
        <w:rPr/>
        <w:t>则按预计承担的义务确认预计负债，计入当期投资损失。被投资单位以后期间实现净利润的，本集</w:t>
      </w:r>
      <w:r>
        <w:rPr>
          <w:w w:val="100"/>
        </w:rPr>
        <w:t> </w:t>
      </w:r>
      <w:r>
        <w:rPr/>
        <w:t>团在收益分享额弥补未确认的亏损分担额后，恢复确认收益分享额。</w:t>
      </w:r>
    </w:p>
    <w:p>
      <w:pPr>
        <w:spacing w:line="240" w:lineRule="auto" w:before="0"/>
        <w:rPr>
          <w:rFonts w:ascii="宋体" w:hAnsi="宋体" w:cs="宋体" w:eastAsia="宋体" w:hint="default"/>
          <w:sz w:val="20"/>
          <w:szCs w:val="20"/>
        </w:rPr>
      </w:pPr>
    </w:p>
    <w:p>
      <w:pPr>
        <w:pStyle w:val="BodyText"/>
        <w:spacing w:line="240" w:lineRule="auto" w:before="177"/>
        <w:ind w:left="140" w:right="117"/>
        <w:jc w:val="left"/>
      </w:pPr>
      <w:r>
        <w:rPr>
          <w:rFonts w:ascii="宋体" w:hAnsi="宋体" w:cs="宋体" w:eastAsia="宋体" w:hint="default"/>
        </w:rPr>
        <w:t>19.3.3</w:t>
      </w:r>
      <w:r>
        <w:rPr>
          <w:rFonts w:ascii="宋体" w:hAnsi="宋体" w:cs="宋体" w:eastAsia="宋体" w:hint="default"/>
          <w:spacing w:val="-55"/>
        </w:rPr>
        <w:t> </w:t>
      </w:r>
      <w:r>
        <w:rPr/>
        <w:t>长期股权投资处置</w:t>
      </w:r>
    </w:p>
    <w:p>
      <w:pPr>
        <w:spacing w:after="0" w:line="240" w:lineRule="auto"/>
        <w:jc w:val="left"/>
        <w:sectPr>
          <w:pgSz w:w="11910" w:h="16840"/>
          <w:pgMar w:header="882"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right="211" w:firstLine="420"/>
        <w:jc w:val="both"/>
      </w:pPr>
      <w:r>
        <w:rPr>
          <w:spacing w:val="-2"/>
        </w:rPr>
        <w:t>处置长期股权投资时，其账面价值与实际取得价款的差额，计入当期损益。采用权益法核算的</w:t>
      </w:r>
      <w:r>
        <w:rPr>
          <w:spacing w:val="-3"/>
          <w:w w:val="100"/>
        </w:rPr>
        <w:t> </w:t>
      </w:r>
      <w:r>
        <w:rPr>
          <w:spacing w:val="-2"/>
        </w:rPr>
        <w:t>长期股权投资，在处置时采用与被投资单位直接处置相关资产或负债相同的基础，按相应的比例对</w:t>
      </w:r>
      <w:r>
        <w:rPr>
          <w:spacing w:val="-29"/>
        </w:rPr>
        <w:t> </w:t>
      </w:r>
      <w:r>
        <w:rPr>
          <w:spacing w:val="-29"/>
        </w:rPr>
      </w:r>
      <w:r>
        <w:rPr/>
        <w:t>原计入其他综合收益的部分进行会计处理。</w:t>
      </w:r>
    </w:p>
    <w:p>
      <w:pPr>
        <w:spacing w:line="240" w:lineRule="auto" w:before="13"/>
        <w:rPr>
          <w:rFonts w:ascii="宋体" w:hAnsi="宋体" w:cs="宋体" w:eastAsia="宋体" w:hint="default"/>
          <w:sz w:val="27"/>
          <w:szCs w:val="27"/>
        </w:rPr>
      </w:pPr>
    </w:p>
    <w:p>
      <w:pPr>
        <w:pStyle w:val="Heading2"/>
        <w:spacing w:line="290" w:lineRule="auto"/>
        <w:ind w:right="6273"/>
        <w:jc w:val="left"/>
        <w:rPr>
          <w:rFonts w:ascii="宋体" w:hAnsi="宋体" w:cs="宋体" w:eastAsia="宋体" w:hint="default"/>
          <w:b w:val="0"/>
          <w:bCs w:val="0"/>
        </w:rPr>
      </w:pPr>
      <w:r>
        <w:rPr>
          <w:rFonts w:ascii="宋体" w:hAnsi="宋体" w:cs="宋体" w:eastAsia="宋体" w:hint="default"/>
        </w:rPr>
        <w:t>20.</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357" w:lineRule="auto" w:before="89"/>
        <w:ind w:right="211" w:firstLine="424"/>
        <w:jc w:val="both"/>
      </w:pPr>
      <w:r>
        <w:rPr>
          <w:spacing w:val="-2"/>
        </w:rPr>
        <w:t>投资性房地产是指为赚取租金或资本增值，或两者兼有而持有的房地产。包括已出租的土地使</w:t>
      </w:r>
      <w:r>
        <w:rPr>
          <w:w w:val="100"/>
        </w:rPr>
        <w:t> </w:t>
      </w:r>
      <w:r>
        <w:rPr/>
        <w:t>用权、持有并准备增值后转让的土地使用权、已出租的建筑物等。</w:t>
      </w:r>
    </w:p>
    <w:p>
      <w:pPr>
        <w:pStyle w:val="BodyText"/>
        <w:spacing w:line="357" w:lineRule="auto" w:before="30"/>
        <w:ind w:right="211" w:firstLine="424"/>
        <w:jc w:val="both"/>
      </w:pPr>
      <w:r>
        <w:rPr>
          <w:spacing w:val="-2"/>
        </w:rPr>
        <w:t>投资性房地产按成本进行初始计量。与投资性房地产有关的后续支出，如果与该资产有关的经</w:t>
      </w:r>
      <w:r>
        <w:rPr>
          <w:w w:val="100"/>
        </w:rPr>
        <w:t> </w:t>
      </w:r>
      <w:r>
        <w:rPr>
          <w:spacing w:val="-2"/>
        </w:rPr>
        <w:t>济利益很可能流入且其成本能可靠地计量，则计入投资性房地产成本。其他后续支出，在发生时计</w:t>
      </w:r>
      <w:r>
        <w:rPr>
          <w:spacing w:val="-30"/>
        </w:rPr>
        <w:t> </w:t>
      </w:r>
      <w:r>
        <w:rPr>
          <w:spacing w:val="-30"/>
        </w:rPr>
      </w:r>
      <w:r>
        <w:rPr/>
        <w:t>入当期损益。</w:t>
      </w:r>
    </w:p>
    <w:p>
      <w:pPr>
        <w:pStyle w:val="BodyText"/>
        <w:spacing w:line="355" w:lineRule="auto" w:before="30"/>
        <w:ind w:right="211" w:firstLine="424"/>
        <w:jc w:val="both"/>
      </w:pPr>
      <w:r>
        <w:rPr>
          <w:spacing w:val="-2"/>
        </w:rPr>
        <w:t>本集团采用成本模式对投资性房地产进行后续计量，并按照与房屋建筑物或土地使用权一致的</w:t>
      </w:r>
      <w:r>
        <w:rPr>
          <w:w w:val="100"/>
        </w:rPr>
        <w:t> </w:t>
      </w:r>
      <w:r>
        <w:rPr/>
        <w:t>政策进行折旧或摊销。</w:t>
      </w:r>
    </w:p>
    <w:p>
      <w:pPr>
        <w:pStyle w:val="BodyText"/>
        <w:spacing w:line="355" w:lineRule="auto" w:before="34"/>
        <w:ind w:right="211" w:firstLine="424"/>
        <w:jc w:val="both"/>
      </w:pPr>
      <w:r>
        <w:rPr>
          <w:spacing w:val="-2"/>
        </w:rPr>
        <w:t>投资性房地产出售、转让、报废或毁损的处置收入扣除其账面价值和相关税费后的差额计入当</w:t>
      </w:r>
      <w:r>
        <w:rPr>
          <w:w w:val="100"/>
        </w:rPr>
        <w:t> </w:t>
      </w:r>
      <w:r>
        <w:rPr/>
        <w:t>期损益。</w:t>
      </w:r>
    </w:p>
    <w:p>
      <w:pPr>
        <w:spacing w:line="240" w:lineRule="auto" w:before="11"/>
        <w:rPr>
          <w:rFonts w:ascii="宋体" w:hAnsi="宋体" w:cs="宋体" w:eastAsia="宋体" w:hint="default"/>
          <w:sz w:val="27"/>
          <w:szCs w:val="27"/>
        </w:rPr>
      </w:pPr>
    </w:p>
    <w:p>
      <w:pPr>
        <w:pStyle w:val="Heading2"/>
        <w:spacing w:line="290" w:lineRule="auto"/>
        <w:ind w:right="7957"/>
        <w:jc w:val="left"/>
        <w:rPr>
          <w:b w:val="0"/>
          <w:bCs w:val="0"/>
        </w:rPr>
      </w:pPr>
      <w:r>
        <w:rPr>
          <w:rFonts w:ascii="宋体" w:hAnsi="宋体" w:cs="宋体" w:eastAsia="宋体" w:hint="default"/>
        </w:rPr>
        <w:t>21.</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12"/>
        <w:ind w:left="645" w:right="205" w:hanging="425"/>
        <w:jc w:val="left"/>
      </w:pPr>
      <w:r>
        <w:rPr/>
        <w:t>√适用</w:t>
      </w:r>
      <w:r>
        <w:rPr>
          <w:spacing w:val="-2"/>
        </w:rPr>
        <w:t> </w:t>
      </w:r>
      <w:r>
        <w:rPr/>
        <w:t>□不适用</w:t>
      </w:r>
      <w:r>
        <w:rPr>
          <w:spacing w:val="-103"/>
        </w:rPr>
        <w:t> </w:t>
      </w:r>
      <w:r>
        <w:rPr>
          <w:spacing w:val="-103"/>
        </w:rPr>
      </w:r>
      <w:r>
        <w:rPr>
          <w:spacing w:val="-2"/>
        </w:rPr>
        <w:t>固定资产是指为销售商品、提供劳务、出租或经营管理而持有的，使用寿命超过一个会计年度</w:t>
      </w:r>
    </w:p>
    <w:p>
      <w:pPr>
        <w:pStyle w:val="BodyText"/>
        <w:spacing w:line="355" w:lineRule="auto" w:before="133"/>
        <w:ind w:right="205"/>
        <w:jc w:val="left"/>
      </w:pPr>
      <w:r>
        <w:rPr>
          <w:spacing w:val="-2"/>
        </w:rPr>
        <w:t>的有形资产。固定资产仅在与其有关的经济利益很可能流入本集团，且其成本能够可靠地计量时才</w:t>
      </w:r>
      <w:r>
        <w:rPr>
          <w:spacing w:val="-31"/>
        </w:rPr>
        <w:t> </w:t>
      </w:r>
      <w:r>
        <w:rPr>
          <w:spacing w:val="-31"/>
        </w:rPr>
      </w:r>
      <w:r>
        <w:rPr/>
        <w:t>予以确认。固定资产按成本进行初始计量。</w:t>
      </w:r>
    </w:p>
    <w:p>
      <w:pPr>
        <w:pStyle w:val="BodyText"/>
        <w:spacing w:line="357" w:lineRule="auto" w:before="34"/>
        <w:ind w:right="211" w:firstLine="424"/>
        <w:jc w:val="both"/>
      </w:pPr>
      <w:r>
        <w:rPr>
          <w:spacing w:val="-2"/>
        </w:rPr>
        <w:t>与固定资产有关的后续支出，如果与该固定资产有关的经济利益很可能流入且其成本能可靠地</w:t>
      </w:r>
      <w:r>
        <w:rPr>
          <w:w w:val="100"/>
        </w:rPr>
        <w:t> </w:t>
      </w:r>
      <w:r>
        <w:rPr>
          <w:spacing w:val="-2"/>
        </w:rPr>
        <w:t>计量，则计入固定资产成本，并终止确认被替换部分的账面价值。除此以外的其他后续支出，在发</w:t>
      </w:r>
      <w:r>
        <w:rPr>
          <w:spacing w:val="-34"/>
        </w:rPr>
        <w:t> </w:t>
      </w:r>
      <w:r>
        <w:rPr>
          <w:spacing w:val="-34"/>
        </w:rPr>
      </w:r>
      <w:r>
        <w:rPr/>
        <w:t>生时计入当期损益。</w:t>
      </w:r>
    </w:p>
    <w:p>
      <w:pPr>
        <w:pStyle w:val="BodyText"/>
        <w:spacing w:line="355" w:lineRule="auto" w:before="30"/>
        <w:ind w:right="211" w:firstLine="424"/>
        <w:jc w:val="both"/>
      </w:pPr>
      <w:r>
        <w:rPr>
          <w:spacing w:val="-2"/>
        </w:rPr>
        <w:t>当固定资产处置时或预期通过使用或处置不能产生经济利益时，终止确认该固定资产。固定资</w:t>
      </w:r>
      <w:r>
        <w:rPr>
          <w:w w:val="100"/>
        </w:rPr>
        <w:t> </w:t>
      </w:r>
      <w:r>
        <w:rPr/>
        <w:t>产出售、转让、报废或毁损的处置收入扣除其账面价值和相关税费后的差额计入当期损益。</w:t>
      </w:r>
    </w:p>
    <w:p>
      <w:pPr>
        <w:spacing w:line="240" w:lineRule="auto" w:before="13"/>
        <w:rPr>
          <w:rFonts w:ascii="宋体" w:hAnsi="宋体" w:cs="宋体" w:eastAsia="宋体" w:hint="default"/>
          <w:sz w:val="27"/>
          <w:szCs w:val="27"/>
        </w:rPr>
      </w:pPr>
    </w:p>
    <w:p>
      <w:pPr>
        <w:pStyle w:val="Heading2"/>
        <w:spacing w:line="240" w:lineRule="auto"/>
        <w:ind w:right="205"/>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8"/>
        <w:ind w:right="205"/>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754"/>
        <w:gridCol w:w="1873"/>
        <w:gridCol w:w="1872"/>
        <w:gridCol w:w="1872"/>
        <w:gridCol w:w="1873"/>
      </w:tblGrid>
      <w:tr>
        <w:trPr>
          <w:trHeight w:val="283"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8-40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2.50-12.50%</w:t>
            </w:r>
          </w:p>
        </w:tc>
      </w:tr>
      <w:tr>
        <w:trPr>
          <w:trHeight w:val="283"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0-3%</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9.70-20.00%</w:t>
            </w:r>
          </w:p>
        </w:tc>
      </w:tr>
      <w:tr>
        <w:trPr>
          <w:trHeight w:val="284"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5-8</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0-3%</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12.13-20.00%</w:t>
            </w:r>
          </w:p>
        </w:tc>
      </w:tr>
      <w:tr>
        <w:trPr>
          <w:trHeight w:val="281"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5-8</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0-3%</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12.13-20.00%</w:t>
            </w:r>
          </w:p>
        </w:tc>
      </w:tr>
    </w:tbl>
    <w:p>
      <w:pPr>
        <w:spacing w:after="0" w:line="241" w:lineRule="exact"/>
        <w:jc w:val="left"/>
        <w:rPr>
          <w:rFonts w:ascii="宋体" w:hAnsi="宋体" w:cs="宋体" w:eastAsia="宋体" w:hint="default"/>
          <w:sz w:val="21"/>
          <w:szCs w:val="21"/>
        </w:rPr>
        <w:sectPr>
          <w:footerReference w:type="default" r:id="rId39"/>
          <w:pgSz w:w="11910" w:h="16840"/>
          <w:pgMar w:footer="1195" w:header="882" w:top="112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565" w:right="106" w:hanging="5"/>
        <w:jc w:val="left"/>
      </w:pPr>
      <w:r>
        <w:rPr/>
        <w:t>固定资产从达到预定可使用状态的次月起，采用年限平均法在使用寿命内计提折旧。</w:t>
      </w:r>
      <w:r>
        <w:rPr>
          <w:w w:val="100"/>
        </w:rPr>
        <w:t> </w:t>
      </w:r>
      <w:r>
        <w:rPr>
          <w:spacing w:val="-2"/>
        </w:rPr>
        <w:t>预计净残值是指假定固定资产预计使用寿命已满并处于使用寿命终了时的预期状态，本集团目</w:t>
      </w:r>
    </w:p>
    <w:p>
      <w:pPr>
        <w:pStyle w:val="BodyText"/>
        <w:spacing w:line="355" w:lineRule="auto" w:before="32"/>
        <w:ind w:left="560" w:right="106" w:hanging="420"/>
        <w:jc w:val="left"/>
      </w:pPr>
      <w:r>
        <w:rPr/>
        <w:t>前从该项资产处置中获得的扣除预计处置费用后的金额。</w:t>
      </w:r>
      <w:r>
        <w:rPr>
          <w:w w:val="100"/>
        </w:rPr>
        <w:t> </w:t>
      </w:r>
      <w:r>
        <w:rPr>
          <w:spacing w:val="-2"/>
        </w:rPr>
        <w:t>本集团至少于年度终了时对固定资产的使用寿命、预计净残值和折旧方法进行复核，如发生改</w:t>
      </w:r>
    </w:p>
    <w:p>
      <w:pPr>
        <w:pStyle w:val="BodyText"/>
        <w:spacing w:line="240" w:lineRule="auto" w:before="34"/>
        <w:ind w:left="140" w:right="106"/>
        <w:jc w:val="left"/>
      </w:pPr>
      <w:r>
        <w:rPr/>
        <w:t>变则作为会计估计变更处理。</w:t>
      </w:r>
    </w:p>
    <w:p>
      <w:pPr>
        <w:spacing w:line="240" w:lineRule="auto" w:before="10"/>
        <w:rPr>
          <w:rFonts w:ascii="宋体" w:hAnsi="宋体" w:cs="宋体" w:eastAsia="宋体" w:hint="default"/>
          <w:sz w:val="14"/>
          <w:szCs w:val="14"/>
        </w:rPr>
      </w:pPr>
    </w:p>
    <w:p>
      <w:pPr>
        <w:pStyle w:val="Heading2"/>
        <w:spacing w:line="240" w:lineRule="auto"/>
        <w:ind w:left="140" w:right="106"/>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982" w:val="left" w:leader="none"/>
        </w:tabs>
        <w:spacing w:line="240" w:lineRule="auto" w:before="56"/>
        <w:ind w:left="140" w:right="106"/>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宋体" w:hAnsi="宋体" w:cs="宋体" w:eastAsia="宋体" w:hint="default"/>
        </w:rPr>
        <w:t>22.</w:t>
      </w:r>
      <w:r>
        <w:rPr>
          <w:rFonts w:ascii="宋体" w:hAnsi="宋体" w:cs="宋体" w:eastAsia="宋体" w:hint="default"/>
          <w:spacing w:val="2"/>
        </w:rPr>
        <w:t> </w:t>
      </w:r>
      <w:r>
        <w:rPr/>
        <w:t>在建工程</w:t>
      </w:r>
      <w:r>
        <w:rPr>
          <w:b w:val="0"/>
          <w:bCs w:val="0"/>
        </w:rPr>
      </w:r>
    </w:p>
    <w:p>
      <w:pPr>
        <w:pStyle w:val="BodyText"/>
        <w:tabs>
          <w:tab w:pos="982" w:val="left" w:leader="none"/>
        </w:tabs>
        <w:spacing w:line="272" w:lineRule="exact" w:before="86"/>
        <w:ind w:left="560" w:right="117" w:hanging="420"/>
        <w:jc w:val="left"/>
      </w:pPr>
      <w:r>
        <w:rPr/>
        <w:t>√适用</w:t>
        <w:tab/>
        <w:t>□不适用</w:t>
      </w:r>
      <w:r>
        <w:rPr>
          <w:w w:val="100"/>
        </w:rPr>
        <w:t> </w:t>
      </w:r>
      <w:r>
        <w:rPr>
          <w:spacing w:val="-2"/>
        </w:rPr>
        <w:t>在建工程按实际成本计量，实际成本包括在建期间发生的各项工程支出、工程达到预定可使用</w:t>
      </w:r>
    </w:p>
    <w:p>
      <w:pPr>
        <w:pStyle w:val="BodyText"/>
        <w:spacing w:line="357" w:lineRule="auto" w:before="108"/>
        <w:ind w:left="140" w:right="106"/>
        <w:jc w:val="left"/>
      </w:pPr>
      <w:r>
        <w:rPr>
          <w:spacing w:val="-2"/>
        </w:rPr>
        <w:t>状态前的资本化的借款费用以及其他相关费用等。在建工程不计提折旧。在建工程在达到预定可使</w:t>
      </w:r>
      <w:r>
        <w:rPr>
          <w:spacing w:val="-30"/>
        </w:rPr>
        <w:t> </w:t>
      </w:r>
      <w:r>
        <w:rPr>
          <w:spacing w:val="-30"/>
        </w:rPr>
      </w:r>
      <w:r>
        <w:rPr/>
        <w:t>用状态后结转为固定资产。</w:t>
      </w:r>
    </w:p>
    <w:p>
      <w:pPr>
        <w:spacing w:line="240" w:lineRule="auto" w:before="8"/>
        <w:rPr>
          <w:rFonts w:ascii="宋体" w:hAnsi="宋体" w:cs="宋体" w:eastAsia="宋体" w:hint="default"/>
          <w:sz w:val="27"/>
          <w:szCs w:val="27"/>
        </w:rPr>
      </w:pPr>
    </w:p>
    <w:p>
      <w:pPr>
        <w:pStyle w:val="Heading2"/>
        <w:spacing w:line="240" w:lineRule="auto"/>
        <w:ind w:left="140" w:right="106"/>
        <w:jc w:val="left"/>
        <w:rPr>
          <w:b w:val="0"/>
          <w:bCs w:val="0"/>
        </w:rPr>
      </w:pPr>
      <w:r>
        <w:rPr>
          <w:rFonts w:ascii="宋体" w:hAnsi="宋体" w:cs="宋体" w:eastAsia="宋体" w:hint="default"/>
        </w:rPr>
        <w:t>23.</w:t>
      </w:r>
      <w:r>
        <w:rPr>
          <w:rFonts w:ascii="宋体" w:hAnsi="宋体" w:cs="宋体" w:eastAsia="宋体" w:hint="default"/>
          <w:spacing w:val="2"/>
        </w:rPr>
        <w:t> </w:t>
      </w:r>
      <w:r>
        <w:rPr/>
        <w:t>借款费用</w:t>
      </w:r>
      <w:r>
        <w:rPr>
          <w:b w:val="0"/>
          <w:bCs w:val="0"/>
        </w:rPr>
      </w:r>
    </w:p>
    <w:p>
      <w:pPr>
        <w:pStyle w:val="BodyText"/>
        <w:tabs>
          <w:tab w:pos="982" w:val="left" w:leader="none"/>
        </w:tabs>
        <w:spacing w:line="240" w:lineRule="auto" w:before="58"/>
        <w:ind w:left="140" w:right="106"/>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宋体" w:hAnsi="宋体" w:cs="宋体" w:eastAsia="宋体" w:hint="default"/>
        </w:rPr>
        <w:t>24.</w:t>
      </w:r>
      <w:r>
        <w:rPr>
          <w:rFonts w:ascii="宋体" w:hAnsi="宋体" w:cs="宋体" w:eastAsia="宋体" w:hint="default"/>
          <w:spacing w:val="2"/>
        </w:rPr>
        <w:t> </w:t>
      </w:r>
      <w:r>
        <w:rPr/>
        <w:t>生物资产</w:t>
      </w:r>
      <w:r>
        <w:rPr>
          <w:b w:val="0"/>
          <w:bCs w:val="0"/>
        </w:rPr>
      </w:r>
    </w:p>
    <w:p>
      <w:pPr>
        <w:pStyle w:val="BodyText"/>
        <w:tabs>
          <w:tab w:pos="982" w:val="left" w:leader="none"/>
        </w:tabs>
        <w:spacing w:line="240" w:lineRule="auto" w:before="56"/>
        <w:ind w:left="140" w:right="106"/>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宋体" w:hAnsi="宋体" w:cs="宋体" w:eastAsia="宋体" w:hint="default"/>
        </w:rPr>
        <w:t>25.</w:t>
      </w:r>
      <w:r>
        <w:rPr>
          <w:rFonts w:ascii="宋体" w:hAnsi="宋体" w:cs="宋体" w:eastAsia="宋体" w:hint="default"/>
          <w:spacing w:val="2"/>
        </w:rPr>
        <w:t> </w:t>
      </w:r>
      <w:r>
        <w:rPr/>
        <w:t>油气资产</w:t>
      </w:r>
      <w:r>
        <w:rPr>
          <w:b w:val="0"/>
          <w:bCs w:val="0"/>
        </w:rPr>
      </w:r>
    </w:p>
    <w:p>
      <w:pPr>
        <w:pStyle w:val="BodyText"/>
        <w:tabs>
          <w:tab w:pos="982" w:val="left" w:leader="none"/>
        </w:tabs>
        <w:spacing w:line="240" w:lineRule="auto" w:before="58"/>
        <w:ind w:left="140" w:right="106"/>
        <w:jc w:val="left"/>
      </w:pPr>
      <w:r>
        <w:rPr/>
        <w:t>□适用</w:t>
        <w:tab/>
        <w:t>√不适用</w:t>
      </w:r>
    </w:p>
    <w:p>
      <w:pPr>
        <w:spacing w:line="240" w:lineRule="auto" w:before="3"/>
        <w:rPr>
          <w:rFonts w:ascii="宋体" w:hAnsi="宋体" w:cs="宋体" w:eastAsia="宋体" w:hint="default"/>
          <w:sz w:val="25"/>
          <w:szCs w:val="25"/>
        </w:rPr>
      </w:pPr>
    </w:p>
    <w:p>
      <w:pPr>
        <w:pStyle w:val="Heading2"/>
        <w:spacing w:line="290" w:lineRule="auto"/>
        <w:ind w:left="140" w:right="5751"/>
        <w:jc w:val="left"/>
        <w:rPr>
          <w:b w:val="0"/>
          <w:bCs w:val="0"/>
        </w:rPr>
      </w:pPr>
      <w:r>
        <w:rPr>
          <w:rFonts w:ascii="宋体" w:hAnsi="宋体" w:cs="宋体" w:eastAsia="宋体" w:hint="default"/>
        </w:rPr>
        <w:t>26.</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72" w:lineRule="exact" w:before="42"/>
        <w:ind w:left="565" w:right="2594" w:hanging="425"/>
        <w:jc w:val="left"/>
      </w:pPr>
      <w:r>
        <w:rPr/>
        <w:t>√适用</w:t>
      </w:r>
      <w:r>
        <w:rPr>
          <w:spacing w:val="-2"/>
        </w:rPr>
        <w:t> </w:t>
      </w:r>
      <w:r>
        <w:rPr/>
        <w:t>□不适用</w:t>
      </w:r>
      <w:r>
        <w:rPr>
          <w:spacing w:val="-103"/>
        </w:rPr>
        <w:t> </w:t>
      </w:r>
      <w:r>
        <w:rPr>
          <w:spacing w:val="-103"/>
        </w:rPr>
      </w:r>
      <w:r>
        <w:rPr>
          <w:spacing w:val="-2"/>
        </w:rPr>
        <w:t>无形资产包括土地使用权、软件、专利权以及门店渠道等。</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357" w:lineRule="auto"/>
        <w:ind w:left="140" w:right="106" w:firstLine="424"/>
        <w:jc w:val="left"/>
      </w:pPr>
      <w:r>
        <w:rPr>
          <w:spacing w:val="-2"/>
        </w:rPr>
        <w:t>无形资产按成本进行初始计量。使用寿命有限的无形资产自可供使用时起，对其原值在其预计</w:t>
      </w:r>
      <w:r>
        <w:rPr>
          <w:w w:val="100"/>
        </w:rPr>
        <w:t> </w:t>
      </w:r>
      <w:r>
        <w:rPr/>
        <w:t>使用寿命内采用直线法分期平均摊销。各类无形资产的使用寿命如下：</w:t>
      </w:r>
    </w:p>
    <w:p>
      <w:pPr>
        <w:spacing w:line="240" w:lineRule="auto" w:before="12"/>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3687"/>
        <w:gridCol w:w="5245"/>
      </w:tblGrid>
      <w:tr>
        <w:trPr>
          <w:trHeight w:val="418"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使用寿命</w:t>
            </w:r>
          </w:p>
        </w:tc>
      </w:tr>
      <w:tr>
        <w:trPr>
          <w:trHeight w:val="32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40-70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32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10-15</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32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门店渠道</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32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pStyle w:val="BodyText"/>
        <w:spacing w:line="241" w:lineRule="exact"/>
        <w:ind w:left="140" w:right="106"/>
        <w:jc w:val="left"/>
      </w:pPr>
      <w:r>
        <w:rPr/>
        <w:t>期末，对使用寿命有限的无形资产的使用寿命和摊销方法进行复核，必要时进行调整。</w:t>
      </w:r>
    </w:p>
    <w:p>
      <w:pPr>
        <w:spacing w:after="0" w:line="241" w:lineRule="exact"/>
        <w:jc w:val="left"/>
        <w:sectPr>
          <w:footerReference w:type="default" r:id="rId40"/>
          <w:pgSz w:w="11910" w:h="16840"/>
          <w:pgMar w:footer="1195" w:header="882" w:top="1120" w:bottom="1380" w:left="1300" w:right="132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36"/>
        <w:ind w:left="140" w:right="117"/>
        <w:jc w:val="left"/>
        <w:rPr>
          <w:b w:val="0"/>
          <w:bCs w:val="0"/>
        </w:rPr>
      </w:pPr>
      <w:r>
        <w:rPr>
          <w:rFonts w:ascii="宋体" w:hAnsi="宋体" w:cs="宋体" w:eastAsia="宋体" w:hint="default"/>
        </w:rPr>
        <w:t>(2).</w:t>
      </w:r>
      <w:r>
        <w:rPr/>
        <w:t>内部研究开发支出会计政策</w:t>
      </w:r>
      <w:r>
        <w:rPr>
          <w:b w:val="0"/>
          <w:bCs w:val="0"/>
        </w:rPr>
      </w:r>
    </w:p>
    <w:p>
      <w:pPr>
        <w:pStyle w:val="BodyText"/>
        <w:spacing w:line="240" w:lineRule="auto" w:before="56"/>
        <w:ind w:left="565" w:right="3741" w:hanging="425"/>
        <w:jc w:val="left"/>
      </w:pPr>
      <w:r>
        <w:rPr/>
        <w:t>√适用</w:t>
      </w:r>
      <w:r>
        <w:rPr>
          <w:spacing w:val="-2"/>
        </w:rPr>
        <w:t> </w:t>
      </w:r>
      <w:r>
        <w:rPr/>
        <w:t>□不适用</w:t>
      </w:r>
      <w:r>
        <w:rPr>
          <w:spacing w:val="-103"/>
        </w:rPr>
        <w:t> </w:t>
      </w:r>
      <w:r>
        <w:rPr>
          <w:spacing w:val="-103"/>
        </w:rPr>
      </w:r>
      <w:r>
        <w:rPr>
          <w:spacing w:val="-2"/>
        </w:rPr>
        <w:t>研究阶段的支出，于发生时计入当期损益。</w:t>
      </w:r>
    </w:p>
    <w:p>
      <w:pPr>
        <w:pStyle w:val="BodyText"/>
        <w:spacing w:line="355" w:lineRule="auto" w:before="133"/>
        <w:ind w:left="140" w:right="117" w:firstLine="424"/>
        <w:jc w:val="left"/>
      </w:pPr>
      <w:r>
        <w:rPr>
          <w:spacing w:val="-2"/>
        </w:rPr>
        <w:t>开发阶段的支出同时满足下列条件的，确认为无形资产，不能满足下述条件的开发阶段的支出</w:t>
      </w:r>
      <w:r>
        <w:rPr>
          <w:w w:val="100"/>
        </w:rPr>
        <w:t> </w:t>
      </w:r>
      <w:r>
        <w:rPr/>
        <w:t>计入当期损益：</w:t>
      </w:r>
    </w:p>
    <w:p>
      <w:pPr>
        <w:pStyle w:val="BodyText"/>
        <w:spacing w:line="240" w:lineRule="auto" w:before="32"/>
        <w:ind w:left="140" w:right="117"/>
        <w:jc w:val="left"/>
      </w:pPr>
      <w:r>
        <w:rPr>
          <w:rFonts w:ascii="宋体" w:hAnsi="宋体" w:cs="宋体" w:eastAsia="宋体" w:hint="default"/>
        </w:rPr>
        <w:t>(1)</w:t>
      </w:r>
      <w:r>
        <w:rPr>
          <w:rFonts w:ascii="宋体" w:hAnsi="宋体" w:cs="宋体" w:eastAsia="宋体" w:hint="default"/>
          <w:spacing w:val="-1"/>
        </w:rPr>
        <w:t> </w:t>
      </w:r>
      <w:r>
        <w:rPr/>
        <w:t>完成该无形资产以使其能够使用或出售在技术上具有可行性；</w:t>
      </w:r>
    </w:p>
    <w:p>
      <w:pPr>
        <w:pStyle w:val="BodyText"/>
        <w:spacing w:line="240" w:lineRule="auto" w:before="135"/>
        <w:ind w:left="140" w:right="117"/>
        <w:jc w:val="left"/>
      </w:pPr>
      <w:r>
        <w:rPr>
          <w:rFonts w:ascii="宋体" w:hAnsi="宋体" w:cs="宋体" w:eastAsia="宋体" w:hint="default"/>
        </w:rPr>
        <w:t>(2)</w:t>
      </w:r>
      <w:r>
        <w:rPr>
          <w:rFonts w:ascii="宋体" w:hAnsi="宋体" w:cs="宋体" w:eastAsia="宋体" w:hint="default"/>
          <w:spacing w:val="-2"/>
        </w:rPr>
        <w:t> </w:t>
      </w:r>
      <w:r>
        <w:rPr/>
        <w:t>具有完成该无形资产并使用或出售的意图；</w:t>
      </w:r>
    </w:p>
    <w:p>
      <w:pPr>
        <w:pStyle w:val="BodyText"/>
        <w:spacing w:line="357" w:lineRule="auto" w:before="133"/>
        <w:ind w:left="140" w:right="205"/>
        <w:jc w:val="left"/>
      </w:pPr>
      <w:r>
        <w:rPr>
          <w:rFonts w:ascii="宋体" w:hAnsi="宋体" w:cs="宋体" w:eastAsia="宋体" w:hint="default"/>
        </w:rPr>
        <w:t>(3)</w:t>
      </w:r>
      <w:r>
        <w:rPr>
          <w:rFonts w:ascii="宋体" w:hAnsi="宋体" w:cs="宋体" w:eastAsia="宋体" w:hint="default"/>
          <w:spacing w:val="-9"/>
        </w:rPr>
        <w:t> </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355" w:lineRule="auto" w:before="30"/>
        <w:ind w:left="140" w:right="208"/>
        <w:jc w:val="left"/>
      </w:pPr>
      <w:r>
        <w:rPr>
          <w:rFonts w:ascii="宋体" w:hAnsi="宋体" w:cs="宋体" w:eastAsia="宋体" w:hint="default"/>
        </w:rPr>
        <w:t>(4)</w:t>
      </w:r>
      <w:r>
        <w:rPr>
          <w:rFonts w:ascii="宋体" w:hAnsi="宋体" w:cs="宋体" w:eastAsia="宋体" w:hint="default"/>
          <w:spacing w:val="-12"/>
        </w:rPr>
        <w:t> </w:t>
      </w:r>
      <w:r>
        <w:rPr/>
        <w:t>有足够的技术、财务资源和其他资源支持，以完成该无形资产的开发，并有能力使用或出售该</w:t>
      </w:r>
      <w:r>
        <w:rPr>
          <w:w w:val="100"/>
        </w:rPr>
        <w:t> </w:t>
      </w:r>
      <w:r>
        <w:rPr/>
        <w:t>无形资产；</w:t>
      </w:r>
    </w:p>
    <w:p>
      <w:pPr>
        <w:pStyle w:val="BodyText"/>
        <w:spacing w:line="355" w:lineRule="auto" w:before="34"/>
        <w:ind w:left="560" w:right="117" w:hanging="420"/>
        <w:jc w:val="left"/>
      </w:pPr>
      <w:r>
        <w:rPr>
          <w:rFonts w:ascii="宋体" w:hAnsi="宋体" w:cs="宋体" w:eastAsia="宋体" w:hint="default"/>
        </w:rPr>
        <w:t>(5)</w:t>
      </w:r>
      <w:r>
        <w:rPr>
          <w:rFonts w:ascii="宋体" w:hAnsi="宋体" w:cs="宋体" w:eastAsia="宋体" w:hint="default"/>
          <w:spacing w:val="-2"/>
        </w:rPr>
        <w:t> </w:t>
      </w:r>
      <w:r>
        <w:rPr/>
        <w:t>归属于该无形资产开发阶段的支出能够可靠地计量。</w:t>
      </w:r>
      <w:r>
        <w:rPr>
          <w:w w:val="100"/>
        </w:rPr>
        <w:t> </w:t>
      </w:r>
      <w:r>
        <w:rPr>
          <w:spacing w:val="-2"/>
        </w:rPr>
        <w:t>无法区分研究阶段支出和开发阶段支出的，将发生的研发支出全部计入当期损益。</w:t>
      </w:r>
    </w:p>
    <w:p>
      <w:pPr>
        <w:spacing w:line="240" w:lineRule="auto" w:before="13"/>
        <w:rPr>
          <w:rFonts w:ascii="宋体" w:hAnsi="宋体" w:cs="宋体" w:eastAsia="宋体" w:hint="default"/>
          <w:sz w:val="27"/>
          <w:szCs w:val="27"/>
        </w:rPr>
      </w:pPr>
    </w:p>
    <w:p>
      <w:pPr>
        <w:pStyle w:val="Heading2"/>
        <w:spacing w:line="240" w:lineRule="auto"/>
        <w:ind w:left="140" w:right="117"/>
        <w:jc w:val="left"/>
        <w:rPr>
          <w:b w:val="0"/>
          <w:bCs w:val="0"/>
        </w:rPr>
      </w:pPr>
      <w:r>
        <w:rPr>
          <w:rFonts w:ascii="宋体" w:hAnsi="宋体" w:cs="宋体" w:eastAsia="宋体" w:hint="default"/>
        </w:rPr>
        <w:t>27.</w:t>
      </w:r>
      <w:r>
        <w:rPr>
          <w:rFonts w:ascii="宋体" w:hAnsi="宋体" w:cs="宋体" w:eastAsia="宋体" w:hint="default"/>
          <w:spacing w:val="3"/>
        </w:rPr>
        <w:t> </w:t>
      </w:r>
      <w:r>
        <w:rPr/>
        <w:t>长期资产减值</w:t>
      </w:r>
      <w:r>
        <w:rPr>
          <w:b w:val="0"/>
          <w:bCs w:val="0"/>
        </w:rPr>
      </w:r>
    </w:p>
    <w:p>
      <w:pPr>
        <w:pStyle w:val="BodyText"/>
        <w:tabs>
          <w:tab w:pos="982" w:val="left" w:leader="none"/>
        </w:tabs>
        <w:spacing w:line="272" w:lineRule="exact" w:before="84"/>
        <w:ind w:left="565" w:right="117" w:hanging="425"/>
        <w:jc w:val="left"/>
      </w:pPr>
      <w:r>
        <w:rPr/>
        <w:t>√适用</w:t>
        <w:tab/>
        <w:t>□不适用</w:t>
      </w:r>
      <w:r>
        <w:rPr>
          <w:w w:val="100"/>
        </w:rPr>
        <w:t> </w:t>
      </w:r>
      <w:r>
        <w:rPr>
          <w:spacing w:val="-5"/>
        </w:rPr>
        <w:t>本集团在每一个资产负债表日检查长期股权投资、采用成本法计量的投资性房地产、固定资产、</w:t>
      </w:r>
    </w:p>
    <w:p>
      <w:pPr>
        <w:pStyle w:val="BodyText"/>
        <w:spacing w:line="355" w:lineRule="auto" w:before="111"/>
        <w:ind w:left="140" w:right="117"/>
        <w:jc w:val="left"/>
      </w:pPr>
      <w:r>
        <w:rPr/>
        <w:t>在建工程及使用寿命确定的无形资产是否存在可能发生减值的迹象。如果该等资产存在减值迹象，</w:t>
      </w:r>
      <w:r>
        <w:rPr>
          <w:spacing w:val="-8"/>
        </w:rPr>
        <w:t> </w:t>
      </w:r>
      <w:r>
        <w:rPr>
          <w:spacing w:val="-8"/>
        </w:rPr>
      </w:r>
      <w:r>
        <w:rPr/>
        <w:t>则估计其可收回金额。</w:t>
      </w:r>
    </w:p>
    <w:p>
      <w:pPr>
        <w:pStyle w:val="BodyText"/>
        <w:spacing w:line="357" w:lineRule="auto" w:before="32"/>
        <w:ind w:left="140" w:right="211" w:firstLine="424"/>
        <w:jc w:val="both"/>
      </w:pPr>
      <w:r>
        <w:rPr>
          <w:spacing w:val="-2"/>
        </w:rPr>
        <w:t>估计资产的可收回金额以单项资产为基础，如果难以对单项资产的可收回金额进行估计的，则</w:t>
      </w:r>
      <w:r>
        <w:rPr>
          <w:w w:val="100"/>
        </w:rPr>
        <w:t> </w:t>
      </w:r>
      <w:r>
        <w:rPr>
          <w:spacing w:val="-2"/>
        </w:rPr>
        <w:t>以该资产所属的资产组为基础确定资产组的可收回金额。可收回金额为资产或者资产组的公允价值</w:t>
      </w:r>
      <w:r>
        <w:rPr>
          <w:spacing w:val="-30"/>
        </w:rPr>
        <w:t> </w:t>
      </w:r>
      <w:r>
        <w:rPr>
          <w:spacing w:val="-30"/>
        </w:rPr>
      </w:r>
      <w:r>
        <w:rPr/>
        <w:t>减去处置费用后的净额与其预计未来现金流量的现值两者之中的较高者。</w:t>
      </w:r>
    </w:p>
    <w:p>
      <w:pPr>
        <w:pStyle w:val="BodyText"/>
        <w:spacing w:line="357" w:lineRule="auto" w:before="30"/>
        <w:ind w:left="140" w:right="117" w:firstLine="424"/>
        <w:jc w:val="left"/>
      </w:pPr>
      <w:r>
        <w:rPr/>
        <w:t>如果资产的可收回金额低于其账面价值，按其差额计提资产减值准备，并计入当期损益。商誉</w:t>
      </w:r>
      <w:r>
        <w:rPr>
          <w:w w:val="100"/>
        </w:rPr>
        <w:t> </w:t>
      </w:r>
      <w:r>
        <w:rPr/>
        <w:t>至少在每年年度终了进行减值测试。对商誉进行减值测试时，结合与其相关的资产组或者资产组组</w:t>
      </w:r>
      <w:r>
        <w:rPr>
          <w:w w:val="100"/>
        </w:rPr>
        <w:t> </w:t>
      </w:r>
      <w:r>
        <w:rPr/>
        <w:t>合进行。即，自购买日起将商誉的账面价值按照合理的方法分摊到能够从企业合并的协同效应中受</w:t>
      </w:r>
      <w:r>
        <w:rPr>
          <w:w w:val="100"/>
        </w:rPr>
        <w:t> </w:t>
      </w:r>
      <w:r>
        <w:rPr/>
        <w:t>益的资产组或资产组组合，如包含分摊的商誉的资产组或资产组组合的可收回金额低于其账面价值</w:t>
      </w:r>
      <w:r>
        <w:rPr>
          <w:w w:val="100"/>
        </w:rPr>
        <w:t> </w:t>
      </w:r>
      <w:r>
        <w:rPr>
          <w:spacing w:val="-4"/>
        </w:rPr>
        <w:t>的，确认相应的减值损失。减值损失金额首先抵减分摊到该资产组或资产组组合的商誉的账面价值，</w:t>
      </w:r>
      <w:r>
        <w:rPr>
          <w:spacing w:val="-44"/>
        </w:rPr>
        <w:t> </w:t>
      </w:r>
      <w:r>
        <w:rPr>
          <w:spacing w:val="-44"/>
        </w:rPr>
      </w:r>
      <w:r>
        <w:rPr/>
        <w:t>再根据资产组或资产组组合中除商誉以外的其他各项资产的账面价值所占比重，按比例抵减其他各</w:t>
      </w:r>
      <w:r>
        <w:rPr>
          <w:w w:val="100"/>
        </w:rPr>
        <w:t> </w:t>
      </w:r>
      <w:r>
        <w:rPr/>
        <w:t>项资产的账面价值。</w:t>
      </w:r>
    </w:p>
    <w:p>
      <w:pPr>
        <w:pStyle w:val="BodyText"/>
        <w:spacing w:line="240" w:lineRule="auto" w:before="30"/>
        <w:ind w:left="565" w:right="117"/>
        <w:jc w:val="left"/>
      </w:pPr>
      <w:r>
        <w:rPr/>
        <w:t>上述资产减值损失一经确认，在以后会计期间不予转回。</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40" w:right="117"/>
        <w:jc w:val="left"/>
        <w:rPr>
          <w:b w:val="0"/>
          <w:bCs w:val="0"/>
        </w:rPr>
      </w:pPr>
      <w:r>
        <w:rPr>
          <w:rFonts w:ascii="宋体" w:hAnsi="宋体" w:cs="宋体" w:eastAsia="宋体" w:hint="default"/>
        </w:rPr>
        <w:t>28.</w:t>
      </w:r>
      <w:r>
        <w:rPr>
          <w:rFonts w:ascii="宋体" w:hAnsi="宋体" w:cs="宋体" w:eastAsia="宋体" w:hint="default"/>
          <w:spacing w:val="2"/>
        </w:rPr>
        <w:t> </w:t>
      </w:r>
      <w:r>
        <w:rPr/>
        <w:t>长期待摊费用</w:t>
      </w:r>
      <w:r>
        <w:rPr>
          <w:b w:val="0"/>
          <w:bCs w:val="0"/>
        </w:rPr>
      </w:r>
    </w:p>
    <w:p>
      <w:pPr>
        <w:pStyle w:val="BodyText"/>
        <w:tabs>
          <w:tab w:pos="982" w:val="left" w:leader="none"/>
        </w:tabs>
        <w:spacing w:line="240" w:lineRule="auto" w:before="56"/>
        <w:ind w:left="140" w:right="117"/>
        <w:jc w:val="left"/>
      </w:pPr>
      <w:r>
        <w:rPr/>
        <w:t>√适用</w:t>
        <w:tab/>
        <w:t>□不适用</w:t>
      </w:r>
    </w:p>
    <w:p>
      <w:pPr>
        <w:spacing w:after="0" w:line="240" w:lineRule="auto"/>
        <w:jc w:val="left"/>
        <w:sectPr>
          <w:pgSz w:w="11910" w:h="16840"/>
          <w:pgMar w:header="882"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211" w:firstLine="424"/>
        <w:jc w:val="both"/>
      </w:pPr>
      <w:r>
        <w:rPr>
          <w:spacing w:val="-2"/>
        </w:rPr>
        <w:t>长期待摊费用为已经发生但应由本期和以后各期负担的分摊期限在一年以上的各项费用。长期</w:t>
      </w:r>
      <w:r>
        <w:rPr>
          <w:w w:val="100"/>
        </w:rPr>
        <w:t> </w:t>
      </w:r>
      <w:r>
        <w:rPr/>
        <w:t>待摊费用在预计受益期间分期平均摊销。</w:t>
      </w:r>
    </w:p>
    <w:p>
      <w:pPr>
        <w:spacing w:line="240" w:lineRule="auto" w:before="13"/>
        <w:rPr>
          <w:rFonts w:ascii="宋体" w:hAnsi="宋体" w:cs="宋体" w:eastAsia="宋体" w:hint="default"/>
          <w:sz w:val="27"/>
          <w:szCs w:val="27"/>
        </w:rPr>
      </w:pPr>
    </w:p>
    <w:p>
      <w:pPr>
        <w:pStyle w:val="Heading2"/>
        <w:spacing w:line="290" w:lineRule="auto"/>
        <w:ind w:left="140" w:right="6905"/>
        <w:jc w:val="left"/>
        <w:rPr>
          <w:b w:val="0"/>
          <w:bCs w:val="0"/>
        </w:rPr>
      </w:pPr>
      <w:r>
        <w:rPr>
          <w:rFonts w:ascii="宋体" w:hAnsi="宋体" w:cs="宋体" w:eastAsia="宋体" w:hint="default"/>
        </w:rPr>
        <w:t>29.</w:t>
      </w:r>
      <w:r>
        <w:rPr>
          <w:rFonts w:ascii="宋体" w:hAnsi="宋体" w:cs="宋体" w:eastAsia="宋体" w:hint="default"/>
          <w:spacing w:val="2"/>
        </w:rPr>
        <w:t> </w:t>
      </w:r>
      <w:r>
        <w:rPr/>
        <w:t>合同负债</w:t>
      </w:r>
      <w:r>
        <w:rPr>
          <w:w w:val="100"/>
        </w:rPr>
        <w:t> </w:t>
      </w:r>
      <w:r>
        <w:rPr>
          <w:rFonts w:ascii="宋体" w:hAnsi="宋体" w:cs="宋体" w:eastAsia="宋体" w:hint="default"/>
        </w:rPr>
        <w:t>(1).</w:t>
      </w:r>
      <w:r>
        <w:rPr/>
        <w:t>合同负债的确认方法</w:t>
      </w:r>
      <w:r>
        <w:rPr>
          <w:b w:val="0"/>
          <w:bCs w:val="0"/>
        </w:rPr>
      </w:r>
    </w:p>
    <w:p>
      <w:pPr>
        <w:pStyle w:val="BodyText"/>
        <w:spacing w:line="240" w:lineRule="auto" w:before="14"/>
        <w:ind w:left="140" w:right="117"/>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140" w:right="6484"/>
        <w:jc w:val="left"/>
        <w:rPr>
          <w:b w:val="0"/>
          <w:bCs w:val="0"/>
        </w:rPr>
      </w:pPr>
      <w:r>
        <w:rPr>
          <w:rFonts w:ascii="宋体" w:hAnsi="宋体" w:cs="宋体" w:eastAsia="宋体" w:hint="default"/>
        </w:rPr>
        <w:t>30.</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82" w:val="left" w:leader="none"/>
        </w:tabs>
        <w:spacing w:line="272" w:lineRule="exact" w:before="43"/>
        <w:ind w:left="565" w:right="213" w:hanging="425"/>
        <w:jc w:val="left"/>
      </w:pPr>
      <w:r>
        <w:rPr/>
        <w:t>√适用</w:t>
        <w:tab/>
        <w:t>□不适用</w:t>
      </w:r>
      <w:r>
        <w:rPr>
          <w:w w:val="100"/>
        </w:rPr>
        <w:t> </w:t>
      </w:r>
      <w:r>
        <w:rPr>
          <w:spacing w:val="-2"/>
        </w:rPr>
        <w:t>本集团在职工为其提供服务的会计期间，将实际发生的短期薪酬确认为负债，并计入当期损益</w:t>
      </w:r>
    </w:p>
    <w:p>
      <w:pPr>
        <w:pStyle w:val="BodyText"/>
        <w:spacing w:line="355" w:lineRule="auto" w:before="108"/>
        <w:ind w:left="140" w:right="117"/>
        <w:jc w:val="left"/>
      </w:pPr>
      <w:r>
        <w:rPr>
          <w:spacing w:val="-2"/>
        </w:rPr>
        <w:t>或相关资产成本。本集团发生的职工福利费，在实际发生时根据实际发生额计入当期损益或相关资</w:t>
      </w:r>
      <w:r>
        <w:rPr>
          <w:spacing w:val="-30"/>
        </w:rPr>
        <w:t> </w:t>
      </w:r>
      <w:r>
        <w:rPr>
          <w:spacing w:val="-30"/>
        </w:rPr>
      </w:r>
      <w:r>
        <w:rPr/>
        <w:t>产成本。职工福利费为非货币性福利的，按照公允价值计量。</w:t>
      </w:r>
    </w:p>
    <w:p>
      <w:pPr>
        <w:pStyle w:val="BodyText"/>
        <w:spacing w:line="355" w:lineRule="auto" w:before="34"/>
        <w:ind w:left="140" w:right="211" w:firstLine="424"/>
        <w:jc w:val="both"/>
      </w:pPr>
      <w:r>
        <w:rPr>
          <w:spacing w:val="-2"/>
        </w:rPr>
        <w:t>本集团为职工缴纳的医疗保险费、工伤保险费、生育保险费等社会保险费和住房公积金，以及</w:t>
      </w:r>
      <w:r>
        <w:rPr>
          <w:w w:val="100"/>
        </w:rPr>
        <w:t> </w:t>
      </w:r>
      <w:r>
        <w:rPr>
          <w:spacing w:val="-2"/>
        </w:rPr>
        <w:t>本集团按规定提取的工会经费和职工教育经费，在职工为本集团提供服务的会计期间，根据规定的</w:t>
      </w:r>
      <w:r>
        <w:rPr>
          <w:spacing w:val="-31"/>
        </w:rPr>
        <w:t> </w:t>
      </w:r>
      <w:r>
        <w:rPr>
          <w:spacing w:val="-31"/>
        </w:rPr>
      </w:r>
      <w:r>
        <w:rPr>
          <w:spacing w:val="-2"/>
        </w:rPr>
        <w:t>计提基础和计提比例计算确定相应的职工薪酬金额，确认相应负债，并计入当期损益或相关资产成</w:t>
      </w:r>
      <w:r>
        <w:rPr>
          <w:spacing w:val="-31"/>
        </w:rPr>
        <w:t> </w:t>
      </w:r>
      <w:r>
        <w:rPr>
          <w:spacing w:val="-31"/>
        </w:rPr>
      </w:r>
      <w:r>
        <w:rPr/>
        <w:t>本。</w:t>
      </w:r>
    </w:p>
    <w:p>
      <w:pPr>
        <w:spacing w:line="240" w:lineRule="auto" w:before="13"/>
        <w:rPr>
          <w:rFonts w:ascii="宋体" w:hAnsi="宋体" w:cs="宋体" w:eastAsia="宋体" w:hint="default"/>
          <w:sz w:val="27"/>
          <w:szCs w:val="27"/>
        </w:rPr>
      </w:pPr>
    </w:p>
    <w:p>
      <w:pPr>
        <w:pStyle w:val="Heading2"/>
        <w:spacing w:line="240" w:lineRule="auto"/>
        <w:ind w:left="140" w:right="117"/>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2" w:val="left" w:leader="none"/>
        </w:tabs>
        <w:spacing w:line="240" w:lineRule="auto" w:before="56"/>
        <w:ind w:left="565" w:right="5033" w:hanging="425"/>
        <w:jc w:val="left"/>
      </w:pPr>
      <w:r>
        <w:rPr/>
        <w:t>√适用</w:t>
        <w:tab/>
        <w:t>□不适用</w:t>
      </w:r>
      <w:r>
        <w:rPr>
          <w:w w:val="100"/>
        </w:rPr>
        <w:t> </w:t>
      </w:r>
      <w:r>
        <w:rPr>
          <w:spacing w:val="-2"/>
        </w:rPr>
        <w:t>本集团离职后福利全部为设定提存计划。</w:t>
      </w:r>
    </w:p>
    <w:p>
      <w:pPr>
        <w:pStyle w:val="BodyText"/>
        <w:spacing w:line="355" w:lineRule="auto" w:before="133"/>
        <w:ind w:left="140" w:right="117" w:firstLine="424"/>
        <w:jc w:val="both"/>
      </w:pPr>
      <w:r>
        <w:rPr/>
        <w:t>本集团在职工为其提供服务的会计期间，将根据设定提存计划计算的应缴存金额确认为负债，</w:t>
      </w:r>
      <w:r>
        <w:rPr>
          <w:w w:val="100"/>
        </w:rPr>
        <w:t> </w:t>
      </w:r>
      <w:r>
        <w:rPr/>
        <w:t>并计入当期损益或相关资产成本。</w:t>
      </w:r>
    </w:p>
    <w:p>
      <w:pPr>
        <w:spacing w:line="240" w:lineRule="auto" w:before="13"/>
        <w:rPr>
          <w:rFonts w:ascii="宋体" w:hAnsi="宋体" w:cs="宋体" w:eastAsia="宋体" w:hint="default"/>
          <w:sz w:val="27"/>
          <w:szCs w:val="27"/>
        </w:rPr>
      </w:pPr>
    </w:p>
    <w:p>
      <w:pPr>
        <w:pStyle w:val="Heading2"/>
        <w:spacing w:line="240" w:lineRule="auto"/>
        <w:ind w:left="140" w:right="117"/>
        <w:jc w:val="left"/>
        <w:rPr>
          <w:b w:val="0"/>
          <w:bCs w:val="0"/>
        </w:rPr>
      </w:pPr>
      <w:r>
        <w:rPr>
          <w:rFonts w:ascii="宋体" w:hAnsi="宋体" w:cs="宋体" w:eastAsia="宋体" w:hint="default"/>
        </w:rPr>
        <w:t>(3).</w:t>
      </w:r>
      <w:r>
        <w:rPr/>
        <w:t>辞退福利的会计处理方法</w:t>
      </w:r>
      <w:r>
        <w:rPr>
          <w:b w:val="0"/>
          <w:bCs w:val="0"/>
        </w:rPr>
      </w:r>
    </w:p>
    <w:p>
      <w:pPr>
        <w:pStyle w:val="BodyText"/>
        <w:tabs>
          <w:tab w:pos="982" w:val="left" w:leader="none"/>
        </w:tabs>
        <w:spacing w:line="272" w:lineRule="exact" w:before="86"/>
        <w:ind w:left="565" w:right="213" w:hanging="425"/>
        <w:jc w:val="left"/>
      </w:pPr>
      <w:r>
        <w:rPr/>
        <w:t>√适用</w:t>
        <w:tab/>
        <w:t>□不适用</w:t>
      </w:r>
      <w:r>
        <w:rPr>
          <w:w w:val="100"/>
        </w:rPr>
        <w:t> </w:t>
      </w:r>
      <w:r>
        <w:rPr>
          <w:spacing w:val="-2"/>
        </w:rPr>
        <w:t>本集团向职工提供辞退福利的，在下列两者孰早日确认辞退福利产生的职工薪酬负债，并计入</w:t>
      </w:r>
    </w:p>
    <w:p>
      <w:pPr>
        <w:pStyle w:val="BodyText"/>
        <w:spacing w:line="355" w:lineRule="auto" w:before="109"/>
        <w:ind w:left="140" w:right="117"/>
        <w:jc w:val="left"/>
      </w:pPr>
      <w:r>
        <w:rPr>
          <w:spacing w:val="-2"/>
        </w:rPr>
        <w:t>当期损益：本集团不能单方面撤回因解除劳动关系计划或裁减建议所提供的辞退福利时；本集团确</w:t>
      </w:r>
      <w:r>
        <w:rPr>
          <w:spacing w:val="-30"/>
        </w:rPr>
        <w:t> </w:t>
      </w:r>
      <w:r>
        <w:rPr>
          <w:spacing w:val="-30"/>
        </w:rPr>
      </w:r>
      <w:r>
        <w:rPr/>
        <w:t>认与涉及支付辞退福利的重组相关的成本或费用时。</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ind w:left="140" w:right="117"/>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2" w:val="left" w:leader="none"/>
        </w:tabs>
        <w:spacing w:line="240" w:lineRule="auto" w:before="56"/>
        <w:ind w:left="140" w:right="11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40" w:right="117"/>
        <w:jc w:val="left"/>
        <w:rPr>
          <w:b w:val="0"/>
          <w:bCs w:val="0"/>
        </w:rPr>
      </w:pPr>
      <w:r>
        <w:rPr>
          <w:rFonts w:ascii="宋体" w:hAnsi="宋体" w:cs="宋体" w:eastAsia="宋体" w:hint="default"/>
        </w:rPr>
        <w:t>31.</w:t>
      </w:r>
      <w:r>
        <w:rPr>
          <w:rFonts w:ascii="宋体" w:hAnsi="宋体" w:cs="宋体" w:eastAsia="宋体" w:hint="default"/>
          <w:spacing w:val="2"/>
        </w:rPr>
        <w:t> </w:t>
      </w:r>
      <w:r>
        <w:rPr/>
        <w:t>预计负债</w:t>
      </w:r>
      <w:r>
        <w:rPr>
          <w:b w:val="0"/>
          <w:bCs w:val="0"/>
        </w:rPr>
      </w:r>
    </w:p>
    <w:p>
      <w:pPr>
        <w:pStyle w:val="BodyText"/>
        <w:tabs>
          <w:tab w:pos="982" w:val="left" w:leader="none"/>
        </w:tabs>
        <w:spacing w:line="272" w:lineRule="exact" w:before="86"/>
        <w:ind w:left="565" w:right="117" w:hanging="425"/>
        <w:jc w:val="left"/>
      </w:pPr>
      <w:r>
        <w:rPr/>
        <w:t>√适用</w:t>
        <w:tab/>
        <w:t>□不适用</w:t>
      </w:r>
      <w:r>
        <w:rPr>
          <w:w w:val="100"/>
        </w:rPr>
        <w:t> </w:t>
      </w:r>
      <w:r>
        <w:rPr/>
        <w:t>当与或有事项相关的义务是本集团承担的现时义务，且履行该义务很可能导致经济利益流出，</w:t>
      </w:r>
    </w:p>
    <w:p>
      <w:pPr>
        <w:pStyle w:val="BodyText"/>
        <w:spacing w:line="240" w:lineRule="auto" w:before="108"/>
        <w:ind w:left="140" w:right="117"/>
        <w:jc w:val="left"/>
      </w:pPr>
      <w:r>
        <w:rPr/>
        <w:t>以及该义务的金额能够可靠地计量，则确认为预计负债。</w:t>
      </w:r>
    </w:p>
    <w:p>
      <w:pPr>
        <w:spacing w:after="0" w:line="240" w:lineRule="auto"/>
        <w:jc w:val="left"/>
        <w:sectPr>
          <w:pgSz w:w="11910" w:h="16840"/>
          <w:pgMar w:header="882"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313" w:firstLine="424"/>
        <w:jc w:val="both"/>
      </w:pPr>
      <w:r>
        <w:rPr>
          <w:spacing w:val="-2"/>
        </w:rPr>
        <w:t>在资产负债表日，考虑与或有事项有关的风险、不确定性和货币时间价值等因素，按照履行相</w:t>
      </w:r>
      <w:r>
        <w:rPr>
          <w:w w:val="100"/>
        </w:rPr>
        <w:t> </w:t>
      </w:r>
      <w:r>
        <w:rPr/>
        <w:t>关现时义务所需支出的最佳估计数对预计负债进行计量。</w:t>
      </w:r>
    </w:p>
    <w:p>
      <w:pPr>
        <w:pStyle w:val="BodyText"/>
        <w:spacing w:line="355" w:lineRule="auto" w:before="32"/>
        <w:ind w:left="140" w:right="123" w:firstLine="424"/>
        <w:jc w:val="left"/>
      </w:pPr>
      <w:r>
        <w:rPr>
          <w:spacing w:val="-2"/>
        </w:rPr>
        <w:t>如果清偿预计负债所需支出全部或部分预期由第三方补偿的，补偿金额在基本确定能够收到时，</w:t>
      </w:r>
      <w:r>
        <w:rPr>
          <w:w w:val="100"/>
        </w:rPr>
        <w:t> </w:t>
      </w:r>
      <w:r>
        <w:rPr/>
        <w:t>作为资产单独确认，且确认的补偿金额不超过预计负债的账面价值。</w:t>
      </w:r>
    </w:p>
    <w:p>
      <w:pPr>
        <w:spacing w:line="240" w:lineRule="auto" w:before="13"/>
        <w:rPr>
          <w:rFonts w:ascii="宋体" w:hAnsi="宋体" w:cs="宋体" w:eastAsia="宋体" w:hint="default"/>
          <w:sz w:val="27"/>
          <w:szCs w:val="27"/>
        </w:rPr>
      </w:pPr>
    </w:p>
    <w:p>
      <w:pPr>
        <w:pStyle w:val="Heading2"/>
        <w:spacing w:line="240" w:lineRule="auto"/>
        <w:ind w:left="140" w:right="0"/>
        <w:jc w:val="both"/>
        <w:rPr>
          <w:b w:val="0"/>
          <w:bCs w:val="0"/>
        </w:rPr>
      </w:pPr>
      <w:r>
        <w:rPr>
          <w:rFonts w:ascii="宋体" w:hAnsi="宋体" w:cs="宋体" w:eastAsia="宋体" w:hint="default"/>
        </w:rPr>
        <w:t>32.</w:t>
      </w:r>
      <w:r>
        <w:rPr>
          <w:rFonts w:ascii="宋体" w:hAnsi="宋体" w:cs="宋体" w:eastAsia="宋体" w:hint="default"/>
          <w:spacing w:val="2"/>
        </w:rPr>
        <w:t> </w:t>
      </w:r>
      <w:r>
        <w:rPr/>
        <w:t>股份支付</w:t>
      </w:r>
      <w:r>
        <w:rPr>
          <w:b w:val="0"/>
          <w:bCs w:val="0"/>
        </w:rPr>
      </w:r>
    </w:p>
    <w:p>
      <w:pPr>
        <w:pStyle w:val="BodyText"/>
        <w:spacing w:line="240" w:lineRule="auto" w:before="58"/>
        <w:ind w:left="140"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ind w:left="140" w:right="0"/>
        <w:jc w:val="both"/>
        <w:rPr>
          <w:b w:val="0"/>
          <w:bCs w:val="0"/>
        </w:rPr>
      </w:pPr>
      <w:r>
        <w:rPr>
          <w:rFonts w:ascii="宋体" w:hAnsi="宋体" w:cs="宋体" w:eastAsia="宋体" w:hint="default"/>
        </w:rPr>
        <w:t>33. </w:t>
      </w:r>
      <w:r>
        <w:rPr/>
        <w:t>优先股、永续债等其他金融工具</w:t>
      </w:r>
      <w:r>
        <w:rPr>
          <w:b w:val="0"/>
          <w:bCs w:val="0"/>
        </w:rPr>
      </w:r>
    </w:p>
    <w:p>
      <w:pPr>
        <w:pStyle w:val="BodyText"/>
        <w:spacing w:line="240" w:lineRule="auto" w:before="56"/>
        <w:ind w:left="140" w:right="0"/>
        <w:jc w:val="both"/>
      </w:pPr>
      <w:r>
        <w:rPr/>
        <w:t>□适用  √不适用</w:t>
      </w:r>
    </w:p>
    <w:p>
      <w:pPr>
        <w:spacing w:line="240" w:lineRule="auto" w:before="3"/>
        <w:rPr>
          <w:rFonts w:ascii="宋体" w:hAnsi="宋体" w:cs="宋体" w:eastAsia="宋体" w:hint="default"/>
          <w:sz w:val="25"/>
          <w:szCs w:val="25"/>
        </w:rPr>
      </w:pPr>
    </w:p>
    <w:p>
      <w:pPr>
        <w:pStyle w:val="Heading2"/>
        <w:spacing w:line="290" w:lineRule="auto"/>
        <w:ind w:left="140" w:right="5740"/>
        <w:jc w:val="left"/>
        <w:rPr>
          <w:b w:val="0"/>
          <w:bCs w:val="0"/>
        </w:rPr>
      </w:pPr>
      <w:r>
        <w:rPr>
          <w:rFonts w:ascii="宋体" w:hAnsi="宋体" w:cs="宋体" w:eastAsia="宋体" w:hint="default"/>
        </w:rPr>
        <w:t>34.</w:t>
      </w:r>
      <w:r>
        <w:rPr>
          <w:rFonts w:ascii="宋体" w:hAnsi="宋体" w:cs="宋体" w:eastAsia="宋体" w:hint="default"/>
          <w:spacing w:val="2"/>
        </w:rPr>
        <w:t> </w:t>
      </w:r>
      <w:r>
        <w:rPr/>
        <w:t>收入</w:t>
      </w:r>
      <w:r>
        <w:rPr>
          <w:w w:val="100"/>
        </w:rPr>
        <w:t> </w:t>
      </w:r>
      <w:r>
        <w:rPr>
          <w:rFonts w:ascii="宋体" w:hAnsi="宋体" w:cs="宋体" w:eastAsia="宋体" w:hint="default"/>
        </w:rPr>
        <w:t>(1).</w:t>
      </w:r>
      <w:r>
        <w:rPr/>
        <w:t>收入确认和计量所采用的会计政策</w:t>
      </w:r>
      <w:r>
        <w:rPr>
          <w:b w:val="0"/>
          <w:bCs w:val="0"/>
        </w:rPr>
      </w:r>
    </w:p>
    <w:p>
      <w:pPr>
        <w:pStyle w:val="BodyText"/>
        <w:spacing w:line="272" w:lineRule="exact" w:before="42"/>
        <w:ind w:left="565" w:right="4049" w:hanging="425"/>
        <w:jc w:val="left"/>
      </w:pPr>
      <w:r>
        <w:rPr/>
        <w:t>√适用</w:t>
      </w:r>
      <w:r>
        <w:rPr>
          <w:spacing w:val="-2"/>
        </w:rPr>
        <w:t> </w:t>
      </w:r>
      <w:r>
        <w:rPr/>
        <w:t>□不适用</w:t>
      </w:r>
      <w:r>
        <w:rPr>
          <w:spacing w:val="-103"/>
        </w:rPr>
        <w:t> </w:t>
      </w:r>
      <w:r>
        <w:rPr>
          <w:spacing w:val="-103"/>
        </w:rPr>
      </w:r>
      <w:r>
        <w:rPr>
          <w:spacing w:val="-2"/>
        </w:rPr>
        <w:t>本集团的收入主要来源于如下业务类型：</w:t>
      </w:r>
    </w:p>
    <w:p>
      <w:pPr>
        <w:pStyle w:val="BodyText"/>
        <w:spacing w:line="355" w:lineRule="auto" w:before="110"/>
        <w:ind w:left="140" w:right="311"/>
        <w:jc w:val="both"/>
      </w:pPr>
      <w:r>
        <w:rPr>
          <w:rFonts w:ascii="宋体" w:hAnsi="宋体" w:cs="宋体" w:eastAsia="宋体" w:hint="default"/>
        </w:rPr>
        <w:t>(1)</w:t>
      </w:r>
      <w:r>
        <w:rPr>
          <w:rFonts w:ascii="宋体" w:hAnsi="宋体" w:cs="宋体" w:eastAsia="宋体" w:hint="default"/>
          <w:spacing w:val="-9"/>
        </w:rPr>
        <w:t> </w:t>
      </w:r>
      <w:r>
        <w:rPr/>
        <w:t>销售教材及助学类读物。教材及助学类读物主要采用向教育系统和各中小学校征订的方式进行</w:t>
      </w:r>
      <w:r>
        <w:rPr>
          <w:w w:val="100"/>
        </w:rPr>
        <w:t> </w:t>
      </w:r>
      <w:r>
        <w:rPr/>
        <w:t>销售，因此基本无退货。</w:t>
      </w:r>
    </w:p>
    <w:p>
      <w:pPr>
        <w:pStyle w:val="BodyText"/>
        <w:spacing w:line="357" w:lineRule="auto" w:before="32"/>
        <w:ind w:left="140" w:right="313"/>
        <w:jc w:val="both"/>
      </w:pPr>
      <w:r>
        <w:rPr>
          <w:rFonts w:ascii="宋体" w:hAnsi="宋体" w:cs="宋体" w:eastAsia="宋体" w:hint="default"/>
        </w:rPr>
        <w:t>(2)</w:t>
      </w:r>
      <w:r>
        <w:rPr>
          <w:rFonts w:ascii="宋体" w:hAnsi="宋体" w:cs="宋体" w:eastAsia="宋体" w:hint="default"/>
          <w:spacing w:val="91"/>
        </w:rPr>
        <w:t> </w:t>
      </w:r>
      <w:r>
        <w:rPr/>
        <w:t>销售一般图书。通过批销方式销售的一般图书通常可以退货。通过零售门店及互联网</w:t>
      </w:r>
      <w:r>
        <w:rPr>
          <w:rFonts w:ascii="宋体" w:hAnsi="宋体" w:cs="宋体" w:eastAsia="宋体" w:hint="default"/>
        </w:rPr>
        <w:t>(</w:t>
      </w:r>
      <w:r>
        <w:rPr/>
        <w:t>包括自</w:t>
      </w:r>
      <w:r>
        <w:rPr>
          <w:spacing w:val="-96"/>
        </w:rPr>
        <w:t> </w:t>
      </w:r>
      <w:r>
        <w:rPr>
          <w:spacing w:val="-96"/>
        </w:rPr>
      </w:r>
      <w:r>
        <w:rPr/>
        <w:t>有和第三方电子商务平台</w:t>
      </w:r>
      <w:r>
        <w:rPr>
          <w:rFonts w:ascii="宋体" w:hAnsi="宋体" w:cs="宋体" w:eastAsia="宋体" w:hint="default"/>
        </w:rPr>
        <w:t>)</w:t>
      </w:r>
      <w:r>
        <w:rPr/>
        <w:t>等渠道直接面向终端客户进行的销售，基本无退货。</w:t>
      </w:r>
    </w:p>
    <w:p>
      <w:pPr>
        <w:pStyle w:val="BodyText"/>
        <w:spacing w:line="357" w:lineRule="auto" w:before="30"/>
        <w:ind w:left="140" w:right="311"/>
        <w:jc w:val="both"/>
      </w:pPr>
      <w:r>
        <w:rPr>
          <w:rFonts w:ascii="宋体" w:hAnsi="宋体" w:cs="宋体" w:eastAsia="宋体" w:hint="default"/>
        </w:rPr>
        <w:t>(3)</w:t>
      </w:r>
      <w:r>
        <w:rPr>
          <w:rFonts w:ascii="宋体" w:hAnsi="宋体" w:cs="宋体" w:eastAsia="宋体" w:hint="default"/>
          <w:spacing w:val="-9"/>
        </w:rPr>
        <w:t> </w:t>
      </w:r>
      <w:r>
        <w:rPr/>
        <w:t>教育信息化及教育装备服务。教育信息化业务主要通过参与各级教育部门招标或学校自主采购</w:t>
      </w:r>
      <w:r>
        <w:rPr>
          <w:w w:val="100"/>
        </w:rPr>
        <w:t> </w:t>
      </w:r>
      <w:r>
        <w:rPr>
          <w:spacing w:val="-2"/>
        </w:rPr>
        <w:t>等方式获取合同。本集团主要从第三方采购软件和硬件并在此基础上对软件和硬件进行整合为学校</w:t>
      </w:r>
      <w:r>
        <w:rPr>
          <w:spacing w:val="-30"/>
        </w:rPr>
        <w:t> </w:t>
      </w:r>
      <w:r>
        <w:rPr>
          <w:spacing w:val="-30"/>
        </w:rPr>
      </w:r>
      <w:r>
        <w:rPr/>
        <w:t>提供数字化校园整体解决方案。对于教育信息化产品，本集团为客户提供</w:t>
      </w:r>
      <w:r>
        <w:rPr>
          <w:spacing w:val="-57"/>
        </w:rPr>
        <w:t> </w:t>
      </w:r>
      <w:r>
        <w:rPr>
          <w:rFonts w:ascii="宋体" w:hAnsi="宋体" w:cs="宋体" w:eastAsia="宋体" w:hint="default"/>
        </w:rPr>
        <w:t>1-3</w:t>
      </w:r>
      <w:r>
        <w:rPr>
          <w:rFonts w:ascii="宋体" w:hAnsi="宋体" w:cs="宋体" w:eastAsia="宋体" w:hint="default"/>
          <w:spacing w:val="-57"/>
        </w:rPr>
        <w:t> </w:t>
      </w:r>
      <w:r>
        <w:rPr/>
        <w:t>年的质保。</w:t>
      </w:r>
    </w:p>
    <w:p>
      <w:pPr>
        <w:pStyle w:val="BodyText"/>
        <w:spacing w:line="355" w:lineRule="auto" w:before="30"/>
        <w:ind w:left="140" w:right="311"/>
        <w:jc w:val="both"/>
      </w:pPr>
      <w:r>
        <w:rPr>
          <w:rFonts w:ascii="宋体" w:hAnsi="宋体" w:cs="宋体" w:eastAsia="宋体" w:hint="default"/>
        </w:rPr>
        <w:t>(4)</w:t>
      </w:r>
      <w:r>
        <w:rPr>
          <w:rFonts w:ascii="宋体" w:hAnsi="宋体" w:cs="宋体" w:eastAsia="宋体" w:hint="default"/>
          <w:spacing w:val="-9"/>
        </w:rPr>
        <w:t> </w:t>
      </w:r>
      <w:r>
        <w:rPr/>
        <w:t>印刷及物资业务。印刷及物资业务主要包括销售各类纸张及少量印刷机械，主要客户包括以出</w:t>
      </w:r>
      <w:r>
        <w:rPr>
          <w:w w:val="100"/>
        </w:rPr>
        <w:t> </w:t>
      </w:r>
      <w:r>
        <w:rPr/>
        <w:t>版社为主的终端客户以及纸张经销商。</w:t>
      </w:r>
    </w:p>
    <w:p>
      <w:pPr>
        <w:pStyle w:val="BodyText"/>
        <w:spacing w:line="355" w:lineRule="auto" w:before="34"/>
        <w:ind w:left="140" w:right="311"/>
        <w:jc w:val="both"/>
      </w:pPr>
      <w:r>
        <w:rPr>
          <w:rFonts w:ascii="宋体" w:hAnsi="宋体" w:cs="宋体" w:eastAsia="宋体" w:hint="default"/>
        </w:rPr>
        <w:t>(5)</w:t>
      </w:r>
      <w:r>
        <w:rPr>
          <w:rFonts w:ascii="宋体" w:hAnsi="宋体" w:cs="宋体" w:eastAsia="宋体" w:hint="default"/>
          <w:spacing w:val="-9"/>
        </w:rPr>
        <w:t> </w:t>
      </w:r>
      <w:r>
        <w:rPr/>
        <w:t>联营商品业务。主要指商品供应商在本集团各零售门店内的指定区域设立销售专柜、由供应商</w:t>
      </w:r>
      <w:r>
        <w:rPr>
          <w:w w:val="100"/>
        </w:rPr>
        <w:t> </w:t>
      </w:r>
      <w:r>
        <w:rPr/>
        <w:t>的销售人员或零售门店营业人员进行销售。</w:t>
      </w:r>
    </w:p>
    <w:p>
      <w:pPr>
        <w:pStyle w:val="BodyText"/>
        <w:spacing w:line="355" w:lineRule="auto" w:before="33"/>
        <w:ind w:left="565" w:right="123" w:hanging="425"/>
        <w:jc w:val="left"/>
      </w:pPr>
      <w:r>
        <w:rPr>
          <w:rFonts w:ascii="宋体" w:hAnsi="宋体" w:cs="宋体" w:eastAsia="宋体" w:hint="default"/>
        </w:rPr>
        <w:t>(6)</w:t>
      </w:r>
      <w:r>
        <w:rPr>
          <w:rFonts w:ascii="宋体" w:hAnsi="宋体" w:cs="宋体" w:eastAsia="宋体" w:hint="default"/>
          <w:spacing w:val="-2"/>
        </w:rPr>
        <w:t> </w:t>
      </w:r>
      <w:r>
        <w:rPr/>
        <w:t>其他业务主要为提供物流及仓储服务。</w:t>
      </w:r>
      <w:r>
        <w:rPr>
          <w:w w:val="100"/>
        </w:rPr>
        <w:t> </w:t>
      </w:r>
      <w:r>
        <w:rPr>
          <w:spacing w:val="-2"/>
        </w:rPr>
        <w:t>本集团在履行了合同中的履约义务，即在客户取得相关商品或服务控制权时，按照分摊至该项</w:t>
      </w:r>
    </w:p>
    <w:p>
      <w:pPr>
        <w:pStyle w:val="BodyText"/>
        <w:spacing w:line="357" w:lineRule="auto" w:before="32"/>
        <w:ind w:left="140" w:right="311"/>
        <w:jc w:val="both"/>
      </w:pPr>
      <w:r>
        <w:rPr>
          <w:spacing w:val="-2"/>
        </w:rPr>
        <w:t>履约义务的交易价格确认收入。履约义务，是指合同中本集团向客户转让可明确区分商品或服务的</w:t>
      </w:r>
      <w:r>
        <w:rPr>
          <w:spacing w:val="-30"/>
        </w:rPr>
        <w:t> </w:t>
      </w:r>
      <w:r>
        <w:rPr>
          <w:spacing w:val="-30"/>
        </w:rPr>
      </w:r>
      <w:r>
        <w:rPr>
          <w:spacing w:val="-2"/>
        </w:rPr>
        <w:t>承诺。交易价格，是指本集团因向客户转让商品或服务而预期有权收取的对价金额，但不包含代第</w:t>
      </w:r>
      <w:r>
        <w:rPr>
          <w:spacing w:val="-29"/>
        </w:rPr>
        <w:t> </w:t>
      </w:r>
      <w:r>
        <w:rPr>
          <w:spacing w:val="-29"/>
        </w:rPr>
      </w:r>
      <w:r>
        <w:rPr/>
        <w:t>三方收取的款项以及本集团预期将退还给客户的款项。</w:t>
      </w:r>
    </w:p>
    <w:p>
      <w:pPr>
        <w:pStyle w:val="BodyText"/>
        <w:spacing w:line="355" w:lineRule="auto" w:before="30"/>
        <w:ind w:left="140" w:right="311" w:firstLine="424"/>
        <w:jc w:val="both"/>
      </w:pPr>
      <w:r>
        <w:rPr>
          <w:spacing w:val="-2"/>
        </w:rPr>
        <w:t>满足下列条件之一的，属于在某一时间段内履行的履约义务，本集团按照履约进度，在一段时</w:t>
      </w:r>
      <w:r>
        <w:rPr>
          <w:w w:val="100"/>
        </w:rPr>
        <w:t> </w:t>
      </w:r>
      <w:r>
        <w:rPr>
          <w:spacing w:val="-2"/>
        </w:rPr>
        <w:t>间内确认收入：</w:t>
      </w:r>
      <w:r>
        <w:rPr>
          <w:rFonts w:ascii="宋体" w:hAnsi="宋体" w:cs="宋体" w:eastAsia="宋体" w:hint="default"/>
          <w:spacing w:val="-2"/>
        </w:rPr>
        <w:t>(1)</w:t>
      </w:r>
      <w:r>
        <w:rPr>
          <w:spacing w:val="-2"/>
        </w:rPr>
        <w:t>客户在本集团履约的同时即取得并消耗所带来的经济利益；</w:t>
      </w:r>
      <w:r>
        <w:rPr>
          <w:rFonts w:ascii="宋体" w:hAnsi="宋体" w:cs="宋体" w:eastAsia="宋体" w:hint="default"/>
          <w:spacing w:val="-2"/>
        </w:rPr>
        <w:t>(2)</w:t>
      </w:r>
      <w:r>
        <w:rPr>
          <w:spacing w:val="-2"/>
        </w:rPr>
        <w:t>客户能够控制本</w:t>
      </w:r>
      <w:r>
        <w:rPr>
          <w:spacing w:val="-27"/>
        </w:rPr>
        <w:t> </w:t>
      </w:r>
      <w:r>
        <w:rPr>
          <w:spacing w:val="-27"/>
        </w:rPr>
      </w:r>
      <w:r>
        <w:rPr/>
        <w:t>集团履约过程中在建的商品；</w:t>
      </w:r>
      <w:r>
        <w:rPr>
          <w:rFonts w:ascii="宋体" w:hAnsi="宋体" w:cs="宋体" w:eastAsia="宋体" w:hint="default"/>
        </w:rPr>
        <w:t>(3)</w:t>
      </w:r>
      <w:r>
        <w:rPr>
          <w:rFonts w:ascii="宋体" w:hAnsi="宋体" w:cs="宋体" w:eastAsia="宋体" w:hint="default"/>
          <w:spacing w:val="-11"/>
        </w:rPr>
        <w:t> </w:t>
      </w:r>
      <w:r>
        <w:rPr/>
        <w:t>本集团履约过程中所产出的商品具有不可替代用途，且本集团在</w:t>
      </w:r>
    </w:p>
    <w:p>
      <w:pPr>
        <w:spacing w:after="0" w:line="355" w:lineRule="auto"/>
        <w:jc w:val="both"/>
        <w:sectPr>
          <w:pgSz w:w="11910" w:h="16840"/>
          <w:pgMar w:header="882" w:footer="1195" w:top="1120" w:bottom="1380" w:left="130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211"/>
        <w:jc w:val="both"/>
      </w:pPr>
      <w:r>
        <w:rPr>
          <w:spacing w:val="-2"/>
        </w:rPr>
        <w:t>整个合同期间内有权就累计至今已完成的履约部分收取款项。否则，本集团在客户取得相关商品或</w:t>
      </w:r>
      <w:r>
        <w:rPr>
          <w:spacing w:val="-30"/>
        </w:rPr>
        <w:t> </w:t>
      </w:r>
      <w:r>
        <w:rPr>
          <w:spacing w:val="-30"/>
        </w:rPr>
      </w:r>
      <w:r>
        <w:rPr/>
        <w:t>服务控制权的时点确认收入。</w:t>
      </w:r>
    </w:p>
    <w:p>
      <w:pPr>
        <w:pStyle w:val="BodyText"/>
        <w:spacing w:line="357" w:lineRule="auto" w:before="32"/>
        <w:ind w:left="140" w:right="211" w:firstLine="424"/>
        <w:jc w:val="both"/>
      </w:pPr>
      <w:r>
        <w:rPr>
          <w:spacing w:val="-2"/>
        </w:rPr>
        <w:t>对于在一段时间内履行的履约义务，本集团采用产出法确定履约进度，即根据已转移给客户的</w:t>
      </w:r>
      <w:r>
        <w:rPr>
          <w:w w:val="100"/>
        </w:rPr>
        <w:t> </w:t>
      </w:r>
      <w:r>
        <w:rPr>
          <w:spacing w:val="-2"/>
        </w:rPr>
        <w:t>商品或服务对于客户的价值确定履约进度。当履约进度不能合理确定时，已经发生的成本预计能够</w:t>
      </w:r>
      <w:r>
        <w:rPr>
          <w:spacing w:val="-32"/>
        </w:rPr>
        <w:t> </w:t>
      </w:r>
      <w:r>
        <w:rPr>
          <w:spacing w:val="-32"/>
        </w:rPr>
      </w:r>
      <w:r>
        <w:rPr/>
        <w:t>得到补偿的，本集团按照已经发生的成本金额确认收入，直到履约进度能够合理确定为止。</w:t>
      </w:r>
    </w:p>
    <w:p>
      <w:pPr>
        <w:pStyle w:val="BodyText"/>
        <w:spacing w:line="355" w:lineRule="auto" w:before="30"/>
        <w:ind w:left="565" w:right="117"/>
        <w:jc w:val="left"/>
      </w:pPr>
      <w:r>
        <w:rPr/>
        <w:t>本集团拥有的无条件</w:t>
      </w:r>
      <w:r>
        <w:rPr>
          <w:rFonts w:ascii="宋体" w:hAnsi="宋体" w:cs="宋体" w:eastAsia="宋体" w:hint="default"/>
        </w:rPr>
        <w:t>(</w:t>
      </w:r>
      <w:r>
        <w:rPr/>
        <w:t>即，仅取决于时间流逝</w:t>
      </w:r>
      <w:r>
        <w:rPr>
          <w:rFonts w:ascii="宋体" w:hAnsi="宋体" w:cs="宋体" w:eastAsia="宋体" w:hint="default"/>
        </w:rPr>
        <w:t>)</w:t>
      </w:r>
      <w:r>
        <w:rPr/>
        <w:t>向客户收取对价的权利作为应收款项单独列示。</w:t>
      </w:r>
      <w:r>
        <w:rPr>
          <w:spacing w:val="-15"/>
        </w:rPr>
        <w:t> </w:t>
      </w:r>
      <w:r>
        <w:rPr>
          <w:spacing w:val="-15"/>
        </w:rPr>
      </w:r>
      <w:r>
        <w:rPr/>
        <w:t>合同负债，是指本集团已收或应收客户对价而应向客户转让商品或服务的义务。</w:t>
      </w:r>
    </w:p>
    <w:p>
      <w:pPr>
        <w:spacing w:line="240" w:lineRule="auto" w:before="0"/>
        <w:rPr>
          <w:rFonts w:ascii="宋体" w:hAnsi="宋体" w:cs="宋体" w:eastAsia="宋体" w:hint="default"/>
          <w:sz w:val="20"/>
          <w:szCs w:val="20"/>
        </w:rPr>
      </w:pPr>
    </w:p>
    <w:p>
      <w:pPr>
        <w:pStyle w:val="BodyText"/>
        <w:spacing w:line="240" w:lineRule="auto" w:before="179"/>
        <w:ind w:left="140" w:right="0"/>
        <w:jc w:val="both"/>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可变对价</w:t>
      </w:r>
      <w:r>
        <w:rPr/>
      </w:r>
    </w:p>
    <w:p>
      <w:pPr>
        <w:pStyle w:val="BodyText"/>
        <w:spacing w:line="355" w:lineRule="auto" w:before="135"/>
        <w:ind w:left="140" w:right="211" w:firstLine="424"/>
        <w:jc w:val="both"/>
      </w:pPr>
      <w:r>
        <w:rPr>
          <w:spacing w:val="-2"/>
        </w:rPr>
        <w:t>合同中存在可变对价</w:t>
      </w:r>
      <w:r>
        <w:rPr>
          <w:rFonts w:ascii="宋体" w:hAnsi="宋体" w:cs="宋体" w:eastAsia="宋体" w:hint="default"/>
          <w:spacing w:val="-2"/>
        </w:rPr>
        <w:t>(</w:t>
      </w:r>
      <w:r>
        <w:rPr>
          <w:spacing w:val="-2"/>
        </w:rPr>
        <w:t>如退货权、销售返利以及积分奖励等</w:t>
      </w:r>
      <w:r>
        <w:rPr>
          <w:rFonts w:ascii="宋体" w:hAnsi="宋体" w:cs="宋体" w:eastAsia="宋体" w:hint="default"/>
          <w:spacing w:val="-2"/>
        </w:rPr>
        <w:t>)</w:t>
      </w:r>
      <w:r>
        <w:rPr>
          <w:spacing w:val="-2"/>
        </w:rPr>
        <w:t>的，本集团按照期望值或最可能发</w:t>
      </w:r>
      <w:r>
        <w:rPr>
          <w:w w:val="100"/>
        </w:rPr>
        <w:t> </w:t>
      </w:r>
      <w:r>
        <w:rPr>
          <w:spacing w:val="-2"/>
        </w:rPr>
        <w:t>生金额确定可变对价的最佳估计数。包含可变对价的交易价格，不超过在相关不确定性消除时累计</w:t>
      </w:r>
      <w:r>
        <w:rPr>
          <w:spacing w:val="-30"/>
        </w:rPr>
        <w:t> </w:t>
      </w:r>
      <w:r>
        <w:rPr>
          <w:spacing w:val="-30"/>
        </w:rPr>
      </w:r>
      <w:r>
        <w:rPr>
          <w:spacing w:val="-2"/>
        </w:rPr>
        <w:t>已确认收入极可能不会发生重大转回的金额。每一资产负债表日，本集团重新估计应计入交易价格</w:t>
      </w:r>
      <w:r>
        <w:rPr>
          <w:spacing w:val="-29"/>
        </w:rPr>
        <w:t> </w:t>
      </w:r>
      <w:r>
        <w:rPr>
          <w:spacing w:val="-29"/>
        </w:rPr>
      </w:r>
      <w:r>
        <w:rPr/>
        <w:t>的可变对价金额。</w:t>
      </w:r>
    </w:p>
    <w:p>
      <w:pPr>
        <w:pStyle w:val="BodyText"/>
        <w:spacing w:line="355" w:lineRule="auto" w:before="34"/>
        <w:ind w:left="140" w:right="211" w:firstLine="424"/>
        <w:jc w:val="both"/>
      </w:pPr>
      <w:r>
        <w:rPr>
          <w:spacing w:val="-2"/>
        </w:rPr>
        <w:t>本集团零售门店对消费者实行会员积分卡回馈政策。对于消费积分达到一定分值的客户积分可</w:t>
      </w:r>
      <w:r>
        <w:rPr>
          <w:w w:val="100"/>
        </w:rPr>
        <w:t> </w:t>
      </w:r>
      <w:r>
        <w:rPr>
          <w:spacing w:val="-2"/>
        </w:rPr>
        <w:t>以在购物时折算为现金使用。本集团将销售对价按照单独售价在已售出商品和授予的积分之间进行</w:t>
      </w:r>
      <w:r>
        <w:rPr>
          <w:spacing w:val="-30"/>
        </w:rPr>
        <w:t> </w:t>
      </w:r>
      <w:r>
        <w:rPr>
          <w:spacing w:val="-30"/>
        </w:rPr>
      </w:r>
      <w:r>
        <w:rPr/>
        <w:t>分配，分配于奖励积分的销售对价作为合同负债，并在奖励积分被兑换时确认为收入。</w:t>
      </w:r>
    </w:p>
    <w:p>
      <w:pPr>
        <w:spacing w:line="240" w:lineRule="auto" w:before="0"/>
        <w:rPr>
          <w:rFonts w:ascii="宋体" w:hAnsi="宋体" w:cs="宋体" w:eastAsia="宋体" w:hint="default"/>
          <w:sz w:val="20"/>
          <w:szCs w:val="20"/>
        </w:rPr>
      </w:pPr>
    </w:p>
    <w:p>
      <w:pPr>
        <w:pStyle w:val="BodyText"/>
        <w:spacing w:line="240" w:lineRule="auto" w:before="179"/>
        <w:ind w:left="140" w:right="0"/>
        <w:jc w:val="both"/>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重大融资成分</w:t>
      </w:r>
      <w:r>
        <w:rPr/>
      </w:r>
    </w:p>
    <w:p>
      <w:pPr>
        <w:pStyle w:val="BodyText"/>
        <w:spacing w:line="355" w:lineRule="auto" w:before="135"/>
        <w:ind w:left="140" w:right="211" w:firstLine="424"/>
        <w:jc w:val="both"/>
      </w:pPr>
      <w:r>
        <w:rPr>
          <w:spacing w:val="-2"/>
        </w:rPr>
        <w:t>合同中存在重大融资成分</w:t>
      </w:r>
      <w:r>
        <w:rPr>
          <w:rFonts w:ascii="宋体" w:hAnsi="宋体" w:cs="宋体" w:eastAsia="宋体" w:hint="default"/>
          <w:spacing w:val="-2"/>
        </w:rPr>
        <w:t>(</w:t>
      </w:r>
      <w:r>
        <w:rPr>
          <w:spacing w:val="-2"/>
        </w:rPr>
        <w:t>如教育信息化业务等</w:t>
      </w:r>
      <w:r>
        <w:rPr>
          <w:rFonts w:ascii="宋体" w:hAnsi="宋体" w:cs="宋体" w:eastAsia="宋体" w:hint="default"/>
          <w:spacing w:val="-2"/>
        </w:rPr>
        <w:t>)</w:t>
      </w:r>
      <w:r>
        <w:rPr>
          <w:spacing w:val="-2"/>
        </w:rPr>
        <w:t>的，本集团按照假定客户在取得商品或服务控</w:t>
      </w:r>
      <w:r>
        <w:rPr>
          <w:w w:val="100"/>
        </w:rPr>
        <w:t> </w:t>
      </w:r>
      <w:r>
        <w:rPr>
          <w:spacing w:val="-2"/>
        </w:rPr>
        <w:t>制权时即以现金支付的应付金额确定交易价格。该交易价格与合同对价之间的差额，在合同期间内</w:t>
      </w:r>
      <w:r>
        <w:rPr>
          <w:spacing w:val="-31"/>
        </w:rPr>
        <w:t> </w:t>
      </w:r>
      <w:r>
        <w:rPr>
          <w:spacing w:val="-31"/>
        </w:rPr>
      </w:r>
      <w:r>
        <w:rPr>
          <w:spacing w:val="-2"/>
        </w:rPr>
        <w:t>采用实际利率法摊销。合同开始日，本集团预计客户取得商品或服务控制权与客户支付价款间隔不</w:t>
      </w:r>
      <w:r>
        <w:rPr>
          <w:spacing w:val="-30"/>
        </w:rPr>
        <w:t> </w:t>
      </w:r>
      <w:r>
        <w:rPr>
          <w:spacing w:val="-30"/>
        </w:rPr>
      </w:r>
      <w:r>
        <w:rPr/>
        <w:t>超过一年的，不考虑合同中存在的重大融资成分。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55" w:lineRule="auto"/>
        <w:ind w:left="565" w:right="117" w:hanging="425"/>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附有销售退回条款的销售</w:t>
      </w:r>
      <w:r>
        <w:rPr>
          <w:w w:val="100"/>
        </w:rPr>
      </w:r>
      <w:r>
        <w:rPr>
          <w:w w:val="100"/>
        </w:rPr>
        <w:t> </w:t>
      </w:r>
      <w:r>
        <w:rPr>
          <w:spacing w:val="-2"/>
        </w:rPr>
        <w:t>对于附有销售退回条款的销售，本集团在客户取得相关商品控制权时，按照因向客户转让商品</w:t>
      </w:r>
    </w:p>
    <w:p>
      <w:pPr>
        <w:pStyle w:val="BodyText"/>
        <w:spacing w:line="357" w:lineRule="auto" w:before="32"/>
        <w:ind w:left="140" w:right="211"/>
        <w:jc w:val="both"/>
      </w:pPr>
      <w:r>
        <w:rPr>
          <w:spacing w:val="-2"/>
        </w:rPr>
        <w:t>而预期有权收取的对价金额</w:t>
      </w:r>
      <w:r>
        <w:rPr>
          <w:rFonts w:ascii="宋体" w:hAnsi="宋体" w:cs="宋体" w:eastAsia="宋体" w:hint="default"/>
          <w:spacing w:val="-2"/>
        </w:rPr>
        <w:t>(</w:t>
      </w:r>
      <w:r>
        <w:rPr>
          <w:spacing w:val="-2"/>
        </w:rPr>
        <w:t>即，不包含预期因销售退回将退还的金额</w:t>
      </w:r>
      <w:r>
        <w:rPr>
          <w:rFonts w:ascii="宋体" w:hAnsi="宋体" w:cs="宋体" w:eastAsia="宋体" w:hint="default"/>
          <w:spacing w:val="-2"/>
        </w:rPr>
        <w:t>)</w:t>
      </w:r>
      <w:r>
        <w:rPr>
          <w:spacing w:val="-2"/>
        </w:rPr>
        <w:t>确认收入，按照预期因销售</w:t>
      </w:r>
      <w:r>
        <w:rPr>
          <w:spacing w:val="-33"/>
        </w:rPr>
        <w:t> </w:t>
      </w:r>
      <w:r>
        <w:rPr>
          <w:spacing w:val="-33"/>
        </w:rPr>
      </w:r>
      <w:r>
        <w:rPr>
          <w:spacing w:val="-2"/>
        </w:rPr>
        <w:t>退回将退还的金额确认预计负债；同时，按照预期将退回商品转让时的账面价值，扣除收回该商品</w:t>
      </w:r>
      <w:r>
        <w:rPr>
          <w:spacing w:val="-31"/>
        </w:rPr>
        <w:t> </w:t>
      </w:r>
      <w:r>
        <w:rPr>
          <w:spacing w:val="-31"/>
        </w:rPr>
      </w:r>
      <w:r>
        <w:rPr/>
        <w:t>预计发生的成本</w:t>
      </w:r>
      <w:r>
        <w:rPr>
          <w:rFonts w:ascii="宋体" w:hAnsi="宋体" w:cs="宋体" w:eastAsia="宋体" w:hint="default"/>
        </w:rPr>
        <w:t>(</w:t>
      </w:r>
      <w:r>
        <w:rPr/>
        <w:t>包括退回商品的价值减损</w:t>
      </w:r>
      <w:r>
        <w:rPr>
          <w:rFonts w:ascii="宋体" w:hAnsi="宋体" w:cs="宋体" w:eastAsia="宋体" w:hint="default"/>
        </w:rPr>
        <w:t>)</w:t>
      </w:r>
      <w:r>
        <w:rPr/>
        <w:t>后的余额，确认为一项资产</w:t>
      </w:r>
      <w:r>
        <w:rPr>
          <w:rFonts w:ascii="宋体" w:hAnsi="宋体" w:cs="宋体" w:eastAsia="宋体" w:hint="default"/>
        </w:rPr>
        <w:t>(</w:t>
      </w:r>
      <w:r>
        <w:rPr/>
        <w:t>其他流动资产或其他非流</w:t>
      </w:r>
      <w:r>
        <w:rPr>
          <w:spacing w:val="-6"/>
        </w:rPr>
        <w:t> </w:t>
      </w:r>
      <w:r>
        <w:rPr>
          <w:spacing w:val="-6"/>
        </w:rPr>
      </w:r>
      <w:r>
        <w:rPr/>
        <w:t>动资产</w:t>
      </w:r>
      <w:r>
        <w:rPr>
          <w:rFonts w:ascii="宋体" w:hAnsi="宋体" w:cs="宋体" w:eastAsia="宋体" w:hint="default"/>
        </w:rPr>
        <w:t>)</w:t>
      </w:r>
      <w:r>
        <w:rPr/>
        <w:t>，按照所转让商品转让时的账面价值，扣除上述资产成本的净额结转成本。</w:t>
      </w:r>
    </w:p>
    <w:p>
      <w:pPr>
        <w:pStyle w:val="BodyText"/>
        <w:spacing w:line="240" w:lineRule="auto" w:before="30"/>
        <w:ind w:left="140" w:right="0"/>
        <w:jc w:val="both"/>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附有质量保证条款的销售</w:t>
      </w:r>
      <w:r>
        <w:rPr/>
      </w:r>
    </w:p>
    <w:p>
      <w:pPr>
        <w:spacing w:after="0" w:line="240" w:lineRule="auto"/>
        <w:jc w:val="both"/>
        <w:sectPr>
          <w:pgSz w:w="11910" w:h="16840"/>
          <w:pgMar w:header="882"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111" w:firstLine="424"/>
        <w:jc w:val="both"/>
      </w:pPr>
      <w:r>
        <w:rPr>
          <w:spacing w:val="-2"/>
        </w:rPr>
        <w:t>对于附有质量保证条款的销售，如果该质量保证在向客户保证所销售商品或服务符合既定标准</w:t>
      </w:r>
      <w:r>
        <w:rPr>
          <w:w w:val="100"/>
        </w:rPr>
        <w:t> </w:t>
      </w:r>
      <w:r>
        <w:rPr>
          <w:spacing w:val="-2"/>
        </w:rPr>
        <w:t>之外提供了一项单独的服务，该质量保证构成单项履约义务。否则，本集团按照《企业会计准则第</w:t>
      </w:r>
      <w:r>
        <w:rPr>
          <w:spacing w:val="-31"/>
        </w:rPr>
        <w:t> </w:t>
      </w:r>
      <w:r>
        <w:rPr>
          <w:spacing w:val="-31"/>
        </w:rPr>
      </w:r>
      <w:r>
        <w:rPr>
          <w:rFonts w:ascii="宋体" w:hAnsi="宋体" w:cs="宋体" w:eastAsia="宋体" w:hint="default"/>
        </w:rPr>
        <w:t>13</w:t>
      </w:r>
      <w:r>
        <w:rPr>
          <w:rFonts w:ascii="宋体" w:hAnsi="宋体" w:cs="宋体" w:eastAsia="宋体" w:hint="default"/>
          <w:spacing w:val="-56"/>
        </w:rPr>
        <w:t> </w:t>
      </w:r>
      <w:r>
        <w:rPr/>
        <w:t>号——或有事项》规定对质量保证责任进行会计处理。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565" w:right="106" w:hanging="425"/>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主要责任人与代理人</w:t>
      </w:r>
      <w:r>
        <w:rPr>
          <w:w w:val="100"/>
        </w:rPr>
      </w:r>
      <w:r>
        <w:rPr>
          <w:w w:val="100"/>
        </w:rPr>
        <w:t> </w:t>
      </w:r>
      <w:r>
        <w:rPr>
          <w:spacing w:val="-2"/>
        </w:rPr>
        <w:t>本集团根据在向客户转让商品或服务前是否拥有对该商品或服务的控制权，来判断从事交易时</w:t>
      </w:r>
    </w:p>
    <w:p>
      <w:pPr>
        <w:pStyle w:val="BodyText"/>
        <w:spacing w:line="357" w:lineRule="auto" w:before="32"/>
        <w:ind w:left="140" w:right="111"/>
        <w:jc w:val="both"/>
      </w:pPr>
      <w:r>
        <w:rPr>
          <w:spacing w:val="-2"/>
        </w:rPr>
        <w:t>本集团的身份是主要责任人还是代理人。本集团在向客户转让商品或服务前能够控制该商品或服务</w:t>
      </w:r>
      <w:r>
        <w:rPr>
          <w:spacing w:val="-30"/>
        </w:rPr>
        <w:t> </w:t>
      </w:r>
      <w:r>
        <w:rPr>
          <w:spacing w:val="-30"/>
        </w:rPr>
      </w:r>
      <w:r>
        <w:rPr>
          <w:spacing w:val="-2"/>
        </w:rPr>
        <w:t>的，本集团为主要责任人，按照已收或应收对价总额确认收入；否则，本集团为代理人，按照预期</w:t>
      </w:r>
      <w:r>
        <w:rPr>
          <w:spacing w:val="-34"/>
        </w:rPr>
        <w:t> </w:t>
      </w:r>
      <w:r>
        <w:rPr>
          <w:spacing w:val="-34"/>
        </w:rPr>
      </w:r>
      <w:r>
        <w:rPr>
          <w:spacing w:val="-2"/>
        </w:rPr>
        <w:t>有权收取的佣金或手续费的金额确认收入，该金额按照已收或应收对价总额扣除应支付给其他相关</w:t>
      </w:r>
      <w:r>
        <w:rPr>
          <w:spacing w:val="-30"/>
        </w:rPr>
        <w:t> </w:t>
      </w:r>
      <w:r>
        <w:rPr>
          <w:spacing w:val="-30"/>
        </w:rPr>
      </w:r>
      <w:r>
        <w:rPr/>
        <w:t>方的价款后的净额确定。</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2"/>
        <w:spacing w:line="240" w:lineRule="auto"/>
        <w:ind w:left="140" w:right="106"/>
        <w:jc w:val="left"/>
        <w:rPr>
          <w:b w:val="0"/>
          <w:bCs w:val="0"/>
        </w:rPr>
      </w:pPr>
      <w:r>
        <w:rPr>
          <w:rFonts w:ascii="宋体" w:hAnsi="宋体" w:cs="宋体" w:eastAsia="宋体" w:hint="default"/>
        </w:rPr>
        <w:t>(2).</w:t>
      </w:r>
      <w:r>
        <w:rPr/>
        <w:t>同类业务采用不同经营模式导致收入确认会计政策存在差异的情况</w:t>
      </w:r>
      <w:r>
        <w:rPr>
          <w:b w:val="0"/>
          <w:bCs w:val="0"/>
        </w:rPr>
      </w:r>
    </w:p>
    <w:p>
      <w:pPr>
        <w:pStyle w:val="BodyText"/>
        <w:spacing w:line="240" w:lineRule="auto" w:before="58"/>
        <w:ind w:left="140" w:right="10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宋体" w:hAnsi="宋体" w:cs="宋体" w:eastAsia="宋体" w:hint="default"/>
        </w:rPr>
        <w:t>35.</w:t>
      </w:r>
      <w:r>
        <w:rPr>
          <w:rFonts w:ascii="宋体" w:hAnsi="宋体" w:cs="宋体" w:eastAsia="宋体" w:hint="default"/>
          <w:spacing w:val="2"/>
        </w:rPr>
        <w:t> </w:t>
      </w:r>
      <w:r>
        <w:rPr/>
        <w:t>合同成本</w:t>
      </w:r>
      <w:r>
        <w:rPr>
          <w:b w:val="0"/>
          <w:bCs w:val="0"/>
        </w:rPr>
      </w:r>
    </w:p>
    <w:p>
      <w:pPr>
        <w:pStyle w:val="BodyText"/>
        <w:spacing w:line="240" w:lineRule="auto" w:before="56"/>
        <w:ind w:left="140" w:right="10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40" w:right="106"/>
        <w:jc w:val="left"/>
        <w:rPr>
          <w:b w:val="0"/>
          <w:bCs w:val="0"/>
        </w:rPr>
      </w:pPr>
      <w:r>
        <w:rPr>
          <w:rFonts w:ascii="宋体" w:hAnsi="宋体" w:cs="宋体" w:eastAsia="宋体" w:hint="default"/>
        </w:rPr>
        <w:t>36.</w:t>
      </w:r>
      <w:r>
        <w:rPr>
          <w:rFonts w:ascii="宋体" w:hAnsi="宋体" w:cs="宋体" w:eastAsia="宋体" w:hint="default"/>
          <w:spacing w:val="2"/>
        </w:rPr>
        <w:t> </w:t>
      </w:r>
      <w:r>
        <w:rPr/>
        <w:t>政府补助</w:t>
      </w:r>
      <w:r>
        <w:rPr>
          <w:b w:val="0"/>
          <w:bCs w:val="0"/>
        </w:rPr>
      </w:r>
    </w:p>
    <w:p>
      <w:pPr>
        <w:pStyle w:val="BodyText"/>
        <w:spacing w:line="240" w:lineRule="auto" w:before="56"/>
        <w:ind w:left="565" w:right="106" w:hanging="425"/>
        <w:jc w:val="left"/>
      </w:pPr>
      <w:r>
        <w:rPr/>
        <w:t>√适用</w:t>
      </w:r>
      <w:r>
        <w:rPr>
          <w:spacing w:val="-2"/>
        </w:rPr>
        <w:t> </w:t>
      </w:r>
      <w:r>
        <w:rPr/>
        <w:t>□不适用</w:t>
      </w:r>
      <w:r>
        <w:rPr>
          <w:spacing w:val="-103"/>
        </w:rPr>
        <w:t> </w:t>
      </w:r>
      <w:r>
        <w:rPr>
          <w:spacing w:val="-103"/>
        </w:rPr>
      </w:r>
      <w:r>
        <w:rPr>
          <w:spacing w:val="-2"/>
        </w:rPr>
        <w:t>政府补助是指本集团从政府无偿取得货币性资产和非货币性资产。政府补助在能够满足政府补</w:t>
      </w:r>
    </w:p>
    <w:p>
      <w:pPr>
        <w:pStyle w:val="BodyText"/>
        <w:spacing w:line="355" w:lineRule="auto" w:before="133"/>
        <w:ind w:left="565" w:right="1388" w:hanging="425"/>
        <w:jc w:val="left"/>
      </w:pPr>
      <w:r>
        <w:rPr/>
        <w:t>助所附条件且能够收到时予以确认。</w:t>
      </w:r>
      <w:r>
        <w:rPr>
          <w:w w:val="100"/>
        </w:rPr>
        <w:t> </w:t>
      </w:r>
      <w:r>
        <w:rPr>
          <w:spacing w:val="-2"/>
        </w:rPr>
        <w:t>政府补助为货币性资产的，按照收到或应收的金额计量。</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565" w:right="106" w:hanging="425"/>
        <w:jc w:val="left"/>
      </w:pPr>
      <w:r>
        <w:rPr>
          <w:rFonts w:ascii="宋体" w:hAnsi="宋体" w:cs="宋体" w:eastAsia="宋体" w:hint="default"/>
        </w:rPr>
        <w:t>36.1</w:t>
      </w:r>
      <w:r>
        <w:rPr>
          <w:rFonts w:ascii="宋体" w:hAnsi="宋体" w:cs="宋体" w:eastAsia="宋体" w:hint="default"/>
          <w:spacing w:val="-56"/>
        </w:rPr>
        <w:t> </w:t>
      </w:r>
      <w:r>
        <w:rPr/>
        <w:t>与资产相关的政府补助判断依据及会计处理方法</w:t>
      </w:r>
      <w:r>
        <w:rPr>
          <w:w w:val="100"/>
        </w:rPr>
        <w:t> </w:t>
      </w:r>
      <w:r>
        <w:rPr>
          <w:spacing w:val="-2"/>
        </w:rPr>
        <w:t>本集团的政府补助中除图书补贴以外的其他政府补助，由于企业取得后用于购建或以其他方式</w:t>
      </w:r>
    </w:p>
    <w:p>
      <w:pPr>
        <w:pStyle w:val="BodyText"/>
        <w:spacing w:line="355" w:lineRule="auto" w:before="33"/>
        <w:ind w:left="565" w:right="106" w:hanging="425"/>
        <w:jc w:val="left"/>
      </w:pPr>
      <w:r>
        <w:rPr/>
        <w:t>形成长期资产，该等政府补助为与资产相关的政府补助。</w:t>
      </w:r>
      <w:r>
        <w:rPr>
          <w:w w:val="100"/>
        </w:rPr>
        <w:t> </w:t>
      </w:r>
      <w:r>
        <w:rPr>
          <w:spacing w:val="-2"/>
        </w:rPr>
        <w:t>与资产相关的政府补助，确认为递延收益，在相关资产的使用寿命内按照直线法分期计入当期</w:t>
      </w:r>
    </w:p>
    <w:p>
      <w:pPr>
        <w:pStyle w:val="BodyText"/>
        <w:spacing w:line="240" w:lineRule="auto" w:before="34"/>
        <w:ind w:left="140" w:right="106"/>
        <w:jc w:val="left"/>
      </w:pPr>
      <w:r>
        <w:rPr/>
        <w:t>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565" w:right="106" w:hanging="425"/>
        <w:jc w:val="left"/>
      </w:pPr>
      <w:r>
        <w:rPr>
          <w:rFonts w:ascii="宋体" w:hAnsi="宋体" w:cs="宋体" w:eastAsia="宋体" w:hint="default"/>
        </w:rPr>
        <w:t>36.2</w:t>
      </w:r>
      <w:r>
        <w:rPr>
          <w:rFonts w:ascii="宋体" w:hAnsi="宋体" w:cs="宋体" w:eastAsia="宋体" w:hint="default"/>
          <w:spacing w:val="-56"/>
        </w:rPr>
        <w:t> </w:t>
      </w:r>
      <w:r>
        <w:rPr/>
        <w:t>与收益相关的政府补助判断依据及会计处理方法</w:t>
      </w:r>
      <w:r>
        <w:rPr>
          <w:w w:val="100"/>
        </w:rPr>
        <w:t> </w:t>
      </w:r>
      <w:r>
        <w:rPr>
          <w:spacing w:val="-2"/>
        </w:rPr>
        <w:t>本集团的政府补助中的图书补贴，由于该补贴主要用于出版社出版特定图书项目，该等政府补</w:t>
      </w:r>
    </w:p>
    <w:p>
      <w:pPr>
        <w:pStyle w:val="BodyText"/>
        <w:spacing w:line="355" w:lineRule="auto" w:before="34"/>
        <w:ind w:left="565" w:right="106" w:hanging="425"/>
        <w:jc w:val="left"/>
      </w:pPr>
      <w:r>
        <w:rPr/>
        <w:t>助为与收益相关的政府补助。</w:t>
      </w:r>
      <w:r>
        <w:rPr>
          <w:w w:val="100"/>
        </w:rPr>
        <w:t> </w:t>
      </w:r>
      <w:r>
        <w:rPr>
          <w:spacing w:val="-2"/>
        </w:rPr>
        <w:t>与收益相关的政府补助，用于补偿以后期间的相关费用和损失的，确认为递延收益，并在确认</w:t>
      </w:r>
    </w:p>
    <w:p>
      <w:pPr>
        <w:pStyle w:val="BodyText"/>
        <w:spacing w:line="240" w:lineRule="auto" w:before="32"/>
        <w:ind w:left="140" w:right="106"/>
        <w:jc w:val="left"/>
      </w:pPr>
      <w:r>
        <w:rPr/>
        <w:t>相关费用的期间计入当期损益；用于补偿已经发生的相关费用和损失的，直接计入当期损益。</w:t>
      </w:r>
    </w:p>
    <w:p>
      <w:pPr>
        <w:spacing w:after="0" w:line="240" w:lineRule="auto"/>
        <w:jc w:val="left"/>
        <w:sectPr>
          <w:pgSz w:w="11910" w:h="16840"/>
          <w:pgMar w:header="882" w:footer="1195" w:top="112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113" w:firstLine="424"/>
        <w:jc w:val="both"/>
      </w:pPr>
      <w:r>
        <w:rPr>
          <w:spacing w:val="-2"/>
        </w:rPr>
        <w:t>与本集团日常活动相关的政府补助，按照经济业务实质，计入其他收益。与本集团日常活动无</w:t>
      </w:r>
      <w:r>
        <w:rPr>
          <w:w w:val="100"/>
        </w:rPr>
        <w:t> </w:t>
      </w:r>
      <w:r>
        <w:rPr/>
        <w:t>关的政府补助，计入营业外收入。</w:t>
      </w:r>
    </w:p>
    <w:p>
      <w:pPr>
        <w:spacing w:line="240" w:lineRule="auto" w:before="13"/>
        <w:rPr>
          <w:rFonts w:ascii="宋体" w:hAnsi="宋体" w:cs="宋体" w:eastAsia="宋体" w:hint="default"/>
          <w:sz w:val="27"/>
          <w:szCs w:val="27"/>
        </w:rPr>
      </w:pPr>
    </w:p>
    <w:p>
      <w:pPr>
        <w:pStyle w:val="Heading2"/>
        <w:spacing w:line="240" w:lineRule="auto"/>
        <w:ind w:left="140" w:right="106"/>
        <w:jc w:val="left"/>
        <w:rPr>
          <w:b w:val="0"/>
          <w:bCs w:val="0"/>
        </w:rPr>
      </w:pPr>
      <w:r>
        <w:rPr>
          <w:rFonts w:ascii="宋体" w:hAnsi="宋体" w:cs="宋体" w:eastAsia="宋体" w:hint="default"/>
        </w:rPr>
        <w:t>37.</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tabs>
          <w:tab w:pos="982" w:val="left" w:leader="none"/>
        </w:tabs>
        <w:spacing w:line="355" w:lineRule="auto" w:before="29"/>
        <w:ind w:left="140" w:right="5149"/>
        <w:jc w:val="left"/>
      </w:pPr>
      <w:r>
        <w:rPr/>
        <w:t>√适用</w:t>
        <w:tab/>
        <w:t>□不适用</w:t>
      </w:r>
      <w:r>
        <w:rPr>
          <w:w w:val="100"/>
        </w:rPr>
        <w:t> </w:t>
      </w:r>
      <w:r>
        <w:rPr>
          <w:spacing w:val="-2"/>
        </w:rPr>
        <w:t>所得税费用包括当期所得税和递延所得税。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7" w:lineRule="auto"/>
        <w:ind w:left="565" w:right="106" w:hanging="425"/>
        <w:jc w:val="left"/>
      </w:pPr>
      <w:r>
        <w:rPr>
          <w:rFonts w:ascii="宋体" w:hAnsi="宋体" w:cs="宋体" w:eastAsia="宋体" w:hint="default"/>
        </w:rPr>
        <w:t>37.1</w:t>
      </w:r>
      <w:r>
        <w:rPr>
          <w:rFonts w:ascii="宋体" w:hAnsi="宋体" w:cs="宋体" w:eastAsia="宋体" w:hint="default"/>
          <w:spacing w:val="-55"/>
        </w:rPr>
        <w:t> </w:t>
      </w:r>
      <w:r>
        <w:rPr/>
        <w:t>当期所得税</w:t>
      </w:r>
      <w:r>
        <w:rPr>
          <w:spacing w:val="-103"/>
        </w:rPr>
        <w:t> </w:t>
      </w:r>
      <w:r>
        <w:rPr>
          <w:spacing w:val="-103"/>
        </w:rPr>
      </w:r>
      <w:r>
        <w:rPr>
          <w:spacing w:val="-2"/>
        </w:rPr>
        <w:t>资产负债表日，对于当期和以前期间形成的当期所得税负债</w:t>
      </w:r>
      <w:r>
        <w:rPr>
          <w:rFonts w:ascii="宋体" w:hAnsi="宋体" w:cs="宋体" w:eastAsia="宋体" w:hint="default"/>
          <w:spacing w:val="-2"/>
        </w:rPr>
        <w:t>(</w:t>
      </w:r>
      <w:r>
        <w:rPr>
          <w:spacing w:val="-2"/>
        </w:rPr>
        <w:t>或资产</w:t>
      </w:r>
      <w:r>
        <w:rPr>
          <w:rFonts w:ascii="宋体" w:hAnsi="宋体" w:cs="宋体" w:eastAsia="宋体" w:hint="default"/>
          <w:spacing w:val="-2"/>
        </w:rPr>
        <w:t>)</w:t>
      </w:r>
      <w:r>
        <w:rPr>
          <w:spacing w:val="-2"/>
        </w:rPr>
        <w:t>，以按照税法规定计算的</w:t>
      </w:r>
    </w:p>
    <w:p>
      <w:pPr>
        <w:pStyle w:val="BodyText"/>
        <w:spacing w:line="240" w:lineRule="auto" w:before="30"/>
        <w:ind w:left="140" w:right="106"/>
        <w:jc w:val="left"/>
      </w:pPr>
      <w:r>
        <w:rPr/>
        <w:t>预期应交纳</w:t>
      </w:r>
      <w:r>
        <w:rPr>
          <w:rFonts w:ascii="宋体" w:hAnsi="宋体" w:cs="宋体" w:eastAsia="宋体" w:hint="default"/>
        </w:rPr>
        <w:t>(</w:t>
      </w:r>
      <w:r>
        <w:rPr/>
        <w:t>或返还</w:t>
      </w:r>
      <w:r>
        <w:rPr>
          <w:rFonts w:ascii="宋体" w:hAnsi="宋体" w:cs="宋体" w:eastAsia="宋体" w:hint="default"/>
        </w:rPr>
        <w:t>)</w:t>
      </w:r>
      <w:r>
        <w:rPr/>
        <w:t>的所得税金额计量。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ind w:left="565" w:right="106" w:hanging="425"/>
        <w:jc w:val="left"/>
      </w:pPr>
      <w:r>
        <w:rPr>
          <w:rFonts w:ascii="宋体" w:hAnsi="宋体" w:cs="宋体" w:eastAsia="宋体" w:hint="default"/>
        </w:rPr>
        <w:t>37.2</w:t>
      </w:r>
      <w:r>
        <w:rPr>
          <w:rFonts w:ascii="宋体" w:hAnsi="宋体" w:cs="宋体" w:eastAsia="宋体" w:hint="default"/>
          <w:spacing w:val="-55"/>
        </w:rPr>
        <w:t> </w:t>
      </w:r>
      <w:r>
        <w:rPr/>
        <w:t>递延所得税资产及递延所得税负债</w:t>
      </w:r>
      <w:r>
        <w:rPr>
          <w:w w:val="100"/>
        </w:rPr>
        <w:t> </w:t>
      </w:r>
      <w:r>
        <w:rPr>
          <w:spacing w:val="-2"/>
        </w:rPr>
        <w:t>对于某些资产、负债项目的账面价值与其计税基础之间的差额，以及未作为资产和负债确认但</w:t>
      </w:r>
    </w:p>
    <w:p>
      <w:pPr>
        <w:pStyle w:val="BodyText"/>
        <w:spacing w:line="355" w:lineRule="auto" w:before="32"/>
        <w:ind w:left="140" w:right="106"/>
        <w:jc w:val="left"/>
      </w:pPr>
      <w:r>
        <w:rPr>
          <w:spacing w:val="-2"/>
        </w:rPr>
        <w:t>按照税法规定可以确定其计税基础的项目的账面价值与计税基础之间的差额产生的暂时性差异，采</w:t>
      </w:r>
      <w:r>
        <w:rPr>
          <w:spacing w:val="-30"/>
        </w:rPr>
        <w:t> </w:t>
      </w:r>
      <w:r>
        <w:rPr>
          <w:spacing w:val="-30"/>
        </w:rPr>
      </w:r>
      <w:r>
        <w:rPr/>
        <w:t>用资产负债表债务法确认递延所得税资产及递延所得税负债。</w:t>
      </w:r>
    </w:p>
    <w:p>
      <w:pPr>
        <w:pStyle w:val="BodyText"/>
        <w:spacing w:line="357" w:lineRule="auto" w:before="32"/>
        <w:ind w:left="140" w:right="111" w:firstLine="424"/>
        <w:jc w:val="both"/>
      </w:pPr>
      <w:r>
        <w:rPr>
          <w:spacing w:val="-2"/>
        </w:rPr>
        <w:t>一般情况下所有暂时性差异均确认相关的递延所得税。但对于可抵扣暂时性差异，本集团以很</w:t>
      </w:r>
      <w:r>
        <w:rPr>
          <w:w w:val="100"/>
        </w:rPr>
        <w:t> </w:t>
      </w:r>
      <w:r>
        <w:rPr>
          <w:spacing w:val="-2"/>
        </w:rPr>
        <w:t>可能取得用来抵扣可抵扣暂时性差异的应纳税所得额为限，确认相关的递延所得税资产。此外，与</w:t>
      </w:r>
      <w:r>
        <w:rPr>
          <w:spacing w:val="-31"/>
        </w:rPr>
        <w:t> </w:t>
      </w:r>
      <w:r>
        <w:rPr>
          <w:spacing w:val="-31"/>
        </w:rPr>
      </w:r>
      <w:r>
        <w:rPr/>
        <w:t>商誉的初始确认相关的，以及与既不是企业合并、发生时也不影响会计利润和应纳税所得额</w:t>
      </w:r>
      <w:r>
        <w:rPr>
          <w:rFonts w:ascii="宋体" w:hAnsi="宋体" w:cs="宋体" w:eastAsia="宋体" w:hint="default"/>
        </w:rPr>
        <w:t>(</w:t>
      </w:r>
      <w:r>
        <w:rPr/>
        <w:t>或可</w:t>
      </w:r>
      <w:r>
        <w:rPr>
          <w:spacing w:val="-2"/>
        </w:rPr>
        <w:t> </w:t>
      </w:r>
      <w:r>
        <w:rPr/>
        <w:t>抵扣亏损</w:t>
      </w:r>
      <w:r>
        <w:rPr>
          <w:rFonts w:ascii="宋体" w:hAnsi="宋体" w:cs="宋体" w:eastAsia="宋体" w:hint="default"/>
        </w:rPr>
        <w:t>)</w:t>
      </w:r>
      <w:r>
        <w:rPr/>
        <w:t>的交易中产生的资产或负债的初始确认有关的暂时性差异，不予确认有关的递延所得税</w:t>
      </w:r>
      <w:r>
        <w:rPr>
          <w:spacing w:val="-7"/>
        </w:rPr>
        <w:t> </w:t>
      </w:r>
      <w:r>
        <w:rPr>
          <w:spacing w:val="-7"/>
        </w:rPr>
      </w:r>
      <w:r>
        <w:rPr/>
        <w:t>资产或负债。</w:t>
      </w:r>
    </w:p>
    <w:p>
      <w:pPr>
        <w:pStyle w:val="BodyText"/>
        <w:spacing w:line="355" w:lineRule="auto" w:before="32"/>
        <w:ind w:left="140" w:right="111" w:firstLine="424"/>
        <w:jc w:val="both"/>
      </w:pPr>
      <w:r>
        <w:rPr>
          <w:spacing w:val="-2"/>
        </w:rPr>
        <w:t>对于能够结转以后年度的可抵扣亏损及税款抵减，以很可能获得用来抵扣可抵扣亏损和税款抵</w:t>
      </w:r>
      <w:r>
        <w:rPr>
          <w:w w:val="100"/>
        </w:rPr>
        <w:t> </w:t>
      </w:r>
      <w:r>
        <w:rPr/>
        <w:t>减的未来应纳税所得额为限，确认相应的递延所得税资产。</w:t>
      </w:r>
    </w:p>
    <w:p>
      <w:pPr>
        <w:pStyle w:val="BodyText"/>
        <w:spacing w:line="357" w:lineRule="auto" w:before="32"/>
        <w:ind w:left="140" w:right="111" w:firstLine="424"/>
        <w:jc w:val="both"/>
      </w:pPr>
      <w:r>
        <w:rPr>
          <w:spacing w:val="-2"/>
        </w:rPr>
        <w:t>本集团确认与子公司、联营企业及合营企业投资相关的应纳税暂时性差异产生的递延所得税负</w:t>
      </w:r>
      <w:r>
        <w:rPr>
          <w:w w:val="100"/>
        </w:rPr>
        <w:t> </w:t>
      </w:r>
      <w:r>
        <w:rPr>
          <w:spacing w:val="-2"/>
        </w:rPr>
        <w:t>债，除非本集团能够控制暂时性差异转回的时间，而且该暂时性差异在可预见的未来很可能不会转</w:t>
      </w:r>
      <w:r>
        <w:rPr>
          <w:spacing w:val="-30"/>
        </w:rPr>
        <w:t> </w:t>
      </w:r>
      <w:r>
        <w:rPr>
          <w:spacing w:val="-30"/>
        </w:rPr>
      </w:r>
      <w:r>
        <w:rPr>
          <w:spacing w:val="-2"/>
        </w:rPr>
        <w:t>回。对于与子公司、联营企业及合营企业投资相关的可抵扣暂时性差异，只有当暂时性差异在可预</w:t>
      </w:r>
      <w:r>
        <w:rPr>
          <w:spacing w:val="-33"/>
        </w:rPr>
        <w:t> </w:t>
      </w:r>
      <w:r>
        <w:rPr>
          <w:spacing w:val="-33"/>
        </w:rPr>
      </w:r>
      <w:r>
        <w:rPr>
          <w:spacing w:val="-2"/>
        </w:rPr>
        <w:t>见的未来很可能转回，且未来很可能获得用来抵扣可抵扣暂时性差异的应纳税所得额时，本集团才</w:t>
      </w:r>
      <w:r>
        <w:rPr>
          <w:spacing w:val="-32"/>
        </w:rPr>
        <w:t> </w:t>
      </w:r>
      <w:r>
        <w:rPr>
          <w:spacing w:val="-32"/>
        </w:rPr>
      </w:r>
      <w:r>
        <w:rPr>
          <w:spacing w:val="-2"/>
        </w:rPr>
        <w:t>确认递延所得税资产。资产负债表日，对于递延所得税资产和递延所得税负债，根据税法规定，按</w:t>
      </w:r>
      <w:r>
        <w:rPr>
          <w:spacing w:val="-34"/>
        </w:rPr>
        <w:t> </w:t>
      </w:r>
      <w:r>
        <w:rPr>
          <w:spacing w:val="-34"/>
        </w:rPr>
      </w:r>
      <w:r>
        <w:rPr/>
        <w:t>照预期收回相关资产或清偿相关负债期间的适用税率计量。</w:t>
      </w:r>
    </w:p>
    <w:p>
      <w:pPr>
        <w:spacing w:line="240" w:lineRule="auto" w:before="0"/>
        <w:rPr>
          <w:rFonts w:ascii="宋体" w:hAnsi="宋体" w:cs="宋体" w:eastAsia="宋体" w:hint="default"/>
          <w:sz w:val="20"/>
          <w:szCs w:val="20"/>
        </w:rPr>
      </w:pPr>
    </w:p>
    <w:p>
      <w:pPr>
        <w:pStyle w:val="BodyText"/>
        <w:spacing w:line="355" w:lineRule="auto" w:before="179"/>
        <w:ind w:left="140" w:right="111" w:firstLine="424"/>
        <w:jc w:val="both"/>
      </w:pPr>
      <w:r>
        <w:rPr>
          <w:spacing w:val="2"/>
        </w:rPr>
        <w:t>除与直接计入其他综合收益或股东权益的交易和事项相关的当期所得税和递延所得税计入其</w:t>
      </w:r>
      <w:r>
        <w:rPr>
          <w:w w:val="100"/>
        </w:rPr>
        <w:t> </w:t>
      </w:r>
      <w:r>
        <w:rPr>
          <w:spacing w:val="-2"/>
        </w:rPr>
        <w:t>他综合收益或股东权益，以及企业合并产生的递延所得税调整商誉的账面价值外，其余当期所得税</w:t>
      </w:r>
      <w:r>
        <w:rPr>
          <w:spacing w:val="-29"/>
        </w:rPr>
        <w:t> </w:t>
      </w:r>
      <w:r>
        <w:rPr>
          <w:spacing w:val="-29"/>
        </w:rPr>
      </w:r>
      <w:r>
        <w:rPr/>
        <w:t>和递延所得税费用或收益计入当期损益。</w:t>
      </w:r>
    </w:p>
    <w:p>
      <w:pPr>
        <w:spacing w:after="0" w:line="355" w:lineRule="auto"/>
        <w:jc w:val="both"/>
        <w:sectPr>
          <w:pgSz w:w="11910" w:h="16840"/>
          <w:pgMar w:header="882" w:footer="1195" w:top="112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40" w:right="211" w:firstLine="424"/>
        <w:jc w:val="both"/>
      </w:pPr>
      <w:r>
        <w:rPr>
          <w:spacing w:val="-2"/>
        </w:rPr>
        <w:t>资产负债表日，对递延所得税资产的账面价值进行复核，如果未来很可能无法获得足够的应纳</w:t>
      </w:r>
      <w:r>
        <w:rPr>
          <w:w w:val="100"/>
        </w:rPr>
        <w:t> </w:t>
      </w:r>
      <w:r>
        <w:rPr>
          <w:spacing w:val="-2"/>
        </w:rPr>
        <w:t>税所得额用以抵扣递延所得税资产的利益，则减记递延所得税资产的账面价值。在很可能获得足够</w:t>
      </w:r>
      <w:r>
        <w:rPr>
          <w:spacing w:val="-31"/>
        </w:rPr>
        <w:t> </w:t>
      </w:r>
      <w:r>
        <w:rPr>
          <w:spacing w:val="-31"/>
        </w:rPr>
      </w:r>
      <w:r>
        <w:rPr/>
        <w:t>的应纳税所得额时，减记的金额予以转回。</w:t>
      </w:r>
    </w:p>
    <w:p>
      <w:pPr>
        <w:pStyle w:val="BodyText"/>
        <w:spacing w:line="357" w:lineRule="auto" w:before="32"/>
        <w:ind w:left="140" w:right="117" w:firstLine="424"/>
        <w:jc w:val="left"/>
      </w:pPr>
      <w:r>
        <w:rPr>
          <w:spacing w:val="-2"/>
        </w:rPr>
        <w:t>当拥有以净额结算的法定权利，且意图以净额结算或取得资产、清偿负债同时进行时，本集团</w:t>
      </w:r>
      <w:r>
        <w:rPr>
          <w:w w:val="100"/>
        </w:rPr>
        <w:t> </w:t>
      </w:r>
      <w:r>
        <w:rPr/>
        <w:t>当期所得税资产及当期所得税负债以抵销后的净额列报。</w:t>
      </w:r>
    </w:p>
    <w:p>
      <w:pPr>
        <w:pStyle w:val="BodyText"/>
        <w:spacing w:line="357" w:lineRule="auto" w:before="30"/>
        <w:ind w:left="140" w:right="117" w:firstLine="424"/>
        <w:jc w:val="left"/>
      </w:pPr>
      <w:r>
        <w:rPr/>
        <w:t>当拥有以净额结算当期所得税资产及当期所得税负债的法定权利，且递延所得税资产及递延所</w:t>
      </w:r>
      <w:r>
        <w:rPr>
          <w:w w:val="100"/>
        </w:rPr>
        <w:t> </w:t>
      </w:r>
      <w:r>
        <w:rPr/>
        <w:t>得税负债是与同一税收征管部门对同一纳税主体征收的所得税相关或者是对不同的纳税主体相关，</w:t>
      </w:r>
      <w:r>
        <w:rPr>
          <w:spacing w:val="-8"/>
        </w:rPr>
        <w:t> </w:t>
      </w:r>
      <w:r>
        <w:rPr>
          <w:spacing w:val="-8"/>
        </w:rPr>
      </w:r>
      <w:r>
        <w:rPr/>
        <w:t>但在未来每一具有重要性的递延所得税资产及负债转回的期间内，涉及的纳税主体意图以净额结算</w:t>
      </w:r>
      <w:r>
        <w:rPr>
          <w:w w:val="100"/>
        </w:rPr>
        <w:t> </w:t>
      </w:r>
      <w:r>
        <w:rPr/>
        <w:t>当期所得税资产和负债或是同时取得资产、清偿负债时，本集团递延所得税资产及递延所得税负债</w:t>
      </w:r>
      <w:r>
        <w:rPr>
          <w:w w:val="100"/>
        </w:rPr>
        <w:t> </w:t>
      </w:r>
      <w:r>
        <w:rPr/>
        <w:t>以抵销后的净额列报。</w:t>
      </w:r>
    </w:p>
    <w:p>
      <w:pPr>
        <w:spacing w:line="240" w:lineRule="auto" w:before="8"/>
        <w:rPr>
          <w:rFonts w:ascii="宋体" w:hAnsi="宋体" w:cs="宋体" w:eastAsia="宋体" w:hint="default"/>
          <w:sz w:val="27"/>
          <w:szCs w:val="27"/>
        </w:rPr>
      </w:pPr>
    </w:p>
    <w:p>
      <w:pPr>
        <w:pStyle w:val="Heading2"/>
        <w:spacing w:line="290" w:lineRule="auto"/>
        <w:ind w:left="140" w:right="6484"/>
        <w:jc w:val="left"/>
        <w:rPr>
          <w:b w:val="0"/>
          <w:bCs w:val="0"/>
        </w:rPr>
      </w:pPr>
      <w:r>
        <w:rPr>
          <w:rFonts w:ascii="宋体" w:hAnsi="宋体" w:cs="宋体" w:eastAsia="宋体" w:hint="default"/>
        </w:rPr>
        <w:t>38.</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82" w:val="left" w:leader="none"/>
        </w:tabs>
        <w:spacing w:line="240" w:lineRule="auto" w:before="12"/>
        <w:ind w:left="565" w:right="213" w:hanging="425"/>
        <w:jc w:val="left"/>
      </w:pPr>
      <w:r>
        <w:rPr/>
        <w:t>√适用</w:t>
        <w:tab/>
        <w:t>□不适用</w:t>
      </w:r>
      <w:r>
        <w:rPr>
          <w:w w:val="100"/>
        </w:rPr>
        <w:t> </w:t>
      </w:r>
      <w:r>
        <w:rPr>
          <w:spacing w:val="-2"/>
        </w:rPr>
        <w:t>实质上转移了与资产所有权有关的全部风险和报酬的租赁为融资租赁。融资租赁以外的其他租</w:t>
      </w:r>
    </w:p>
    <w:p>
      <w:pPr>
        <w:pStyle w:val="BodyText"/>
        <w:spacing w:line="240" w:lineRule="auto" w:before="133"/>
        <w:ind w:left="140" w:right="117"/>
        <w:jc w:val="left"/>
      </w:pPr>
      <w:r>
        <w:rPr/>
        <w:t>赁为经营租赁。</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565" w:right="117" w:hanging="425"/>
        <w:jc w:val="left"/>
      </w:pPr>
      <w:r>
        <w:rPr>
          <w:rFonts w:ascii="宋体" w:hAnsi="宋体" w:cs="宋体" w:eastAsia="宋体" w:hint="default"/>
        </w:rPr>
        <w:t>38.1</w:t>
      </w:r>
      <w:r>
        <w:rPr>
          <w:rFonts w:ascii="宋体" w:hAnsi="宋体" w:cs="宋体" w:eastAsia="宋体" w:hint="default"/>
          <w:spacing w:val="-55"/>
        </w:rPr>
        <w:t> </w:t>
      </w:r>
      <w:r>
        <w:rPr/>
        <w:t>本集团作为承租人记录经营租赁业务</w:t>
      </w:r>
      <w:r>
        <w:rPr>
          <w:w w:val="100"/>
        </w:rPr>
        <w:t> </w:t>
      </w:r>
      <w:r>
        <w:rPr>
          <w:spacing w:val="-2"/>
        </w:rPr>
        <w:t>经营租赁的租金支出在租赁期内的各个期间按直线法计入当期损益。初始直接费用计入当期损</w:t>
      </w:r>
    </w:p>
    <w:p>
      <w:pPr>
        <w:pStyle w:val="BodyText"/>
        <w:spacing w:line="240" w:lineRule="auto" w:before="30"/>
        <w:ind w:left="140" w:right="117"/>
        <w:jc w:val="left"/>
      </w:pPr>
      <w:r>
        <w:rPr/>
        <w:t>益。或有租金于实际发生时计入当期损益。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565" w:right="117" w:hanging="425"/>
        <w:jc w:val="left"/>
      </w:pPr>
      <w:r>
        <w:rPr>
          <w:rFonts w:ascii="宋体" w:hAnsi="宋体" w:cs="宋体" w:eastAsia="宋体" w:hint="default"/>
        </w:rPr>
        <w:t>38.2</w:t>
      </w:r>
      <w:r>
        <w:rPr>
          <w:rFonts w:ascii="宋体" w:hAnsi="宋体" w:cs="宋体" w:eastAsia="宋体" w:hint="default"/>
          <w:spacing w:val="-55"/>
        </w:rPr>
        <w:t> </w:t>
      </w:r>
      <w:r>
        <w:rPr/>
        <w:t>本集团作为出租人记录经营租赁业务</w:t>
      </w:r>
      <w:r>
        <w:rPr>
          <w:w w:val="100"/>
        </w:rPr>
        <w:t> </w:t>
      </w:r>
      <w:r>
        <w:rPr>
          <w:spacing w:val="-2"/>
        </w:rPr>
        <w:t>经营租赁的租金收入在租赁期内的各个期间按直线法确认为当期损益。对金额较大的初始直接</w:t>
      </w:r>
    </w:p>
    <w:p>
      <w:pPr>
        <w:pStyle w:val="BodyText"/>
        <w:spacing w:line="357" w:lineRule="auto" w:before="30"/>
        <w:ind w:left="140" w:right="117"/>
        <w:jc w:val="left"/>
      </w:pPr>
      <w:r>
        <w:rPr/>
        <w:t>费用于发生时予以资本化，在整个租赁期间内按照与确认租金收入相同的基础分期计入当期损益；</w:t>
      </w:r>
      <w:r>
        <w:rPr>
          <w:spacing w:val="-8"/>
        </w:rPr>
        <w:t> </w:t>
      </w:r>
      <w:r>
        <w:rPr>
          <w:spacing w:val="-8"/>
        </w:rPr>
      </w:r>
      <w:r>
        <w:rPr/>
        <w:t>其他金额较小的初始直接费用于发生时计入当期损益。或有租金于实际发生时计入当期损益。</w:t>
      </w:r>
    </w:p>
    <w:p>
      <w:pPr>
        <w:spacing w:line="240" w:lineRule="auto" w:before="11"/>
        <w:rPr>
          <w:rFonts w:ascii="宋体" w:hAnsi="宋体" w:cs="宋体" w:eastAsia="宋体" w:hint="default"/>
          <w:sz w:val="27"/>
          <w:szCs w:val="27"/>
        </w:rPr>
      </w:pPr>
    </w:p>
    <w:p>
      <w:pPr>
        <w:pStyle w:val="Heading2"/>
        <w:spacing w:line="240" w:lineRule="auto"/>
        <w:ind w:left="140" w:right="117"/>
        <w:jc w:val="left"/>
        <w:rPr>
          <w:b w:val="0"/>
          <w:bCs w:val="0"/>
        </w:rPr>
      </w:pPr>
      <w:r>
        <w:rPr>
          <w:rFonts w:ascii="宋体" w:hAnsi="宋体" w:cs="宋体" w:eastAsia="宋体" w:hint="default"/>
        </w:rPr>
        <w:t>(2).</w:t>
      </w:r>
      <w:r>
        <w:rPr/>
        <w:t>融资租赁的会计处理方法</w:t>
      </w:r>
      <w:r>
        <w:rPr>
          <w:b w:val="0"/>
          <w:bCs w:val="0"/>
        </w:rPr>
      </w:r>
    </w:p>
    <w:p>
      <w:pPr>
        <w:pStyle w:val="BodyText"/>
        <w:tabs>
          <w:tab w:pos="982" w:val="left" w:leader="none"/>
        </w:tabs>
        <w:spacing w:line="240" w:lineRule="auto" w:before="56"/>
        <w:ind w:left="140" w:right="11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40" w:right="117"/>
        <w:jc w:val="left"/>
        <w:rPr>
          <w:b w:val="0"/>
          <w:bCs w:val="0"/>
        </w:rPr>
      </w:pPr>
      <w:r>
        <w:rPr>
          <w:rFonts w:ascii="宋体" w:hAnsi="宋体" w:cs="宋体" w:eastAsia="宋体" w:hint="default"/>
        </w:rPr>
        <w:t>39. </w:t>
      </w:r>
      <w:r>
        <w:rPr/>
        <w:t>其他重要的会计政策和会计估计</w:t>
      </w:r>
      <w:r>
        <w:rPr>
          <w:b w:val="0"/>
          <w:bCs w:val="0"/>
        </w:rPr>
      </w:r>
    </w:p>
    <w:p>
      <w:pPr>
        <w:pStyle w:val="BodyText"/>
        <w:tabs>
          <w:tab w:pos="982" w:val="left" w:leader="none"/>
        </w:tabs>
        <w:spacing w:line="240" w:lineRule="auto" w:before="58"/>
        <w:ind w:left="140" w:right="117"/>
        <w:jc w:val="left"/>
      </w:pPr>
      <w:r>
        <w:rPr/>
        <w:t>□适用</w:t>
        <w:tab/>
        <w:t>√不适用</w:t>
      </w:r>
    </w:p>
    <w:p>
      <w:pPr>
        <w:spacing w:line="240" w:lineRule="auto" w:before="3"/>
        <w:rPr>
          <w:rFonts w:ascii="宋体" w:hAnsi="宋体" w:cs="宋体" w:eastAsia="宋体" w:hint="default"/>
          <w:sz w:val="25"/>
          <w:szCs w:val="25"/>
        </w:rPr>
      </w:pPr>
    </w:p>
    <w:p>
      <w:pPr>
        <w:pStyle w:val="Heading2"/>
        <w:spacing w:line="290" w:lineRule="auto"/>
        <w:ind w:left="140" w:right="5852"/>
        <w:jc w:val="left"/>
        <w:rPr>
          <w:b w:val="0"/>
          <w:bCs w:val="0"/>
        </w:rPr>
      </w:pPr>
      <w:r>
        <w:rPr>
          <w:rFonts w:ascii="宋体" w:hAnsi="宋体" w:cs="宋体" w:eastAsia="宋体" w:hint="default"/>
        </w:rPr>
        <w:t>40.</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left="140" w:right="117"/>
        <w:jc w:val="left"/>
      </w:pPr>
      <w:r>
        <w:rPr/>
        <w:t>√适用 □不适用</w:t>
      </w:r>
    </w:p>
    <w:p>
      <w:pPr>
        <w:spacing w:after="0" w:line="240" w:lineRule="auto"/>
        <w:jc w:val="left"/>
        <w:sectPr>
          <w:pgSz w:w="11910" w:h="16840"/>
          <w:pgMar w:header="882"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786"/>
        <w:gridCol w:w="1352"/>
        <w:gridCol w:w="3106"/>
      </w:tblGrid>
      <w:tr>
        <w:trPr>
          <w:trHeight w:val="554"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5"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称和金额</w:t>
            </w:r>
            <w:r>
              <w:rPr>
                <w:rFonts w:ascii="宋体" w:hAnsi="宋体" w:cs="宋体" w:eastAsia="宋体" w:hint="default"/>
                <w:sz w:val="21"/>
                <w:szCs w:val="21"/>
              </w:rPr>
              <w:t>)</w:t>
            </w:r>
          </w:p>
        </w:tc>
      </w:tr>
      <w:tr>
        <w:trPr>
          <w:trHeight w:val="1099"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本集团自</w:t>
            </w:r>
            <w:r>
              <w:rPr>
                <w:rFonts w:ascii="宋体" w:hAnsi="宋体" w:cs="宋体" w:eastAsia="宋体" w:hint="default"/>
                <w:spacing w:val="-59"/>
                <w:sz w:val="21"/>
                <w:szCs w:val="21"/>
              </w:rPr>
              <w:t> </w:t>
            </w:r>
            <w:r>
              <w:rPr>
                <w:rFonts w:ascii="宋体" w:hAnsi="宋体" w:cs="宋体" w:eastAsia="宋体" w:hint="default"/>
                <w:sz w:val="21"/>
                <w:szCs w:val="21"/>
              </w:rPr>
              <w:t>2018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日起执行财政部于</w:t>
            </w:r>
            <w:r>
              <w:rPr>
                <w:rFonts w:ascii="宋体" w:hAnsi="宋体" w:cs="宋体" w:eastAsia="宋体" w:hint="default"/>
                <w:spacing w:val="-59"/>
                <w:sz w:val="21"/>
                <w:szCs w:val="21"/>
              </w:rPr>
              <w:t> </w:t>
            </w:r>
            <w:r>
              <w:rPr>
                <w:rFonts w:ascii="宋体" w:hAnsi="宋体" w:cs="宋体" w:eastAsia="宋体" w:hint="default"/>
                <w:sz w:val="21"/>
                <w:szCs w:val="21"/>
              </w:rPr>
              <w:t>2017</w:t>
            </w:r>
            <w:r>
              <w:rPr>
                <w:rFonts w:ascii="宋体" w:hAnsi="宋体" w:cs="宋体" w:eastAsia="宋体" w:hint="default"/>
                <w:spacing w:val="-59"/>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修订的新收入准则。</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61"/>
                <w:sz w:val="21"/>
                <w:szCs w:val="21"/>
              </w:rPr>
              <w:t> </w:t>
            </w: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年第</w:t>
            </w:r>
            <w:r>
              <w:rPr>
                <w:rFonts w:ascii="宋体" w:hAnsi="宋体" w:cs="宋体" w:eastAsia="宋体" w:hint="default"/>
                <w:w w:val="100"/>
                <w:sz w:val="21"/>
                <w:szCs w:val="21"/>
              </w:rPr>
              <w:t> </w:t>
            </w:r>
            <w:r>
              <w:rPr>
                <w:rFonts w:ascii="宋体" w:hAnsi="宋体" w:cs="宋体" w:eastAsia="宋体" w:hint="default"/>
                <w:sz w:val="21"/>
                <w:szCs w:val="21"/>
              </w:rPr>
              <w:t>二次会议审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议通过</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详见第五节</w:t>
            </w:r>
            <w:r>
              <w:rPr>
                <w:rFonts w:ascii="宋体" w:hAnsi="宋体" w:cs="宋体" w:eastAsia="宋体" w:hint="default"/>
                <w:spacing w:val="-2"/>
                <w:sz w:val="21"/>
                <w:szCs w:val="21"/>
              </w:rPr>
              <w:t> </w:t>
            </w:r>
            <w:r>
              <w:rPr>
                <w:rFonts w:ascii="宋体" w:hAnsi="宋体" w:cs="宋体" w:eastAsia="宋体" w:hint="default"/>
                <w:sz w:val="21"/>
                <w:szCs w:val="21"/>
              </w:rPr>
              <w:t>五、（一）公司对</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pacing w:val="-5"/>
                <w:sz w:val="21"/>
                <w:szCs w:val="21"/>
              </w:rPr>
              <w:t>会计政策、会计估计变更原因及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影响的分析说明</w:t>
            </w:r>
          </w:p>
        </w:tc>
      </w:tr>
      <w:tr>
        <w:trPr>
          <w:trHeight w:val="1099"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本集团自</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日起执行财政部修订的新金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融工具准则。</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61"/>
                <w:sz w:val="21"/>
                <w:szCs w:val="21"/>
              </w:rPr>
              <w:t> </w:t>
            </w: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年第</w:t>
            </w:r>
            <w:r>
              <w:rPr>
                <w:rFonts w:ascii="宋体" w:hAnsi="宋体" w:cs="宋体" w:eastAsia="宋体" w:hint="default"/>
                <w:w w:val="100"/>
                <w:sz w:val="21"/>
                <w:szCs w:val="21"/>
              </w:rPr>
              <w:t> </w:t>
            </w:r>
            <w:r>
              <w:rPr>
                <w:rFonts w:ascii="宋体" w:hAnsi="宋体" w:cs="宋体" w:eastAsia="宋体" w:hint="default"/>
                <w:sz w:val="21"/>
                <w:szCs w:val="21"/>
              </w:rPr>
              <w:t>二次会议审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议通过</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详见第五节</w:t>
            </w:r>
            <w:r>
              <w:rPr>
                <w:rFonts w:ascii="宋体" w:hAnsi="宋体" w:cs="宋体" w:eastAsia="宋体" w:hint="default"/>
                <w:spacing w:val="-1"/>
                <w:sz w:val="21"/>
                <w:szCs w:val="21"/>
              </w:rPr>
              <w:t> </w:t>
            </w:r>
            <w:r>
              <w:rPr>
                <w:rFonts w:ascii="宋体" w:hAnsi="宋体" w:cs="宋体" w:eastAsia="宋体" w:hint="default"/>
                <w:sz w:val="21"/>
                <w:szCs w:val="21"/>
              </w:rPr>
              <w:t>五、（一）公司对</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会计政策、会计估计变更原因及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影响的分析说明</w:t>
            </w:r>
          </w:p>
        </w:tc>
      </w:tr>
      <w:tr>
        <w:trPr>
          <w:trHeight w:val="110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本集团从编制</w:t>
            </w:r>
            <w:r>
              <w:rPr>
                <w:rFonts w:ascii="宋体" w:hAnsi="宋体" w:cs="宋体" w:eastAsia="宋体" w:hint="default"/>
                <w:sz w:val="21"/>
                <w:szCs w:val="21"/>
              </w:rPr>
              <w:t>2018</w:t>
            </w:r>
            <w:r>
              <w:rPr>
                <w:rFonts w:ascii="宋体" w:hAnsi="宋体" w:cs="宋体" w:eastAsia="宋体" w:hint="default"/>
                <w:sz w:val="21"/>
                <w:szCs w:val="21"/>
              </w:rPr>
              <w:t>年度财务报表起执行财政部</w:t>
            </w:r>
          </w:p>
          <w:p>
            <w:pPr>
              <w:pStyle w:val="TableParagraph"/>
              <w:spacing w:line="240" w:lineRule="auto"/>
              <w:ind w:left="103" w:right="48"/>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日颁布的《关于修订印发</w:t>
            </w:r>
            <w:r>
              <w:rPr>
                <w:rFonts w:ascii="宋体" w:hAnsi="宋体" w:cs="宋体" w:eastAsia="宋体" w:hint="default"/>
                <w:sz w:val="21"/>
                <w:szCs w:val="21"/>
              </w:rPr>
              <w:t>2018</w:t>
            </w:r>
            <w:r>
              <w:rPr>
                <w:rFonts w:ascii="宋体" w:hAnsi="宋体" w:cs="宋体" w:eastAsia="宋体" w:hint="default"/>
                <w:sz w:val="21"/>
                <w:szCs w:val="21"/>
              </w:rPr>
              <w:t>年度一</w:t>
            </w:r>
            <w:r>
              <w:rPr>
                <w:rFonts w:ascii="宋体" w:hAnsi="宋体" w:cs="宋体" w:eastAsia="宋体" w:hint="default"/>
                <w:w w:val="100"/>
                <w:sz w:val="21"/>
                <w:szCs w:val="21"/>
              </w:rPr>
              <w:t> </w:t>
            </w:r>
            <w:r>
              <w:rPr>
                <w:rFonts w:ascii="宋体" w:hAnsi="宋体" w:cs="宋体" w:eastAsia="宋体" w:hint="default"/>
                <w:spacing w:val="-2"/>
                <w:sz w:val="21"/>
                <w:szCs w:val="21"/>
              </w:rPr>
              <w:t>般企业财务报表格式的通知》</w:t>
            </w:r>
            <w:r>
              <w:rPr>
                <w:rFonts w:ascii="宋体" w:hAnsi="宋体" w:cs="宋体" w:eastAsia="宋体" w:hint="default"/>
                <w:spacing w:val="-2"/>
                <w:sz w:val="21"/>
                <w:szCs w:val="21"/>
              </w:rPr>
              <w:t>(</w:t>
            </w:r>
            <w:r>
              <w:rPr>
                <w:rFonts w:ascii="宋体" w:hAnsi="宋体" w:cs="宋体" w:eastAsia="宋体" w:hint="default"/>
                <w:spacing w:val="-2"/>
                <w:sz w:val="21"/>
                <w:szCs w:val="21"/>
              </w:rPr>
              <w:t>财会</w:t>
            </w:r>
            <w:r>
              <w:rPr>
                <w:rFonts w:ascii="宋体" w:hAnsi="宋体" w:cs="宋体" w:eastAsia="宋体" w:hint="default"/>
                <w:spacing w:val="-2"/>
                <w:sz w:val="21"/>
                <w:szCs w:val="21"/>
              </w:rPr>
              <w:t>(2018)15</w:t>
            </w:r>
            <w:r>
              <w:rPr>
                <w:rFonts w:ascii="宋体" w:hAnsi="宋体" w:cs="宋体" w:eastAsia="宋体" w:hint="default"/>
                <w:spacing w:val="-2"/>
                <w:sz w:val="21"/>
                <w:szCs w:val="21"/>
              </w:rPr>
              <w:t>号</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61"/>
                <w:sz w:val="21"/>
                <w:szCs w:val="21"/>
              </w:rPr>
              <w:t> </w:t>
            </w: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年第</w:t>
            </w:r>
            <w:r>
              <w:rPr>
                <w:rFonts w:ascii="宋体" w:hAnsi="宋体" w:cs="宋体" w:eastAsia="宋体" w:hint="default"/>
                <w:w w:val="100"/>
                <w:sz w:val="21"/>
                <w:szCs w:val="21"/>
              </w:rPr>
              <w:t> </w:t>
            </w:r>
            <w:r>
              <w:rPr>
                <w:rFonts w:ascii="宋体" w:hAnsi="宋体" w:cs="宋体" w:eastAsia="宋体" w:hint="default"/>
                <w:sz w:val="21"/>
                <w:szCs w:val="21"/>
              </w:rPr>
              <w:t>二次会议审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议通过</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详见第五节</w:t>
            </w:r>
            <w:r>
              <w:rPr>
                <w:rFonts w:ascii="宋体" w:hAnsi="宋体" w:cs="宋体" w:eastAsia="宋体" w:hint="default"/>
                <w:spacing w:val="-1"/>
                <w:sz w:val="21"/>
                <w:szCs w:val="21"/>
              </w:rPr>
              <w:t> </w:t>
            </w:r>
            <w:r>
              <w:rPr>
                <w:rFonts w:ascii="宋体" w:hAnsi="宋体" w:cs="宋体" w:eastAsia="宋体" w:hint="default"/>
                <w:sz w:val="21"/>
                <w:szCs w:val="21"/>
              </w:rPr>
              <w:t>五、（一）公司对</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会计政策、会计估计变更原因及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影响的分析说明</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05"/>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right="20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(3).</w:t>
      </w:r>
      <w:r>
        <w:rPr/>
        <w:t>首次执行新金融工具准则或新收入准则调整首次执行当年年初财务报表相关项目情况</w:t>
      </w:r>
      <w:r>
        <w:rPr>
          <w:b w:val="0"/>
          <w:bCs w:val="0"/>
        </w:rPr>
      </w:r>
    </w:p>
    <w:p>
      <w:pPr>
        <w:pStyle w:val="BodyText"/>
        <w:spacing w:line="240" w:lineRule="auto" w:before="58"/>
        <w:ind w:right="205"/>
        <w:jc w:val="left"/>
      </w:pPr>
      <w:r>
        <w:rPr/>
        <w:t>√适用 □不适用</w:t>
      </w:r>
    </w:p>
    <w:p>
      <w:pPr>
        <w:pStyle w:val="BodyText"/>
        <w:spacing w:line="271" w:lineRule="exact"/>
        <w:ind w:left="633" w:right="629"/>
        <w:jc w:val="center"/>
      </w:pPr>
      <w:r>
        <w:rPr/>
        <w:t>合并资产负债表</w:t>
      </w:r>
    </w:p>
    <w:p>
      <w:pPr>
        <w:pStyle w:val="BodyText"/>
        <w:tabs>
          <w:tab w:pos="946" w:val="left" w:leader="none"/>
        </w:tabs>
        <w:spacing w:line="274" w:lineRule="exact"/>
        <w:ind w:left="0" w:right="213"/>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164"/>
        <w:gridCol w:w="2002"/>
        <w:gridCol w:w="2002"/>
        <w:gridCol w:w="2065"/>
      </w:tblGrid>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1,885,682,217.83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1,885,682,217.83</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1,157,828,233.14</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sz w:val="21"/>
              </w:rPr>
              <w:t>1,157,828,233.14</w:t>
            </w:r>
          </w:p>
        </w:tc>
      </w:tr>
      <w:tr>
        <w:trPr>
          <w:trHeight w:val="55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3"/>
              <w:jc w:val="right"/>
              <w:rPr>
                <w:rFonts w:ascii="宋体" w:hAnsi="宋体" w:cs="宋体" w:eastAsia="宋体" w:hint="default"/>
                <w:sz w:val="21"/>
                <w:szCs w:val="21"/>
              </w:rPr>
            </w:pPr>
            <w:r>
              <w:rPr>
                <w:rFonts w:ascii="宋体" w:hAnsi="宋体" w:cs="宋体" w:eastAsia="宋体" w:hint="default"/>
                <w:spacing w:val="-1"/>
                <w:sz w:val="21"/>
                <w:szCs w:val="21"/>
              </w:rPr>
              <w:t>应收票据及应收账款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1,280,220,854.76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1,280,220,854.76</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2,060,000.00</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1,278,160,854.76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1,278,160,854.76</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79,865,675.12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79,865,675.12</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3"/>
              <w:jc w:val="right"/>
              <w:rPr>
                <w:rFonts w:ascii="宋体" w:hAnsi="宋体" w:cs="宋体" w:eastAsia="宋体" w:hint="default"/>
                <w:sz w:val="21"/>
                <w:szCs w:val="21"/>
              </w:rPr>
            </w:pPr>
            <w:r>
              <w:rPr>
                <w:rFonts w:ascii="宋体" w:hAnsi="宋体" w:cs="宋体" w:eastAsia="宋体" w:hint="default"/>
                <w:spacing w:val="-1"/>
                <w:sz w:val="21"/>
                <w:szCs w:val="21"/>
              </w:rPr>
              <w:t>应收分保合同准备金</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109,354,915.49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109,354,915.49</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10,789,780.86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10,789,780.86</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1,764,445,460.22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1,764,445,460.22</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164"/>
        <w:gridCol w:w="2002"/>
        <w:gridCol w:w="2002"/>
        <w:gridCol w:w="2065"/>
      </w:tblGrid>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280,000,000.00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280,000,000.00</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1,184,329,531.05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69,448,125.24</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-1,114,881,405.81</w:t>
            </w: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6,583,898,654.47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6,626,845,481.80</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42,946,827.33</w:t>
            </w:r>
          </w:p>
        </w:tc>
      </w:tr>
      <w:tr>
        <w:trPr>
          <w:trHeight w:val="283" w:hRule="exact"/>
        </w:trPr>
        <w:tc>
          <w:tcPr>
            <w:tcW w:w="92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2,116,088,000.42</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-2,116,088,000.42</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194,801,883.56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194,801,883.56</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356,585,702.56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356,585,702.56</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1,840,955,742.06</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1,840,955,742.06</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555,188,258.36</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555,188,258.36</w:t>
            </w: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70,688,502.05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70,688,502.05</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1,293,739,079.58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1,293,739,079.58</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622,149,298.16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622,149,298.16</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340,754,220.83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340,754,220.83</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44,550,953.70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44,550,953.70</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500,590,036.14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500,590,036.14</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19,098,549.65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19,098,549.65</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10,257,055.60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10,257,055.60</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133,503,704.60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133,503,704.60</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5,702,806,986.85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5,982,862,986.85</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280,056,000.00</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12,286,705,641.32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12,609,708,468.65</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323,002,827.33</w:t>
            </w:r>
          </w:p>
        </w:tc>
      </w:tr>
      <w:tr>
        <w:trPr>
          <w:trHeight w:val="283" w:hRule="exact"/>
        </w:trPr>
        <w:tc>
          <w:tcPr>
            <w:tcW w:w="92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3,144,291,382.23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3,144,291,382.23</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310,646,140.33</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-310,646,140.33</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321,443,922.21</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321,443,922.21</w:t>
            </w: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322,778,103.03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322,778,103.03</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42,878,058.50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42,878,058.50</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264,369,944.04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264,369,944.04</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202,228.29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202,228.29</w:t>
            </w:r>
          </w:p>
        </w:tc>
        <w:tc>
          <w:tcPr>
            <w:tcW w:w="206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1"/>
          <w:pgSz w:w="11910" w:h="16840"/>
          <w:pgMar w:footer="1195" w:header="882" w:top="1120" w:bottom="138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164"/>
        <w:gridCol w:w="2002"/>
        <w:gridCol w:w="2002"/>
        <w:gridCol w:w="2065"/>
      </w:tblGrid>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114,861,486.00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147,010,531.45</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32,149,045.45</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4,199,825,114.13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4,242,771,941.46</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42,946,827.33</w:t>
            </w:r>
          </w:p>
        </w:tc>
      </w:tr>
      <w:tr>
        <w:trPr>
          <w:trHeight w:val="283" w:hRule="exact"/>
        </w:trPr>
        <w:tc>
          <w:tcPr>
            <w:tcW w:w="92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86,227,572.50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86,227,572.50</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43,830,724.30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43,830,724.30</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130,058,296.80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130,058,296.80</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4,329,883,410.93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4,372,830,238.26</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42,946,827.33</w:t>
            </w:r>
          </w:p>
        </w:tc>
      </w:tr>
      <w:tr>
        <w:trPr>
          <w:trHeight w:val="283" w:hRule="exact"/>
        </w:trPr>
        <w:tc>
          <w:tcPr>
            <w:tcW w:w="92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r>
      <w:tr>
        <w:trPr>
          <w:trHeight w:val="28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1,233,841,000.00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1,233,841,000.00</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2,572,587,684.82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2,572,587,684.82</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1,230,619,792.07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1,410,270,634.16</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179,650,842.09</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625,743,635.42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625,743,635.42</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2,364,509,602.80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2,464,914,760.71</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100,405,157.91</w:t>
            </w:r>
          </w:p>
        </w:tc>
      </w:tr>
      <w:tr>
        <w:trPr>
          <w:trHeight w:val="28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8,027,301,715.11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8,307,357,715.11</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280,056,000.00</w:t>
            </w: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-70,479,484.72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-70,479,484.72</w:t>
            </w: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7,956,822,230.39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8,236,878,230.39</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280,056,000.00</w:t>
            </w:r>
          </w:p>
        </w:tc>
      </w:tr>
      <w:tr>
        <w:trPr>
          <w:trHeight w:val="557"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12,286,705,641.32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12,609,708,468.65</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323,002,827.33</w:t>
            </w: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right="205"/>
        <w:jc w:val="left"/>
      </w:pPr>
      <w:r>
        <w:rPr/>
        <w:t>各项目调整情况的说明：</w:t>
      </w:r>
    </w:p>
    <w:p>
      <w:pPr>
        <w:pStyle w:val="BodyText"/>
        <w:spacing w:line="272" w:lineRule="exact"/>
        <w:ind w:right="205"/>
        <w:jc w:val="left"/>
      </w:pPr>
      <w:r>
        <w:rPr/>
        <w:t>√适用 □不适用</w:t>
      </w:r>
    </w:p>
    <w:p>
      <w:pPr>
        <w:pStyle w:val="BodyText"/>
        <w:spacing w:line="273" w:lineRule="exact"/>
        <w:ind w:right="205"/>
        <w:jc w:val="left"/>
      </w:pPr>
      <w:r>
        <w:rPr/>
        <w:t>注</w:t>
      </w:r>
      <w:r>
        <w:rPr>
          <w:spacing w:val="-52"/>
        </w:rPr>
        <w:t> </w:t>
      </w:r>
      <w:r>
        <w:rPr>
          <w:rFonts w:ascii="宋体" w:hAnsi="宋体" w:cs="宋体" w:eastAsia="宋体" w:hint="default"/>
        </w:rPr>
        <w:t>1</w:t>
      </w:r>
      <w:r>
        <w:rPr/>
        <w:t>：金融工具准则</w:t>
      </w:r>
    </w:p>
    <w:p>
      <w:pPr>
        <w:pStyle w:val="BodyText"/>
        <w:spacing w:line="357" w:lineRule="auto" w:before="133"/>
        <w:ind w:right="205" w:firstLine="420"/>
        <w:jc w:val="left"/>
      </w:pPr>
      <w:r>
        <w:rPr/>
        <w:t>（</w:t>
      </w:r>
      <w:r>
        <w:rPr>
          <w:rFonts w:ascii="宋体" w:hAnsi="宋体" w:cs="宋体" w:eastAsia="宋体" w:hint="default"/>
        </w:rPr>
        <w:t>1</w:t>
      </w:r>
      <w:r>
        <w:rPr/>
        <w:t>）将原指定为以公允价值计量且其变动计入当期损益的金融资产转入分类为以公允价值计</w:t>
      </w:r>
      <w:r>
        <w:rPr>
          <w:w w:val="100"/>
        </w:rPr>
        <w:t> </w:t>
      </w:r>
      <w:r>
        <w:rPr/>
        <w:t>量且其变动计入当期损益的金融资产</w:t>
      </w:r>
    </w:p>
    <w:p>
      <w:pPr>
        <w:spacing w:after="0" w:line="357" w:lineRule="auto"/>
        <w:jc w:val="left"/>
        <w:sectPr>
          <w:footerReference w:type="default" r:id="rId42"/>
          <w:pgSz w:w="11910" w:h="16840"/>
          <w:pgMar w:footer="1195" w:header="882" w:top="1120" w:bottom="1380" w:left="1220" w:right="1220"/>
          <w:pgNumType w:start="1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80" w:right="191" w:firstLine="420"/>
        <w:jc w:val="both"/>
      </w:pPr>
      <w:r>
        <w:rPr>
          <w:w w:val="100"/>
        </w:rPr>
        <w:t>于</w:t>
      </w:r>
      <w:r>
        <w:rPr>
          <w:spacing w:val="-51"/>
          <w:w w:val="100"/>
        </w:rPr>
        <w:t> </w:t>
      </w:r>
      <w:r>
        <w:rPr>
          <w:rFonts w:ascii="宋体" w:hAnsi="宋体" w:cs="宋体" w:eastAsia="宋体" w:hint="default"/>
          <w:spacing w:val="-1"/>
          <w:w w:val="100"/>
        </w:rPr>
        <w:t>2018</w:t>
      </w:r>
      <w:r>
        <w:rPr>
          <w:rFonts w:ascii="宋体" w:hAnsi="宋体" w:cs="宋体" w:eastAsia="宋体" w:hint="default"/>
          <w:spacing w:val="-53"/>
          <w:w w:val="100"/>
        </w:rPr>
        <w:t> </w:t>
      </w:r>
      <w:r>
        <w:rPr>
          <w:w w:val="100"/>
        </w:rPr>
        <w:t>年</w:t>
      </w:r>
      <w:r>
        <w:rPr>
          <w:spacing w:val="-53"/>
          <w:w w:val="100"/>
        </w:rPr>
        <w:t> </w:t>
      </w:r>
      <w:r>
        <w:rPr>
          <w:rFonts w:ascii="宋体" w:hAnsi="宋体" w:cs="宋体" w:eastAsia="宋体" w:hint="default"/>
          <w:w w:val="100"/>
        </w:rPr>
        <w:t>1</w:t>
      </w:r>
      <w:r>
        <w:rPr>
          <w:rFonts w:ascii="宋体" w:hAnsi="宋体" w:cs="宋体" w:eastAsia="宋体" w:hint="default"/>
          <w:spacing w:val="-51"/>
          <w:w w:val="100"/>
        </w:rPr>
        <w:t> </w:t>
      </w:r>
      <w:r>
        <w:rPr>
          <w:w w:val="100"/>
        </w:rPr>
        <w:t>月</w:t>
      </w:r>
      <w:r>
        <w:rPr>
          <w:spacing w:val="-53"/>
          <w:w w:val="100"/>
        </w:rPr>
        <w:t> </w:t>
      </w:r>
      <w:r>
        <w:rPr>
          <w:rFonts w:ascii="宋体" w:hAnsi="宋体" w:cs="宋体" w:eastAsia="宋体" w:hint="default"/>
          <w:w w:val="100"/>
        </w:rPr>
        <w:t>1</w:t>
      </w:r>
      <w:r>
        <w:rPr>
          <w:rFonts w:ascii="宋体" w:hAnsi="宋体" w:cs="宋体" w:eastAsia="宋体" w:hint="default"/>
          <w:spacing w:val="-51"/>
          <w:w w:val="100"/>
        </w:rPr>
        <w:t> </w:t>
      </w:r>
      <w:r>
        <w:rPr>
          <w:spacing w:val="-9"/>
          <w:w w:val="100"/>
        </w:rPr>
        <w:t>日，本集团不再将账面价值为人民币</w:t>
      </w:r>
      <w:r>
        <w:rPr>
          <w:spacing w:val="-50"/>
          <w:w w:val="100"/>
        </w:rPr>
        <w:t> </w:t>
      </w:r>
      <w:r>
        <w:rPr>
          <w:rFonts w:ascii="宋体" w:hAnsi="宋体" w:cs="宋体" w:eastAsia="宋体" w:hint="default"/>
          <w:spacing w:val="-1"/>
          <w:w w:val="100"/>
        </w:rPr>
        <w:t>1,157,828,233.14</w:t>
      </w:r>
      <w:r>
        <w:rPr>
          <w:rFonts w:ascii="宋体" w:hAnsi="宋体" w:cs="宋体" w:eastAsia="宋体" w:hint="default"/>
          <w:spacing w:val="-53"/>
          <w:w w:val="100"/>
        </w:rPr>
        <w:t> </w:t>
      </w:r>
      <w:r>
        <w:rPr>
          <w:spacing w:val="-2"/>
          <w:w w:val="100"/>
        </w:rPr>
        <w:t>元的其他流动资产</w:t>
      </w:r>
      <w:r>
        <w:rPr>
          <w:rFonts w:ascii="宋体" w:hAnsi="宋体" w:cs="宋体" w:eastAsia="宋体" w:hint="default"/>
          <w:spacing w:val="-2"/>
          <w:w w:val="100"/>
        </w:rPr>
        <w:t>(</w:t>
      </w:r>
      <w:r>
        <w:rPr>
          <w:spacing w:val="-2"/>
          <w:w w:val="100"/>
        </w:rPr>
        <w:t>银</w:t>
      </w:r>
      <w:r>
        <w:rPr>
          <w:w w:val="100"/>
        </w:rPr>
        <w:t> </w:t>
      </w:r>
      <w:r>
        <w:rPr/>
        <w:t>行理财产品</w:t>
      </w:r>
      <w:r>
        <w:rPr>
          <w:rFonts w:ascii="宋体" w:hAnsi="宋体" w:cs="宋体" w:eastAsia="宋体" w:hint="default"/>
        </w:rPr>
        <w:t>)</w:t>
      </w:r>
      <w:r>
        <w:rPr/>
        <w:t>指定为以公允价值计量且其变动计入当期损益的金融资产，因为上述金融资产根据新</w:t>
      </w:r>
      <w:r>
        <w:rPr>
          <w:spacing w:val="-9"/>
        </w:rPr>
        <w:t> </w:t>
      </w:r>
      <w:r>
        <w:rPr>
          <w:spacing w:val="-9"/>
        </w:rPr>
      </w:r>
      <w:r>
        <w:rPr>
          <w:spacing w:val="-2"/>
        </w:rPr>
        <w:t>金融工具准则的规定需分类为以公允价值计量且其变动计入当期损益的金融资产，此类投资被重分</w:t>
      </w:r>
      <w:r>
        <w:rPr>
          <w:spacing w:val="-30"/>
        </w:rPr>
        <w:t> </w:t>
      </w:r>
      <w:r>
        <w:rPr>
          <w:spacing w:val="-30"/>
        </w:rPr>
      </w:r>
      <w:r>
        <w:rPr/>
        <w:t>类至交易性金融资产。</w:t>
      </w:r>
    </w:p>
    <w:p>
      <w:pPr>
        <w:pStyle w:val="BodyText"/>
        <w:spacing w:line="240" w:lineRule="auto" w:before="34"/>
        <w:ind w:left="600" w:right="0"/>
        <w:jc w:val="left"/>
      </w:pPr>
      <w:r>
        <w:rPr/>
        <w:t>（</w:t>
      </w:r>
      <w:r>
        <w:rPr>
          <w:rFonts w:ascii="宋体" w:hAnsi="宋体" w:cs="宋体" w:eastAsia="宋体" w:hint="default"/>
        </w:rPr>
        <w:t>2</w:t>
      </w:r>
      <w:r>
        <w:rPr/>
        <w:t>）将可供出售金融资产转入其他权益工具投资和其他非流动金融资产</w:t>
      </w:r>
    </w:p>
    <w:p>
      <w:pPr>
        <w:pStyle w:val="BodyText"/>
        <w:spacing w:line="355" w:lineRule="auto" w:before="133"/>
        <w:ind w:left="180" w:right="193" w:firstLine="420"/>
        <w:jc w:val="both"/>
      </w:pPr>
      <w:r>
        <w:rPr/>
        <w:t>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日，本集团将人民币</w:t>
      </w:r>
      <w:r>
        <w:rPr>
          <w:spacing w:val="-53"/>
        </w:rPr>
        <w:t> </w:t>
      </w:r>
      <w:r>
        <w:rPr>
          <w:rFonts w:ascii="宋体" w:hAnsi="宋体" w:cs="宋体" w:eastAsia="宋体" w:hint="default"/>
        </w:rPr>
        <w:t>1,560,899,742.06</w:t>
      </w:r>
      <w:r>
        <w:rPr>
          <w:rFonts w:ascii="宋体" w:hAnsi="宋体" w:cs="宋体" w:eastAsia="宋体" w:hint="default"/>
          <w:spacing w:val="-56"/>
        </w:rPr>
        <w:t> </w:t>
      </w:r>
      <w:r>
        <w:rPr/>
        <w:t>元的可供出售金融资产指定为以公允</w:t>
      </w:r>
      <w:r>
        <w:rPr>
          <w:w w:val="100"/>
        </w:rPr>
        <w:t> </w:t>
      </w:r>
      <w:r>
        <w:rPr>
          <w:spacing w:val="7"/>
        </w:rPr>
        <w:t>价值计量且其变动计入其他综合收益的金融资产并重分类至其他权益工具投资。其中，人民币</w:t>
      </w:r>
      <w:r>
        <w:rPr>
          <w:spacing w:val="2"/>
        </w:rPr>
        <w:t> </w:t>
      </w:r>
      <w:r>
        <w:rPr>
          <w:spacing w:val="2"/>
        </w:rPr>
      </w:r>
      <w:r>
        <w:rPr>
          <w:rFonts w:ascii="宋体" w:hAnsi="宋体" w:cs="宋体" w:eastAsia="宋体" w:hint="default"/>
        </w:rPr>
        <w:t>240,228,815.33</w:t>
      </w:r>
      <w:r>
        <w:rPr>
          <w:rFonts w:ascii="宋体" w:hAnsi="宋体" w:cs="宋体" w:eastAsia="宋体" w:hint="default"/>
          <w:spacing w:val="92"/>
        </w:rPr>
        <w:t> </w:t>
      </w:r>
      <w:r>
        <w:rPr/>
        <w:t>元可供出售金融资产为在活跃市场中没有报价且其公允价值不能可靠计量的权益</w:t>
      </w:r>
    </w:p>
    <w:p>
      <w:pPr>
        <w:pStyle w:val="BodyText"/>
        <w:spacing w:line="240" w:lineRule="auto" w:before="33"/>
        <w:ind w:left="180" w:right="0"/>
        <w:jc w:val="both"/>
      </w:pPr>
      <w:r>
        <w:rPr/>
        <w:t>工具投资，于以前期间根据原金融工具准则按照成本计量。于</w:t>
      </w:r>
      <w:r>
        <w:rPr>
          <w:spacing w:val="-37"/>
        </w:rPr>
        <w:t> </w:t>
      </w:r>
      <w:r>
        <w:rPr>
          <w:rFonts w:ascii="宋体" w:hAnsi="宋体" w:cs="宋体" w:eastAsia="宋体" w:hint="default"/>
        </w:rPr>
        <w:t>2018</w:t>
      </w:r>
      <w:r>
        <w:rPr>
          <w:rFonts w:ascii="宋体" w:hAnsi="宋体" w:cs="宋体" w:eastAsia="宋体" w:hint="default"/>
          <w:spacing w:val="-37"/>
        </w:rPr>
        <w:t> </w:t>
      </w:r>
      <w:r>
        <w:rPr/>
        <w:t>年</w:t>
      </w:r>
      <w:r>
        <w:rPr>
          <w:spacing w:val="-39"/>
        </w:rPr>
        <w:t> </w:t>
      </w:r>
      <w:r>
        <w:rPr>
          <w:rFonts w:ascii="宋体" w:hAnsi="宋体" w:cs="宋体" w:eastAsia="宋体" w:hint="default"/>
        </w:rPr>
        <w:t>1</w:t>
      </w:r>
      <w:r>
        <w:rPr>
          <w:rFonts w:ascii="宋体" w:hAnsi="宋体" w:cs="宋体" w:eastAsia="宋体" w:hint="default"/>
          <w:spacing w:val="-37"/>
        </w:rPr>
        <w:t> </w:t>
      </w:r>
      <w:r>
        <w:rPr/>
        <w:t>月</w:t>
      </w:r>
      <w:r>
        <w:rPr>
          <w:spacing w:val="-39"/>
        </w:rPr>
        <w:t> </w:t>
      </w:r>
      <w:r>
        <w:rPr>
          <w:rFonts w:ascii="宋体" w:hAnsi="宋体" w:cs="宋体" w:eastAsia="宋体" w:hint="default"/>
        </w:rPr>
        <w:t>1</w:t>
      </w:r>
      <w:r>
        <w:rPr>
          <w:rFonts w:ascii="宋体" w:hAnsi="宋体" w:cs="宋体" w:eastAsia="宋体" w:hint="default"/>
          <w:spacing w:val="-37"/>
        </w:rPr>
        <w:t> </w:t>
      </w:r>
      <w:r>
        <w:rPr/>
        <w:t>日对该部分股权投资</w:t>
      </w:r>
    </w:p>
    <w:p>
      <w:pPr>
        <w:pStyle w:val="BodyText"/>
        <w:spacing w:line="355" w:lineRule="auto" w:before="135"/>
        <w:ind w:left="180" w:right="193"/>
        <w:jc w:val="both"/>
      </w:pPr>
      <w:r>
        <w:rPr/>
        <w:t>采用公允价值计量导致其他权益工具投资账面价值增加人民币 </w:t>
      </w:r>
      <w:r>
        <w:rPr>
          <w:rFonts w:ascii="宋体" w:hAnsi="宋体" w:cs="宋体" w:eastAsia="宋体" w:hint="default"/>
        </w:rPr>
        <w:t>280,056,000.00</w:t>
      </w:r>
      <w:r>
        <w:rPr>
          <w:rFonts w:ascii="宋体" w:hAnsi="宋体" w:cs="宋体" w:eastAsia="宋体" w:hint="default"/>
          <w:spacing w:val="-14"/>
        </w:rPr>
        <w:t> </w:t>
      </w:r>
      <w:r>
        <w:rPr/>
        <w:t>元，并相应增加其</w:t>
      </w:r>
      <w:r>
        <w:rPr>
          <w:w w:val="100"/>
        </w:rPr>
        <w:t> </w:t>
      </w:r>
      <w:r>
        <w:rPr>
          <w:spacing w:val="-2"/>
        </w:rPr>
        <w:t>他综合收益</w:t>
      </w:r>
      <w:r>
        <w:rPr>
          <w:rFonts w:ascii="宋体" w:hAnsi="宋体" w:cs="宋体" w:eastAsia="宋体" w:hint="default"/>
          <w:spacing w:val="-2"/>
        </w:rPr>
        <w:t>(</w:t>
      </w:r>
      <w:r>
        <w:rPr>
          <w:spacing w:val="-2"/>
        </w:rPr>
        <w:t>其他权益工具投资公允价值变动</w:t>
      </w:r>
      <w:r>
        <w:rPr>
          <w:rFonts w:ascii="宋体" w:hAnsi="宋体" w:cs="宋体" w:eastAsia="宋体" w:hint="default"/>
          <w:spacing w:val="-2"/>
        </w:rPr>
        <w:t>)</w:t>
      </w:r>
      <w:r>
        <w:rPr>
          <w:spacing w:val="-2"/>
        </w:rPr>
        <w:t>。此外，以前期间确认的此类金融资产减值损失人民</w:t>
      </w:r>
      <w:r>
        <w:rPr>
          <w:spacing w:val="-32"/>
        </w:rPr>
        <w:t> </w:t>
      </w:r>
      <w:r>
        <w:rPr>
          <w:spacing w:val="-32"/>
        </w:rPr>
      </w:r>
      <w:r>
        <w:rPr/>
        <w:t>币</w:t>
      </w:r>
      <w:r>
        <w:rPr>
          <w:spacing w:val="-42"/>
        </w:rPr>
        <w:t> </w:t>
      </w:r>
      <w:r>
        <w:rPr>
          <w:rFonts w:ascii="宋体" w:hAnsi="宋体" w:cs="宋体" w:eastAsia="宋体" w:hint="default"/>
        </w:rPr>
        <w:t>2,958,365.49</w:t>
      </w:r>
      <w:r>
        <w:rPr>
          <w:rFonts w:ascii="宋体" w:hAnsi="宋体" w:cs="宋体" w:eastAsia="宋体" w:hint="default"/>
          <w:spacing w:val="-43"/>
        </w:rPr>
        <w:t> </w:t>
      </w:r>
      <w:r>
        <w:rPr/>
        <w:t>元于</w:t>
      </w:r>
      <w:r>
        <w:rPr>
          <w:spacing w:val="-42"/>
        </w:rPr>
        <w:t> </w:t>
      </w:r>
      <w:r>
        <w:rPr>
          <w:rFonts w:ascii="宋体" w:hAnsi="宋体" w:cs="宋体" w:eastAsia="宋体" w:hint="default"/>
        </w:rPr>
        <w:t>2018</w:t>
      </w:r>
      <w:r>
        <w:rPr>
          <w:rFonts w:ascii="宋体" w:hAnsi="宋体" w:cs="宋体" w:eastAsia="宋体" w:hint="default"/>
          <w:spacing w:val="-41"/>
        </w:rPr>
        <w:t> </w:t>
      </w:r>
      <w:r>
        <w:rPr/>
        <w:t>年</w:t>
      </w:r>
      <w:r>
        <w:rPr>
          <w:spacing w:val="-42"/>
        </w:rPr>
        <w:t> </w:t>
      </w:r>
      <w:r>
        <w:rPr>
          <w:rFonts w:ascii="宋体" w:hAnsi="宋体" w:cs="宋体" w:eastAsia="宋体" w:hint="default"/>
        </w:rPr>
        <w:t>1</w:t>
      </w:r>
      <w:r>
        <w:rPr>
          <w:rFonts w:ascii="宋体" w:hAnsi="宋体" w:cs="宋体" w:eastAsia="宋体" w:hint="default"/>
          <w:spacing w:val="-42"/>
        </w:rPr>
        <w:t> </w:t>
      </w:r>
      <w:r>
        <w:rPr/>
        <w:t>月</w:t>
      </w:r>
      <w:r>
        <w:rPr>
          <w:spacing w:val="-42"/>
        </w:rPr>
        <w:t> </w:t>
      </w:r>
      <w:r>
        <w:rPr>
          <w:rFonts w:ascii="宋体" w:hAnsi="宋体" w:cs="宋体" w:eastAsia="宋体" w:hint="default"/>
        </w:rPr>
        <w:t>1</w:t>
      </w:r>
      <w:r>
        <w:rPr>
          <w:rFonts w:ascii="宋体" w:hAnsi="宋体" w:cs="宋体" w:eastAsia="宋体" w:hint="default"/>
          <w:spacing w:val="-43"/>
        </w:rPr>
        <w:t> </w:t>
      </w:r>
      <w:r>
        <w:rPr/>
        <w:t>日从留存收益转入其他综合收益</w:t>
      </w:r>
      <w:r>
        <w:rPr>
          <w:rFonts w:ascii="宋体" w:hAnsi="宋体" w:cs="宋体" w:eastAsia="宋体" w:hint="default"/>
        </w:rPr>
        <w:t>(</w:t>
      </w:r>
      <w:r>
        <w:rPr/>
        <w:t>其他权益工具投资公允价值</w:t>
      </w:r>
      <w:r>
        <w:rPr>
          <w:w w:val="100"/>
        </w:rPr>
        <w:t> </w:t>
      </w:r>
      <w:r>
        <w:rPr/>
        <w:t>变动</w:t>
      </w:r>
      <w:r>
        <w:rPr>
          <w:rFonts w:ascii="宋体" w:hAnsi="宋体" w:cs="宋体" w:eastAsia="宋体" w:hint="default"/>
        </w:rPr>
        <w:t>)</w:t>
      </w:r>
      <w:r>
        <w:rPr/>
        <w:t>。</w:t>
      </w:r>
    </w:p>
    <w:p>
      <w:pPr>
        <w:pStyle w:val="BodyText"/>
        <w:spacing w:line="357" w:lineRule="auto" w:before="34"/>
        <w:ind w:left="180" w:right="191" w:firstLine="420"/>
        <w:jc w:val="both"/>
      </w:pPr>
      <w:r>
        <w:rPr/>
        <w:t>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5"/>
        </w:rPr>
        <w:t> </w:t>
      </w:r>
      <w:r>
        <w:rPr/>
        <w:t>日，本集团将人民币</w:t>
      </w:r>
      <w:r>
        <w:rPr>
          <w:spacing w:val="-54"/>
        </w:rPr>
        <w:t> </w:t>
      </w:r>
      <w:r>
        <w:rPr>
          <w:rFonts w:ascii="宋体" w:hAnsi="宋体" w:cs="宋体" w:eastAsia="宋体" w:hint="default"/>
        </w:rPr>
        <w:t>555,188,258.36</w:t>
      </w:r>
      <w:r>
        <w:rPr>
          <w:rFonts w:ascii="宋体" w:hAnsi="宋体" w:cs="宋体" w:eastAsia="宋体" w:hint="default"/>
          <w:spacing w:val="-55"/>
        </w:rPr>
        <w:t> </w:t>
      </w:r>
      <w:r>
        <w:rPr/>
        <w:t>元的可供出售金融资产作为以公允价值</w:t>
      </w:r>
      <w:r>
        <w:rPr>
          <w:w w:val="100"/>
        </w:rPr>
        <w:t> </w:t>
      </w:r>
      <w:r>
        <w:rPr>
          <w:spacing w:val="-2"/>
        </w:rPr>
        <w:t>计量且其变动计入当期损益的金融资产并重分类至其他非流动金融资产。以前期间以公允价值计量</w:t>
      </w:r>
      <w:r>
        <w:rPr>
          <w:spacing w:val="-30"/>
        </w:rPr>
        <w:t> </w:t>
      </w:r>
      <w:r>
        <w:rPr>
          <w:spacing w:val="-30"/>
        </w:rPr>
      </w:r>
      <w:r>
        <w:rPr/>
        <w:t>的累计公允价值变动人民币 </w:t>
      </w:r>
      <w:r>
        <w:rPr>
          <w:rFonts w:ascii="宋体" w:hAnsi="宋体" w:cs="宋体" w:eastAsia="宋体" w:hint="default"/>
        </w:rPr>
        <w:t>75,871,536.74</w:t>
      </w:r>
      <w:r>
        <w:rPr>
          <w:rFonts w:ascii="宋体" w:hAnsi="宋体" w:cs="宋体" w:eastAsia="宋体" w:hint="default"/>
          <w:spacing w:val="-11"/>
        </w:rPr>
        <w:t> </w:t>
      </w:r>
      <w:r>
        <w:rPr/>
        <w:t>元从其他综合收益</w:t>
      </w:r>
      <w:r>
        <w:rPr>
          <w:rFonts w:ascii="宋体" w:hAnsi="宋体" w:cs="宋体" w:eastAsia="宋体" w:hint="default"/>
        </w:rPr>
        <w:t>(</w:t>
      </w:r>
      <w:r>
        <w:rPr/>
        <w:t>可供出售金融资产公允价值变动损</w:t>
      </w:r>
      <w:r>
        <w:rPr>
          <w:w w:val="100"/>
        </w:rPr>
        <w:t> </w:t>
      </w:r>
      <w:r>
        <w:rPr/>
        <w:t>益</w:t>
      </w:r>
      <w:r>
        <w:rPr>
          <w:rFonts w:ascii="宋体" w:hAnsi="宋体" w:cs="宋体" w:eastAsia="宋体" w:hint="default"/>
        </w:rPr>
        <w:t>)</w:t>
      </w:r>
      <w:r>
        <w:rPr/>
        <w:t>转入留存收益。</w:t>
      </w:r>
    </w:p>
    <w:p>
      <w:pPr>
        <w:spacing w:line="240" w:lineRule="auto" w:before="0"/>
        <w:rPr>
          <w:rFonts w:ascii="宋体" w:hAnsi="宋体" w:cs="宋体" w:eastAsia="宋体" w:hint="default"/>
          <w:sz w:val="20"/>
          <w:szCs w:val="20"/>
        </w:rPr>
      </w:pPr>
    </w:p>
    <w:p>
      <w:pPr>
        <w:pStyle w:val="BodyText"/>
        <w:spacing w:line="240" w:lineRule="auto" w:before="179"/>
        <w:ind w:left="180" w:right="0"/>
        <w:jc w:val="both"/>
      </w:pPr>
      <w:r>
        <w:rPr/>
        <w:t>注</w:t>
      </w:r>
      <w:r>
        <w:rPr>
          <w:spacing w:val="-52"/>
        </w:rPr>
        <w:t> </w:t>
      </w:r>
      <w:r>
        <w:rPr>
          <w:rFonts w:ascii="宋体" w:hAnsi="宋体" w:cs="宋体" w:eastAsia="宋体" w:hint="default"/>
        </w:rPr>
        <w:t>2</w:t>
      </w:r>
      <w:r>
        <w:rPr/>
        <w:t>：收入准则</w:t>
      </w:r>
    </w:p>
    <w:p>
      <w:pPr>
        <w:pStyle w:val="BodyText"/>
        <w:spacing w:line="357" w:lineRule="auto" w:before="133"/>
        <w:ind w:left="180" w:right="191" w:firstLine="420"/>
        <w:jc w:val="both"/>
      </w:pPr>
      <w:r>
        <w:rPr/>
        <w:t>（</w:t>
      </w:r>
      <w:r>
        <w:rPr>
          <w:rFonts w:ascii="宋体" w:hAnsi="宋体" w:cs="宋体" w:eastAsia="宋体" w:hint="default"/>
        </w:rPr>
        <w:t>1</w:t>
      </w:r>
      <w:r>
        <w:rPr/>
        <w:t>）本集团根据新收入准则，对附退货条款的销售，按照预期因销售退回将退还的金额确认</w:t>
      </w:r>
      <w:r>
        <w:rPr>
          <w:w w:val="100"/>
        </w:rPr>
        <w:t> </w:t>
      </w:r>
      <w:r>
        <w:rPr/>
        <w:t>负债；同时，按照预期将退回商品转让时的账面价值，扣除收回该商品预计发生的成本</w:t>
      </w:r>
      <w:r>
        <w:rPr>
          <w:rFonts w:ascii="宋体" w:hAnsi="宋体" w:cs="宋体" w:eastAsia="宋体" w:hint="default"/>
        </w:rPr>
        <w:t>(</w:t>
      </w:r>
      <w:r>
        <w:rPr/>
        <w:t>包括退回</w:t>
      </w:r>
      <w:r>
        <w:rPr>
          <w:spacing w:val="-2"/>
        </w:rPr>
        <w:t> </w:t>
      </w:r>
      <w:r>
        <w:rPr>
          <w:spacing w:val="-2"/>
        </w:rPr>
      </w:r>
      <w:r>
        <w:rPr/>
        <w:t>商品的价值减损</w:t>
      </w:r>
      <w:r>
        <w:rPr>
          <w:rFonts w:ascii="宋体" w:hAnsi="宋体" w:cs="宋体" w:eastAsia="宋体" w:hint="default"/>
        </w:rPr>
        <w:t>)</w:t>
      </w:r>
      <w:r>
        <w:rPr/>
        <w:t>后的余额，确认为一项资产。而按原收入准则，本集团并未将预期将退回商品确</w:t>
      </w:r>
      <w:r>
        <w:rPr>
          <w:spacing w:val="-8"/>
        </w:rPr>
        <w:t> </w:t>
      </w:r>
      <w:r>
        <w:rPr>
          <w:spacing w:val="-8"/>
        </w:rPr>
      </w:r>
      <w:r>
        <w:rPr>
          <w:spacing w:val="-2"/>
        </w:rPr>
        <w:t>认为一项资产。新收入准则与原收入准则的差异调整增加其他流动资产</w:t>
      </w:r>
      <w:r>
        <w:rPr>
          <w:rFonts w:ascii="宋体" w:hAnsi="宋体" w:cs="宋体" w:eastAsia="宋体" w:hint="default"/>
          <w:spacing w:val="-2"/>
        </w:rPr>
        <w:t>(</w:t>
      </w:r>
      <w:r>
        <w:rPr>
          <w:spacing w:val="-2"/>
        </w:rPr>
        <w:t>应收退货成本</w:t>
      </w:r>
      <w:r>
        <w:rPr>
          <w:rFonts w:ascii="宋体" w:hAnsi="宋体" w:cs="宋体" w:eastAsia="宋体" w:hint="default"/>
          <w:spacing w:val="-2"/>
        </w:rPr>
        <w:t>)</w:t>
      </w:r>
      <w:r>
        <w:rPr>
          <w:spacing w:val="-2"/>
        </w:rPr>
        <w:t>和预计负债</w:t>
      </w:r>
      <w:r>
        <w:rPr>
          <w:spacing w:val="-31"/>
        </w:rPr>
        <w:t> </w:t>
      </w:r>
      <w:r>
        <w:rPr>
          <w:spacing w:val="-31"/>
        </w:rPr>
      </w:r>
      <w:r>
        <w:rPr>
          <w:rFonts w:ascii="宋体" w:hAnsi="宋体" w:cs="宋体" w:eastAsia="宋体" w:hint="default"/>
        </w:rPr>
        <w:t>(</w:t>
      </w:r>
      <w:r>
        <w:rPr/>
        <w:t>应付退货款</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pStyle w:val="BodyText"/>
        <w:spacing w:line="355" w:lineRule="auto" w:before="176"/>
        <w:ind w:left="180" w:right="0" w:firstLine="525"/>
        <w:jc w:val="left"/>
      </w:pPr>
      <w:r>
        <w:rPr>
          <w:rFonts w:ascii="宋体" w:hAnsi="宋体" w:cs="宋体" w:eastAsia="宋体" w:hint="default"/>
          <w:spacing w:val="-2"/>
        </w:rPr>
        <w:t>(2)</w:t>
      </w:r>
      <w:r>
        <w:rPr>
          <w:spacing w:val="-2"/>
        </w:rPr>
        <w:t>本集团根据新收入准则，将原计入预收款项的预收商品款和原计入递延收益的会员卡积分</w:t>
      </w:r>
      <w:r>
        <w:rPr>
          <w:w w:val="100"/>
        </w:rPr>
        <w:t> </w:t>
      </w:r>
      <w:r>
        <w:rPr/>
        <w:t>重分类至合同负债。</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73" w:lineRule="exact" w:before="36"/>
        <w:ind w:left="3835" w:right="3850"/>
        <w:jc w:val="center"/>
      </w:pPr>
      <w:r>
        <w:rPr/>
        <w:t>母公司资产负债表</w:t>
      </w:r>
    </w:p>
    <w:p>
      <w:pPr>
        <w:pStyle w:val="BodyText"/>
        <w:spacing w:line="273" w:lineRule="exact"/>
        <w:ind w:left="0" w:right="193"/>
        <w:jc w:val="right"/>
      </w:pPr>
      <w:r>
        <w:rPr>
          <w:spacing w:val="-1"/>
        </w:rPr>
        <w:t>单位</w:t>
      </w:r>
      <w:r>
        <w:rPr>
          <w:rFonts w:ascii="宋体" w:hAnsi="宋体" w:cs="宋体" w:eastAsia="宋体" w:hint="default"/>
          <w:spacing w:val="-1"/>
        </w:rPr>
        <w:t>:</w:t>
      </w:r>
      <w:r>
        <w:rPr>
          <w:spacing w:val="-1"/>
        </w:rPr>
        <w:t>元币种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171"/>
        <w:gridCol w:w="2002"/>
        <w:gridCol w:w="2002"/>
        <w:gridCol w:w="2002"/>
      </w:tblGrid>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
              <w:jc w:val="righ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283" w:hRule="exact"/>
        </w:trPr>
        <w:tc>
          <w:tcPr>
            <w:tcW w:w="9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r>
      <w:tr>
        <w:trPr>
          <w:trHeight w:val="28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1,107,004,995.34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1,107,004,995.34</w:t>
            </w:r>
          </w:p>
        </w:tc>
        <w:tc>
          <w:tcPr>
            <w:tcW w:w="20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26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3171"/>
        <w:gridCol w:w="2002"/>
        <w:gridCol w:w="2002"/>
        <w:gridCol w:w="2002"/>
      </w:tblGrid>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1,135,028,233.14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1,135,028,233.14</w:t>
            </w:r>
          </w:p>
        </w:tc>
      </w:tr>
      <w:tr>
        <w:trPr>
          <w:trHeight w:val="557"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977,264,568.14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977,264,568.14</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977,264,568.14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977,264,568.14</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38,146,741.68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38,146,741.68</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749,257,609.73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749,257,609.73</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10,789,780.86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10,789,780.86</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260,000,000.00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260,000,000.00</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1,267,888,034.33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1,267,888,034.33</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280,000,000.00</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1,156,865,130.99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36,093,353.76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-1,120,771,777.23</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5,576,427,080.21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5,590,683,536.12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14,256,455.91</w:t>
            </w:r>
          </w:p>
        </w:tc>
      </w:tr>
      <w:tr>
        <w:trPr>
          <w:trHeight w:val="281" w:hRule="exact"/>
        </w:trPr>
        <w:tc>
          <w:tcPr>
            <w:tcW w:w="9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1,655,576,832.80</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-1,655,576,832.80</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57,782,527.52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57,782,527.52</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3,206,109,361.15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3,206,109,361.15</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1,838,747,200.00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1,838,747,200.00</w:t>
            </w: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96,885,632.80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96,885,632.80</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21,688,889.32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21,688,889.32</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842,948,046.79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842,948,046.79</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621,339,829.29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621,339,829.29</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144,677,299.19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144,677,299.19</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12,832,910.42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12,832,910.42</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596,408,980.60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596,408,980.60</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7,159,364,677.08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7,439,420,677.08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280,056,000.00</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12,735,791,757.29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13,030,104,213.20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294,312,455.91</w:t>
            </w:r>
          </w:p>
        </w:tc>
      </w:tr>
      <w:tr>
        <w:trPr>
          <w:trHeight w:val="281" w:hRule="exact"/>
        </w:trPr>
        <w:tc>
          <w:tcPr>
            <w:tcW w:w="9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4,150,733,662.61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4,150,733,662.61</w:t>
            </w:r>
          </w:p>
        </w:tc>
        <w:tc>
          <w:tcPr>
            <w:tcW w:w="20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26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3171"/>
        <w:gridCol w:w="2002"/>
        <w:gridCol w:w="2002"/>
        <w:gridCol w:w="2002"/>
      </w:tblGrid>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229,900,017.25</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-229,900,017.25</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240,697,799.13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240,697,799.13</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212,907,765.25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212,907,765.25</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18,382,724.24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18,382,724.24</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419,773,590.84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419,773,590.84</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14,624,096.93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18,082,770.96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3,458,674.03</w:t>
            </w:r>
          </w:p>
        </w:tc>
      </w:tr>
      <w:tr>
        <w:trPr>
          <w:trHeight w:val="28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5,046,321,857.12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5,060,578,313.03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14,256,455.91</w:t>
            </w:r>
          </w:p>
        </w:tc>
      </w:tr>
      <w:tr>
        <w:trPr>
          <w:trHeight w:val="281" w:hRule="exact"/>
        </w:trPr>
        <w:tc>
          <w:tcPr>
            <w:tcW w:w="9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17,250,635.60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17,250,635.60</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17,250,635.60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17,250,635.60</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5,063,572,492.72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5,077,828,948.63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14,256,455.91</w:t>
            </w:r>
          </w:p>
        </w:tc>
      </w:tr>
      <w:tr>
        <w:trPr>
          <w:trHeight w:val="283" w:hRule="exact"/>
        </w:trPr>
        <w:tc>
          <w:tcPr>
            <w:tcW w:w="9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1,233,841,000.00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1,233,841,000.00</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2,631,057,328.10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2,631,057,328.10</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1,136,163,193.05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1,411,020,206.10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274,857,013.05</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624,908,885.29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624,908,885.29</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2,046,248,858.13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2,051,447,845.08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5,198,986.95</w:t>
            </w:r>
          </w:p>
        </w:tc>
      </w:tr>
      <w:tr>
        <w:trPr>
          <w:trHeight w:val="55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7,672,219,264.57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7,952,275,264.57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280,056,000.00</w:t>
            </w:r>
          </w:p>
        </w:tc>
      </w:tr>
      <w:tr>
        <w:trPr>
          <w:trHeight w:val="557"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12,735,791,757.29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13,030,104,213.20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294,312,455.91</w:t>
            </w: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left="180" w:right="0"/>
        <w:jc w:val="left"/>
      </w:pPr>
      <w:r>
        <w:rPr/>
        <w:t>各项目调整情况的说明：</w:t>
      </w:r>
    </w:p>
    <w:p>
      <w:pPr>
        <w:pStyle w:val="BodyText"/>
        <w:spacing w:line="272" w:lineRule="exact" w:before="27"/>
        <w:ind w:left="180" w:right="2473"/>
        <w:jc w:val="left"/>
      </w:pPr>
      <w:r>
        <w:rPr/>
        <w:t>√适用</w:t>
      </w:r>
      <w:r>
        <w:rPr>
          <w:spacing w:val="-2"/>
        </w:rPr>
        <w:t> </w:t>
      </w:r>
      <w:r>
        <w:rPr/>
        <w:t>□不适用</w:t>
      </w:r>
      <w:r>
        <w:rPr>
          <w:spacing w:val="-103"/>
        </w:rPr>
        <w:t> </w:t>
      </w:r>
      <w:r>
        <w:rPr>
          <w:spacing w:val="-103"/>
        </w:rPr>
      </w:r>
      <w:r>
        <w:rPr>
          <w:spacing w:val="-2"/>
        </w:rPr>
        <w:t>调整项目及原因参见合并资产负债表的期初数调整说明。</w:t>
      </w:r>
    </w:p>
    <w:p>
      <w:pPr>
        <w:spacing w:after="0" w:line="272" w:lineRule="exact"/>
        <w:jc w:val="left"/>
        <w:sectPr>
          <w:pgSz w:w="11910" w:h="16840"/>
          <w:pgMar w:header="882" w:footer="1195" w:top="1120" w:bottom="1380" w:left="126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36"/>
        <w:ind w:right="205"/>
        <w:jc w:val="left"/>
        <w:rPr>
          <w:b w:val="0"/>
          <w:bCs w:val="0"/>
        </w:rPr>
      </w:pPr>
      <w:r>
        <w:rPr>
          <w:rFonts w:ascii="宋体" w:hAnsi="宋体" w:cs="宋体" w:eastAsia="宋体" w:hint="default"/>
        </w:rPr>
        <w:t>(4).</w:t>
      </w:r>
      <w:r>
        <w:rPr/>
        <w:t>首次执行新金融工具准则追溯调整前期比较数据的说明</w:t>
      </w:r>
      <w:r>
        <w:rPr>
          <w:b w:val="0"/>
          <w:bCs w:val="0"/>
        </w:rPr>
      </w:r>
    </w:p>
    <w:p>
      <w:pPr>
        <w:pStyle w:val="BodyText"/>
        <w:spacing w:line="240" w:lineRule="auto" w:before="56"/>
        <w:ind w:right="20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41.</w:t>
      </w:r>
      <w:r>
        <w:rPr>
          <w:rFonts w:ascii="宋体" w:hAnsi="宋体" w:cs="宋体" w:eastAsia="宋体" w:hint="default"/>
          <w:spacing w:val="2"/>
        </w:rPr>
        <w:t> </w:t>
      </w:r>
      <w:r>
        <w:rPr/>
        <w:t>其他</w:t>
      </w:r>
      <w:r>
        <w:rPr>
          <w:b w:val="0"/>
          <w:bCs w:val="0"/>
        </w:rPr>
      </w:r>
    </w:p>
    <w:p>
      <w:pPr>
        <w:pStyle w:val="BodyText"/>
        <w:tabs>
          <w:tab w:pos="1062" w:val="left" w:leader="none"/>
        </w:tabs>
        <w:spacing w:line="240" w:lineRule="auto" w:before="58"/>
        <w:ind w:right="20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t>六、税项</w:t>
      </w:r>
      <w:r>
        <w:rPr>
          <w:b w:val="0"/>
          <w:bCs w:val="0"/>
        </w:rPr>
      </w:r>
    </w:p>
    <w:p>
      <w:pPr>
        <w:tabs>
          <w:tab w:pos="645" w:val="left" w:leader="none"/>
        </w:tabs>
        <w:spacing w:line="290" w:lineRule="auto" w:before="56"/>
        <w:ind w:left="220" w:right="734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right="205"/>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42"/>
        <w:gridCol w:w="3214"/>
        <w:gridCol w:w="3188"/>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17%/16%/11%/10%/6%/3%</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已缴纳流转税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5%/7%</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已缴纳流转税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已缴纳流转税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w:t>
            </w:r>
          </w:p>
        </w:tc>
      </w:tr>
    </w:tbl>
    <w:p>
      <w:pPr>
        <w:pStyle w:val="BodyText"/>
        <w:spacing w:line="241" w:lineRule="exact"/>
        <w:ind w:right="0"/>
        <w:jc w:val="both"/>
      </w:pPr>
      <w:r>
        <w:rPr/>
        <w:t>注：应纳增值税为销项税额减可抵扣进项税后的余额，销项税额根据相关税法规定计算的销售额计</w:t>
      </w:r>
    </w:p>
    <w:p>
      <w:pPr>
        <w:pStyle w:val="BodyText"/>
        <w:spacing w:line="355" w:lineRule="auto" w:before="133"/>
        <w:ind w:right="211"/>
        <w:jc w:val="both"/>
      </w:pPr>
      <w:r>
        <w:rPr/>
        <w:t>算。根据《财政部税务总局关于调整增值税税率的通知》</w:t>
      </w:r>
      <w:r>
        <w:rPr>
          <w:rFonts w:ascii="宋体" w:hAnsi="宋体" w:cs="宋体" w:eastAsia="宋体" w:hint="default"/>
        </w:rPr>
        <w:t>(</w:t>
      </w:r>
      <w:r>
        <w:rPr/>
        <w:t>财税</w:t>
      </w:r>
      <w:r>
        <w:rPr>
          <w:rFonts w:ascii="宋体" w:hAnsi="宋体" w:cs="宋体" w:eastAsia="宋体" w:hint="default"/>
        </w:rPr>
        <w:t>[2018]32</w:t>
      </w:r>
      <w:r>
        <w:rPr>
          <w:rFonts w:ascii="宋体" w:hAnsi="宋体" w:cs="宋体" w:eastAsia="宋体" w:hint="default"/>
          <w:spacing w:val="-47"/>
        </w:rPr>
        <w:t> </w:t>
      </w:r>
      <w:r>
        <w:rPr/>
        <w:t>号</w:t>
      </w:r>
      <w:r>
        <w:rPr>
          <w:rFonts w:ascii="宋体" w:hAnsi="宋体" w:cs="宋体" w:eastAsia="宋体" w:hint="default"/>
        </w:rPr>
        <w:t>)</w:t>
      </w:r>
      <w:r>
        <w:rPr/>
        <w:t>于</w:t>
      </w:r>
      <w:r>
        <w:rPr>
          <w:spacing w:val="-46"/>
        </w:rPr>
        <w:t> </w:t>
      </w:r>
      <w:r>
        <w:rPr>
          <w:rFonts w:ascii="宋体" w:hAnsi="宋体" w:cs="宋体" w:eastAsia="宋体" w:hint="default"/>
        </w:rPr>
        <w:t>2018</w:t>
      </w:r>
      <w:r>
        <w:rPr>
          <w:rFonts w:ascii="宋体" w:hAnsi="宋体" w:cs="宋体" w:eastAsia="宋体" w:hint="default"/>
          <w:spacing w:val="-48"/>
        </w:rPr>
        <w:t> </w:t>
      </w:r>
      <w:r>
        <w:rPr/>
        <w:t>年</w:t>
      </w:r>
      <w:r>
        <w:rPr>
          <w:spacing w:val="-46"/>
        </w:rPr>
        <w:t> </w:t>
      </w:r>
      <w:r>
        <w:rPr>
          <w:rFonts w:ascii="宋体" w:hAnsi="宋体" w:cs="宋体" w:eastAsia="宋体" w:hint="default"/>
        </w:rPr>
        <w:t>5</w:t>
      </w:r>
      <w:r>
        <w:rPr>
          <w:rFonts w:ascii="宋体" w:hAnsi="宋体" w:cs="宋体" w:eastAsia="宋体" w:hint="default"/>
          <w:spacing w:val="-49"/>
        </w:rPr>
        <w:t> </w:t>
      </w:r>
      <w:r>
        <w:rPr/>
        <w:t>月</w:t>
      </w:r>
      <w:r>
        <w:rPr>
          <w:spacing w:val="-46"/>
        </w:rPr>
        <w:t> </w:t>
      </w:r>
      <w:r>
        <w:rPr>
          <w:rFonts w:ascii="宋体" w:hAnsi="宋体" w:cs="宋体" w:eastAsia="宋体" w:hint="default"/>
        </w:rPr>
        <w:t>1</w:t>
      </w:r>
      <w:r>
        <w:rPr>
          <w:rFonts w:ascii="宋体" w:hAnsi="宋体" w:cs="宋体" w:eastAsia="宋体" w:hint="default"/>
          <w:spacing w:val="-49"/>
        </w:rPr>
        <w:t> </w:t>
      </w:r>
      <w:r>
        <w:rPr/>
        <w:t>日起</w:t>
      </w:r>
      <w:r>
        <w:rPr>
          <w:w w:val="100"/>
        </w:rPr>
        <w:t> </w:t>
      </w:r>
      <w:r>
        <w:rPr/>
        <w:t>纳税人发生增值税应税销售行为或者进口货物，原适用 </w:t>
      </w:r>
      <w:r>
        <w:rPr>
          <w:rFonts w:ascii="宋体" w:hAnsi="宋体" w:cs="宋体" w:eastAsia="宋体" w:hint="default"/>
        </w:rPr>
        <w:t>17%</w:t>
      </w:r>
      <w:r>
        <w:rPr/>
        <w:t>和 </w:t>
      </w:r>
      <w:r>
        <w:rPr>
          <w:rFonts w:ascii="宋体" w:hAnsi="宋体" w:cs="宋体" w:eastAsia="宋体" w:hint="default"/>
        </w:rPr>
        <w:t>11%</w:t>
      </w:r>
      <w:r>
        <w:rPr/>
        <w:t>税率的，税率分别调整为</w:t>
      </w:r>
      <w:r>
        <w:rPr>
          <w:spacing w:val="-11"/>
        </w:rPr>
        <w:t> </w:t>
      </w:r>
      <w:r>
        <w:rPr>
          <w:rFonts w:ascii="宋体" w:hAnsi="宋体" w:cs="宋体" w:eastAsia="宋体" w:hint="default"/>
        </w:rPr>
        <w:t>16%</w:t>
      </w:r>
      <w:r>
        <w:rPr/>
        <w:t>和</w:t>
      </w:r>
      <w:r>
        <w:rPr>
          <w:w w:val="100"/>
        </w:rPr>
        <w:t> </w:t>
      </w:r>
      <w:r>
        <w:rPr>
          <w:rFonts w:ascii="宋体" w:hAnsi="宋体" w:cs="宋体" w:eastAsia="宋体" w:hint="default"/>
        </w:rPr>
        <w:t>10%</w:t>
      </w:r>
      <w:r>
        <w:rPr/>
        <w:t>。</w:t>
      </w:r>
    </w:p>
    <w:p>
      <w:pPr>
        <w:pStyle w:val="BodyText"/>
        <w:spacing w:line="274" w:lineRule="exact" w:before="32"/>
        <w:ind w:right="0"/>
        <w:jc w:val="both"/>
      </w:pPr>
      <w:r>
        <w:rPr/>
        <w:t>存在不同企业所得税税率纳税主体的，披露情况说明</w:t>
      </w:r>
    </w:p>
    <w:p>
      <w:pPr>
        <w:tabs>
          <w:tab w:pos="645" w:val="left" w:leader="none"/>
        </w:tabs>
        <w:spacing w:line="290" w:lineRule="auto" w:before="0"/>
        <w:ind w:left="220" w:right="7667"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tabs>
          <w:tab w:pos="1062" w:val="left" w:leader="none"/>
        </w:tabs>
        <w:spacing w:line="272" w:lineRule="exact" w:before="42"/>
        <w:ind w:right="7561"/>
        <w:jc w:val="left"/>
      </w:pPr>
      <w:r>
        <w:rPr/>
        <w:t>√适用</w:t>
        <w:tab/>
      </w:r>
      <w:r>
        <w:rPr>
          <w:spacing w:val="-2"/>
        </w:rPr>
        <w:t>□不适用</w:t>
      </w:r>
      <w:r>
        <w:rPr>
          <w:spacing w:val="-99"/>
        </w:rPr>
        <w:t> </w:t>
      </w:r>
      <w:r>
        <w:rPr>
          <w:spacing w:val="-99"/>
        </w:rPr>
      </w:r>
      <w:r>
        <w:rPr/>
        <w:t>企业所得税</w:t>
      </w:r>
    </w:p>
    <w:p>
      <w:pPr>
        <w:pStyle w:val="BodyText"/>
        <w:spacing w:line="355" w:lineRule="auto" w:before="110"/>
        <w:ind w:right="213" w:firstLine="424"/>
        <w:jc w:val="both"/>
      </w:pPr>
      <w:r>
        <w:rPr>
          <w:spacing w:val="-2"/>
        </w:rPr>
        <w:t>根据财政部、国家税务总局、中宣部《关于继续实施文化体制改革中经营性文化事业单位转制</w:t>
      </w:r>
      <w:r>
        <w:rPr>
          <w:w w:val="100"/>
        </w:rPr>
        <w:t> </w:t>
      </w:r>
      <w:r>
        <w:rPr>
          <w:spacing w:val="-3"/>
        </w:rPr>
        <w:t>为企业若干税收政策的通知》</w:t>
      </w:r>
      <w:r>
        <w:rPr>
          <w:rFonts w:ascii="宋体" w:hAnsi="宋体" w:cs="宋体" w:eastAsia="宋体" w:hint="default"/>
          <w:spacing w:val="-3"/>
        </w:rPr>
        <w:t>(</w:t>
      </w:r>
      <w:r>
        <w:rPr>
          <w:spacing w:val="-3"/>
        </w:rPr>
        <w:t>财税【</w:t>
      </w:r>
      <w:r>
        <w:rPr>
          <w:rFonts w:ascii="宋体" w:hAnsi="宋体" w:cs="宋体" w:eastAsia="宋体" w:hint="default"/>
          <w:spacing w:val="-3"/>
        </w:rPr>
        <w:t>2014</w:t>
      </w:r>
      <w:r>
        <w:rPr>
          <w:spacing w:val="-3"/>
        </w:rPr>
        <w:t>】</w:t>
      </w:r>
      <w:r>
        <w:rPr>
          <w:rFonts w:ascii="宋体" w:hAnsi="宋体" w:cs="宋体" w:eastAsia="宋体" w:hint="default"/>
          <w:spacing w:val="-3"/>
        </w:rPr>
        <w:t>84 </w:t>
      </w:r>
      <w:r>
        <w:rPr>
          <w:spacing w:val="-3"/>
        </w:rPr>
        <w:t>号</w:t>
      </w:r>
      <w:r>
        <w:rPr>
          <w:rFonts w:ascii="宋体" w:hAnsi="宋体" w:cs="宋体" w:eastAsia="宋体" w:hint="default"/>
          <w:spacing w:val="-3"/>
        </w:rPr>
        <w:t>)</w:t>
      </w:r>
      <w:r>
        <w:rPr>
          <w:spacing w:val="-3"/>
        </w:rPr>
        <w:t>，经营性文化事业单位转制为企业，自转制注册</w:t>
      </w:r>
      <w:r>
        <w:rPr>
          <w:spacing w:val="-84"/>
        </w:rPr>
        <w:t> </w:t>
      </w:r>
      <w:r>
        <w:rPr>
          <w:spacing w:val="-84"/>
        </w:rPr>
      </w:r>
      <w:r>
        <w:rPr/>
        <w:t>之日起免征企业所得税。本通知执行期限为</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w:t>
      </w:r>
    </w:p>
    <w:p>
      <w:pPr>
        <w:pStyle w:val="BodyText"/>
        <w:spacing w:line="357" w:lineRule="auto" w:before="32"/>
        <w:ind w:right="211" w:firstLine="424"/>
        <w:jc w:val="both"/>
      </w:pPr>
      <w:r>
        <w:rPr>
          <w:spacing w:val="-2"/>
        </w:rPr>
        <w:t>根据财政部、国家税务总局、中央宣传部《关于继续实施文化体制改革中经营性文化事业单位</w:t>
      </w:r>
      <w:r>
        <w:rPr>
          <w:w w:val="100"/>
        </w:rPr>
        <w:t> </w:t>
      </w:r>
      <w:r>
        <w:rPr>
          <w:spacing w:val="-3"/>
        </w:rPr>
        <w:t>转制为企业若干税收政策的通知》</w:t>
      </w:r>
      <w:r>
        <w:rPr>
          <w:rFonts w:ascii="宋体" w:hAnsi="宋体" w:cs="宋体" w:eastAsia="宋体" w:hint="default"/>
          <w:spacing w:val="-3"/>
        </w:rPr>
        <w:t>(</w:t>
      </w:r>
      <w:r>
        <w:rPr>
          <w:spacing w:val="-3"/>
        </w:rPr>
        <w:t>财税【</w:t>
      </w:r>
      <w:r>
        <w:rPr>
          <w:rFonts w:ascii="宋体" w:hAnsi="宋体" w:cs="宋体" w:eastAsia="宋体" w:hint="default"/>
          <w:spacing w:val="-3"/>
        </w:rPr>
        <w:t>2019</w:t>
      </w:r>
      <w:r>
        <w:rPr>
          <w:spacing w:val="-3"/>
        </w:rPr>
        <w:t>】</w:t>
      </w:r>
      <w:r>
        <w:rPr>
          <w:rFonts w:ascii="宋体" w:hAnsi="宋体" w:cs="宋体" w:eastAsia="宋体" w:hint="default"/>
          <w:spacing w:val="-3"/>
        </w:rPr>
        <w:t>16 </w:t>
      </w:r>
      <w:r>
        <w:rPr>
          <w:spacing w:val="-3"/>
        </w:rPr>
        <w:t>号</w:t>
      </w:r>
      <w:r>
        <w:rPr>
          <w:rFonts w:ascii="宋体" w:hAnsi="宋体" w:cs="宋体" w:eastAsia="宋体" w:hint="default"/>
          <w:spacing w:val="-3"/>
        </w:rPr>
        <w:t>)</w:t>
      </w:r>
      <w:r>
        <w:rPr>
          <w:spacing w:val="-3"/>
        </w:rPr>
        <w:t>，经营性文化事业单位转制为企业，自转制</w:t>
      </w:r>
      <w:r>
        <w:rPr>
          <w:spacing w:val="-81"/>
        </w:rPr>
        <w:t> </w:t>
      </w:r>
      <w:r>
        <w:rPr>
          <w:spacing w:val="-81"/>
        </w:rPr>
      </w:r>
      <w:r>
        <w:rPr/>
        <w:t>注册之日起五年内免征企业所得税。</w:t>
      </w:r>
      <w:r>
        <w:rPr>
          <w:rFonts w:ascii="宋体" w:hAnsi="宋体" w:cs="宋体" w:eastAsia="宋体" w:hint="default"/>
        </w:rPr>
        <w:t>2018</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t>日之前已完成转制的企业，自</w:t>
      </w:r>
      <w:r>
        <w:rPr>
          <w:spacing w:val="-45"/>
        </w:rPr>
        <w:t> </w:t>
      </w: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1</w:t>
      </w:r>
      <w:r>
        <w:rPr>
          <w:rFonts w:ascii="宋体" w:hAnsi="宋体" w:cs="宋体" w:eastAsia="宋体" w:hint="default"/>
          <w:spacing w:val="-43"/>
        </w:rPr>
        <w:t> </w:t>
      </w:r>
      <w:r>
        <w:rPr/>
        <w:t>月</w:t>
      </w:r>
      <w:r>
        <w:rPr>
          <w:spacing w:val="-45"/>
        </w:rPr>
        <w:t> </w:t>
      </w:r>
      <w:r>
        <w:rPr>
          <w:rFonts w:ascii="宋体" w:hAnsi="宋体" w:cs="宋体" w:eastAsia="宋体" w:hint="default"/>
        </w:rPr>
        <w:t>1</w:t>
      </w:r>
      <w:r>
        <w:rPr>
          <w:rFonts w:ascii="宋体" w:hAnsi="宋体" w:cs="宋体" w:eastAsia="宋体" w:hint="default"/>
          <w:w w:val="100"/>
        </w:rPr>
        <w:t> </w:t>
      </w:r>
      <w:r>
        <w:rPr/>
        <w:t>日起可继续免征五年企业所得税。</w:t>
      </w:r>
    </w:p>
    <w:p>
      <w:pPr>
        <w:pStyle w:val="BodyText"/>
        <w:spacing w:line="355" w:lineRule="auto" w:before="30"/>
        <w:ind w:right="211" w:firstLine="424"/>
        <w:jc w:val="both"/>
      </w:pPr>
      <w:r>
        <w:rPr>
          <w:spacing w:val="-2"/>
        </w:rPr>
        <w:t>根据上述规定，本公司及北京蜀川新华书店图书发行有限责任公司(“北京蜀川”)、四川新华</w:t>
      </w:r>
      <w:r>
        <w:rPr>
          <w:w w:val="100"/>
        </w:rPr>
        <w:t> </w:t>
      </w:r>
      <w:r>
        <w:rPr>
          <w:spacing w:val="-2"/>
        </w:rPr>
        <w:t>在线网络有限责任公司(“新华在线”)、四川文化传播有限公司(“四川文化传播”)以及本公司下</w:t>
      </w:r>
      <w:r>
        <w:rPr>
          <w:spacing w:val="-30"/>
        </w:rPr>
        <w:t> </w:t>
      </w:r>
      <w:r>
        <w:rPr>
          <w:spacing w:val="-30"/>
        </w:rPr>
      </w:r>
      <w:r>
        <w:rPr/>
        <w:t>属的十三家出版社享受所得税免税，免税期限至</w:t>
      </w:r>
      <w:r>
        <w:rPr>
          <w:spacing w:val="-54"/>
        </w:rPr>
        <w:t> </w:t>
      </w:r>
      <w:r>
        <w:rPr>
          <w:rFonts w:ascii="宋体" w:hAnsi="宋体" w:cs="宋体" w:eastAsia="宋体" w:hint="default"/>
        </w:rPr>
        <w:t>2023</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7" w:lineRule="auto"/>
        <w:ind w:right="213" w:firstLine="424"/>
        <w:jc w:val="both"/>
      </w:pPr>
      <w:r>
        <w:rPr>
          <w:spacing w:val="-2"/>
        </w:rPr>
        <w:t>本公司之子公司文轩教育科技符合国家税务总局《关于执行</w:t>
      </w:r>
      <w:r>
        <w:rPr>
          <w:rFonts w:ascii="宋体" w:hAnsi="宋体" w:cs="宋体" w:eastAsia="宋体" w:hint="default"/>
          <w:spacing w:val="-2"/>
        </w:rPr>
        <w:t>&lt;</w:t>
      </w:r>
      <w:r>
        <w:rPr>
          <w:spacing w:val="-2"/>
        </w:rPr>
        <w:t>西部地区鼓励类产业目录</w:t>
      </w:r>
      <w:r>
        <w:rPr>
          <w:rFonts w:ascii="宋体" w:hAnsi="宋体" w:cs="宋体" w:eastAsia="宋体" w:hint="default"/>
          <w:spacing w:val="-2"/>
        </w:rPr>
        <w:t>&gt;</w:t>
      </w:r>
      <w:r>
        <w:rPr>
          <w:spacing w:val="-2"/>
        </w:rPr>
        <w:t>有关企</w:t>
      </w:r>
      <w:r>
        <w:rPr>
          <w:w w:val="100"/>
        </w:rPr>
        <w:t> </w:t>
      </w:r>
      <w:r>
        <w:rPr/>
        <w:t>业所得税问题的公告</w:t>
      </w:r>
      <w:r>
        <w:rPr>
          <w:rFonts w:ascii="宋体" w:hAnsi="宋体" w:cs="宋体" w:eastAsia="宋体" w:hint="default"/>
        </w:rPr>
        <w:t>(</w:t>
      </w:r>
      <w:r>
        <w:rPr/>
        <w:t>国税</w:t>
      </w:r>
      <w:r>
        <w:rPr>
          <w:rFonts w:ascii="宋体" w:hAnsi="宋体" w:cs="宋体" w:eastAsia="宋体" w:hint="default"/>
        </w:rPr>
        <w:t>[2015]14</w:t>
      </w:r>
      <w:r>
        <w:rPr>
          <w:rFonts w:ascii="宋体" w:hAnsi="宋体" w:cs="宋体" w:eastAsia="宋体" w:hint="default"/>
          <w:spacing w:val="-6"/>
        </w:rPr>
        <w:t> </w:t>
      </w:r>
      <w:r>
        <w:rPr>
          <w:spacing w:val="-4"/>
        </w:rPr>
        <w:t>号</w:t>
      </w:r>
      <w:r>
        <w:rPr>
          <w:rFonts w:ascii="宋体" w:hAnsi="宋体" w:cs="宋体" w:eastAsia="宋体" w:hint="default"/>
          <w:spacing w:val="-4"/>
        </w:rPr>
        <w:t>)</w:t>
      </w:r>
      <w:r>
        <w:rPr>
          <w:spacing w:val="-4"/>
        </w:rPr>
        <w:t>》所指的西部地区鼓励类产业，上述资格由成都市发展及改</w:t>
      </w:r>
    </w:p>
    <w:p>
      <w:pPr>
        <w:spacing w:after="0" w:line="357" w:lineRule="auto"/>
        <w:jc w:val="both"/>
        <w:sectPr>
          <w:pgSz w:w="11910" w:h="16840"/>
          <w:pgMar w:header="882" w:footer="1195" w:top="112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right="230"/>
        <w:jc w:val="left"/>
      </w:pPr>
      <w:r>
        <w:rPr/>
        <w:t>革委员会《成发改委政务审批函</w:t>
      </w:r>
      <w:r>
        <w:rPr>
          <w:rFonts w:ascii="宋体" w:hAnsi="宋体" w:cs="宋体" w:eastAsia="宋体" w:hint="default"/>
        </w:rPr>
        <w:t>[2016]38</w:t>
      </w:r>
      <w:r>
        <w:rPr>
          <w:rFonts w:ascii="宋体" w:hAnsi="宋体" w:cs="宋体" w:eastAsia="宋体" w:hint="default"/>
          <w:spacing w:val="-60"/>
        </w:rPr>
        <w:t> </w:t>
      </w:r>
      <w:r>
        <w:rPr/>
        <w:t>号》确认，文轩教育科技按应纳税所得额的</w:t>
      </w:r>
      <w:r>
        <w:rPr>
          <w:spacing w:val="-59"/>
        </w:rPr>
        <w:t> </w:t>
      </w:r>
      <w:r>
        <w:rPr>
          <w:rFonts w:ascii="宋体" w:hAnsi="宋体" w:cs="宋体" w:eastAsia="宋体" w:hint="default"/>
        </w:rPr>
        <w:t>15%</w:t>
      </w:r>
      <w:r>
        <w:rPr/>
        <w:t>计算缴纳</w:t>
      </w:r>
      <w:r>
        <w:rPr>
          <w:w w:val="100"/>
        </w:rPr>
        <w:t> </w:t>
      </w:r>
      <w:r>
        <w:rPr/>
        <w:t>企业所得税。本公司之子公司北京航天云于</w:t>
      </w:r>
      <w:r>
        <w:rPr>
          <w:spacing w:val="-41"/>
        </w:rPr>
        <w:t> </w:t>
      </w:r>
      <w:r>
        <w:rPr>
          <w:rFonts w:ascii="宋体" w:hAnsi="宋体" w:cs="宋体" w:eastAsia="宋体" w:hint="default"/>
        </w:rPr>
        <w:t>2016</w:t>
      </w:r>
      <w:r>
        <w:rPr>
          <w:rFonts w:ascii="宋体" w:hAnsi="宋体" w:cs="宋体" w:eastAsia="宋体" w:hint="default"/>
          <w:spacing w:val="-43"/>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41"/>
        </w:rPr>
        <w:t> </w:t>
      </w:r>
      <w:r>
        <w:rPr>
          <w:rFonts w:ascii="宋体" w:hAnsi="宋体" w:cs="宋体" w:eastAsia="宋体" w:hint="default"/>
        </w:rPr>
        <w:t>1</w:t>
      </w:r>
      <w:r>
        <w:rPr>
          <w:rFonts w:ascii="宋体" w:hAnsi="宋体" w:cs="宋体" w:eastAsia="宋体" w:hint="default"/>
          <w:spacing w:val="-43"/>
        </w:rPr>
        <w:t> </w:t>
      </w:r>
      <w:r>
        <w:rPr/>
        <w:t>日取得编号为</w:t>
      </w:r>
      <w:r>
        <w:rPr>
          <w:spacing w:val="-41"/>
        </w:rPr>
        <w:t> </w:t>
      </w:r>
      <w:r>
        <w:rPr>
          <w:rFonts w:ascii="宋体" w:hAnsi="宋体" w:cs="宋体" w:eastAsia="宋体" w:hint="default"/>
        </w:rPr>
        <w:t>GR201611000716</w:t>
      </w:r>
      <w:r>
        <w:rPr>
          <w:rFonts w:ascii="宋体" w:hAnsi="宋体" w:cs="宋体" w:eastAsia="宋体" w:hint="default"/>
          <w:spacing w:val="-43"/>
        </w:rPr>
        <w:t> </w:t>
      </w:r>
      <w:r>
        <w:rPr/>
        <w:t>的高新</w:t>
      </w:r>
    </w:p>
    <w:p>
      <w:pPr>
        <w:pStyle w:val="BodyText"/>
        <w:spacing w:line="355" w:lineRule="auto" w:before="32"/>
        <w:ind w:right="228"/>
        <w:jc w:val="left"/>
      </w:pPr>
      <w:r>
        <w:rPr/>
        <w:t>技术企业证书，有效期至</w:t>
      </w:r>
      <w:r>
        <w:rPr>
          <w:spacing w:val="-38"/>
        </w:rPr>
        <w:t> </w:t>
      </w:r>
      <w:r>
        <w:rPr>
          <w:rFonts w:ascii="宋体" w:hAnsi="宋体" w:cs="宋体" w:eastAsia="宋体" w:hint="default"/>
        </w:rPr>
        <w:t>2019</w:t>
      </w:r>
      <w:r>
        <w:rPr>
          <w:rFonts w:ascii="宋体" w:hAnsi="宋体" w:cs="宋体" w:eastAsia="宋体" w:hint="default"/>
          <w:spacing w:val="-38"/>
        </w:rPr>
        <w:t> </w:t>
      </w:r>
      <w:r>
        <w:rPr/>
        <w:t>年</w:t>
      </w:r>
      <w:r>
        <w:rPr>
          <w:spacing w:val="-36"/>
        </w:rPr>
        <w:t> </w:t>
      </w:r>
      <w:r>
        <w:rPr>
          <w:rFonts w:ascii="宋体" w:hAnsi="宋体" w:cs="宋体" w:eastAsia="宋体" w:hint="default"/>
        </w:rPr>
        <w:t>11</w:t>
      </w:r>
      <w:r>
        <w:rPr>
          <w:rFonts w:ascii="宋体" w:hAnsi="宋体" w:cs="宋体" w:eastAsia="宋体" w:hint="default"/>
          <w:spacing w:val="-38"/>
        </w:rPr>
        <w:t> </w:t>
      </w:r>
      <w:r>
        <w:rPr/>
        <w:t>月</w:t>
      </w:r>
      <w:r>
        <w:rPr>
          <w:spacing w:val="-36"/>
        </w:rPr>
        <w:t> </w:t>
      </w:r>
      <w:r>
        <w:rPr>
          <w:rFonts w:ascii="宋体" w:hAnsi="宋体" w:cs="宋体" w:eastAsia="宋体" w:hint="default"/>
        </w:rPr>
        <w:t>30</w:t>
      </w:r>
      <w:r>
        <w:rPr>
          <w:rFonts w:ascii="宋体" w:hAnsi="宋体" w:cs="宋体" w:eastAsia="宋体" w:hint="default"/>
          <w:spacing w:val="-36"/>
        </w:rPr>
        <w:t> </w:t>
      </w:r>
      <w:r>
        <w:rPr/>
        <w:t>日，北京航天云所得税根据相关税收规定按应纳税所得</w:t>
      </w:r>
      <w:r>
        <w:rPr>
          <w:w w:val="100"/>
        </w:rPr>
        <w:t> </w:t>
      </w:r>
      <w:r>
        <w:rPr/>
        <w:t>额的</w:t>
      </w:r>
      <w:r>
        <w:rPr>
          <w:spacing w:val="-53"/>
        </w:rPr>
        <w:t> </w:t>
      </w:r>
      <w:r>
        <w:rPr>
          <w:rFonts w:ascii="宋体" w:hAnsi="宋体" w:cs="宋体" w:eastAsia="宋体" w:hint="default"/>
        </w:rPr>
        <w:t>15%</w:t>
      </w:r>
      <w:r>
        <w:rPr/>
        <w:t>计算缴纳。</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right="123"/>
        <w:jc w:val="left"/>
      </w:pPr>
      <w:r>
        <w:rPr/>
        <w:t>增值税</w:t>
      </w:r>
    </w:p>
    <w:p>
      <w:pPr>
        <w:pStyle w:val="BodyText"/>
        <w:spacing w:line="357" w:lineRule="auto" w:before="133"/>
        <w:ind w:right="123" w:firstLine="424"/>
        <w:jc w:val="left"/>
      </w:pPr>
      <w:r>
        <w:rPr>
          <w:spacing w:val="-9"/>
          <w:w w:val="100"/>
        </w:rPr>
        <w:t>根据财政部、国家税务总局《关于延续宣传文化增值税和营业税优惠政策的通知》</w:t>
      </w:r>
      <w:r>
        <w:rPr>
          <w:rFonts w:ascii="宋体" w:hAnsi="宋体" w:cs="宋体" w:eastAsia="宋体" w:hint="default"/>
          <w:spacing w:val="-9"/>
          <w:w w:val="100"/>
        </w:rPr>
        <w:t>(</w:t>
      </w:r>
      <w:r>
        <w:rPr>
          <w:spacing w:val="-9"/>
          <w:w w:val="100"/>
        </w:rPr>
        <w:t>财税【</w:t>
      </w:r>
      <w:r>
        <w:rPr>
          <w:rFonts w:ascii="宋体" w:hAnsi="宋体" w:cs="宋体" w:eastAsia="宋体" w:hint="default"/>
          <w:spacing w:val="-9"/>
          <w:w w:val="100"/>
        </w:rPr>
        <w:t>2013</w:t>
      </w:r>
      <w:r>
        <w:rPr>
          <w:spacing w:val="-9"/>
          <w:w w:val="100"/>
        </w:rPr>
        <w:t>】</w:t>
      </w:r>
      <w:r>
        <w:rPr>
          <w:w w:val="100"/>
        </w:rPr>
        <w:t> </w:t>
      </w:r>
      <w:r>
        <w:rPr>
          <w:rFonts w:ascii="宋体" w:hAnsi="宋体" w:cs="宋体" w:eastAsia="宋体" w:hint="default"/>
        </w:rPr>
        <w:t>87</w:t>
      </w:r>
      <w:r>
        <w:rPr>
          <w:rFonts w:ascii="宋体" w:hAnsi="宋体" w:cs="宋体" w:eastAsia="宋体" w:hint="default"/>
          <w:spacing w:val="-51"/>
        </w:rPr>
        <w:t> </w:t>
      </w:r>
      <w:r>
        <w:rPr>
          <w:spacing w:val="-5"/>
        </w:rPr>
        <w:t>号</w:t>
      </w:r>
      <w:r>
        <w:rPr>
          <w:rFonts w:ascii="宋体" w:hAnsi="宋体" w:cs="宋体" w:eastAsia="宋体" w:hint="default"/>
          <w:spacing w:val="-5"/>
        </w:rPr>
        <w:t>)</w:t>
      </w:r>
      <w:r>
        <w:rPr>
          <w:spacing w:val="-5"/>
        </w:rPr>
        <w:t>：</w:t>
      </w:r>
      <w:r>
        <w:rPr>
          <w:rFonts w:ascii="宋体" w:hAnsi="宋体" w:cs="宋体" w:eastAsia="宋体" w:hint="default"/>
          <w:spacing w:val="-5"/>
        </w:rPr>
        <w:t>(1)</w:t>
      </w:r>
      <w:r>
        <w:rPr>
          <w:spacing w:val="-5"/>
        </w:rPr>
        <w:t>自</w:t>
      </w:r>
      <w:r>
        <w:rPr>
          <w:spacing w:val="-51"/>
        </w:rPr>
        <w:t> </w:t>
      </w:r>
      <w:r>
        <w:rPr>
          <w:rFonts w:ascii="宋体" w:hAnsi="宋体" w:cs="宋体" w:eastAsia="宋体" w:hint="default"/>
        </w:rPr>
        <w:t>2013</w:t>
      </w:r>
      <w:r>
        <w:rPr>
          <w:rFonts w:ascii="宋体" w:hAnsi="宋体" w:cs="宋体" w:eastAsia="宋体" w:hint="default"/>
          <w:spacing w:val="-53"/>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t>月</w:t>
      </w:r>
      <w:r>
        <w:rPr>
          <w:spacing w:val="-50"/>
        </w:rPr>
        <w:t> </w:t>
      </w:r>
      <w:r>
        <w:rPr>
          <w:rFonts w:ascii="宋体" w:hAnsi="宋体" w:cs="宋体" w:eastAsia="宋体" w:hint="default"/>
        </w:rPr>
        <w:t>1</w:t>
      </w:r>
      <w:r>
        <w:rPr>
          <w:rFonts w:ascii="宋体" w:hAnsi="宋体" w:cs="宋体" w:eastAsia="宋体" w:hint="default"/>
          <w:spacing w:val="-51"/>
        </w:rPr>
        <w:t> </w:t>
      </w:r>
      <w:r>
        <w:rPr/>
        <w:t>日起至</w:t>
      </w:r>
      <w:r>
        <w:rPr>
          <w:spacing w:val="-51"/>
        </w:rPr>
        <w:t> </w:t>
      </w:r>
      <w:r>
        <w:rPr>
          <w:rFonts w:ascii="宋体" w:hAnsi="宋体" w:cs="宋体" w:eastAsia="宋体" w:hint="default"/>
        </w:rPr>
        <w:t>2017</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spacing w:val="-3"/>
        </w:rPr>
        <w:t>日，出版物在出版环节按该文件规定类别对增</w:t>
      </w:r>
      <w:r>
        <w:rPr>
          <w:spacing w:val="-99"/>
        </w:rPr>
        <w:t> </w:t>
      </w:r>
      <w:r>
        <w:rPr>
          <w:spacing w:val="-99"/>
        </w:rPr>
      </w:r>
      <w:r>
        <w:rPr>
          <w:spacing w:val="-1"/>
          <w:w w:val="100"/>
        </w:rPr>
        <w:t>值税分别实行</w:t>
      </w:r>
      <w:r>
        <w:rPr>
          <w:spacing w:val="-48"/>
          <w:w w:val="100"/>
        </w:rPr>
        <w:t> </w:t>
      </w:r>
      <w:r>
        <w:rPr>
          <w:rFonts w:ascii="宋体" w:hAnsi="宋体" w:cs="宋体" w:eastAsia="宋体" w:hint="default"/>
          <w:spacing w:val="-2"/>
          <w:w w:val="100"/>
        </w:rPr>
        <w:t>100%</w:t>
      </w:r>
      <w:r>
        <w:rPr>
          <w:spacing w:val="-2"/>
          <w:w w:val="100"/>
        </w:rPr>
        <w:t>先征后退和</w:t>
      </w:r>
      <w:r>
        <w:rPr>
          <w:spacing w:val="-48"/>
          <w:w w:val="100"/>
        </w:rPr>
        <w:t> </w:t>
      </w:r>
      <w:r>
        <w:rPr>
          <w:rFonts w:ascii="宋体" w:hAnsi="宋体" w:cs="宋体" w:eastAsia="宋体" w:hint="default"/>
          <w:spacing w:val="-5"/>
          <w:w w:val="100"/>
        </w:rPr>
        <w:t>50%</w:t>
      </w:r>
      <w:r>
        <w:rPr>
          <w:spacing w:val="-5"/>
          <w:w w:val="100"/>
        </w:rPr>
        <w:t>先征后退政策，本集团出版环节可据此享受增值税先征后退政策；</w:t>
      </w:r>
      <w:r>
        <w:rPr>
          <w:spacing w:val="-103"/>
          <w:w w:val="100"/>
        </w:rPr>
        <w:t> </w:t>
      </w:r>
      <w:r>
        <w:rPr>
          <w:spacing w:val="-103"/>
          <w:w w:val="100"/>
        </w:rPr>
      </w:r>
      <w:r>
        <w:rPr>
          <w:rFonts w:ascii="宋体" w:hAnsi="宋体" w:cs="宋体" w:eastAsia="宋体" w:hint="default"/>
        </w:rPr>
        <w:t>(2)</w:t>
      </w:r>
      <w:r>
        <w:rPr/>
        <w:t>自</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1</w:t>
      </w:r>
      <w:r>
        <w:rPr>
          <w:rFonts w:ascii="宋体" w:hAnsi="宋体" w:cs="宋体" w:eastAsia="宋体" w:hint="default"/>
          <w:spacing w:val="-45"/>
        </w:rPr>
        <w:t> </w:t>
      </w:r>
      <w:r>
        <w:rPr/>
        <w:t>月</w:t>
      </w:r>
      <w:r>
        <w:rPr>
          <w:spacing w:val="-45"/>
        </w:rPr>
        <w:t> </w:t>
      </w:r>
      <w:r>
        <w:rPr>
          <w:rFonts w:ascii="宋体" w:hAnsi="宋体" w:cs="宋体" w:eastAsia="宋体" w:hint="default"/>
        </w:rPr>
        <w:t>1</w:t>
      </w:r>
      <w:r>
        <w:rPr>
          <w:rFonts w:ascii="宋体" w:hAnsi="宋体" w:cs="宋体" w:eastAsia="宋体" w:hint="default"/>
          <w:spacing w:val="-45"/>
        </w:rPr>
        <w:t> </w:t>
      </w:r>
      <w:r>
        <w:rPr/>
        <w:t>日起至</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t>日，免征图书批发、零售环节增值税。本集团图书批</w:t>
      </w:r>
      <w:r>
        <w:rPr>
          <w:w w:val="100"/>
        </w:rPr>
        <w:t> </w:t>
      </w:r>
      <w:r>
        <w:rPr/>
        <w:t>发、零售业务享受增值税免税政策。</w:t>
      </w:r>
    </w:p>
    <w:p>
      <w:pPr>
        <w:pStyle w:val="BodyText"/>
        <w:spacing w:line="357" w:lineRule="auto" w:before="30"/>
        <w:ind w:right="123" w:firstLine="424"/>
        <w:jc w:val="left"/>
      </w:pPr>
      <w:r>
        <w:rPr>
          <w:spacing w:val="-8"/>
        </w:rPr>
        <w:t>根据财政部、国家税务总局《关于延续宣传文化增值税优惠政策的通知》</w:t>
      </w:r>
      <w:r>
        <w:rPr>
          <w:rFonts w:ascii="宋体" w:hAnsi="宋体" w:cs="宋体" w:eastAsia="宋体" w:hint="default"/>
          <w:spacing w:val="-8"/>
        </w:rPr>
        <w:t>(</w:t>
      </w:r>
      <w:r>
        <w:rPr>
          <w:spacing w:val="-8"/>
        </w:rPr>
        <w:t>财税【</w:t>
      </w:r>
      <w:r>
        <w:rPr>
          <w:rFonts w:ascii="宋体" w:hAnsi="宋体" w:cs="宋体" w:eastAsia="宋体" w:hint="default"/>
          <w:spacing w:val="-8"/>
        </w:rPr>
        <w:t>2018</w:t>
      </w:r>
      <w:r>
        <w:rPr>
          <w:spacing w:val="-8"/>
        </w:rPr>
        <w:t>】</w:t>
      </w:r>
      <w:r>
        <w:rPr>
          <w:rFonts w:ascii="宋体" w:hAnsi="宋体" w:cs="宋体" w:eastAsia="宋体" w:hint="default"/>
          <w:spacing w:val="-8"/>
        </w:rPr>
        <w:t>53</w:t>
      </w:r>
      <w:r>
        <w:rPr>
          <w:rFonts w:ascii="宋体" w:hAnsi="宋体" w:cs="宋体" w:eastAsia="宋体" w:hint="default"/>
          <w:spacing w:val="-36"/>
        </w:rPr>
        <w:t> </w:t>
      </w:r>
      <w:r>
        <w:rPr/>
        <w:t>号</w:t>
      </w:r>
      <w:r>
        <w:rPr>
          <w:rFonts w:ascii="宋体" w:hAnsi="宋体" w:cs="宋体" w:eastAsia="宋体" w:hint="default"/>
        </w:rPr>
        <w:t>)</w:t>
      </w:r>
      <w:r>
        <w:rPr/>
        <w:t>：</w:t>
      </w:r>
      <w:r>
        <w:rPr>
          <w:w w:val="100"/>
        </w:rPr>
        <w:t> </w:t>
      </w:r>
      <w:r>
        <w:rPr>
          <w:rFonts w:ascii="宋体" w:hAnsi="宋体" w:cs="宋体" w:eastAsia="宋体" w:hint="default"/>
        </w:rPr>
        <w:t>(1)</w:t>
      </w:r>
      <w:r>
        <w:rPr>
          <w:rFonts w:ascii="宋体" w:hAnsi="宋体" w:cs="宋体" w:eastAsia="宋体" w:hint="default"/>
          <w:spacing w:val="-2"/>
        </w:rPr>
        <w:t> </w:t>
      </w:r>
      <w:r>
        <w:rPr/>
        <w:t>自</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2"/>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日，出版物在出版环节按该文件规定类别对增值税分</w:t>
      </w:r>
      <w:r>
        <w:rPr>
          <w:w w:val="100"/>
        </w:rPr>
        <w:t> </w:t>
      </w:r>
      <w:r>
        <w:rPr/>
        <w:t>别实行 </w:t>
      </w:r>
      <w:r>
        <w:rPr>
          <w:rFonts w:ascii="宋体" w:hAnsi="宋体" w:cs="宋体" w:eastAsia="宋体" w:hint="default"/>
        </w:rPr>
        <w:t>100%</w:t>
      </w:r>
      <w:r>
        <w:rPr/>
        <w:t>先征后退和</w:t>
      </w:r>
      <w:r>
        <w:rPr>
          <w:spacing w:val="-9"/>
        </w:rPr>
        <w:t> </w:t>
      </w:r>
      <w:r>
        <w:rPr>
          <w:rFonts w:ascii="宋体" w:hAnsi="宋体" w:cs="宋体" w:eastAsia="宋体" w:hint="default"/>
        </w:rPr>
        <w:t>50%</w:t>
      </w:r>
      <w:r>
        <w:rPr/>
        <w:t>先征后退政策，本集团出版环节可据此享受增值税先征后退政策。</w:t>
      </w:r>
      <w:r>
        <w:rPr>
          <w:rFonts w:ascii="宋体" w:hAnsi="宋体" w:cs="宋体" w:eastAsia="宋体" w:hint="default"/>
        </w:rPr>
        <w:t>(2)</w:t>
      </w:r>
      <w:r>
        <w:rPr>
          <w:rFonts w:ascii="宋体" w:hAnsi="宋体" w:cs="宋体" w:eastAsia="宋体" w:hint="default"/>
          <w:w w:val="100"/>
        </w:rPr>
        <w:t> </w:t>
      </w:r>
      <w:r>
        <w:rPr/>
        <w:t>自</w:t>
      </w:r>
      <w:r>
        <w:rPr>
          <w:spacing w:val="-45"/>
        </w:rPr>
        <w:t> </w:t>
      </w:r>
      <w:r>
        <w:rPr>
          <w:rFonts w:ascii="宋体" w:hAnsi="宋体" w:cs="宋体" w:eastAsia="宋体" w:hint="default"/>
        </w:rPr>
        <w:t>2018</w:t>
      </w:r>
      <w:r>
        <w:rPr>
          <w:rFonts w:ascii="宋体" w:hAnsi="宋体" w:cs="宋体" w:eastAsia="宋体" w:hint="default"/>
          <w:spacing w:val="-46"/>
        </w:rPr>
        <w:t> </w:t>
      </w:r>
      <w:r>
        <w:rPr/>
        <w:t>年</w:t>
      </w:r>
      <w:r>
        <w:rPr>
          <w:spacing w:val="-45"/>
        </w:rPr>
        <w:t> </w:t>
      </w:r>
      <w:r>
        <w:rPr>
          <w:rFonts w:ascii="宋体" w:hAnsi="宋体" w:cs="宋体" w:eastAsia="宋体" w:hint="default"/>
        </w:rPr>
        <w:t>1</w:t>
      </w:r>
      <w:r>
        <w:rPr>
          <w:rFonts w:ascii="宋体" w:hAnsi="宋体" w:cs="宋体" w:eastAsia="宋体" w:hint="default"/>
          <w:spacing w:val="-45"/>
        </w:rPr>
        <w:t> </w:t>
      </w:r>
      <w:r>
        <w:rPr/>
        <w:t>月</w:t>
      </w:r>
      <w:r>
        <w:rPr>
          <w:spacing w:val="-45"/>
        </w:rPr>
        <w:t> </w:t>
      </w:r>
      <w:r>
        <w:rPr>
          <w:rFonts w:ascii="宋体" w:hAnsi="宋体" w:cs="宋体" w:eastAsia="宋体" w:hint="default"/>
        </w:rPr>
        <w:t>1</w:t>
      </w:r>
      <w:r>
        <w:rPr>
          <w:rFonts w:ascii="宋体" w:hAnsi="宋体" w:cs="宋体" w:eastAsia="宋体" w:hint="default"/>
          <w:spacing w:val="-45"/>
        </w:rPr>
        <w:t> </w:t>
      </w:r>
      <w:r>
        <w:rPr/>
        <w:t>日起至</w:t>
      </w:r>
      <w:r>
        <w:rPr>
          <w:spacing w:val="-46"/>
        </w:rPr>
        <w:t> </w:t>
      </w:r>
      <w:r>
        <w:rPr>
          <w:rFonts w:ascii="宋体" w:hAnsi="宋体" w:cs="宋体" w:eastAsia="宋体" w:hint="default"/>
        </w:rPr>
        <w:t>2020</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日，免征图书批发、零售环节增值税。本集团图书批发、</w:t>
      </w:r>
      <w:r>
        <w:rPr>
          <w:w w:val="100"/>
        </w:rPr>
        <w:t> </w:t>
      </w:r>
      <w:r>
        <w:rPr/>
        <w:t>零售业务享受增值税免税政策。</w:t>
      </w:r>
    </w:p>
    <w:p>
      <w:pPr>
        <w:pStyle w:val="Heading2"/>
        <w:tabs>
          <w:tab w:pos="645" w:val="left" w:leader="none"/>
        </w:tabs>
        <w:spacing w:line="240" w:lineRule="auto" w:before="90"/>
        <w:ind w:right="123"/>
        <w:jc w:val="left"/>
        <w:rPr>
          <w:b w:val="0"/>
          <w:bCs w:val="0"/>
        </w:rPr>
      </w:pPr>
      <w:r>
        <w:rPr>
          <w:rFonts w:ascii="宋体" w:hAnsi="宋体" w:cs="宋体" w:eastAsia="宋体" w:hint="default"/>
          <w:w w:val="95"/>
        </w:rPr>
        <w:t>3.</w:t>
        <w:tab/>
      </w:r>
      <w:r>
        <w:rPr/>
        <w:t>其他</w:t>
      </w:r>
      <w:r>
        <w:rPr>
          <w:b w:val="0"/>
          <w:bCs w:val="0"/>
        </w:rPr>
      </w:r>
    </w:p>
    <w:p>
      <w:pPr>
        <w:pStyle w:val="BodyText"/>
        <w:tabs>
          <w:tab w:pos="1062" w:val="left" w:leader="none"/>
        </w:tabs>
        <w:spacing w:line="240" w:lineRule="auto" w:before="58"/>
        <w:ind w:right="123"/>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20" w:right="1200"/>
        </w:sectPr>
      </w:pPr>
    </w:p>
    <w:p>
      <w:pPr>
        <w:pStyle w:val="Heading2"/>
        <w:spacing w:line="290" w:lineRule="auto" w:before="36"/>
        <w:ind w:right="-15"/>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62" w:val="left" w:leader="none"/>
        </w:tabs>
        <w:spacing w:line="240" w:lineRule="auto" w:before="14"/>
        <w:ind w:right="-1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2755" w:space="3961"/>
            <w:col w:w="277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23"/>
        <w:gridCol w:w="3452"/>
        <w:gridCol w:w="3478"/>
      </w:tblGrid>
      <w:tr>
        <w:trPr>
          <w:trHeight w:val="281"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3,311,719.53</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2,497,605.27</w:t>
            </w:r>
          </w:p>
        </w:tc>
      </w:tr>
      <w:tr>
        <w:trPr>
          <w:trHeight w:val="281"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2,573,388,011.72</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1,823,075,043.88</w:t>
            </w:r>
          </w:p>
        </w:tc>
      </w:tr>
      <w:tr>
        <w:trPr>
          <w:trHeight w:val="283"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31,912,840.76</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60,109,568.68</w:t>
            </w:r>
          </w:p>
        </w:tc>
      </w:tr>
      <w:tr>
        <w:trPr>
          <w:trHeight w:val="283"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2,608,612,572.01</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1,885,682,217.83</w:t>
            </w:r>
          </w:p>
        </w:tc>
      </w:tr>
    </w:tbl>
    <w:p>
      <w:pPr>
        <w:spacing w:line="240" w:lineRule="auto" w:before="5"/>
        <w:rPr>
          <w:rFonts w:ascii="宋体" w:hAnsi="宋体" w:cs="宋体" w:eastAsia="宋体" w:hint="default"/>
          <w:sz w:val="15"/>
          <w:szCs w:val="15"/>
        </w:rPr>
      </w:pPr>
    </w:p>
    <w:p>
      <w:pPr>
        <w:pStyle w:val="BodyText"/>
        <w:spacing w:line="274" w:lineRule="exact" w:before="36"/>
        <w:ind w:right="123"/>
        <w:jc w:val="left"/>
      </w:pPr>
      <w:r>
        <w:rPr/>
        <w:t>其他说明</w:t>
      </w:r>
    </w:p>
    <w:p>
      <w:pPr>
        <w:pStyle w:val="BodyText"/>
        <w:spacing w:line="355" w:lineRule="auto"/>
        <w:ind w:right="233"/>
        <w:jc w:val="left"/>
      </w:pPr>
      <w:r>
        <w:rPr/>
        <w:t>注</w:t>
      </w:r>
      <w:r>
        <w:rPr>
          <w:spacing w:val="-42"/>
        </w:rPr>
        <w:t> </w:t>
      </w:r>
      <w:r>
        <w:rPr>
          <w:rFonts w:ascii="宋体" w:hAnsi="宋体" w:cs="宋体" w:eastAsia="宋体" w:hint="default"/>
          <w:spacing w:val="-4"/>
        </w:rPr>
        <w:t>1</w:t>
      </w:r>
      <w:r>
        <w:rPr>
          <w:spacing w:val="-4"/>
        </w:rPr>
        <w:t>：本年末，银行存款余额中包含</w:t>
      </w:r>
      <w:r>
        <w:rPr>
          <w:spacing w:val="-41"/>
        </w:rPr>
        <w:t> </w:t>
      </w:r>
      <w:r>
        <w:rPr>
          <w:rFonts w:ascii="宋体" w:hAnsi="宋体" w:cs="宋体" w:eastAsia="宋体" w:hint="default"/>
        </w:rPr>
        <w:t>3</w:t>
      </w:r>
      <w:r>
        <w:rPr>
          <w:rFonts w:ascii="宋体" w:hAnsi="宋体" w:cs="宋体" w:eastAsia="宋体" w:hint="default"/>
          <w:spacing w:val="-44"/>
        </w:rPr>
        <w:t> </w:t>
      </w:r>
      <w:r>
        <w:rPr>
          <w:spacing w:val="-3"/>
        </w:rPr>
        <w:t>个月的定期存款，金额为人民币</w:t>
      </w:r>
      <w:r>
        <w:rPr>
          <w:spacing w:val="-42"/>
        </w:rPr>
        <w:t> </w:t>
      </w:r>
      <w:r>
        <w:rPr>
          <w:rFonts w:ascii="宋体" w:hAnsi="宋体" w:cs="宋体" w:eastAsia="宋体" w:hint="default"/>
        </w:rPr>
        <w:t>207,312,093.99</w:t>
      </w:r>
      <w:r>
        <w:rPr>
          <w:rFonts w:ascii="宋体" w:hAnsi="宋体" w:cs="宋体" w:eastAsia="宋体" w:hint="default"/>
          <w:spacing w:val="-41"/>
        </w:rPr>
        <w:t> </w:t>
      </w:r>
      <w:r>
        <w:rPr>
          <w:spacing w:val="-5"/>
        </w:rPr>
        <w:t>元，利率为</w:t>
      </w:r>
      <w:r>
        <w:rPr>
          <w:spacing w:val="-101"/>
        </w:rPr>
        <w:t> </w:t>
      </w:r>
      <w:r>
        <w:rPr>
          <w:spacing w:val="-101"/>
        </w:rPr>
      </w:r>
      <w:r>
        <w:rPr>
          <w:rFonts w:ascii="宋体" w:hAnsi="宋体" w:cs="宋体" w:eastAsia="宋体" w:hint="default"/>
        </w:rPr>
        <w:t>1.54%-2.80%</w:t>
      </w:r>
      <w:r>
        <w:rPr/>
        <w:t>。</w:t>
      </w:r>
    </w:p>
    <w:p>
      <w:pPr>
        <w:pStyle w:val="BodyText"/>
        <w:spacing w:line="357" w:lineRule="auto" w:before="32"/>
        <w:ind w:right="226"/>
        <w:jc w:val="left"/>
      </w:pPr>
      <w:r>
        <w:rPr/>
        <w:t>注</w:t>
      </w:r>
      <w:r>
        <w:rPr>
          <w:spacing w:val="-10"/>
        </w:rPr>
        <w:t> </w:t>
      </w:r>
      <w:r>
        <w:rPr>
          <w:rFonts w:ascii="宋体" w:hAnsi="宋体" w:cs="宋体" w:eastAsia="宋体" w:hint="default"/>
        </w:rPr>
        <w:t>2</w:t>
      </w:r>
      <w:r>
        <w:rPr/>
        <w:t>：于本年末，本集团的所有权受到限制的货币资金中，为开具银行承兑汇票而存入银行的保证</w:t>
      </w:r>
      <w:r>
        <w:rPr>
          <w:w w:val="100"/>
        </w:rPr>
        <w:t> </w:t>
      </w:r>
      <w:r>
        <w:rPr/>
        <w:t>金人民币</w:t>
      </w:r>
      <w:r>
        <w:rPr>
          <w:spacing w:val="-30"/>
        </w:rPr>
        <w:t> </w:t>
      </w:r>
      <w:r>
        <w:rPr>
          <w:rFonts w:ascii="宋体" w:hAnsi="宋体" w:cs="宋体" w:eastAsia="宋体" w:hint="default"/>
        </w:rPr>
        <w:t>7,355,024.39</w:t>
      </w:r>
      <w:r>
        <w:rPr>
          <w:rFonts w:ascii="宋体" w:hAnsi="宋体" w:cs="宋体" w:eastAsia="宋体" w:hint="default"/>
          <w:spacing w:val="-32"/>
        </w:rPr>
        <w:t> </w:t>
      </w:r>
      <w:r>
        <w:rPr/>
        <w:t>元（上年末：人民币</w:t>
      </w:r>
      <w:r>
        <w:rPr>
          <w:spacing w:val="-30"/>
        </w:rPr>
        <w:t> </w:t>
      </w:r>
      <w:r>
        <w:rPr>
          <w:rFonts w:ascii="宋体" w:hAnsi="宋体" w:cs="宋体" w:eastAsia="宋体" w:hint="default"/>
        </w:rPr>
        <w:t>18,634,761.90</w:t>
      </w:r>
      <w:r>
        <w:rPr>
          <w:rFonts w:ascii="宋体" w:hAnsi="宋体" w:cs="宋体" w:eastAsia="宋体" w:hint="default"/>
          <w:spacing w:val="-30"/>
        </w:rPr>
        <w:t> </w:t>
      </w:r>
      <w:r>
        <w:rPr/>
        <w:t>元），房改专项基金及住房维修基金</w:t>
      </w:r>
    </w:p>
    <w:p>
      <w:pPr>
        <w:pStyle w:val="BodyText"/>
        <w:spacing w:line="240" w:lineRule="auto" w:before="30"/>
        <w:ind w:right="123"/>
        <w:jc w:val="left"/>
      </w:pPr>
      <w:r>
        <w:rPr/>
        <w:t>人民币</w:t>
      </w:r>
      <w:r>
        <w:rPr>
          <w:spacing w:val="-57"/>
        </w:rPr>
        <w:t> </w:t>
      </w:r>
      <w:r>
        <w:rPr>
          <w:rFonts w:ascii="宋体" w:hAnsi="宋体" w:cs="宋体" w:eastAsia="宋体" w:hint="default"/>
        </w:rPr>
        <w:t>24,557,816.37</w:t>
      </w:r>
      <w:r>
        <w:rPr>
          <w:rFonts w:ascii="宋体" w:hAnsi="宋体" w:cs="宋体" w:eastAsia="宋体" w:hint="default"/>
          <w:spacing w:val="-57"/>
        </w:rPr>
        <w:t> </w:t>
      </w:r>
      <w:r>
        <w:rPr/>
        <w:t>元（上年末：人民币</w:t>
      </w:r>
      <w:r>
        <w:rPr>
          <w:spacing w:val="-57"/>
        </w:rPr>
        <w:t> </w:t>
      </w:r>
      <w:r>
        <w:rPr>
          <w:rFonts w:ascii="宋体" w:hAnsi="宋体" w:cs="宋体" w:eastAsia="宋体" w:hint="default"/>
        </w:rPr>
        <w:t>24,474,806.78</w:t>
      </w:r>
      <w:r>
        <w:rPr>
          <w:rFonts w:ascii="宋体" w:hAnsi="宋体" w:cs="宋体" w:eastAsia="宋体" w:hint="default"/>
          <w:spacing w:val="-57"/>
        </w:rPr>
        <w:t> </w:t>
      </w:r>
      <w:r>
        <w:rPr/>
        <w:t>元），其他保证金零元（上年末：人民</w:t>
      </w:r>
    </w:p>
    <w:p>
      <w:pPr>
        <w:pStyle w:val="BodyText"/>
        <w:spacing w:line="240" w:lineRule="auto" w:before="133"/>
        <w:ind w:right="123"/>
        <w:jc w:val="left"/>
      </w:pPr>
      <w:r>
        <w:rPr/>
        <w:t>币</w:t>
      </w:r>
      <w:r>
        <w:rPr>
          <w:spacing w:val="-53"/>
        </w:rPr>
        <w:t> </w:t>
      </w:r>
      <w:r>
        <w:rPr>
          <w:rFonts w:ascii="宋体" w:hAnsi="宋体" w:cs="宋体" w:eastAsia="宋体" w:hint="default"/>
        </w:rPr>
        <w:t>17,000,000.00</w:t>
      </w:r>
      <w:r>
        <w:rPr>
          <w:rFonts w:ascii="宋体" w:hAnsi="宋体" w:cs="宋体" w:eastAsia="宋体" w:hint="default"/>
          <w:spacing w:val="-53"/>
        </w:rPr>
        <w:t> </w:t>
      </w:r>
      <w:r>
        <w:rPr/>
        <w:t>元）。</w:t>
      </w:r>
    </w:p>
    <w:p>
      <w:pPr>
        <w:spacing w:after="0" w:line="240" w:lineRule="auto"/>
        <w:jc w:val="left"/>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20" w:right="1200"/>
        </w:sectPr>
      </w:pPr>
    </w:p>
    <w:p>
      <w:pPr>
        <w:spacing w:line="240" w:lineRule="auto" w:before="1"/>
        <w:rPr>
          <w:rFonts w:ascii="宋体" w:hAnsi="宋体" w:cs="宋体" w:eastAsia="宋体" w:hint="default"/>
          <w:sz w:val="14"/>
          <w:szCs w:val="14"/>
        </w:rPr>
      </w:pPr>
    </w:p>
    <w:p>
      <w:pPr>
        <w:pStyle w:val="Heading2"/>
        <w:spacing w:line="240" w:lineRule="auto"/>
        <w:ind w:right="-19"/>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269" w:val="left" w:leader="none"/>
        </w:tabs>
        <w:spacing w:line="240" w:lineRule="auto"/>
        <w:ind w:right="0"/>
        <w:jc w:val="left"/>
      </w:pPr>
      <w:r>
        <w:rPr>
          <w:spacing w:val="-2"/>
        </w:rPr>
        <w:t>单位：元</w:t>
        <w:tab/>
        <w:t>币种：人民币</w:t>
      </w:r>
    </w:p>
    <w:p>
      <w:pPr>
        <w:spacing w:after="0" w:line="240" w:lineRule="auto"/>
        <w:jc w:val="left"/>
        <w:sectPr>
          <w:type w:val="continuous"/>
          <w:pgSz w:w="11910" w:h="16840"/>
          <w:pgMar w:top="1060" w:bottom="1380" w:left="1220" w:right="1200"/>
          <w:cols w:num="2" w:equalWidth="0">
            <w:col w:w="2119" w:space="4556"/>
            <w:col w:w="281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728"/>
        <w:gridCol w:w="2746"/>
        <w:gridCol w:w="2770"/>
      </w:tblGrid>
      <w:tr>
        <w:trPr>
          <w:trHeight w:val="281"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1,262,431,274.52</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1,157,828,233.14</w:t>
            </w:r>
          </w:p>
        </w:tc>
      </w:tr>
      <w:tr>
        <w:trPr>
          <w:trHeight w:val="283" w:hRule="exact"/>
        </w:trPr>
        <w:tc>
          <w:tcPr>
            <w:tcW w:w="9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3"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1,261,790,000.00</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1,157,800,000.00</w:t>
            </w:r>
          </w:p>
        </w:tc>
      </w:tr>
      <w:tr>
        <w:trPr>
          <w:trHeight w:val="281"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股上市公司股票</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641,274.52</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28,233.14</w:t>
            </w:r>
          </w:p>
        </w:tc>
      </w:tr>
      <w:tr>
        <w:trPr>
          <w:trHeight w:val="284"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1,262,431,274.52</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1,157,828,233.14</w:t>
            </w:r>
          </w:p>
        </w:tc>
      </w:tr>
    </w:tbl>
    <w:p>
      <w:pPr>
        <w:spacing w:line="240" w:lineRule="auto" w:before="7"/>
        <w:rPr>
          <w:rFonts w:ascii="宋体" w:hAnsi="宋体" w:cs="宋体" w:eastAsia="宋体" w:hint="default"/>
          <w:sz w:val="15"/>
          <w:szCs w:val="15"/>
        </w:rPr>
      </w:pPr>
    </w:p>
    <w:p>
      <w:pPr>
        <w:pStyle w:val="BodyText"/>
        <w:spacing w:line="273" w:lineRule="exact" w:before="36"/>
        <w:ind w:right="123"/>
        <w:jc w:val="left"/>
      </w:pPr>
      <w:r>
        <w:rPr/>
        <w:t>其他说明：</w:t>
      </w:r>
    </w:p>
    <w:p>
      <w:pPr>
        <w:pStyle w:val="BodyText"/>
        <w:spacing w:line="240" w:lineRule="auto"/>
        <w:ind w:right="123"/>
        <w:jc w:val="left"/>
      </w:pPr>
      <w:r>
        <w:rPr/>
        <w:t>√适用</w:t>
      </w:r>
      <w:r>
        <w:rPr>
          <w:spacing w:val="-2"/>
        </w:rPr>
        <w:t> </w:t>
      </w:r>
      <w:r>
        <w:rPr/>
        <w:t>□不适用</w:t>
      </w:r>
      <w:r>
        <w:rPr>
          <w:spacing w:val="-103"/>
        </w:rPr>
        <w:t> </w:t>
      </w:r>
      <w:r>
        <w:rPr>
          <w:spacing w:val="-103"/>
        </w:rPr>
      </w:r>
      <w:r>
        <w:rPr>
          <w:spacing w:val="-2"/>
        </w:rPr>
        <w:t>注：本集团分类为以公允价值计量且其变动计入当期损益的金融资产主要为本集团购买的期限为一</w:t>
      </w:r>
    </w:p>
    <w:p>
      <w:pPr>
        <w:pStyle w:val="BodyText"/>
        <w:spacing w:line="355" w:lineRule="auto" w:before="133"/>
        <w:ind w:right="227"/>
        <w:jc w:val="left"/>
      </w:pPr>
      <w:r>
        <w:rPr/>
        <w:t>年以内的银行理财产品以及</w:t>
      </w:r>
      <w:r>
        <w:rPr>
          <w:spacing w:val="-58"/>
        </w:rPr>
        <w:t> </w:t>
      </w:r>
      <w:r>
        <w:rPr>
          <w:rFonts w:ascii="宋体" w:hAnsi="宋体" w:cs="宋体" w:eastAsia="宋体" w:hint="default"/>
        </w:rPr>
        <w:t>A</w:t>
      </w:r>
      <w:r>
        <w:rPr>
          <w:rFonts w:ascii="宋体" w:hAnsi="宋体" w:cs="宋体" w:eastAsia="宋体" w:hint="default"/>
          <w:spacing w:val="-58"/>
        </w:rPr>
        <w:t> </w:t>
      </w:r>
      <w:r>
        <w:rPr/>
        <w:t>股上市公司股票。银行理财产品公允价值以现金流量折现法为基础确</w:t>
      </w:r>
      <w:r>
        <w:rPr>
          <w:w w:val="100"/>
        </w:rPr>
        <w:t> </w:t>
      </w:r>
      <w:r>
        <w:rPr/>
        <w:t>定。</w:t>
      </w:r>
    </w:p>
    <w:p>
      <w:pPr>
        <w:pStyle w:val="Heading2"/>
        <w:spacing w:line="240" w:lineRule="auto" w:before="92"/>
        <w:ind w:right="123"/>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right="123"/>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220" w:right="1200"/>
        </w:sectPr>
      </w:pPr>
    </w:p>
    <w:p>
      <w:pPr>
        <w:pStyle w:val="Heading2"/>
        <w:spacing w:line="290" w:lineRule="auto" w:before="36"/>
        <w:ind w:right="-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2"/>
        <w:spacing w:line="240" w:lineRule="auto" w:before="12"/>
        <w:ind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2542" w:space="4069"/>
            <w:col w:w="287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65"/>
        <w:gridCol w:w="3000"/>
        <w:gridCol w:w="2989"/>
      </w:tblGrid>
      <w:tr>
        <w:trPr>
          <w:trHeight w:val="281"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4,418,800.18</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2,060,000.00</w:t>
            </w:r>
          </w:p>
        </w:tc>
      </w:tr>
      <w:tr>
        <w:trPr>
          <w:trHeight w:val="281"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1,612,611,248.17</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1,278,160,854.76</w:t>
            </w:r>
          </w:p>
        </w:tc>
      </w:tr>
      <w:tr>
        <w:trPr>
          <w:trHeight w:val="283"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1,617,030,048.35</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1,280,220,854.76</w:t>
            </w:r>
          </w:p>
        </w:tc>
      </w:tr>
    </w:tbl>
    <w:p>
      <w:pPr>
        <w:spacing w:line="240" w:lineRule="auto" w:before="8"/>
        <w:rPr>
          <w:rFonts w:ascii="宋体" w:hAnsi="宋体" w:cs="宋体" w:eastAsia="宋体" w:hint="default"/>
          <w:sz w:val="15"/>
          <w:szCs w:val="15"/>
        </w:rPr>
      </w:pPr>
    </w:p>
    <w:p>
      <w:pPr>
        <w:pStyle w:val="BodyText"/>
        <w:spacing w:line="273" w:lineRule="exact" w:before="36"/>
        <w:ind w:right="123"/>
        <w:jc w:val="left"/>
      </w:pPr>
      <w:r>
        <w:rPr/>
        <w:t>其他说明：</w:t>
      </w:r>
    </w:p>
    <w:p>
      <w:pPr>
        <w:pStyle w:val="BodyText"/>
        <w:spacing w:line="273" w:lineRule="exact"/>
        <w:ind w:right="1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220" w:right="1200"/>
        </w:sectPr>
      </w:pPr>
    </w:p>
    <w:p>
      <w:pPr>
        <w:pStyle w:val="Heading2"/>
        <w:spacing w:line="240" w:lineRule="auto" w:before="36"/>
        <w:ind w:right="-19"/>
        <w:jc w:val="left"/>
        <w:rPr>
          <w:b w:val="0"/>
          <w:bCs w:val="0"/>
        </w:rPr>
      </w:pPr>
      <w:r>
        <w:rPr/>
        <w:t>应收票据</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2439" w:space="4278"/>
            <w:col w:w="2773"/>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58"/>
        <w:gridCol w:w="3197"/>
        <w:gridCol w:w="2998"/>
      </w:tblGrid>
      <w:tr>
        <w:trPr>
          <w:trHeight w:val="283"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1"/>
              <w:jc w:val="right"/>
              <w:rPr>
                <w:rFonts w:ascii="宋体" w:hAnsi="宋体" w:cs="宋体" w:eastAsia="宋体" w:hint="default"/>
                <w:sz w:val="21"/>
                <w:szCs w:val="21"/>
              </w:rPr>
            </w:pPr>
            <w:r>
              <w:rPr>
                <w:rFonts w:ascii="宋体" w:hAnsi="宋体" w:cs="宋体" w:eastAsia="宋体" w:hint="default"/>
                <w:sz w:val="21"/>
                <w:szCs w:val="21"/>
              </w:rPr>
              <w:t>项目</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2,578,416.58</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60,000.00</w:t>
            </w:r>
          </w:p>
        </w:tc>
      </w:tr>
      <w:tr>
        <w:trPr>
          <w:trHeight w:val="283"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spacing w:val="-1"/>
                <w:sz w:val="21"/>
              </w:rPr>
              <w:t>1,840,383.60</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spacing w:val="-1"/>
                <w:sz w:val="21"/>
              </w:rPr>
              <w:t>2,000,000.00</w:t>
            </w:r>
          </w:p>
        </w:tc>
      </w:tr>
      <w:tr>
        <w:trPr>
          <w:trHeight w:val="283"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1"/>
              <w:jc w:val="right"/>
              <w:rPr>
                <w:rFonts w:ascii="宋体" w:hAnsi="宋体" w:cs="宋体" w:eastAsia="宋体" w:hint="default"/>
                <w:sz w:val="21"/>
                <w:szCs w:val="21"/>
              </w:rPr>
            </w:pPr>
            <w:r>
              <w:rPr>
                <w:rFonts w:ascii="宋体" w:hAnsi="宋体" w:cs="宋体" w:eastAsia="宋体" w:hint="default"/>
                <w:sz w:val="21"/>
                <w:szCs w:val="21"/>
              </w:rPr>
              <w:t>合计</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4,418,800.18</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2,060,000.00</w:t>
            </w:r>
          </w:p>
        </w:tc>
      </w:tr>
    </w:tbl>
    <w:p>
      <w:pPr>
        <w:spacing w:after="0" w:line="241" w:lineRule="exact"/>
        <w:jc w:val="right"/>
        <w:rPr>
          <w:rFonts w:ascii="宋体" w:hAnsi="宋体" w:cs="宋体" w:eastAsia="宋体" w:hint="default"/>
          <w:sz w:val="21"/>
          <w:szCs w:val="21"/>
        </w:rPr>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220" w:right="1220"/>
        </w:sectPr>
      </w:pPr>
    </w:p>
    <w:p>
      <w:pPr>
        <w:pStyle w:val="Heading2"/>
        <w:spacing w:line="240" w:lineRule="auto" w:before="36"/>
        <w:ind w:right="-16"/>
        <w:jc w:val="left"/>
        <w:rPr>
          <w:b w:val="0"/>
          <w:bCs w:val="0"/>
        </w:rPr>
      </w:pPr>
      <w:r>
        <w:rPr>
          <w:rFonts w:ascii="宋体" w:hAnsi="宋体" w:cs="宋体" w:eastAsia="宋体" w:hint="default"/>
        </w:rPr>
        <w:t>(2).</w:t>
      </w:r>
      <w:r>
        <w:rPr>
          <w:rFonts w:ascii="宋体" w:hAnsi="宋体" w:cs="宋体" w:eastAsia="宋体" w:hint="default"/>
          <w:spacing w:val="-5"/>
        </w:rPr>
        <w:t> </w:t>
      </w:r>
      <w:r>
        <w:rPr/>
        <w:t>期末公司已质押的应收票据</w:t>
      </w:r>
      <w:r>
        <w:rPr>
          <w:b w:val="0"/>
          <w:bCs w:val="0"/>
        </w:rPr>
      </w:r>
    </w:p>
    <w:p>
      <w:pPr>
        <w:pStyle w:val="BodyText"/>
        <w:spacing w:line="240" w:lineRule="auto" w:before="56"/>
        <w:ind w:right="-16"/>
        <w:jc w:val="left"/>
      </w:pPr>
      <w:r>
        <w:rPr/>
        <w:t>□适用 √不适用</w:t>
      </w:r>
    </w:p>
    <w:p>
      <w:pPr>
        <w:pStyle w:val="Heading2"/>
        <w:spacing w:line="240" w:lineRule="auto" w:before="58"/>
        <w:ind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6442" w:space="274"/>
            <w:col w:w="275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41"/>
        <w:gridCol w:w="3116"/>
        <w:gridCol w:w="3188"/>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1"/>
              <w:jc w:val="right"/>
              <w:rPr>
                <w:rFonts w:ascii="宋体" w:hAnsi="宋体" w:cs="宋体" w:eastAsia="宋体" w:hint="default"/>
                <w:sz w:val="21"/>
                <w:szCs w:val="21"/>
              </w:rPr>
            </w:pPr>
            <w:r>
              <w:rPr>
                <w:rFonts w:ascii="宋体" w:hAnsi="宋体" w:cs="宋体" w:eastAsia="宋体" w:hint="default"/>
                <w:sz w:val="21"/>
                <w:szCs w:val="21"/>
              </w:rPr>
              <w:t>项目</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17,646,200.91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1"/>
              <w:jc w:val="right"/>
              <w:rPr>
                <w:rFonts w:ascii="宋体" w:hAnsi="宋体" w:cs="宋体" w:eastAsia="宋体" w:hint="default"/>
                <w:sz w:val="21"/>
                <w:szCs w:val="21"/>
              </w:rPr>
            </w:pPr>
            <w:r>
              <w:rPr>
                <w:rFonts w:ascii="宋体" w:hAnsi="宋体" w:cs="宋体" w:eastAsia="宋体" w:hint="default"/>
                <w:sz w:val="21"/>
                <w:szCs w:val="21"/>
              </w:rPr>
              <w:t>合计</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17,646,200.91</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2"/>
        <w:spacing w:line="240" w:lineRule="auto" w:before="36"/>
        <w:ind w:right="205"/>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7"/>
        <w:ind w:right="205"/>
        <w:jc w:val="left"/>
      </w:pPr>
      <w:r>
        <w:rPr/>
        <w:t>□适用 √不适用</w:t>
      </w:r>
    </w:p>
    <w:p>
      <w:pPr>
        <w:pStyle w:val="Heading2"/>
        <w:spacing w:line="240" w:lineRule="auto" w:before="58"/>
        <w:ind w:right="205"/>
        <w:jc w:val="left"/>
        <w:rPr>
          <w:b w:val="0"/>
          <w:bCs w:val="0"/>
        </w:rPr>
      </w:pPr>
      <w:r>
        <w:rPr>
          <w:rFonts w:ascii="宋体" w:hAnsi="宋体" w:cs="宋体" w:eastAsia="宋体" w:hint="default"/>
        </w:rPr>
        <w:t>(5).</w:t>
      </w:r>
      <w:r>
        <w:rPr>
          <w:rFonts w:ascii="宋体" w:hAnsi="宋体" w:cs="宋体" w:eastAsia="宋体" w:hint="default"/>
          <w:spacing w:val="-1"/>
        </w:rPr>
        <w:t> </w:t>
      </w:r>
      <w:r>
        <w:rPr/>
        <w:t>按坏账计提方法分类披露</w:t>
      </w:r>
      <w:r>
        <w:rPr>
          <w:b w:val="0"/>
          <w:bCs w:val="0"/>
        </w:rPr>
      </w:r>
    </w:p>
    <w:p>
      <w:pPr>
        <w:pStyle w:val="BodyText"/>
        <w:spacing w:line="240" w:lineRule="auto" w:before="56"/>
        <w:ind w:right="7118"/>
        <w:jc w:val="left"/>
      </w:pPr>
      <w:r>
        <w:rPr/>
        <w:t>□适用</w:t>
      </w:r>
      <w:r>
        <w:rPr>
          <w:spacing w:val="-2"/>
        </w:rPr>
        <w:t> </w:t>
      </w:r>
      <w:r>
        <w:rPr/>
        <w:t>√不适用</w:t>
      </w:r>
      <w:r>
        <w:rPr>
          <w:spacing w:val="-103"/>
        </w:rPr>
        <w:t> </w:t>
      </w:r>
      <w:r>
        <w:rPr>
          <w:spacing w:val="-103"/>
        </w:rPr>
      </w:r>
      <w:r>
        <w:rPr>
          <w:spacing w:val="-2"/>
        </w:rPr>
        <w:t>按单项计提坏账准备：</w:t>
      </w:r>
    </w:p>
    <w:p>
      <w:pPr>
        <w:pStyle w:val="BodyText"/>
        <w:spacing w:line="271" w:lineRule="exact"/>
        <w:ind w:right="205"/>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73" w:lineRule="exact"/>
        <w:ind w:right="205"/>
        <w:jc w:val="left"/>
      </w:pPr>
      <w:r>
        <w:rPr/>
        <w:t>按组合计提坏账准备：</w:t>
      </w:r>
    </w:p>
    <w:p>
      <w:pPr>
        <w:pStyle w:val="BodyText"/>
        <w:spacing w:line="240" w:lineRule="auto"/>
        <w:ind w:right="1453"/>
        <w:jc w:val="left"/>
      </w:pPr>
      <w:r>
        <w:rPr/>
        <w:t>□适用</w:t>
      </w:r>
      <w:r>
        <w:rPr>
          <w:spacing w:val="-2"/>
        </w:rPr>
        <w:t> </w:t>
      </w:r>
      <w:r>
        <w:rPr/>
        <w:t>√不适用</w:t>
      </w:r>
      <w:r>
        <w:rPr>
          <w:spacing w:val="-103"/>
        </w:rPr>
        <w:t> </w:t>
      </w:r>
      <w:r>
        <w:rPr>
          <w:spacing w:val="-103"/>
        </w:rPr>
      </w:r>
      <w:r>
        <w:rPr>
          <w:spacing w:val="-2"/>
        </w:rPr>
        <w:t>如按预期信用损失一般模型计提坏账准备，请参照其他应收款披露：</w:t>
      </w:r>
    </w:p>
    <w:p>
      <w:pPr>
        <w:pStyle w:val="BodyText"/>
        <w:spacing w:line="271" w:lineRule="exact"/>
        <w:ind w:right="205"/>
        <w:jc w:val="left"/>
      </w:pPr>
      <w:r>
        <w:rPr/>
        <w:t>□适用 √不适用</w:t>
      </w:r>
    </w:p>
    <w:p>
      <w:pPr>
        <w:spacing w:line="240" w:lineRule="auto" w:before="13"/>
        <w:rPr>
          <w:rFonts w:ascii="宋体" w:hAnsi="宋体" w:cs="宋体" w:eastAsia="宋体" w:hint="default"/>
          <w:sz w:val="23"/>
          <w:szCs w:val="23"/>
        </w:rPr>
      </w:pPr>
    </w:p>
    <w:p>
      <w:pPr>
        <w:pStyle w:val="Heading2"/>
        <w:spacing w:line="240" w:lineRule="auto"/>
        <w:ind w:right="205"/>
        <w:jc w:val="left"/>
        <w:rPr>
          <w:b w:val="0"/>
          <w:bCs w:val="0"/>
        </w:rPr>
      </w:pPr>
      <w:r>
        <w:rPr>
          <w:rFonts w:ascii="宋体" w:hAnsi="宋体" w:cs="宋体" w:eastAsia="宋体" w:hint="default"/>
        </w:rPr>
        <w:t>(6). </w:t>
      </w:r>
      <w:r>
        <w:rPr/>
        <w:t>坏账准备的情况</w:t>
      </w:r>
      <w:r>
        <w:rPr>
          <w:b w:val="0"/>
          <w:bCs w:val="0"/>
        </w:rPr>
      </w:r>
    </w:p>
    <w:p>
      <w:pPr>
        <w:pStyle w:val="BodyText"/>
        <w:spacing w:line="240" w:lineRule="auto" w:before="58"/>
        <w:ind w:right="205"/>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2"/>
        <w:spacing w:line="240" w:lineRule="auto"/>
        <w:ind w:right="205"/>
        <w:jc w:val="left"/>
        <w:rPr>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b w:val="0"/>
          <w:bCs w:val="0"/>
        </w:rPr>
      </w:r>
    </w:p>
    <w:p>
      <w:pPr>
        <w:pStyle w:val="BodyText"/>
        <w:spacing w:line="240" w:lineRule="auto" w:before="56"/>
        <w:ind w:right="205"/>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73" w:lineRule="exact"/>
        <w:ind w:right="205"/>
        <w:jc w:val="left"/>
      </w:pPr>
      <w:r>
        <w:rPr/>
        <w:t>其他说明</w:t>
      </w:r>
    </w:p>
    <w:p>
      <w:pPr>
        <w:pStyle w:val="BodyText"/>
        <w:spacing w:line="273" w:lineRule="exact"/>
        <w:ind w:right="20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220" w:right="1220"/>
        </w:sectPr>
      </w:pPr>
    </w:p>
    <w:p>
      <w:pPr>
        <w:pStyle w:val="Heading2"/>
        <w:spacing w:line="290" w:lineRule="auto" w:before="36"/>
        <w:ind w:right="185"/>
        <w:jc w:val="left"/>
        <w:rPr>
          <w:b w:val="0"/>
          <w:bCs w:val="0"/>
        </w:rPr>
      </w:pPr>
      <w:r>
        <w:rPr/>
        <w:t>应收账款</w:t>
      </w:r>
      <w:r>
        <w:rPr>
          <w:w w:val="100"/>
        </w:rPr>
        <w:t> </w:t>
      </w:r>
      <w:r>
        <w:rPr>
          <w:rFonts w:ascii="宋体" w:hAnsi="宋体" w:cs="宋体" w:eastAsia="宋体" w:hint="default"/>
        </w:rPr>
        <w:t>(1).</w:t>
      </w:r>
      <w:r>
        <w:rPr/>
        <w:t>按账龄披露</w:t>
      </w:r>
      <w:r>
        <w:rPr>
          <w:b w:val="0"/>
          <w:bCs w:val="0"/>
        </w:rPr>
      </w:r>
    </w:p>
    <w:p>
      <w:pPr>
        <w:pStyle w:val="BodyText"/>
        <w:tabs>
          <w:tab w:pos="1062" w:val="left" w:leader="none"/>
        </w:tabs>
        <w:spacing w:line="240" w:lineRule="auto" w:before="14"/>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903" w:space="4813"/>
            <w:col w:w="2754"/>
          </w:cols>
        </w:sectPr>
      </w:pP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4424"/>
        <w:gridCol w:w="4667"/>
      </w:tblGrid>
      <w:tr>
        <w:trPr>
          <w:trHeight w:val="283"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46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46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24" w:type="dxa"/>
            <w:tcBorders>
              <w:top w:val="single" w:sz="4" w:space="0" w:color="000000"/>
              <w:left w:val="single" w:sz="4" w:space="0" w:color="000000"/>
              <w:bottom w:val="single" w:sz="4" w:space="0" w:color="000000"/>
              <w:right w:val="single" w:sz="4" w:space="0" w:color="000000"/>
            </w:tcBorders>
          </w:tcPr>
          <w:p>
            <w:pP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1,562,756,687.53</w:t>
            </w:r>
          </w:p>
        </w:tc>
      </w:tr>
      <w:tr>
        <w:trPr>
          <w:trHeight w:val="283"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1,562,756,687.53</w:t>
            </w:r>
          </w:p>
        </w:tc>
      </w:tr>
      <w:tr>
        <w:trPr>
          <w:trHeight w:val="283"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49,854,560.64</w:t>
            </w:r>
          </w:p>
        </w:tc>
      </w:tr>
      <w:tr>
        <w:trPr>
          <w:trHeight w:val="281"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66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6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544" w:type="dxa"/>
        <w:tblLayout w:type="fixed"/>
        <w:tblCellMar>
          <w:top w:w="0" w:type="dxa"/>
          <w:left w:w="0" w:type="dxa"/>
          <w:bottom w:w="0" w:type="dxa"/>
          <w:right w:w="0" w:type="dxa"/>
        </w:tblCellMar>
        <w:tblLook w:val="01E0"/>
      </w:tblPr>
      <w:tblGrid>
        <w:gridCol w:w="4424"/>
        <w:gridCol w:w="4667"/>
      </w:tblGrid>
      <w:tr>
        <w:trPr>
          <w:trHeight w:val="283"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49" w:right="0"/>
              <w:jc w:val="left"/>
              <w:rPr>
                <w:rFonts w:ascii="宋体" w:hAnsi="宋体" w:cs="宋体" w:eastAsia="宋体" w:hint="default"/>
                <w:sz w:val="21"/>
                <w:szCs w:val="21"/>
              </w:rPr>
            </w:pPr>
            <w:r>
              <w:rPr>
                <w:rFonts w:ascii="宋体"/>
                <w:sz w:val="21"/>
              </w:rPr>
              <w:t>1,612,611,248.17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860" w:right="840"/>
        </w:sectPr>
      </w:pPr>
    </w:p>
    <w:p>
      <w:pPr>
        <w:pStyle w:val="Heading2"/>
        <w:spacing w:line="240" w:lineRule="auto" w:before="36"/>
        <w:ind w:left="580" w:right="-14"/>
        <w:jc w:val="left"/>
        <w:rPr>
          <w:b w:val="0"/>
          <w:bCs w:val="0"/>
        </w:rPr>
      </w:pPr>
      <w:r>
        <w:rPr>
          <w:rFonts w:ascii="宋体" w:hAnsi="宋体" w:cs="宋体" w:eastAsia="宋体" w:hint="default"/>
        </w:rPr>
        <w:t>(2).</w:t>
      </w:r>
      <w:r>
        <w:rPr/>
        <w:t>按坏账计提方法分类披露</w:t>
      </w:r>
      <w:r>
        <w:rPr>
          <w:b w:val="0"/>
          <w:bCs w:val="0"/>
        </w:rPr>
      </w:r>
    </w:p>
    <w:p>
      <w:pPr>
        <w:pStyle w:val="BodyText"/>
        <w:spacing w:line="240" w:lineRule="auto" w:before="56"/>
        <w:ind w:left="580"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632" w:val="left" w:leader="none"/>
        </w:tabs>
        <w:spacing w:line="240" w:lineRule="auto"/>
        <w:ind w:left="580" w:right="0"/>
        <w:jc w:val="left"/>
      </w:pPr>
      <w:r>
        <w:rPr>
          <w:spacing w:val="-1"/>
        </w:rPr>
        <w:t>单位：元</w:t>
        <w:tab/>
      </w:r>
      <w:r>
        <w:rPr>
          <w:spacing w:val="-2"/>
        </w:rPr>
        <w:t>币种：人民币</w:t>
      </w:r>
    </w:p>
    <w:p>
      <w:pPr>
        <w:spacing w:after="0" w:line="240" w:lineRule="auto"/>
        <w:jc w:val="left"/>
        <w:sectPr>
          <w:type w:val="continuous"/>
          <w:pgSz w:w="11910" w:h="16840"/>
          <w:pgMar w:top="1060" w:bottom="1380" w:left="860" w:right="840"/>
          <w:cols w:num="2" w:equalWidth="0">
            <w:col w:w="3329" w:space="3281"/>
            <w:col w:w="3600"/>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052"/>
        <w:gridCol w:w="1102"/>
        <w:gridCol w:w="617"/>
        <w:gridCol w:w="1021"/>
        <w:gridCol w:w="564"/>
        <w:gridCol w:w="1136"/>
        <w:gridCol w:w="1138"/>
        <w:gridCol w:w="564"/>
        <w:gridCol w:w="992"/>
        <w:gridCol w:w="569"/>
        <w:gridCol w:w="1217"/>
      </w:tblGrid>
      <w:tr>
        <w:trPr>
          <w:trHeight w:val="269" w:hRule="exact"/>
        </w:trPr>
        <w:tc>
          <w:tcPr>
            <w:tcW w:w="10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类别</w:t>
            </w:r>
          </w:p>
        </w:tc>
        <w:tc>
          <w:tcPr>
            <w:tcW w:w="44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44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13"/>
                <w:szCs w:val="13"/>
              </w:rPr>
            </w:pPr>
            <w:r>
              <w:rPr>
                <w:rFonts w:ascii="宋体" w:hAnsi="宋体" w:cs="宋体" w:eastAsia="宋体" w:hint="default"/>
                <w:sz w:val="13"/>
                <w:szCs w:val="13"/>
              </w:rPr>
              <w:t>期初余额</w:t>
            </w:r>
          </w:p>
        </w:tc>
      </w:tr>
      <w:tr>
        <w:trPr>
          <w:trHeight w:val="238" w:hRule="exact"/>
        </w:trPr>
        <w:tc>
          <w:tcPr>
            <w:tcW w:w="1052" w:type="dxa"/>
            <w:vMerge/>
            <w:tcBorders>
              <w:left w:val="single" w:sz="4" w:space="0" w:color="000000"/>
              <w:right w:val="single" w:sz="4" w:space="0" w:color="000000"/>
            </w:tcBorders>
          </w:tcPr>
          <w:p>
            <w:pPr/>
          </w:p>
        </w:tc>
        <w:tc>
          <w:tcPr>
            <w:tcW w:w="1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13"/>
                <w:szCs w:val="13"/>
              </w:rPr>
            </w:pPr>
            <w:r>
              <w:rPr>
                <w:rFonts w:ascii="宋体" w:hAnsi="宋体" w:cs="宋体" w:eastAsia="宋体" w:hint="default"/>
                <w:sz w:val="13"/>
                <w:szCs w:val="13"/>
              </w:rPr>
              <w:t>账面余额</w:t>
            </w:r>
          </w:p>
        </w:tc>
        <w:tc>
          <w:tcPr>
            <w:tcW w:w="1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13"/>
                <w:szCs w:val="13"/>
              </w:rPr>
            </w:pPr>
            <w:r>
              <w:rPr>
                <w:rFonts w:ascii="宋体" w:hAnsi="宋体" w:cs="宋体" w:eastAsia="宋体" w:hint="default"/>
                <w:sz w:val="13"/>
                <w:szCs w:val="13"/>
              </w:rPr>
              <w:t>坏账准备</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431" w:right="432"/>
              <w:jc w:val="center"/>
              <w:rPr>
                <w:rFonts w:ascii="宋体" w:hAnsi="宋体" w:cs="宋体" w:eastAsia="宋体" w:hint="default"/>
                <w:sz w:val="13"/>
                <w:szCs w:val="13"/>
              </w:rPr>
            </w:pPr>
            <w:r>
              <w:rPr>
                <w:rFonts w:ascii="宋体" w:hAnsi="宋体" w:cs="宋体" w:eastAsia="宋体" w:hint="default"/>
                <w:sz w:val="13"/>
                <w:szCs w:val="13"/>
              </w:rPr>
              <w:t>账面</w:t>
            </w:r>
            <w:r>
              <w:rPr>
                <w:rFonts w:ascii="宋体" w:hAnsi="宋体" w:cs="宋体" w:eastAsia="宋体" w:hint="default"/>
                <w:w w:val="99"/>
                <w:sz w:val="13"/>
                <w:szCs w:val="13"/>
              </w:rPr>
              <w:t> </w:t>
            </w:r>
            <w:r>
              <w:rPr>
                <w:rFonts w:ascii="宋体" w:hAnsi="宋体" w:cs="宋体" w:eastAsia="宋体" w:hint="default"/>
                <w:sz w:val="13"/>
                <w:szCs w:val="13"/>
              </w:rPr>
              <w:t>价值</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3"/>
                <w:szCs w:val="13"/>
              </w:rPr>
            </w:pPr>
            <w:r>
              <w:rPr>
                <w:rFonts w:ascii="宋体" w:hAnsi="宋体" w:cs="宋体" w:eastAsia="宋体" w:hint="default"/>
                <w:sz w:val="13"/>
                <w:szCs w:val="13"/>
              </w:rPr>
              <w:t>账面余额</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13"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472" w:right="473"/>
              <w:jc w:val="center"/>
              <w:rPr>
                <w:rFonts w:ascii="宋体" w:hAnsi="宋体" w:cs="宋体" w:eastAsia="宋体" w:hint="default"/>
                <w:sz w:val="13"/>
                <w:szCs w:val="13"/>
              </w:rPr>
            </w:pPr>
            <w:r>
              <w:rPr>
                <w:rFonts w:ascii="宋体" w:hAnsi="宋体" w:cs="宋体" w:eastAsia="宋体" w:hint="default"/>
                <w:sz w:val="13"/>
                <w:szCs w:val="13"/>
              </w:rPr>
              <w:t>账面</w:t>
            </w:r>
            <w:r>
              <w:rPr>
                <w:rFonts w:ascii="宋体" w:hAnsi="宋体" w:cs="宋体" w:eastAsia="宋体" w:hint="default"/>
                <w:w w:val="99"/>
                <w:sz w:val="13"/>
                <w:szCs w:val="13"/>
              </w:rPr>
              <w:t> </w:t>
            </w:r>
            <w:r>
              <w:rPr>
                <w:rFonts w:ascii="宋体" w:hAnsi="宋体" w:cs="宋体" w:eastAsia="宋体" w:hint="default"/>
                <w:sz w:val="13"/>
                <w:szCs w:val="13"/>
              </w:rPr>
              <w:t>价值</w:t>
            </w:r>
          </w:p>
        </w:tc>
      </w:tr>
      <w:tr>
        <w:trPr>
          <w:trHeight w:val="384" w:hRule="exact"/>
        </w:trPr>
        <w:tc>
          <w:tcPr>
            <w:tcW w:w="1052" w:type="dxa"/>
            <w:vMerge/>
            <w:tcBorders>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3"/>
                <w:szCs w:val="13"/>
              </w:rPr>
            </w:pPr>
            <w:r>
              <w:rPr>
                <w:rFonts w:ascii="宋体" w:hAnsi="宋体" w:cs="宋体" w:eastAsia="宋体" w:hint="default"/>
                <w:sz w:val="13"/>
                <w:szCs w:val="13"/>
              </w:rPr>
              <w:t>金额</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7"/>
              <w:jc w:val="right"/>
              <w:rPr>
                <w:rFonts w:ascii="宋体" w:hAnsi="宋体" w:cs="宋体" w:eastAsia="宋体" w:hint="default"/>
                <w:sz w:val="13"/>
                <w:szCs w:val="13"/>
              </w:rPr>
            </w:pPr>
            <w:r>
              <w:rPr>
                <w:rFonts w:ascii="宋体" w:hAnsi="宋体" w:cs="宋体" w:eastAsia="宋体" w:hint="default"/>
                <w:w w:val="95"/>
                <w:sz w:val="13"/>
                <w:szCs w:val="13"/>
              </w:rPr>
              <w:t>比例</w:t>
            </w:r>
            <w:r>
              <w:rPr>
                <w:rFonts w:ascii="宋体" w:hAnsi="宋体" w:cs="宋体" w:eastAsia="宋体" w:hint="default"/>
                <w:w w:val="95"/>
                <w:sz w:val="13"/>
                <w:szCs w:val="13"/>
              </w:rPr>
              <w:t>(%)</w:t>
            </w:r>
            <w:r>
              <w:rPr>
                <w:rFonts w:ascii="宋体" w:hAnsi="宋体" w:cs="宋体" w:eastAsia="宋体" w:hint="default"/>
                <w:sz w:val="13"/>
                <w:szCs w:val="13"/>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13"/>
                <w:szCs w:val="13"/>
              </w:rPr>
            </w:pPr>
            <w:r>
              <w:rPr>
                <w:rFonts w:ascii="宋体" w:hAnsi="宋体" w:cs="宋体" w:eastAsia="宋体" w:hint="default"/>
                <w:sz w:val="13"/>
                <w:szCs w:val="13"/>
              </w:rPr>
              <w:t>金额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12"/>
              <w:ind w:left="115" w:right="83" w:hanging="34"/>
              <w:jc w:val="left"/>
              <w:rPr>
                <w:rFonts w:ascii="宋体" w:hAnsi="宋体" w:cs="宋体" w:eastAsia="宋体" w:hint="default"/>
                <w:sz w:val="13"/>
                <w:szCs w:val="13"/>
              </w:rPr>
            </w:pPr>
            <w:r>
              <w:rPr>
                <w:rFonts w:ascii="宋体" w:hAnsi="宋体" w:cs="宋体" w:eastAsia="宋体" w:hint="default"/>
                <w:sz w:val="13"/>
                <w:szCs w:val="13"/>
              </w:rPr>
              <w:t>计提比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宋体" w:hAnsi="宋体" w:cs="宋体" w:eastAsia="宋体" w:hint="default"/>
                <w:sz w:val="13"/>
                <w:szCs w:val="13"/>
              </w:rPr>
              <w:t>(%)</w:t>
            </w:r>
          </w:p>
        </w:tc>
        <w:tc>
          <w:tcPr>
            <w:tcW w:w="1136"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center"/>
              <w:rPr>
                <w:rFonts w:ascii="宋体" w:hAnsi="宋体" w:cs="宋体" w:eastAsia="宋体" w:hint="default"/>
                <w:sz w:val="13"/>
                <w:szCs w:val="13"/>
              </w:rPr>
            </w:pPr>
            <w:r>
              <w:rPr>
                <w:rFonts w:ascii="宋体" w:hAnsi="宋体" w:cs="宋体" w:eastAsia="宋体" w:hint="default"/>
                <w:sz w:val="13"/>
                <w:szCs w:val="13"/>
              </w:rPr>
              <w:t>金额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8"/>
              <w:jc w:val="right"/>
              <w:rPr>
                <w:rFonts w:ascii="宋体" w:hAnsi="宋体" w:cs="宋体" w:eastAsia="宋体" w:hint="default"/>
                <w:sz w:val="13"/>
                <w:szCs w:val="13"/>
              </w:rPr>
            </w:pPr>
            <w:r>
              <w:rPr>
                <w:rFonts w:ascii="宋体" w:hAnsi="宋体" w:cs="宋体" w:eastAsia="宋体" w:hint="default"/>
                <w:w w:val="95"/>
                <w:sz w:val="13"/>
                <w:szCs w:val="13"/>
              </w:rPr>
              <w:t>比例</w:t>
            </w:r>
            <w:r>
              <w:rPr>
                <w:rFonts w:ascii="宋体" w:hAnsi="宋体" w:cs="宋体" w:eastAsia="宋体" w:hint="default"/>
                <w:w w:val="95"/>
                <w:sz w:val="13"/>
                <w:szCs w:val="13"/>
              </w:rPr>
              <w:t>(%)</w:t>
            </w:r>
            <w:r>
              <w:rPr>
                <w:rFonts w:ascii="宋体" w:hAnsi="宋体" w:cs="宋体" w:eastAsia="宋体" w:hint="default"/>
                <w:sz w:val="13"/>
                <w:szCs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13"/>
                <w:szCs w:val="13"/>
              </w:rPr>
            </w:pPr>
            <w:r>
              <w:rPr>
                <w:rFonts w:ascii="宋体" w:hAnsi="宋体" w:cs="宋体" w:eastAsia="宋体" w:hint="default"/>
                <w:sz w:val="13"/>
                <w:szCs w:val="13"/>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12"/>
              <w:ind w:left="117" w:right="84" w:hanging="34"/>
              <w:jc w:val="left"/>
              <w:rPr>
                <w:rFonts w:ascii="宋体" w:hAnsi="宋体" w:cs="宋体" w:eastAsia="宋体" w:hint="default"/>
                <w:sz w:val="13"/>
                <w:szCs w:val="13"/>
              </w:rPr>
            </w:pPr>
            <w:r>
              <w:rPr>
                <w:rFonts w:ascii="宋体" w:hAnsi="宋体" w:cs="宋体" w:eastAsia="宋体" w:hint="default"/>
                <w:sz w:val="13"/>
                <w:szCs w:val="13"/>
              </w:rPr>
              <w:t>计提比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宋体" w:hAnsi="宋体" w:cs="宋体" w:eastAsia="宋体" w:hint="default"/>
                <w:sz w:val="13"/>
                <w:szCs w:val="13"/>
              </w:rPr>
              <w:t>(%)</w:t>
            </w:r>
          </w:p>
        </w:tc>
        <w:tc>
          <w:tcPr>
            <w:tcW w:w="1217" w:type="dxa"/>
            <w:vMerge/>
            <w:tcBorders>
              <w:left w:val="single" w:sz="4" w:space="0" w:color="000000"/>
              <w:bottom w:val="single" w:sz="4" w:space="0" w:color="000000"/>
              <w:right w:val="single" w:sz="4" w:space="0" w:color="000000"/>
            </w:tcBorders>
          </w:tcPr>
          <w:p>
            <w:pPr/>
          </w:p>
        </w:tc>
      </w:tr>
      <w:tr>
        <w:trPr>
          <w:trHeight w:val="34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6" w:right="0"/>
              <w:jc w:val="left"/>
              <w:rPr>
                <w:rFonts w:ascii="宋体" w:hAnsi="宋体" w:cs="宋体" w:eastAsia="宋体" w:hint="default"/>
                <w:sz w:val="13"/>
                <w:szCs w:val="13"/>
              </w:rPr>
            </w:pPr>
            <w:r>
              <w:rPr>
                <w:rFonts w:ascii="宋体" w:hAnsi="宋体" w:cs="宋体" w:eastAsia="宋体" w:hint="default"/>
                <w:sz w:val="13"/>
                <w:szCs w:val="13"/>
              </w:rPr>
              <w:t>按组合计提坏账</w:t>
            </w:r>
          </w:p>
          <w:p>
            <w:pPr>
              <w:pStyle w:val="TableParagraph"/>
              <w:spacing w:line="240" w:lineRule="auto"/>
              <w:ind w:left="26" w:right="0"/>
              <w:jc w:val="left"/>
              <w:rPr>
                <w:rFonts w:ascii="宋体" w:hAnsi="宋体" w:cs="宋体" w:eastAsia="宋体" w:hint="default"/>
                <w:sz w:val="13"/>
                <w:szCs w:val="13"/>
              </w:rPr>
            </w:pPr>
            <w:r>
              <w:rPr>
                <w:rFonts w:ascii="宋体" w:hAnsi="宋体" w:cs="宋体" w:eastAsia="宋体" w:hint="default"/>
                <w:sz w:val="13"/>
                <w:szCs w:val="13"/>
              </w:rPr>
              <w:t>准备</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1,862,970,482.02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100.00</w:t>
            </w:r>
            <w:r>
              <w:rPr>
                <w:rFonts w:ascii="宋体"/>
                <w:sz w:val="13"/>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6" w:right="0"/>
              <w:jc w:val="center"/>
              <w:rPr>
                <w:rFonts w:ascii="宋体" w:hAnsi="宋体" w:cs="宋体" w:eastAsia="宋体" w:hint="default"/>
                <w:sz w:val="13"/>
                <w:szCs w:val="13"/>
              </w:rPr>
            </w:pPr>
            <w:r>
              <w:rPr>
                <w:rFonts w:ascii="宋体"/>
                <w:sz w:val="13"/>
              </w:rPr>
              <w:t>250,359,233.85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8" w:right="0"/>
              <w:jc w:val="center"/>
              <w:rPr>
                <w:rFonts w:ascii="宋体" w:hAnsi="宋体" w:cs="宋体" w:eastAsia="宋体" w:hint="default"/>
                <w:sz w:val="13"/>
                <w:szCs w:val="13"/>
              </w:rPr>
            </w:pPr>
            <w:r>
              <w:rPr>
                <w:rFonts w:ascii="宋体"/>
                <w:sz w:val="13"/>
              </w:rPr>
              <w:t>13.44%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59" w:right="0"/>
              <w:jc w:val="left"/>
              <w:rPr>
                <w:rFonts w:ascii="宋体" w:hAnsi="宋体" w:cs="宋体" w:eastAsia="宋体" w:hint="default"/>
                <w:sz w:val="13"/>
                <w:szCs w:val="13"/>
              </w:rPr>
            </w:pPr>
            <w:r>
              <w:rPr>
                <w:rFonts w:ascii="宋体"/>
                <w:sz w:val="13"/>
              </w:rPr>
              <w:t>1,612,611,248.17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8" w:right="0"/>
              <w:jc w:val="center"/>
              <w:rPr>
                <w:rFonts w:ascii="宋体" w:hAnsi="宋体" w:cs="宋体" w:eastAsia="宋体" w:hint="default"/>
                <w:sz w:val="13"/>
                <w:szCs w:val="13"/>
              </w:rPr>
            </w:pPr>
            <w:r>
              <w:rPr>
                <w:rFonts w:ascii="宋体"/>
                <w:sz w:val="13"/>
              </w:rPr>
              <w:t>1,447,250,802.92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100.00</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6" w:right="0"/>
              <w:jc w:val="center"/>
              <w:rPr>
                <w:rFonts w:ascii="宋体" w:hAnsi="宋体" w:cs="宋体" w:eastAsia="宋体" w:hint="default"/>
                <w:sz w:val="13"/>
                <w:szCs w:val="13"/>
              </w:rPr>
            </w:pPr>
            <w:r>
              <w:rPr>
                <w:rFonts w:ascii="宋体"/>
                <w:sz w:val="13"/>
              </w:rPr>
              <w:t>169,089,948.16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41" w:right="0"/>
              <w:jc w:val="left"/>
              <w:rPr>
                <w:rFonts w:ascii="宋体" w:hAnsi="宋体" w:cs="宋体" w:eastAsia="宋体" w:hint="default"/>
                <w:sz w:val="13"/>
                <w:szCs w:val="13"/>
              </w:rPr>
            </w:pPr>
            <w:r>
              <w:rPr>
                <w:rFonts w:ascii="宋体"/>
                <w:sz w:val="13"/>
              </w:rPr>
              <w:t>11.68%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2" w:right="0"/>
              <w:jc w:val="center"/>
              <w:rPr>
                <w:rFonts w:ascii="宋体" w:hAnsi="宋体" w:cs="宋体" w:eastAsia="宋体" w:hint="default"/>
                <w:sz w:val="13"/>
                <w:szCs w:val="13"/>
              </w:rPr>
            </w:pPr>
            <w:r>
              <w:rPr>
                <w:rFonts w:ascii="宋体"/>
                <w:sz w:val="13"/>
              </w:rPr>
              <w:t>1,278,160,854.76</w:t>
            </w:r>
          </w:p>
        </w:tc>
      </w:tr>
      <w:tr>
        <w:trPr>
          <w:trHeight w:val="17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sz w:val="13"/>
              </w:rPr>
              <w:t>1,862,970,482.02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46" w:right="0"/>
              <w:jc w:val="center"/>
              <w:rPr>
                <w:rFonts w:ascii="宋体" w:hAnsi="宋体" w:cs="宋体" w:eastAsia="宋体" w:hint="default"/>
                <w:sz w:val="13"/>
                <w:szCs w:val="13"/>
              </w:rPr>
            </w:pPr>
            <w:r>
              <w:rPr>
                <w:rFonts w:ascii="宋体"/>
                <w:sz w:val="13"/>
              </w:rPr>
              <w:t>250,359,233.85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59" w:right="0"/>
              <w:jc w:val="left"/>
              <w:rPr>
                <w:rFonts w:ascii="宋体" w:hAnsi="宋体" w:cs="宋体" w:eastAsia="宋体" w:hint="default"/>
                <w:sz w:val="13"/>
                <w:szCs w:val="13"/>
              </w:rPr>
            </w:pPr>
            <w:r>
              <w:rPr>
                <w:rFonts w:ascii="宋体"/>
                <w:sz w:val="13"/>
              </w:rPr>
              <w:t>1,612,611,248.17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28" w:right="0"/>
              <w:jc w:val="center"/>
              <w:rPr>
                <w:rFonts w:ascii="宋体" w:hAnsi="宋体" w:cs="宋体" w:eastAsia="宋体" w:hint="default"/>
                <w:sz w:val="13"/>
                <w:szCs w:val="13"/>
              </w:rPr>
            </w:pPr>
            <w:r>
              <w:rPr>
                <w:rFonts w:ascii="宋体"/>
                <w:sz w:val="13"/>
              </w:rPr>
              <w:t>1,447,250,802.92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6" w:right="0"/>
              <w:jc w:val="center"/>
              <w:rPr>
                <w:rFonts w:ascii="宋体" w:hAnsi="宋体" w:cs="宋体" w:eastAsia="宋体" w:hint="default"/>
                <w:sz w:val="13"/>
                <w:szCs w:val="13"/>
              </w:rPr>
            </w:pPr>
            <w:r>
              <w:rPr>
                <w:rFonts w:ascii="宋体"/>
                <w:sz w:val="13"/>
              </w:rPr>
              <w:t>169,089,948.16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12" w:right="0"/>
              <w:jc w:val="center"/>
              <w:rPr>
                <w:rFonts w:ascii="宋体" w:hAnsi="宋体" w:cs="宋体" w:eastAsia="宋体" w:hint="default"/>
                <w:sz w:val="13"/>
                <w:szCs w:val="13"/>
              </w:rPr>
            </w:pPr>
            <w:r>
              <w:rPr>
                <w:rFonts w:ascii="宋体"/>
                <w:sz w:val="13"/>
              </w:rPr>
              <w:t>1,278,160,854.76</w:t>
            </w:r>
          </w:p>
        </w:tc>
      </w:tr>
    </w:tbl>
    <w:p>
      <w:pPr>
        <w:spacing w:line="240" w:lineRule="auto" w:before="7"/>
        <w:rPr>
          <w:rFonts w:ascii="宋体" w:hAnsi="宋体" w:cs="宋体" w:eastAsia="宋体" w:hint="default"/>
          <w:sz w:val="15"/>
          <w:szCs w:val="15"/>
        </w:rPr>
      </w:pPr>
    </w:p>
    <w:p>
      <w:pPr>
        <w:pStyle w:val="BodyText"/>
        <w:spacing w:line="273" w:lineRule="exact" w:before="36"/>
        <w:ind w:left="580" w:right="0"/>
        <w:jc w:val="left"/>
      </w:pPr>
      <w:r>
        <w:rPr/>
        <w:t>按单项计提坏账准备：</w:t>
      </w:r>
    </w:p>
    <w:p>
      <w:pPr>
        <w:pStyle w:val="BodyText"/>
        <w:spacing w:line="273" w:lineRule="exact"/>
        <w:ind w:left="580" w:right="0"/>
        <w:jc w:val="left"/>
      </w:pPr>
      <w:r>
        <w:rPr/>
        <w:t>□适用 √不适用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860" w:right="840"/>
        </w:sectPr>
      </w:pPr>
    </w:p>
    <w:p>
      <w:pPr>
        <w:pStyle w:val="BodyText"/>
        <w:spacing w:line="274" w:lineRule="exact" w:before="36"/>
        <w:ind w:left="580" w:right="0"/>
        <w:jc w:val="left"/>
      </w:pPr>
      <w:r>
        <w:rPr/>
        <w:t>按组合计提坏账准备：</w:t>
      </w:r>
    </w:p>
    <w:p>
      <w:pPr>
        <w:pStyle w:val="BodyText"/>
        <w:spacing w:line="272" w:lineRule="exact" w:before="27"/>
        <w:ind w:left="580" w:right="0"/>
        <w:jc w:val="left"/>
      </w:pPr>
      <w:r>
        <w:rPr/>
        <w:t>√适用</w:t>
      </w:r>
      <w:r>
        <w:rPr>
          <w:spacing w:val="-2"/>
        </w:rPr>
        <w:t> </w:t>
      </w:r>
      <w:r>
        <w:rPr/>
        <w:t>□不适用</w:t>
      </w:r>
      <w:r>
        <w:rPr>
          <w:spacing w:val="-103"/>
        </w:rPr>
        <w:t> </w:t>
      </w:r>
      <w:r>
        <w:rPr>
          <w:spacing w:val="-103"/>
        </w:rPr>
      </w:r>
      <w:r>
        <w:rPr>
          <w:spacing w:val="-2"/>
        </w:rPr>
        <w:t>组合计提项目：账龄组合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632" w:val="left" w:leader="none"/>
        </w:tabs>
        <w:spacing w:line="240" w:lineRule="auto"/>
        <w:ind w:left="580" w:right="0"/>
        <w:jc w:val="left"/>
      </w:pPr>
      <w:r>
        <w:rPr>
          <w:spacing w:val="-1"/>
        </w:rPr>
        <w:t>单位：元</w:t>
        <w:tab/>
      </w:r>
      <w:r>
        <w:rPr>
          <w:spacing w:val="-2"/>
        </w:rPr>
        <w:t>币种：人民币</w:t>
      </w:r>
    </w:p>
    <w:p>
      <w:pPr>
        <w:spacing w:after="0" w:line="240" w:lineRule="auto"/>
        <w:jc w:val="left"/>
        <w:sectPr>
          <w:type w:val="continuous"/>
          <w:pgSz w:w="11910" w:h="16840"/>
          <w:pgMar w:top="1060" w:bottom="1380" w:left="860" w:right="840"/>
          <w:cols w:num="2" w:equalWidth="0">
            <w:col w:w="2895" w:space="3716"/>
            <w:col w:w="3599"/>
          </w:cols>
        </w:sectPr>
      </w:pPr>
    </w:p>
    <w:p>
      <w:pPr>
        <w:spacing w:line="240" w:lineRule="auto" w:before="4"/>
        <w:rPr>
          <w:rFonts w:ascii="宋体" w:hAnsi="宋体" w:cs="宋体" w:eastAsia="宋体" w:hint="default"/>
          <w:sz w:val="2"/>
          <w:szCs w:val="2"/>
        </w:rPr>
      </w:pPr>
    </w:p>
    <w:tbl>
      <w:tblPr>
        <w:tblW w:w="0" w:type="auto"/>
        <w:jc w:val="left"/>
        <w:tblInd w:w="467" w:type="dxa"/>
        <w:tblLayout w:type="fixed"/>
        <w:tblCellMar>
          <w:top w:w="0" w:type="dxa"/>
          <w:left w:w="0" w:type="dxa"/>
          <w:bottom w:w="0" w:type="dxa"/>
          <w:right w:w="0" w:type="dxa"/>
        </w:tblCellMar>
        <w:tblLook w:val="01E0"/>
      </w:tblPr>
      <w:tblGrid>
        <w:gridCol w:w="2141"/>
        <w:gridCol w:w="2360"/>
        <w:gridCol w:w="2400"/>
        <w:gridCol w:w="2343"/>
      </w:tblGrid>
      <w:tr>
        <w:trPr>
          <w:trHeight w:val="283" w:hRule="exact"/>
        </w:trPr>
        <w:tc>
          <w:tcPr>
            <w:tcW w:w="214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1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141" w:type="dxa"/>
            <w:vMerge/>
            <w:tcBorders>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1,639,966,040.12</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77,209,352.59</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4.71%</w:t>
            </w:r>
          </w:p>
        </w:tc>
      </w:tr>
      <w:tr>
        <w:trPr>
          <w:trHeight w:val="28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117,597,470.68</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67,742,910.04</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57.61%</w:t>
            </w:r>
          </w:p>
        </w:tc>
      </w:tr>
      <w:tr>
        <w:trPr>
          <w:trHeight w:val="28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34,325,001.94</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34,325,001.94</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r>
      <w:tr>
        <w:trPr>
          <w:trHeight w:val="28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71,081,969.28</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71,081,969.28</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w:t>
            </w:r>
          </w:p>
        </w:tc>
      </w:tr>
      <w:tr>
        <w:trPr>
          <w:trHeight w:val="28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1,862,970,482.02</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250,359,233.85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13.44%</w:t>
            </w:r>
          </w:p>
        </w:tc>
      </w:tr>
    </w:tbl>
    <w:p>
      <w:pPr>
        <w:spacing w:line="240" w:lineRule="auto" w:before="5"/>
        <w:rPr>
          <w:rFonts w:ascii="宋体" w:hAnsi="宋体" w:cs="宋体" w:eastAsia="宋体" w:hint="default"/>
          <w:sz w:val="15"/>
          <w:szCs w:val="15"/>
        </w:rPr>
      </w:pPr>
    </w:p>
    <w:p>
      <w:pPr>
        <w:pStyle w:val="BodyText"/>
        <w:spacing w:line="274" w:lineRule="exact" w:before="36"/>
        <w:ind w:left="580" w:right="0"/>
        <w:jc w:val="left"/>
      </w:pPr>
      <w:r>
        <w:rPr/>
        <w:t>按组合计提坏账的确认标准及说明：</w:t>
      </w:r>
    </w:p>
    <w:p>
      <w:pPr>
        <w:pStyle w:val="BodyText"/>
        <w:spacing w:line="274" w:lineRule="exact"/>
        <w:ind w:left="580" w:right="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580" w:right="0"/>
        <w:jc w:val="left"/>
      </w:pPr>
      <w:r>
        <w:rPr/>
        <w:t>如按预期信用损失一般模型计提坏账准备，请参照其他应收款披露：</w:t>
      </w:r>
    </w:p>
    <w:p>
      <w:pPr>
        <w:pStyle w:val="BodyText"/>
        <w:spacing w:line="273" w:lineRule="exact"/>
        <w:ind w:left="580"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860" w:right="840"/>
        </w:sectPr>
      </w:pPr>
    </w:p>
    <w:p>
      <w:pPr>
        <w:pStyle w:val="Heading2"/>
        <w:spacing w:line="240" w:lineRule="auto" w:before="36"/>
        <w:ind w:left="580" w:right="-13"/>
        <w:jc w:val="left"/>
        <w:rPr>
          <w:b w:val="0"/>
          <w:bCs w:val="0"/>
        </w:rPr>
      </w:pPr>
      <w:r>
        <w:rPr>
          <w:rFonts w:ascii="宋体" w:hAnsi="宋体" w:cs="宋体" w:eastAsia="宋体" w:hint="default"/>
        </w:rPr>
        <w:t>(3).</w:t>
      </w:r>
      <w:r>
        <w:rPr/>
        <w:t>坏账准备的情况</w:t>
      </w:r>
      <w:r>
        <w:rPr>
          <w:b w:val="0"/>
          <w:bCs w:val="0"/>
        </w:rPr>
      </w:r>
    </w:p>
    <w:p>
      <w:pPr>
        <w:pStyle w:val="BodyText"/>
        <w:spacing w:line="240" w:lineRule="auto" w:before="56"/>
        <w:ind w:left="580"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32" w:val="left" w:leader="none"/>
        </w:tabs>
        <w:spacing w:line="240" w:lineRule="auto"/>
        <w:ind w:left="580" w:right="0"/>
        <w:jc w:val="left"/>
      </w:pPr>
      <w:r>
        <w:rPr>
          <w:spacing w:val="-1"/>
        </w:rPr>
        <w:t>单位：元</w:t>
        <w:tab/>
      </w:r>
      <w:r>
        <w:rPr>
          <w:spacing w:val="-2"/>
        </w:rPr>
        <w:t>币种：人民币</w:t>
      </w:r>
    </w:p>
    <w:p>
      <w:pPr>
        <w:spacing w:after="0" w:line="240" w:lineRule="auto"/>
        <w:jc w:val="left"/>
        <w:sectPr>
          <w:type w:val="continuous"/>
          <w:pgSz w:w="11910" w:h="16840"/>
          <w:pgMar w:top="1060" w:bottom="1380" w:left="860" w:right="840"/>
          <w:cols w:num="2" w:equalWidth="0">
            <w:col w:w="2487" w:space="4230"/>
            <w:col w:w="3493"/>
          </w:cols>
        </w:sectPr>
      </w:pPr>
    </w:p>
    <w:p>
      <w:pPr>
        <w:spacing w:line="240" w:lineRule="auto" w:before="4"/>
        <w:rPr>
          <w:rFonts w:ascii="宋体" w:hAnsi="宋体" w:cs="宋体" w:eastAsia="宋体" w:hint="default"/>
          <w:sz w:val="2"/>
          <w:szCs w:val="2"/>
        </w:rPr>
      </w:pPr>
    </w:p>
    <w:tbl>
      <w:tblPr>
        <w:tblW w:w="0" w:type="auto"/>
        <w:jc w:val="left"/>
        <w:tblInd w:w="462" w:type="dxa"/>
        <w:tblLayout w:type="fixed"/>
        <w:tblCellMar>
          <w:top w:w="0" w:type="dxa"/>
          <w:left w:w="0" w:type="dxa"/>
          <w:bottom w:w="0" w:type="dxa"/>
          <w:right w:w="0" w:type="dxa"/>
        </w:tblCellMar>
        <w:tblLook w:val="01E0"/>
      </w:tblPr>
      <w:tblGrid>
        <w:gridCol w:w="1601"/>
        <w:gridCol w:w="1697"/>
        <w:gridCol w:w="1591"/>
        <w:gridCol w:w="1486"/>
        <w:gridCol w:w="1181"/>
        <w:gridCol w:w="1697"/>
      </w:tblGrid>
      <w:tr>
        <w:trPr>
          <w:trHeight w:val="283" w:hRule="exact"/>
        </w:trPr>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01"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收回或转回</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697" w:type="dxa"/>
            <w:vMerge/>
            <w:tcBorders>
              <w:left w:val="single" w:sz="4" w:space="0" w:color="000000"/>
              <w:bottom w:val="single" w:sz="4" w:space="0" w:color="000000"/>
              <w:right w:val="single" w:sz="4" w:space="0" w:color="000000"/>
            </w:tcBorders>
          </w:tcPr>
          <w:p>
            <w:pPr/>
          </w:p>
        </w:tc>
      </w:tr>
      <w:tr>
        <w:trPr>
          <w:trHeight w:val="554"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按组合计提坏</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账准备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169,089,948.16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87,474,280.65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6,204,994.96</w:t>
            </w:r>
          </w:p>
        </w:tc>
        <w:tc>
          <w:tcPr>
            <w:tcW w:w="118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250,359,233.85</w:t>
            </w:r>
          </w:p>
        </w:tc>
      </w:tr>
      <w:tr>
        <w:trPr>
          <w:trHeight w:val="283"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169,089,948.16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87,474,280.65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6,204,994.96</w:t>
            </w:r>
          </w:p>
        </w:tc>
        <w:tc>
          <w:tcPr>
            <w:tcW w:w="118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250,359,233.85</w:t>
            </w:r>
          </w:p>
        </w:tc>
      </w:tr>
    </w:tbl>
    <w:p>
      <w:pPr>
        <w:spacing w:line="240" w:lineRule="auto" w:before="3"/>
        <w:rPr>
          <w:rFonts w:ascii="宋体" w:hAnsi="宋体" w:cs="宋体" w:eastAsia="宋体" w:hint="default"/>
          <w:sz w:val="14"/>
          <w:szCs w:val="14"/>
        </w:rPr>
      </w:pPr>
    </w:p>
    <w:p>
      <w:pPr>
        <w:pStyle w:val="BodyText"/>
        <w:spacing w:line="273" w:lineRule="exact" w:before="36"/>
        <w:ind w:left="580" w:right="0"/>
        <w:jc w:val="left"/>
      </w:pPr>
      <w:r>
        <w:rPr/>
        <w:t>其中本期坏账准备收回或转回金额重要的：</w:t>
      </w:r>
    </w:p>
    <w:p>
      <w:pPr>
        <w:pStyle w:val="BodyText"/>
        <w:spacing w:line="273" w:lineRule="exact"/>
        <w:ind w:left="580" w:right="0"/>
        <w:jc w:val="left"/>
      </w:pPr>
      <w:r>
        <w:rPr/>
        <w:t>□适用 √不适用</w:t>
      </w:r>
    </w:p>
    <w:p>
      <w:pPr>
        <w:spacing w:after="0" w:line="273" w:lineRule="exact"/>
        <w:jc w:val="left"/>
        <w:sectPr>
          <w:type w:val="continuous"/>
          <w:pgSz w:w="11910" w:h="16840"/>
          <w:pgMar w:top="1060" w:bottom="1380" w:left="86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ind w:left="340" w:right="0"/>
        <w:jc w:val="left"/>
        <w:rPr>
          <w:b w:val="0"/>
          <w:bCs w:val="0"/>
        </w:rPr>
      </w:pPr>
      <w:r>
        <w:rPr>
          <w:rFonts w:ascii="宋体" w:hAnsi="宋体" w:cs="宋体" w:eastAsia="宋体" w:hint="default"/>
        </w:rPr>
        <w:t>(4).</w:t>
      </w:r>
      <w:r>
        <w:rPr/>
        <w:t>本期实际核销的应收账款情况</w:t>
      </w:r>
      <w:r>
        <w:rPr>
          <w:b w:val="0"/>
          <w:bCs w:val="0"/>
        </w:rPr>
      </w:r>
    </w:p>
    <w:p>
      <w:pPr>
        <w:pStyle w:val="BodyText"/>
        <w:spacing w:line="240" w:lineRule="auto" w:before="58"/>
        <w:ind w:left="340"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left="340" w:right="0"/>
        <w:jc w:val="left"/>
        <w:rPr>
          <w:b w:val="0"/>
          <w:bCs w:val="0"/>
        </w:rPr>
      </w:pPr>
      <w:r>
        <w:rPr>
          <w:rFonts w:ascii="宋体" w:hAnsi="宋体" w:cs="宋体" w:eastAsia="宋体" w:hint="default"/>
        </w:rPr>
        <w:t>(5).</w:t>
      </w:r>
      <w:r>
        <w:rPr/>
        <w:t>按欠款方归集的期末余额前五名的应收账款情况</w:t>
      </w:r>
      <w:r>
        <w:rPr>
          <w:b w:val="0"/>
          <w:bCs w:val="0"/>
        </w:rPr>
      </w:r>
    </w:p>
    <w:p>
      <w:pPr>
        <w:pStyle w:val="BodyText"/>
        <w:tabs>
          <w:tab w:pos="1182" w:val="left" w:leader="none"/>
        </w:tabs>
        <w:spacing w:line="240" w:lineRule="auto" w:before="58"/>
        <w:ind w:left="340" w:right="0"/>
        <w:jc w:val="left"/>
      </w:pPr>
      <w:r>
        <w:rPr/>
        <w:t>√适用</w:t>
        <w:tab/>
        <w:t>□不适用</w:t>
      </w:r>
    </w:p>
    <w:p>
      <w:pPr>
        <w:spacing w:line="240" w:lineRule="auto" w:before="3"/>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2675"/>
        <w:gridCol w:w="1013"/>
        <w:gridCol w:w="1558"/>
        <w:gridCol w:w="1190"/>
        <w:gridCol w:w="1549"/>
        <w:gridCol w:w="1476"/>
      </w:tblGrid>
      <w:tr>
        <w:trPr>
          <w:trHeight w:val="528"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b/>
                <w:bCs/>
                <w:spacing w:val="2"/>
                <w:sz w:val="20"/>
                <w:szCs w:val="20"/>
              </w:rPr>
              <w:t>与本集</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b/>
                <w:bCs/>
                <w:spacing w:val="2"/>
                <w:sz w:val="20"/>
                <w:szCs w:val="20"/>
              </w:rPr>
              <w:t>团关系</w:t>
            </w:r>
            <w:r>
              <w:rPr>
                <w:rFonts w:ascii="宋体" w:hAnsi="宋体" w:cs="宋体" w:eastAsia="宋体" w:hint="default"/>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b/>
                <w:bCs/>
                <w:sz w:val="20"/>
                <w:szCs w:val="20"/>
              </w:rPr>
              <w:t>期末账面余额</w:t>
            </w:r>
            <w:r>
              <w:rPr>
                <w:rFonts w:ascii="宋体" w:hAnsi="宋体" w:cs="宋体" w:eastAsia="宋体" w:hint="default"/>
                <w:sz w:val="20"/>
                <w:szCs w:val="20"/>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b/>
                <w:bCs/>
                <w:sz w:val="20"/>
                <w:szCs w:val="20"/>
              </w:rPr>
              <w:t>年限</w:t>
            </w:r>
            <w:r>
              <w:rPr>
                <w:rFonts w:ascii="宋体" w:hAnsi="宋体" w:cs="宋体" w:eastAsia="宋体" w:hint="default"/>
                <w:sz w:val="20"/>
                <w:szCs w:val="20"/>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占应收账款总</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额的比例</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坏账准备期末</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余额</w:t>
            </w:r>
            <w:r>
              <w:rPr>
                <w:rFonts w:ascii="宋体" w:hAnsi="宋体" w:cs="宋体" w:eastAsia="宋体" w:hint="default"/>
                <w:sz w:val="20"/>
                <w:szCs w:val="20"/>
              </w:rPr>
            </w:r>
          </w:p>
        </w:tc>
      </w:tr>
      <w:tr>
        <w:trPr>
          <w:trHeight w:val="296"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人民教育出版社有限公司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132,111,500.49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7.07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3,963,345.01</w:t>
            </w:r>
          </w:p>
        </w:tc>
      </w:tr>
      <w:tr>
        <w:trPr>
          <w:trHeight w:val="242"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安岳县教育局</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89,339,286.30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4.78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1,776,775.68</w:t>
            </w:r>
          </w:p>
        </w:tc>
      </w:tr>
      <w:tr>
        <w:trPr>
          <w:trHeight w:val="29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巴中市恩阳区教育技术装备所</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35,544,694.00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746,438.57</w:t>
            </w:r>
          </w:p>
        </w:tc>
      </w:tr>
      <w:tr>
        <w:trPr>
          <w:trHeight w:val="31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合江县教育和科学技术局</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35,000,000.00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1.87</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古蔺县信息技术教育装备站</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34,540,451.62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1.85</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326,535,932.41</w:t>
            </w:r>
          </w:p>
        </w:tc>
        <w:tc>
          <w:tcPr>
            <w:tcW w:w="1190"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17.47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6,486,559.26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340" w:right="0"/>
        <w:jc w:val="left"/>
        <w:rPr>
          <w:b w:val="0"/>
          <w:bCs w:val="0"/>
        </w:rPr>
      </w:pPr>
      <w:r>
        <w:rPr>
          <w:rFonts w:ascii="宋体" w:hAnsi="宋体" w:cs="宋体" w:eastAsia="宋体" w:hint="default"/>
        </w:rPr>
        <w:t>(6).</w:t>
      </w:r>
      <w:r>
        <w:rPr/>
        <w:t>因金融资产转移而终止确认的应收账款</w:t>
      </w:r>
      <w:r>
        <w:rPr>
          <w:b w:val="0"/>
          <w:bCs w:val="0"/>
        </w:rPr>
      </w:r>
    </w:p>
    <w:p>
      <w:pPr>
        <w:pStyle w:val="BodyText"/>
        <w:tabs>
          <w:tab w:pos="1182" w:val="left" w:leader="none"/>
        </w:tabs>
        <w:spacing w:line="240" w:lineRule="auto" w:before="58"/>
        <w:ind w:left="340" w:right="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ind w:left="340" w:right="0"/>
        <w:jc w:val="left"/>
        <w:rPr>
          <w:b w:val="0"/>
          <w:bCs w:val="0"/>
        </w:rPr>
      </w:pPr>
      <w:r>
        <w:rPr>
          <w:rFonts w:ascii="宋体" w:hAnsi="宋体" w:cs="宋体" w:eastAsia="宋体" w:hint="default"/>
        </w:rPr>
        <w:t>(7).</w:t>
      </w:r>
      <w:r>
        <w:rPr/>
        <w:t>转移应收账款且继续涉入形成的资产、负债金额</w:t>
      </w:r>
      <w:r>
        <w:rPr>
          <w:b w:val="0"/>
          <w:bCs w:val="0"/>
        </w:rPr>
      </w:r>
    </w:p>
    <w:p>
      <w:pPr>
        <w:pStyle w:val="BodyText"/>
        <w:tabs>
          <w:tab w:pos="1182" w:val="left" w:leader="none"/>
        </w:tabs>
        <w:spacing w:line="240" w:lineRule="auto" w:before="56"/>
        <w:ind w:left="340" w:right="0"/>
        <w:jc w:val="left"/>
      </w:pPr>
      <w:r>
        <w:rPr/>
        <w:t>□适用</w:t>
        <w:tab/>
        <w:t>√不适用</w:t>
      </w:r>
    </w:p>
    <w:p>
      <w:pPr>
        <w:spacing w:line="240" w:lineRule="auto" w:before="3"/>
        <w:rPr>
          <w:rFonts w:ascii="宋体" w:hAnsi="宋体" w:cs="宋体" w:eastAsia="宋体" w:hint="default"/>
          <w:sz w:val="18"/>
          <w:szCs w:val="18"/>
        </w:rPr>
      </w:pPr>
    </w:p>
    <w:p>
      <w:pPr>
        <w:pStyle w:val="BodyText"/>
        <w:spacing w:line="274" w:lineRule="exact"/>
        <w:ind w:left="340" w:right="0"/>
        <w:jc w:val="left"/>
      </w:pPr>
      <w:r>
        <w:rPr/>
        <w:t>其他说明：</w:t>
      </w:r>
    </w:p>
    <w:p>
      <w:pPr>
        <w:pStyle w:val="BodyText"/>
        <w:tabs>
          <w:tab w:pos="1182" w:val="left" w:leader="none"/>
        </w:tabs>
        <w:spacing w:line="274" w:lineRule="exact"/>
        <w:ind w:left="340" w:right="0"/>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3"/>
          <w:pgSz w:w="11910" w:h="16840"/>
          <w:pgMar w:footer="1195" w:header="882" w:top="1120" w:bottom="1380" w:left="1100" w:right="1100"/>
        </w:sectPr>
      </w:pPr>
    </w:p>
    <w:p>
      <w:pPr>
        <w:pStyle w:val="Heading2"/>
        <w:spacing w:line="290" w:lineRule="auto" w:before="36"/>
        <w:ind w:left="340"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182" w:val="left" w:leader="none"/>
        </w:tabs>
        <w:spacing w:line="240" w:lineRule="auto" w:before="14"/>
        <w:ind w:left="340"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92" w:val="left" w:leader="none"/>
        </w:tabs>
        <w:spacing w:line="240" w:lineRule="auto"/>
        <w:ind w:left="340" w:right="0"/>
        <w:jc w:val="left"/>
      </w:pPr>
      <w:r>
        <w:rPr>
          <w:spacing w:val="-1"/>
        </w:rPr>
        <w:t>单位：元</w:t>
        <w:tab/>
      </w:r>
      <w:r>
        <w:rPr>
          <w:spacing w:val="-2"/>
        </w:rPr>
        <w:t>币种：人民币</w:t>
      </w:r>
    </w:p>
    <w:p>
      <w:pPr>
        <w:spacing w:after="0" w:line="240" w:lineRule="auto"/>
        <w:jc w:val="left"/>
        <w:sectPr>
          <w:type w:val="continuous"/>
          <w:pgSz w:w="11910" w:h="16840"/>
          <w:pgMar w:top="1060" w:bottom="1380" w:left="1100" w:right="1100"/>
          <w:cols w:num="2" w:equalWidth="0">
            <w:col w:w="2669" w:space="4047"/>
            <w:col w:w="2994"/>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1416"/>
        <w:gridCol w:w="1969"/>
        <w:gridCol w:w="1952"/>
        <w:gridCol w:w="1949"/>
        <w:gridCol w:w="1969"/>
      </w:tblGrid>
      <w:tr>
        <w:trPr>
          <w:trHeight w:val="281" w:hRule="exact"/>
        </w:trPr>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9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416" w:type="dxa"/>
            <w:vMerge/>
            <w:tcBorders>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55,165,030.36</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77.17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71,069,967.04</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88.99</w:t>
            </w:r>
          </w:p>
        </w:tc>
      </w:tr>
      <w:tr>
        <w:trPr>
          <w:trHeight w:val="28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8,382,650.24</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11.73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2,280,866.33</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2.86</w:t>
            </w:r>
          </w:p>
        </w:tc>
      </w:tr>
      <w:tr>
        <w:trPr>
          <w:trHeight w:val="28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1,900,160.28</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2.66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429,647.47</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0.54</w:t>
            </w:r>
          </w:p>
        </w:tc>
      </w:tr>
      <w:tr>
        <w:trPr>
          <w:trHeight w:val="28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6,039,381.38</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8.44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6,085,194.28</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7.61</w:t>
            </w:r>
          </w:p>
        </w:tc>
      </w:tr>
      <w:tr>
        <w:trPr>
          <w:trHeight w:val="28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2"/>
              <w:jc w:val="right"/>
              <w:rPr>
                <w:rFonts w:ascii="宋体" w:hAnsi="宋体" w:cs="宋体" w:eastAsia="宋体" w:hint="default"/>
                <w:sz w:val="21"/>
                <w:szCs w:val="21"/>
              </w:rPr>
            </w:pPr>
            <w:r>
              <w:rPr>
                <w:rFonts w:ascii="宋体" w:hAnsi="宋体" w:cs="宋体" w:eastAsia="宋体" w:hint="default"/>
                <w:sz w:val="21"/>
                <w:szCs w:val="21"/>
              </w:rPr>
              <w:t>合计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71,487,222.26</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79,865,675.12</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72" w:lineRule="exact" w:before="64"/>
        <w:ind w:left="340" w:right="0"/>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spacing w:val="-2"/>
        </w:rPr>
        <w:t>账龄超过一年预付款项金额，主要是预付供应商未结算的货款。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2"/>
        <w:spacing w:line="240" w:lineRule="auto"/>
        <w:ind w:left="340" w:right="0"/>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1182" w:val="left" w:leader="none"/>
        </w:tabs>
        <w:spacing w:line="240" w:lineRule="auto" w:before="56"/>
        <w:ind w:left="340" w:right="0"/>
        <w:jc w:val="left"/>
      </w:pPr>
      <w:r>
        <w:rPr/>
        <w:t>√适用</w:t>
        <w:tab/>
        <w:t>□不适用</w:t>
      </w:r>
    </w:p>
    <w:p>
      <w:pPr>
        <w:spacing w:after="0" w:line="240" w:lineRule="auto"/>
        <w:jc w:val="left"/>
        <w:sectPr>
          <w:type w:val="continuous"/>
          <w:pgSz w:w="11910" w:h="16840"/>
          <w:pgMar w:top="1060" w:bottom="1380" w:left="110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693"/>
        <w:gridCol w:w="1418"/>
        <w:gridCol w:w="1416"/>
        <w:gridCol w:w="1846"/>
        <w:gridCol w:w="1841"/>
      </w:tblGrid>
      <w:tr>
        <w:trPr>
          <w:trHeight w:val="300" w:hRule="exact"/>
        </w:trPr>
        <w:tc>
          <w:tcPr>
            <w:tcW w:w="2693" w:type="dxa"/>
            <w:tcBorders>
              <w:top w:val="single" w:sz="4" w:space="0" w:color="000000"/>
              <w:left w:val="single" w:sz="4" w:space="0" w:color="000000"/>
              <w:bottom w:val="single" w:sz="8" w:space="0" w:color="000000"/>
              <w:right w:val="single" w:sz="4" w:space="0" w:color="000000"/>
            </w:tcBorders>
          </w:tcPr>
          <w:p>
            <w:pPr>
              <w:pStyle w:val="TableParagraph"/>
              <w:spacing w:line="244" w:lineRule="exact"/>
              <w:ind w:right="3"/>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418" w:type="dxa"/>
            <w:tcBorders>
              <w:top w:val="single" w:sz="4" w:space="0" w:color="000000"/>
              <w:left w:val="single" w:sz="4" w:space="0" w:color="000000"/>
              <w:bottom w:val="single" w:sz="8" w:space="0" w:color="000000"/>
              <w:right w:val="single" w:sz="4" w:space="0" w:color="000000"/>
            </w:tcBorders>
          </w:tcPr>
          <w:p>
            <w:pPr>
              <w:pStyle w:val="TableParagraph"/>
              <w:spacing w:line="244" w:lineRule="exact"/>
              <w:ind w:right="3"/>
              <w:jc w:val="center"/>
              <w:rPr>
                <w:rFonts w:ascii="宋体" w:hAnsi="宋体" w:cs="宋体" w:eastAsia="宋体" w:hint="default"/>
                <w:sz w:val="20"/>
                <w:szCs w:val="20"/>
              </w:rPr>
            </w:pPr>
            <w:r>
              <w:rPr>
                <w:rFonts w:ascii="宋体" w:hAnsi="宋体" w:cs="宋体" w:eastAsia="宋体" w:hint="default"/>
                <w:sz w:val="20"/>
                <w:szCs w:val="20"/>
              </w:rPr>
              <w:t>与本集团关系</w:t>
            </w:r>
          </w:p>
        </w:tc>
        <w:tc>
          <w:tcPr>
            <w:tcW w:w="1416" w:type="dxa"/>
            <w:tcBorders>
              <w:top w:val="single" w:sz="4" w:space="0" w:color="000000"/>
              <w:left w:val="single" w:sz="4" w:space="0" w:color="000000"/>
              <w:bottom w:val="single" w:sz="8" w:space="0" w:color="000000"/>
              <w:right w:val="single" w:sz="4" w:space="0" w:color="000000"/>
            </w:tcBorders>
          </w:tcPr>
          <w:p>
            <w:pPr>
              <w:pStyle w:val="TableParagraph"/>
              <w:spacing w:line="244" w:lineRule="exact"/>
              <w:ind w:right="3"/>
              <w:jc w:val="center"/>
              <w:rPr>
                <w:rFonts w:ascii="宋体" w:hAnsi="宋体" w:cs="宋体" w:eastAsia="宋体" w:hint="default"/>
                <w:sz w:val="20"/>
                <w:szCs w:val="20"/>
              </w:rPr>
            </w:pPr>
            <w:r>
              <w:rPr>
                <w:rFonts w:ascii="宋体" w:hAnsi="宋体" w:cs="宋体" w:eastAsia="宋体" w:hint="default"/>
                <w:sz w:val="20"/>
                <w:szCs w:val="20"/>
              </w:rPr>
              <w:t>金额</w:t>
            </w:r>
          </w:p>
        </w:tc>
        <w:tc>
          <w:tcPr>
            <w:tcW w:w="1846" w:type="dxa"/>
            <w:tcBorders>
              <w:top w:val="single" w:sz="4" w:space="0" w:color="000000"/>
              <w:left w:val="single" w:sz="4" w:space="0" w:color="000000"/>
              <w:bottom w:val="single" w:sz="8" w:space="0" w:color="000000"/>
              <w:right w:val="single" w:sz="4" w:space="0" w:color="000000"/>
            </w:tcBorders>
          </w:tcPr>
          <w:p>
            <w:pPr>
              <w:pStyle w:val="TableParagraph"/>
              <w:spacing w:line="244" w:lineRule="exact"/>
              <w:ind w:right="5"/>
              <w:jc w:val="center"/>
              <w:rPr>
                <w:rFonts w:ascii="宋体" w:hAnsi="宋体" w:cs="宋体" w:eastAsia="宋体" w:hint="default"/>
                <w:sz w:val="20"/>
                <w:szCs w:val="20"/>
              </w:rPr>
            </w:pPr>
            <w:r>
              <w:rPr>
                <w:rFonts w:ascii="宋体" w:hAnsi="宋体" w:cs="宋体" w:eastAsia="宋体" w:hint="default"/>
                <w:sz w:val="20"/>
                <w:szCs w:val="20"/>
              </w:rPr>
              <w:t>年限</w:t>
            </w:r>
          </w:p>
        </w:tc>
        <w:tc>
          <w:tcPr>
            <w:tcW w:w="1841" w:type="dxa"/>
            <w:tcBorders>
              <w:top w:val="single" w:sz="4" w:space="0" w:color="000000"/>
              <w:left w:val="single" w:sz="4" w:space="0" w:color="000000"/>
              <w:bottom w:val="single" w:sz="8" w:space="0" w:color="000000"/>
              <w:right w:val="single" w:sz="4" w:space="0" w:color="000000"/>
            </w:tcBorders>
          </w:tcPr>
          <w:p>
            <w:pPr>
              <w:pStyle w:val="TableParagraph"/>
              <w:spacing w:line="244" w:lineRule="exact"/>
              <w:ind w:right="4"/>
              <w:jc w:val="center"/>
              <w:rPr>
                <w:rFonts w:ascii="宋体" w:hAnsi="宋体" w:cs="宋体" w:eastAsia="宋体" w:hint="default"/>
                <w:sz w:val="20"/>
                <w:szCs w:val="20"/>
              </w:rPr>
            </w:pPr>
            <w:r>
              <w:rPr>
                <w:rFonts w:ascii="宋体" w:hAnsi="宋体" w:cs="宋体" w:eastAsia="宋体" w:hint="default"/>
                <w:sz w:val="20"/>
                <w:szCs w:val="20"/>
              </w:rPr>
              <w:t>未结算原因</w:t>
            </w:r>
          </w:p>
        </w:tc>
      </w:tr>
      <w:tr>
        <w:trPr>
          <w:trHeight w:val="305"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四川生学教育科技有限公司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7"/>
              <w:jc w:val="right"/>
              <w:rPr>
                <w:rFonts w:ascii="Times New Roman" w:hAnsi="Times New Roman" w:cs="Times New Roman" w:eastAsia="Times New Roman" w:hint="default"/>
                <w:sz w:val="20"/>
                <w:szCs w:val="20"/>
              </w:rPr>
            </w:pPr>
            <w:r>
              <w:rPr>
                <w:rFonts w:ascii="Times New Roman"/>
                <w:w w:val="95"/>
                <w:sz w:val="20"/>
              </w:rPr>
              <w:t>6,440,406.48</w:t>
            </w:r>
            <w:r>
              <w:rPr>
                <w:rFonts w:ascii="Times New Roman"/>
                <w:sz w:val="20"/>
              </w:rPr>
            </w:r>
          </w:p>
        </w:tc>
        <w:tc>
          <w:tcPr>
            <w:tcW w:w="1846"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2"/>
              <w:jc w:val="center"/>
              <w:rPr>
                <w:rFonts w:ascii="宋体" w:hAnsi="宋体" w:cs="宋体" w:eastAsia="宋体" w:hint="default"/>
                <w:sz w:val="20"/>
                <w:szCs w:val="20"/>
              </w:rPr>
            </w:pPr>
            <w:r>
              <w:rPr>
                <w:rFonts w:ascii="宋体" w:hAnsi="宋体" w:cs="宋体" w:eastAsia="宋体" w:hint="default"/>
                <w:sz w:val="20"/>
                <w:szCs w:val="20"/>
              </w:rPr>
              <w:t>尚未收到货物</w:t>
            </w:r>
          </w:p>
        </w:tc>
      </w:tr>
      <w:tr>
        <w:trPr>
          <w:trHeight w:val="305"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北京上品伟业商贸有限公司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7"/>
              <w:jc w:val="right"/>
              <w:rPr>
                <w:rFonts w:ascii="Times New Roman" w:hAnsi="Times New Roman" w:cs="Times New Roman" w:eastAsia="Times New Roman" w:hint="default"/>
                <w:sz w:val="20"/>
                <w:szCs w:val="20"/>
              </w:rPr>
            </w:pPr>
            <w:r>
              <w:rPr>
                <w:rFonts w:ascii="Times New Roman"/>
                <w:w w:val="95"/>
                <w:sz w:val="20"/>
              </w:rPr>
              <w:t>3,816,000.00</w:t>
            </w:r>
            <w:r>
              <w:rPr>
                <w:rFonts w:ascii="Times New Roman"/>
                <w:sz w:val="20"/>
              </w:rPr>
            </w:r>
          </w:p>
        </w:tc>
        <w:tc>
          <w:tcPr>
            <w:tcW w:w="184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6-7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6"/>
              <w:jc w:val="center"/>
              <w:rPr>
                <w:rFonts w:ascii="宋体" w:hAnsi="宋体" w:cs="宋体" w:eastAsia="宋体" w:hint="default"/>
                <w:sz w:val="20"/>
                <w:szCs w:val="20"/>
              </w:rPr>
            </w:pPr>
            <w:r>
              <w:rPr>
                <w:rFonts w:ascii="宋体" w:hAnsi="宋体" w:cs="宋体" w:eastAsia="宋体" w:hint="default"/>
                <w:sz w:val="20"/>
                <w:szCs w:val="20"/>
              </w:rPr>
              <w:t>尚未确认交易价格</w:t>
            </w:r>
          </w:p>
        </w:tc>
      </w:tr>
      <w:tr>
        <w:trPr>
          <w:trHeight w:val="305"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华特迪斯尼公司（香港）</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7"/>
              <w:jc w:val="right"/>
              <w:rPr>
                <w:rFonts w:ascii="Times New Roman" w:hAnsi="Times New Roman" w:cs="Times New Roman" w:eastAsia="Times New Roman" w:hint="default"/>
                <w:sz w:val="20"/>
                <w:szCs w:val="20"/>
              </w:rPr>
            </w:pPr>
            <w:r>
              <w:rPr>
                <w:rFonts w:ascii="Times New Roman"/>
                <w:w w:val="95"/>
                <w:sz w:val="20"/>
              </w:rPr>
              <w:t>3,266,825.67</w:t>
            </w:r>
            <w:r>
              <w:rPr>
                <w:rFonts w:ascii="Times New Roman"/>
                <w:sz w:val="20"/>
              </w:rPr>
            </w:r>
          </w:p>
        </w:tc>
        <w:tc>
          <w:tcPr>
            <w:tcW w:w="184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2"/>
              <w:jc w:val="center"/>
              <w:rPr>
                <w:rFonts w:ascii="宋体" w:hAnsi="宋体" w:cs="宋体" w:eastAsia="宋体" w:hint="default"/>
                <w:sz w:val="20"/>
                <w:szCs w:val="20"/>
              </w:rPr>
            </w:pPr>
            <w:r>
              <w:rPr>
                <w:rFonts w:ascii="宋体" w:hAnsi="宋体" w:cs="宋体" w:eastAsia="宋体" w:hint="default"/>
                <w:sz w:val="20"/>
                <w:szCs w:val="20"/>
              </w:rPr>
              <w:t>尚未收到货物</w:t>
            </w:r>
          </w:p>
        </w:tc>
      </w:tr>
      <w:tr>
        <w:trPr>
          <w:trHeight w:val="305"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59"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STEM Innovations</w:t>
            </w:r>
            <w:r>
              <w:rPr>
                <w:rFonts w:ascii="Times New Roman" w:hAnsi="Times New Roman" w:cs="Times New Roman" w:eastAsia="Times New Roman" w:hint="default"/>
                <w:spacing w:val="42"/>
                <w:sz w:val="20"/>
                <w:szCs w:val="20"/>
              </w:rPr>
              <w:t> </w:t>
            </w:r>
            <w:r>
              <w:rPr>
                <w:rFonts w:ascii="宋体" w:hAnsi="宋体" w:cs="宋体" w:eastAsia="宋体" w:hint="default"/>
                <w:sz w:val="20"/>
                <w:szCs w:val="20"/>
              </w:rPr>
              <w:t>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2"/>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7"/>
              <w:jc w:val="right"/>
              <w:rPr>
                <w:rFonts w:ascii="Times New Roman" w:hAnsi="Times New Roman" w:cs="Times New Roman" w:eastAsia="Times New Roman" w:hint="default"/>
                <w:sz w:val="20"/>
                <w:szCs w:val="20"/>
              </w:rPr>
            </w:pPr>
            <w:r>
              <w:rPr>
                <w:rFonts w:ascii="Times New Roman"/>
                <w:w w:val="95"/>
                <w:sz w:val="20"/>
              </w:rPr>
              <w:t>2,970,373.87</w:t>
            </w:r>
            <w:r>
              <w:rPr>
                <w:rFonts w:ascii="Times New Roman"/>
                <w:sz w:val="20"/>
              </w:rPr>
            </w:r>
          </w:p>
        </w:tc>
        <w:tc>
          <w:tcPr>
            <w:tcW w:w="184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9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2"/>
              <w:jc w:val="center"/>
              <w:rPr>
                <w:rFonts w:ascii="宋体" w:hAnsi="宋体" w:cs="宋体" w:eastAsia="宋体" w:hint="default"/>
                <w:sz w:val="20"/>
                <w:szCs w:val="20"/>
              </w:rPr>
            </w:pPr>
            <w:r>
              <w:rPr>
                <w:rFonts w:ascii="宋体" w:hAnsi="宋体" w:cs="宋体" w:eastAsia="宋体" w:hint="default"/>
                <w:sz w:val="20"/>
                <w:szCs w:val="20"/>
              </w:rPr>
              <w:t>尚未收到货物</w:t>
            </w:r>
          </w:p>
        </w:tc>
      </w:tr>
      <w:tr>
        <w:trPr>
          <w:trHeight w:val="307"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四川东华一科技有限公司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7"/>
              <w:jc w:val="right"/>
              <w:rPr>
                <w:rFonts w:ascii="Times New Roman" w:hAnsi="Times New Roman" w:cs="Times New Roman" w:eastAsia="Times New Roman" w:hint="default"/>
                <w:sz w:val="20"/>
                <w:szCs w:val="20"/>
              </w:rPr>
            </w:pPr>
            <w:r>
              <w:rPr>
                <w:rFonts w:ascii="Times New Roman"/>
                <w:w w:val="95"/>
                <w:sz w:val="20"/>
              </w:rPr>
              <w:t>2,298,302.16</w:t>
            </w:r>
            <w:r>
              <w:rPr>
                <w:rFonts w:ascii="Times New Roman"/>
                <w:sz w:val="20"/>
              </w:rPr>
            </w:r>
          </w:p>
        </w:tc>
        <w:tc>
          <w:tcPr>
            <w:tcW w:w="184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2"/>
              <w:jc w:val="center"/>
              <w:rPr>
                <w:rFonts w:ascii="宋体" w:hAnsi="宋体" w:cs="宋体" w:eastAsia="宋体" w:hint="default"/>
                <w:sz w:val="20"/>
                <w:szCs w:val="20"/>
              </w:rPr>
            </w:pPr>
            <w:r>
              <w:rPr>
                <w:rFonts w:ascii="宋体" w:hAnsi="宋体" w:cs="宋体" w:eastAsia="宋体" w:hint="default"/>
                <w:sz w:val="20"/>
                <w:szCs w:val="20"/>
              </w:rPr>
              <w:t>尚未收到货物</w:t>
            </w:r>
          </w:p>
        </w:tc>
      </w:tr>
      <w:tr>
        <w:trPr>
          <w:trHeight w:val="350" w:hRule="exact"/>
        </w:trPr>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18"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w w:val="95"/>
                <w:sz w:val="20"/>
              </w:rPr>
              <w:t>18,791,908.18</w:t>
            </w:r>
            <w:r>
              <w:rPr>
                <w:rFonts w:ascii="Times New Roman"/>
                <w:sz w:val="20"/>
              </w:rPr>
            </w:r>
          </w:p>
        </w:tc>
        <w:tc>
          <w:tcPr>
            <w:tcW w:w="1846" w:type="dxa"/>
            <w:tcBorders>
              <w:top w:val="single" w:sz="8" w:space="0" w:color="000000"/>
              <w:left w:val="single" w:sz="8" w:space="0" w:color="000000"/>
              <w:bottom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3" w:lineRule="exact" w:before="36"/>
        <w:ind w:left="260" w:right="0"/>
        <w:jc w:val="left"/>
      </w:pPr>
      <w:r>
        <w:rPr/>
        <w:t>其他说明</w:t>
      </w:r>
    </w:p>
    <w:p>
      <w:pPr>
        <w:pStyle w:val="BodyText"/>
        <w:tabs>
          <w:tab w:pos="1102" w:val="left" w:leader="none"/>
        </w:tabs>
        <w:spacing w:line="273" w:lineRule="exact"/>
        <w:ind w:left="260" w:right="0"/>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4"/>
          <w:pgSz w:w="11910" w:h="16840"/>
          <w:pgMar w:footer="1195" w:header="882" w:top="1120" w:bottom="1380" w:left="1180" w:right="1200"/>
          <w:pgNumType w:start="121"/>
        </w:sectPr>
      </w:pPr>
    </w:p>
    <w:p>
      <w:pPr>
        <w:pStyle w:val="Heading2"/>
        <w:spacing w:line="290" w:lineRule="auto" w:before="36"/>
        <w:ind w:left="260" w:right="82"/>
        <w:jc w:val="left"/>
        <w:rPr>
          <w:b w:val="0"/>
          <w:bCs w:val="0"/>
        </w:rPr>
      </w:pPr>
      <w:r>
        <w:rPr>
          <w:rFonts w:ascii="宋体" w:hAnsi="宋体" w:cs="宋体" w:eastAsia="宋体" w:hint="default"/>
        </w:rPr>
        <w:t>6</w:t>
      </w:r>
      <w:r>
        <w:rPr/>
        <w:t>、</w:t>
      </w:r>
      <w:r>
        <w:rPr>
          <w:spacing w:val="-2"/>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6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312" w:val="left" w:leader="none"/>
        </w:tabs>
        <w:spacing w:line="240" w:lineRule="auto"/>
        <w:ind w:left="260" w:right="0"/>
        <w:jc w:val="left"/>
      </w:pPr>
      <w:r>
        <w:rPr>
          <w:spacing w:val="-1"/>
        </w:rPr>
        <w:t>单位：元</w:t>
        <w:tab/>
      </w:r>
      <w:r>
        <w:rPr>
          <w:spacing w:val="-2"/>
        </w:rPr>
        <w:t>币种：人民币</w:t>
      </w:r>
    </w:p>
    <w:p>
      <w:pPr>
        <w:spacing w:after="0" w:line="240" w:lineRule="auto"/>
        <w:jc w:val="left"/>
        <w:sectPr>
          <w:type w:val="continuous"/>
          <w:pgSz w:w="11910" w:h="16840"/>
          <w:pgMar w:top="1060" w:bottom="1380" w:left="1180" w:right="1200"/>
          <w:cols w:num="2" w:equalWidth="0">
            <w:col w:w="1838" w:space="4878"/>
            <w:col w:w="2814"/>
          </w:cols>
        </w:sectPr>
      </w:pPr>
    </w:p>
    <w:p>
      <w:pPr>
        <w:spacing w:line="240" w:lineRule="auto" w:before="4"/>
        <w:rPr>
          <w:rFonts w:ascii="宋体" w:hAnsi="宋体" w:cs="宋体" w:eastAsia="宋体" w:hint="default"/>
          <w:sz w:val="2"/>
          <w:szCs w:val="2"/>
        </w:rPr>
      </w:pPr>
    </w:p>
    <w:tbl>
      <w:tblPr>
        <w:tblW w:w="0" w:type="auto"/>
        <w:jc w:val="left"/>
        <w:tblInd w:w="142" w:type="dxa"/>
        <w:tblLayout w:type="fixed"/>
        <w:tblCellMar>
          <w:top w:w="0" w:type="dxa"/>
          <w:left w:w="0" w:type="dxa"/>
          <w:bottom w:w="0" w:type="dxa"/>
          <w:right w:w="0" w:type="dxa"/>
        </w:tblCellMar>
        <w:tblLook w:val="01E0"/>
      </w:tblPr>
      <w:tblGrid>
        <w:gridCol w:w="3265"/>
        <w:gridCol w:w="3000"/>
        <w:gridCol w:w="2989"/>
      </w:tblGrid>
      <w:tr>
        <w:trPr>
          <w:trHeight w:val="283"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326,203.09</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10,789,780.86</w:t>
            </w:r>
          </w:p>
        </w:tc>
      </w:tr>
      <w:tr>
        <w:trPr>
          <w:trHeight w:val="281"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98,676,622.91</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98,565,134.63</w:t>
            </w:r>
          </w:p>
        </w:tc>
      </w:tr>
      <w:tr>
        <w:trPr>
          <w:trHeight w:val="284"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99,002,826.00</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109,354,915.49</w:t>
            </w:r>
          </w:p>
        </w:tc>
      </w:tr>
    </w:tbl>
    <w:p>
      <w:pPr>
        <w:spacing w:line="240" w:lineRule="auto" w:before="7"/>
        <w:rPr>
          <w:rFonts w:ascii="宋体" w:hAnsi="宋体" w:cs="宋体" w:eastAsia="宋体" w:hint="default"/>
          <w:sz w:val="15"/>
          <w:szCs w:val="15"/>
        </w:rPr>
      </w:pPr>
    </w:p>
    <w:p>
      <w:pPr>
        <w:pStyle w:val="BodyText"/>
        <w:spacing w:line="273" w:lineRule="exact" w:before="36"/>
        <w:ind w:left="260" w:right="0"/>
        <w:jc w:val="left"/>
      </w:pPr>
      <w:r>
        <w:rPr/>
        <w:t>其他说明：</w:t>
      </w:r>
    </w:p>
    <w:p>
      <w:pPr>
        <w:pStyle w:val="BodyText"/>
        <w:spacing w:line="273" w:lineRule="exact"/>
        <w:ind w:left="260"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180" w:right="1200"/>
        </w:sectPr>
      </w:pPr>
    </w:p>
    <w:p>
      <w:pPr>
        <w:pStyle w:val="Heading2"/>
        <w:spacing w:line="290" w:lineRule="auto" w:before="36"/>
        <w:ind w:left="260" w:right="-14"/>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pStyle w:val="BodyText"/>
        <w:spacing w:line="240" w:lineRule="auto" w:before="12"/>
        <w:ind w:left="260"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312" w:val="left" w:leader="none"/>
        </w:tabs>
        <w:spacing w:line="240" w:lineRule="auto"/>
        <w:ind w:left="260" w:right="0"/>
        <w:jc w:val="left"/>
      </w:pPr>
      <w:r>
        <w:rPr>
          <w:spacing w:val="-1"/>
        </w:rPr>
        <w:t>单位：元</w:t>
        <w:tab/>
      </w:r>
      <w:r>
        <w:rPr>
          <w:spacing w:val="-2"/>
        </w:rPr>
        <w:t>币种：人民币</w:t>
      </w:r>
    </w:p>
    <w:p>
      <w:pPr>
        <w:spacing w:after="0" w:line="240" w:lineRule="auto"/>
        <w:jc w:val="left"/>
        <w:sectPr>
          <w:type w:val="continuous"/>
          <w:pgSz w:w="11910" w:h="16840"/>
          <w:pgMar w:top="1060" w:bottom="1380" w:left="1180" w:right="1200"/>
          <w:cols w:num="2" w:equalWidth="0">
            <w:col w:w="1955" w:space="4761"/>
            <w:col w:w="2814"/>
          </w:cols>
        </w:sectPr>
      </w:pPr>
    </w:p>
    <w:p>
      <w:pPr>
        <w:spacing w:line="240" w:lineRule="auto" w:before="4"/>
        <w:rPr>
          <w:rFonts w:ascii="宋体" w:hAnsi="宋体" w:cs="宋体" w:eastAsia="宋体" w:hint="default"/>
          <w:sz w:val="2"/>
          <w:szCs w:val="2"/>
        </w:rPr>
      </w:pPr>
    </w:p>
    <w:tbl>
      <w:tblPr>
        <w:tblW w:w="0" w:type="auto"/>
        <w:jc w:val="left"/>
        <w:tblInd w:w="224" w:type="dxa"/>
        <w:tblLayout w:type="fixed"/>
        <w:tblCellMar>
          <w:top w:w="0" w:type="dxa"/>
          <w:left w:w="0" w:type="dxa"/>
          <w:bottom w:w="0" w:type="dxa"/>
          <w:right w:w="0" w:type="dxa"/>
        </w:tblCellMar>
        <w:tblLook w:val="01E0"/>
      </w:tblPr>
      <w:tblGrid>
        <w:gridCol w:w="2840"/>
        <w:gridCol w:w="3116"/>
        <w:gridCol w:w="3133"/>
      </w:tblGrid>
      <w:tr>
        <w:trPr>
          <w:trHeight w:val="28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2"/>
              <w:jc w:val="right"/>
              <w:rPr>
                <w:rFonts w:ascii="宋体" w:hAnsi="宋体" w:cs="宋体" w:eastAsia="宋体" w:hint="default"/>
                <w:sz w:val="21"/>
                <w:szCs w:val="21"/>
              </w:rPr>
            </w:pPr>
            <w:r>
              <w:rPr>
                <w:rFonts w:ascii="宋体" w:hAnsi="宋体" w:cs="宋体" w:eastAsia="宋体" w:hint="default"/>
                <w:sz w:val="21"/>
                <w:szCs w:val="21"/>
              </w:rPr>
              <w:t>项目</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pacing w:val="-1"/>
                <w:sz w:val="21"/>
              </w:rPr>
              <w:t>326,203.09</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10,789,780.86</w:t>
            </w:r>
          </w:p>
        </w:tc>
      </w:tr>
      <w:tr>
        <w:trPr>
          <w:trHeight w:val="284"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2"/>
              <w:jc w:val="right"/>
              <w:rPr>
                <w:rFonts w:ascii="宋体" w:hAnsi="宋体" w:cs="宋体" w:eastAsia="宋体" w:hint="default"/>
                <w:sz w:val="21"/>
                <w:szCs w:val="21"/>
              </w:rPr>
            </w:pPr>
            <w:r>
              <w:rPr>
                <w:rFonts w:ascii="宋体" w:hAnsi="宋体" w:cs="宋体" w:eastAsia="宋体" w:hint="default"/>
                <w:sz w:val="21"/>
                <w:szCs w:val="21"/>
              </w:rPr>
              <w:t>合计</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pacing w:val="-1"/>
                <w:sz w:val="21"/>
              </w:rPr>
              <w:t>326,203.09</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10,789,780.86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60" w:right="0"/>
        <w:jc w:val="left"/>
        <w:rPr>
          <w:b w:val="0"/>
          <w:bCs w:val="0"/>
        </w:rPr>
      </w:pPr>
      <w:r>
        <w:rPr>
          <w:rFonts w:ascii="宋体" w:hAnsi="宋体" w:cs="宋体" w:eastAsia="宋体" w:hint="default"/>
        </w:rPr>
        <w:t>(2).</w:t>
      </w:r>
      <w:r>
        <w:rPr/>
        <w:t>重要逾期利息</w:t>
      </w:r>
      <w:r>
        <w:rPr>
          <w:b w:val="0"/>
          <w:bCs w:val="0"/>
        </w:rPr>
      </w:r>
    </w:p>
    <w:p>
      <w:pPr>
        <w:spacing w:line="290" w:lineRule="auto" w:before="58"/>
        <w:ind w:left="260" w:right="713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14"/>
        <w:ind w:left="260" w:right="0"/>
        <w:jc w:val="left"/>
      </w:pPr>
      <w:r>
        <w:rPr/>
        <w:t>□适用 √不适用</w:t>
      </w:r>
    </w:p>
    <w:p>
      <w:pPr>
        <w:spacing w:line="240" w:lineRule="auto" w:before="6"/>
        <w:rPr>
          <w:rFonts w:ascii="宋体" w:hAnsi="宋体" w:cs="宋体" w:eastAsia="宋体" w:hint="default"/>
          <w:sz w:val="20"/>
          <w:szCs w:val="20"/>
        </w:rPr>
      </w:pPr>
    </w:p>
    <w:p>
      <w:pPr>
        <w:pStyle w:val="BodyText"/>
        <w:spacing w:line="274" w:lineRule="exact"/>
        <w:ind w:left="260" w:right="0"/>
        <w:jc w:val="left"/>
      </w:pPr>
      <w:r>
        <w:rPr/>
        <w:t>其他说明：</w:t>
      </w:r>
    </w:p>
    <w:p>
      <w:pPr>
        <w:pStyle w:val="BodyText"/>
        <w:tabs>
          <w:tab w:pos="1102" w:val="left" w:leader="none"/>
        </w:tabs>
        <w:spacing w:line="274" w:lineRule="exact"/>
        <w:ind w:left="260" w:right="0"/>
        <w:jc w:val="left"/>
      </w:pPr>
      <w:r>
        <w:rPr/>
        <w:t>□适用</w:t>
        <w:tab/>
        <w:t>√不适用</w:t>
      </w:r>
    </w:p>
    <w:p>
      <w:pPr>
        <w:spacing w:after="0" w:line="274" w:lineRule="exact"/>
        <w:jc w:val="left"/>
        <w:sectPr>
          <w:type w:val="continuous"/>
          <w:pgSz w:w="11910" w:h="16840"/>
          <w:pgMar w:top="1060" w:bottom="1380" w:left="118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90" w:lineRule="auto" w:before="36"/>
        <w:ind w:right="7979"/>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spacing w:line="290" w:lineRule="auto" w:before="14"/>
        <w:ind w:left="220" w:right="586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90" w:lineRule="auto" w:before="14"/>
        <w:ind w:left="220" w:right="713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14"/>
        <w:ind w:right="123"/>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right="123"/>
        <w:jc w:val="left"/>
      </w:pPr>
      <w:r>
        <w:rPr/>
        <w:t>其他说明：</w:t>
      </w:r>
    </w:p>
    <w:p>
      <w:pPr>
        <w:pStyle w:val="BodyText"/>
        <w:spacing w:line="273" w:lineRule="exact"/>
        <w:ind w:right="1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20" w:right="1200"/>
        </w:sectPr>
      </w:pPr>
    </w:p>
    <w:p>
      <w:pPr>
        <w:pStyle w:val="Heading2"/>
        <w:spacing w:line="290" w:lineRule="auto" w:before="36"/>
        <w:ind w:right="185"/>
        <w:jc w:val="left"/>
        <w:rPr>
          <w:b w:val="0"/>
          <w:bCs w:val="0"/>
        </w:rPr>
      </w:pPr>
      <w:r>
        <w:rPr/>
        <w:t>其他应收款</w:t>
      </w:r>
      <w:r>
        <w:rPr>
          <w:w w:val="100"/>
        </w:rPr>
        <w:t> </w:t>
      </w:r>
      <w:r>
        <w:rPr>
          <w:rFonts w:ascii="宋体" w:hAnsi="宋体" w:cs="宋体" w:eastAsia="宋体" w:hint="default"/>
        </w:rPr>
        <w:t>(1).</w:t>
      </w:r>
      <w:r>
        <w:rPr/>
        <w:t>按账龄披露</w:t>
      </w:r>
      <w:r>
        <w:rPr>
          <w:b w:val="0"/>
          <w:bCs w:val="0"/>
        </w:rPr>
      </w:r>
    </w:p>
    <w:p>
      <w:pPr>
        <w:pStyle w:val="BodyText"/>
        <w:tabs>
          <w:tab w:pos="1062" w:val="left" w:leader="none"/>
        </w:tabs>
        <w:spacing w:line="240" w:lineRule="auto" w:before="14"/>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1903" w:space="4813"/>
            <w:col w:w="277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717"/>
        <w:gridCol w:w="4537"/>
      </w:tblGrid>
      <w:tr>
        <w:trPr>
          <w:trHeight w:val="554" w:hRule="exact"/>
        </w:trPr>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41"/>
              <w:jc w:val="right"/>
              <w:rPr>
                <w:rFonts w:ascii="宋体" w:hAnsi="宋体" w:cs="宋体" w:eastAsia="宋体" w:hint="default"/>
                <w:sz w:val="21"/>
                <w:szCs w:val="21"/>
              </w:rPr>
            </w:pPr>
            <w:r>
              <w:rPr>
                <w:rFonts w:ascii="宋体" w:hAnsi="宋体" w:cs="宋体" w:eastAsia="宋体" w:hint="default"/>
                <w:sz w:val="21"/>
                <w:szCs w:val="21"/>
              </w:rPr>
              <w:t>账龄</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45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4717"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70,271,942.71</w:t>
            </w:r>
          </w:p>
        </w:tc>
      </w:tr>
      <w:tr>
        <w:trPr>
          <w:trHeight w:val="283" w:hRule="exact"/>
        </w:trPr>
        <w:tc>
          <w:tcPr>
            <w:tcW w:w="4717"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70,271,942.71</w:t>
            </w:r>
          </w:p>
        </w:tc>
      </w:tr>
      <w:tr>
        <w:trPr>
          <w:trHeight w:val="283" w:hRule="exact"/>
        </w:trPr>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19,202,481.74</w:t>
            </w:r>
          </w:p>
        </w:tc>
      </w:tr>
      <w:tr>
        <w:trPr>
          <w:trHeight w:val="283" w:hRule="exact"/>
        </w:trPr>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3,782,060.02</w:t>
            </w:r>
          </w:p>
        </w:tc>
      </w:tr>
      <w:tr>
        <w:trPr>
          <w:trHeight w:val="281" w:hRule="exact"/>
        </w:trPr>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5,420,138.44</w:t>
            </w:r>
          </w:p>
        </w:tc>
      </w:tr>
      <w:tr>
        <w:trPr>
          <w:trHeight w:val="283" w:hRule="exact"/>
        </w:trPr>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1"/>
              <w:jc w:val="right"/>
              <w:rPr>
                <w:rFonts w:ascii="宋体" w:hAnsi="宋体" w:cs="宋体" w:eastAsia="宋体" w:hint="default"/>
                <w:sz w:val="21"/>
                <w:szCs w:val="21"/>
              </w:rPr>
            </w:pPr>
            <w:r>
              <w:rPr>
                <w:rFonts w:ascii="宋体" w:hAnsi="宋体" w:cs="宋体" w:eastAsia="宋体" w:hint="default"/>
                <w:sz w:val="21"/>
                <w:szCs w:val="21"/>
              </w:rPr>
              <w:t>合计</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98,676,622.91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220" w:right="1200"/>
        </w:sectPr>
      </w:pPr>
    </w:p>
    <w:p>
      <w:pPr>
        <w:pStyle w:val="Heading2"/>
        <w:spacing w:line="240" w:lineRule="auto" w:before="36"/>
        <w:ind w:right="-13"/>
        <w:jc w:val="left"/>
        <w:rPr>
          <w:b w:val="0"/>
          <w:bCs w:val="0"/>
        </w:rPr>
      </w:pPr>
      <w:r>
        <w:rPr>
          <w:rFonts w:ascii="宋体" w:hAnsi="宋体" w:cs="宋体" w:eastAsia="宋体" w:hint="default"/>
        </w:rPr>
        <w:t>(2).</w:t>
      </w:r>
      <w:r>
        <w:rPr/>
        <w:t>按款项性质分类情况</w:t>
      </w:r>
      <w:r>
        <w:rPr>
          <w:b w:val="0"/>
          <w:bCs w:val="0"/>
        </w:rPr>
      </w:r>
    </w:p>
    <w:p>
      <w:pPr>
        <w:pStyle w:val="BodyText"/>
        <w:spacing w:line="240" w:lineRule="auto" w:before="58"/>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2549" w:space="3963"/>
            <w:col w:w="297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145"/>
        <w:gridCol w:w="3044"/>
        <w:gridCol w:w="3056"/>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应收关联方款项</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1,079,617.10</w:t>
            </w: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62,834,040.16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53,206,907.36</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2,291,262.58</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5,594,669.27</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45,956,604.43</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50,761,671.44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112,161,524.27</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109,563,248.07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220" w:right="1200"/>
        </w:sectPr>
      </w:pPr>
    </w:p>
    <w:p>
      <w:pPr>
        <w:pStyle w:val="Heading2"/>
        <w:spacing w:line="240" w:lineRule="auto" w:before="36"/>
        <w:ind w:right="-13"/>
        <w:jc w:val="left"/>
        <w:rPr>
          <w:b w:val="0"/>
          <w:bCs w:val="0"/>
        </w:rPr>
      </w:pPr>
      <w:r>
        <w:rPr>
          <w:rFonts w:ascii="宋体" w:hAnsi="宋体" w:cs="宋体" w:eastAsia="宋体" w:hint="default"/>
        </w:rPr>
        <w:t>(3).</w:t>
      </w:r>
      <w:r>
        <w:rPr/>
        <w:t>坏账准备计提情况</w:t>
      </w:r>
      <w:r>
        <w:rPr>
          <w:b w:val="0"/>
          <w:bCs w:val="0"/>
        </w:rPr>
      </w:r>
    </w:p>
    <w:p>
      <w:pPr>
        <w:pStyle w:val="BodyText"/>
        <w:tabs>
          <w:tab w:pos="1062" w:val="left" w:leader="none"/>
        </w:tabs>
        <w:spacing w:line="240" w:lineRule="auto" w:before="58"/>
        <w:ind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2338" w:space="4273"/>
            <w:col w:w="2879"/>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4"/>
        <w:gridCol w:w="1416"/>
        <w:gridCol w:w="1560"/>
        <w:gridCol w:w="1721"/>
        <w:gridCol w:w="1743"/>
      </w:tblGrid>
      <w:tr>
        <w:trPr>
          <w:trHeight w:val="281" w:hRule="exact"/>
        </w:trPr>
        <w:tc>
          <w:tcPr>
            <w:tcW w:w="28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7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828" w:hRule="exact"/>
        </w:trPr>
        <w:tc>
          <w:tcPr>
            <w:tcW w:w="2804"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w:t>
            </w:r>
          </w:p>
          <w:p>
            <w:pPr>
              <w:pStyle w:val="TableParagraph"/>
              <w:spacing w:line="240" w:lineRule="auto"/>
              <w:ind w:left="595" w:right="175" w:hanging="420"/>
              <w:jc w:val="left"/>
              <w:rPr>
                <w:rFonts w:ascii="宋体" w:hAnsi="宋体" w:cs="宋体" w:eastAsia="宋体" w:hint="default"/>
                <w:sz w:val="21"/>
                <w:szCs w:val="21"/>
              </w:rPr>
            </w:pPr>
            <w:r>
              <w:rPr>
                <w:rFonts w:ascii="宋体" w:hAnsi="宋体" w:cs="宋体" w:eastAsia="宋体" w:hint="default"/>
                <w:sz w:val="21"/>
                <w:szCs w:val="21"/>
              </w:rPr>
              <w:t>预期信用损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整个存续期预</w:t>
            </w:r>
          </w:p>
          <w:p>
            <w:pPr>
              <w:pStyle w:val="TableParagraph"/>
              <w:spacing w:line="240" w:lineRule="auto"/>
              <w:ind w:left="196" w:right="195" w:hanging="3"/>
              <w:jc w:val="center"/>
              <w:rPr>
                <w:rFonts w:ascii="宋体" w:hAnsi="宋体" w:cs="宋体" w:eastAsia="宋体" w:hint="default"/>
                <w:sz w:val="21"/>
                <w:szCs w:val="21"/>
              </w:rPr>
            </w:pPr>
            <w:r>
              <w:rPr>
                <w:rFonts w:ascii="宋体" w:hAnsi="宋体" w:cs="宋体" w:eastAsia="宋体" w:hint="default"/>
                <w:sz w:val="21"/>
                <w:szCs w:val="21"/>
              </w:rPr>
              <w:t>期信用损失</w:t>
            </w:r>
            <w:r>
              <w:rPr>
                <w:rFonts w:ascii="宋体" w:hAnsi="宋体" w:cs="宋体" w:eastAsia="宋体" w:hint="default"/>
                <w:w w:val="100"/>
                <w:sz w:val="21"/>
                <w:szCs w:val="21"/>
              </w:rPr>
              <w:t> </w:t>
            </w:r>
            <w:r>
              <w:rPr>
                <w:rFonts w:ascii="宋体" w:hAnsi="宋体" w:cs="宋体" w:eastAsia="宋体" w:hint="default"/>
                <w:spacing w:val="-1"/>
                <w:sz w:val="21"/>
                <w:szCs w:val="21"/>
              </w:rPr>
              <w:t>(</w:t>
            </w:r>
            <w:r>
              <w:rPr>
                <w:rFonts w:ascii="宋体" w:hAnsi="宋体" w:cs="宋体" w:eastAsia="宋体" w:hint="default"/>
                <w:spacing w:val="-1"/>
                <w:sz w:val="21"/>
                <w:szCs w:val="21"/>
              </w:rPr>
              <w:t>未发生信用</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40" w:lineRule="auto"/>
              <w:ind w:left="275" w:right="170"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已发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w:t>
            </w:r>
          </w:p>
        </w:tc>
        <w:tc>
          <w:tcPr>
            <w:tcW w:w="174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804"/>
        <w:gridCol w:w="1416"/>
        <w:gridCol w:w="1560"/>
        <w:gridCol w:w="1721"/>
        <w:gridCol w:w="1743"/>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z w:val="21"/>
                <w:szCs w:val="21"/>
              </w:rPr>
              <w:t>)</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10,998,113.44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10,998,113.44</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193,633.14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4,349,228.63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4,542,861.77</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2,056,073.85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2,056,073.85</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193,633.14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13,291,268.22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13,484,901.36</w:t>
            </w:r>
          </w:p>
        </w:tc>
      </w:tr>
    </w:tbl>
    <w:p>
      <w:pPr>
        <w:spacing w:line="240" w:lineRule="auto" w:before="7"/>
        <w:rPr>
          <w:rFonts w:ascii="宋体" w:hAnsi="宋体" w:cs="宋体" w:eastAsia="宋体" w:hint="default"/>
          <w:sz w:val="15"/>
          <w:szCs w:val="15"/>
        </w:rPr>
      </w:pPr>
    </w:p>
    <w:p>
      <w:pPr>
        <w:pStyle w:val="BodyText"/>
        <w:spacing w:line="273" w:lineRule="exact" w:before="36"/>
        <w:ind w:right="123"/>
        <w:jc w:val="left"/>
      </w:pPr>
      <w:r>
        <w:rPr/>
        <w:t>对本期发生损失准备变动的其他应收款账面余额显著变动的情况说明：</w:t>
      </w:r>
    </w:p>
    <w:p>
      <w:pPr>
        <w:pStyle w:val="BodyText"/>
        <w:tabs>
          <w:tab w:pos="1062" w:val="left" w:leader="none"/>
        </w:tabs>
        <w:spacing w:line="273" w:lineRule="exact"/>
        <w:ind w:right="123"/>
        <w:jc w:val="left"/>
      </w:pPr>
      <w:r>
        <w:rPr/>
        <w:t>□适用</w:t>
        <w:tab/>
        <w:t>√不适用</w:t>
      </w:r>
    </w:p>
    <w:p>
      <w:pPr>
        <w:spacing w:line="240" w:lineRule="auto" w:before="8"/>
        <w:rPr>
          <w:rFonts w:ascii="宋体" w:hAnsi="宋体" w:cs="宋体" w:eastAsia="宋体" w:hint="default"/>
          <w:sz w:val="20"/>
          <w:szCs w:val="20"/>
        </w:rPr>
      </w:pPr>
    </w:p>
    <w:p>
      <w:pPr>
        <w:pStyle w:val="BodyText"/>
        <w:spacing w:line="274" w:lineRule="exact"/>
        <w:ind w:right="123"/>
        <w:jc w:val="left"/>
      </w:pPr>
      <w:r>
        <w:rPr/>
        <w:t>本期坏账准备计提金额以及评估金融工具的信用风险是否显著增加的采用依据：</w:t>
      </w:r>
    </w:p>
    <w:p>
      <w:pPr>
        <w:pStyle w:val="BodyText"/>
        <w:spacing w:line="274" w:lineRule="exact"/>
        <w:ind w:right="123"/>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220" w:right="1200"/>
        </w:sectPr>
      </w:pPr>
    </w:p>
    <w:p>
      <w:pPr>
        <w:pStyle w:val="Heading2"/>
        <w:spacing w:line="240" w:lineRule="auto" w:before="36"/>
        <w:ind w:right="-13"/>
        <w:jc w:val="left"/>
        <w:rPr>
          <w:b w:val="0"/>
          <w:bCs w:val="0"/>
        </w:rPr>
      </w:pPr>
      <w:r>
        <w:rPr>
          <w:rFonts w:ascii="宋体" w:hAnsi="宋体" w:cs="宋体" w:eastAsia="宋体" w:hint="default"/>
        </w:rPr>
        <w:t>(4).</w:t>
      </w:r>
      <w:r>
        <w:rPr/>
        <w:t>坏账准备的情况</w:t>
      </w:r>
      <w:r>
        <w:rPr>
          <w:b w:val="0"/>
          <w:bCs w:val="0"/>
        </w:rPr>
      </w:r>
    </w:p>
    <w:p>
      <w:pPr>
        <w:pStyle w:val="BodyText"/>
        <w:spacing w:line="240" w:lineRule="auto" w:before="56"/>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2127" w:space="4590"/>
            <w:col w:w="2773"/>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30"/>
        <w:gridCol w:w="1592"/>
        <w:gridCol w:w="1488"/>
        <w:gridCol w:w="1486"/>
        <w:gridCol w:w="1366"/>
        <w:gridCol w:w="1591"/>
      </w:tblGrid>
      <w:tr>
        <w:trPr>
          <w:trHeight w:val="283" w:hRule="exact"/>
        </w:trPr>
        <w:tc>
          <w:tcPr>
            <w:tcW w:w="1730"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107"/>
              <w:ind w:left="36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107"/>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30"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转销或核销</w:t>
            </w:r>
          </w:p>
        </w:tc>
        <w:tc>
          <w:tcPr>
            <w:tcW w:w="1591" w:type="dxa"/>
            <w:vMerge/>
            <w:tcBorders>
              <w:left w:val="single" w:sz="4" w:space="0" w:color="000000"/>
              <w:bottom w:val="single" w:sz="4" w:space="0" w:color="000000"/>
              <w:right w:val="single" w:sz="4" w:space="0" w:color="000000"/>
            </w:tcBorders>
          </w:tcPr>
          <w:p>
            <w:pPr/>
          </w:p>
        </w:tc>
      </w:tr>
      <w:tr>
        <w:trPr>
          <w:trHeight w:val="281"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10,998,113.44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4,542,861.77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2,056,073.85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13,484,901.36</w:t>
            </w:r>
          </w:p>
        </w:tc>
      </w:tr>
      <w:tr>
        <w:trPr>
          <w:trHeight w:val="28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10,998,113.44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4,542,861.77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2,056,073.85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13,484,901.36</w:t>
            </w:r>
          </w:p>
        </w:tc>
      </w:tr>
    </w:tbl>
    <w:p>
      <w:pPr>
        <w:spacing w:line="240" w:lineRule="auto" w:before="7"/>
        <w:rPr>
          <w:rFonts w:ascii="宋体" w:hAnsi="宋体" w:cs="宋体" w:eastAsia="宋体" w:hint="default"/>
          <w:sz w:val="15"/>
          <w:szCs w:val="15"/>
        </w:rPr>
      </w:pPr>
    </w:p>
    <w:p>
      <w:pPr>
        <w:pStyle w:val="BodyText"/>
        <w:spacing w:line="273" w:lineRule="exact" w:before="36"/>
        <w:ind w:right="123"/>
        <w:jc w:val="left"/>
      </w:pPr>
      <w:r>
        <w:rPr/>
        <w:t>其中本期坏账准备转回或收回金额重要的：</w:t>
      </w:r>
    </w:p>
    <w:p>
      <w:pPr>
        <w:spacing w:line="290" w:lineRule="auto" w:before="0"/>
        <w:ind w:left="220" w:right="58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pStyle w:val="BodyText"/>
        <w:spacing w:line="240" w:lineRule="auto" w:before="12"/>
        <w:ind w:right="1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220" w:right="1200"/>
        </w:sectPr>
      </w:pPr>
    </w:p>
    <w:p>
      <w:pPr>
        <w:pStyle w:val="Heading2"/>
        <w:spacing w:line="240" w:lineRule="auto" w:before="36"/>
        <w:ind w:right="0"/>
        <w:jc w:val="left"/>
        <w:rPr>
          <w:b w:val="0"/>
          <w:bCs w:val="0"/>
        </w:rPr>
      </w:pPr>
      <w:r>
        <w:rPr>
          <w:rFonts w:ascii="宋体" w:hAnsi="宋体" w:cs="宋体" w:eastAsia="宋体" w:hint="default"/>
          <w:spacing w:val="-1"/>
        </w:rPr>
        <w:t>(6).</w:t>
      </w:r>
      <w:r>
        <w:rPr>
          <w:spacing w:val="-1"/>
        </w:rPr>
        <w:t>按欠款方归集的期末余额前五名的其他应收款情况</w:t>
      </w:r>
      <w:r>
        <w:rPr>
          <w:b w:val="0"/>
          <w:bCs w:val="0"/>
          <w:spacing w:val="-1"/>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5288" w:space="1429"/>
            <w:col w:w="2773"/>
          </w:cols>
        </w:sectPr>
      </w:pPr>
    </w:p>
    <w:p>
      <w:pPr>
        <w:spacing w:line="240" w:lineRule="auto" w:before="4"/>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1915"/>
        <w:gridCol w:w="1273"/>
        <w:gridCol w:w="1334"/>
        <w:gridCol w:w="1304"/>
        <w:gridCol w:w="1565"/>
        <w:gridCol w:w="1700"/>
      </w:tblGrid>
      <w:tr>
        <w:trPr>
          <w:trHeight w:val="82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10" w:right="38"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42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47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安徽四和数码科技发</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5,269,196.00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6-7</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5,269,196.00</w:t>
            </w:r>
          </w:p>
        </w:tc>
      </w:tr>
      <w:tr>
        <w:trPr>
          <w:trHeight w:val="24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叙永县财政局</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宋体" w:hAnsi="宋体" w:cs="宋体" w:eastAsia="宋体" w:hint="default"/>
                <w:sz w:val="18"/>
                <w:szCs w:val="18"/>
              </w:rPr>
              <w:t>/</w:t>
            </w:r>
            <w:r>
              <w:rPr>
                <w:rFonts w:ascii="宋体" w:hAnsi="宋体" w:cs="宋体" w:eastAsia="宋体" w:hint="default"/>
                <w:sz w:val="18"/>
                <w:szCs w:val="18"/>
              </w:rPr>
              <w:t>保证金</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3,647,499.60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3.24</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成都市中航地产发展</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宋体" w:hAnsi="宋体" w:cs="宋体" w:eastAsia="宋体" w:hint="default"/>
                <w:sz w:val="18"/>
                <w:szCs w:val="18"/>
              </w:rPr>
              <w:t>/</w:t>
            </w:r>
            <w:r>
              <w:rPr>
                <w:rFonts w:ascii="宋体" w:hAnsi="宋体" w:cs="宋体" w:eastAsia="宋体" w:hint="default"/>
                <w:sz w:val="18"/>
                <w:szCs w:val="18"/>
              </w:rPr>
              <w:t>保证金</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3,113,802.00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7"/>
                <w:sz w:val="18"/>
                <w:szCs w:val="18"/>
              </w:rPr>
              <w:t>年以内，</w:t>
            </w:r>
            <w:r>
              <w:rPr>
                <w:rFonts w:ascii="宋体" w:hAnsi="宋体" w:cs="宋体" w:eastAsia="宋体" w:hint="default"/>
                <w:spacing w:val="-7"/>
                <w:sz w:val="18"/>
                <w:szCs w:val="18"/>
              </w:rPr>
              <w:t>1-2</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2.77</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四川龙阳天府新区建</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设投资有限公司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宋体" w:hAnsi="宋体" w:cs="宋体" w:eastAsia="宋体" w:hint="default"/>
                <w:sz w:val="18"/>
                <w:szCs w:val="18"/>
              </w:rPr>
              <w:t>/</w:t>
            </w:r>
            <w:r>
              <w:rPr>
                <w:rFonts w:ascii="宋体" w:hAnsi="宋体" w:cs="宋体" w:eastAsia="宋体" w:hint="default"/>
                <w:sz w:val="18"/>
                <w:szCs w:val="18"/>
              </w:rPr>
              <w:t>保证金</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2,228,867.24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1.98</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宜宾县教育财会管理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宋体" w:hAnsi="宋体" w:cs="宋体" w:eastAsia="宋体" w:hint="default"/>
                <w:sz w:val="18"/>
                <w:szCs w:val="18"/>
              </w:rPr>
              <w:t>/</w:t>
            </w:r>
            <w:r>
              <w:rPr>
                <w:rFonts w:ascii="宋体" w:hAnsi="宋体" w:cs="宋体" w:eastAsia="宋体" w:hint="default"/>
                <w:sz w:val="18"/>
                <w:szCs w:val="18"/>
              </w:rPr>
              <w:t>保证金</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2,487,288.63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2.21</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hAnsi="宋体" w:cs="宋体" w:eastAsia="宋体" w:hint="default"/>
                <w:sz w:val="18"/>
                <w:szCs w:val="18"/>
              </w:rPr>
              <w:t>合计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0"/>
              <w:jc w:val="center"/>
              <w:rPr>
                <w:rFonts w:ascii="宋体" w:hAnsi="宋体" w:cs="宋体" w:eastAsia="宋体" w:hint="default"/>
                <w:sz w:val="18"/>
                <w:szCs w:val="18"/>
              </w:rPr>
            </w:pPr>
            <w:r>
              <w:rPr>
                <w:rFonts w:ascii="宋体"/>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16,746,653.47</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3"/>
              <w:jc w:val="center"/>
              <w:rPr>
                <w:rFonts w:ascii="宋体" w:hAnsi="宋体" w:cs="宋体" w:eastAsia="宋体" w:hint="default"/>
                <w:sz w:val="18"/>
                <w:szCs w:val="18"/>
              </w:rPr>
            </w:pPr>
            <w:r>
              <w:rPr>
                <w:rFonts w:ascii="宋体"/>
                <w:sz w:val="18"/>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14.88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5,269,196.00</w:t>
            </w:r>
          </w:p>
        </w:tc>
      </w:tr>
    </w:tbl>
    <w:p>
      <w:pPr>
        <w:spacing w:line="240" w:lineRule="auto" w:before="12"/>
        <w:rPr>
          <w:rFonts w:ascii="宋体" w:hAnsi="宋体" w:cs="宋体" w:eastAsia="宋体" w:hint="default"/>
          <w:sz w:val="19"/>
          <w:szCs w:val="19"/>
        </w:rPr>
      </w:pPr>
    </w:p>
    <w:p>
      <w:pPr>
        <w:pStyle w:val="Heading2"/>
        <w:spacing w:line="240" w:lineRule="auto" w:before="36"/>
        <w:ind w:right="123"/>
        <w:jc w:val="left"/>
        <w:rPr>
          <w:b w:val="0"/>
          <w:bCs w:val="0"/>
        </w:rPr>
      </w:pPr>
      <w:r>
        <w:rPr>
          <w:rFonts w:ascii="宋体" w:hAnsi="宋体" w:cs="宋体" w:eastAsia="宋体" w:hint="default"/>
        </w:rPr>
        <w:t>(7).</w:t>
      </w:r>
      <w:r>
        <w:rPr/>
        <w:t>涉及政府补助的应收款项</w:t>
      </w:r>
      <w:r>
        <w:rPr>
          <w:b w:val="0"/>
          <w:bCs w:val="0"/>
        </w:rPr>
      </w:r>
    </w:p>
    <w:p>
      <w:pPr>
        <w:pStyle w:val="BodyText"/>
        <w:spacing w:line="240" w:lineRule="auto" w:before="58"/>
        <w:ind w:right="123"/>
        <w:jc w:val="left"/>
      </w:pPr>
      <w:r>
        <w:rPr/>
        <w:t>□适用 √不适用</w:t>
      </w:r>
    </w:p>
    <w:p>
      <w:pPr>
        <w:spacing w:after="0" w:line="240" w:lineRule="auto"/>
        <w:jc w:val="left"/>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36"/>
        <w:ind w:left="500" w:right="560"/>
        <w:jc w:val="left"/>
        <w:rPr>
          <w:b w:val="0"/>
          <w:bCs w:val="0"/>
        </w:rPr>
      </w:pPr>
      <w:r>
        <w:rPr>
          <w:rFonts w:ascii="宋体" w:hAnsi="宋体" w:cs="宋体" w:eastAsia="宋体" w:hint="default"/>
        </w:rPr>
        <w:t>(8).</w:t>
      </w:r>
      <w:r>
        <w:rPr/>
        <w:t>因金融资产转移而终止确认的其他应收款</w:t>
      </w:r>
      <w:r>
        <w:rPr>
          <w:b w:val="0"/>
          <w:bCs w:val="0"/>
        </w:rPr>
      </w:r>
    </w:p>
    <w:p>
      <w:pPr>
        <w:pStyle w:val="BodyText"/>
        <w:tabs>
          <w:tab w:pos="1342" w:val="left" w:leader="none"/>
        </w:tabs>
        <w:spacing w:line="240" w:lineRule="auto" w:before="56"/>
        <w:ind w:left="500" w:right="560"/>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500" w:right="560"/>
        <w:jc w:val="left"/>
        <w:rPr>
          <w:b w:val="0"/>
          <w:bCs w:val="0"/>
        </w:rPr>
      </w:pPr>
      <w:r>
        <w:rPr>
          <w:rFonts w:ascii="宋体" w:hAnsi="宋体" w:cs="宋体" w:eastAsia="宋体" w:hint="default"/>
        </w:rPr>
        <w:t>(9).</w:t>
      </w:r>
      <w:r>
        <w:rPr/>
        <w:t>转移其他应收款且继续涉入形成的资产、负债的金额</w:t>
      </w:r>
      <w:r>
        <w:rPr>
          <w:b w:val="0"/>
          <w:bCs w:val="0"/>
        </w:rPr>
      </w:r>
    </w:p>
    <w:p>
      <w:pPr>
        <w:pStyle w:val="BodyText"/>
        <w:tabs>
          <w:tab w:pos="1342" w:val="left" w:leader="none"/>
        </w:tabs>
        <w:spacing w:line="240" w:lineRule="auto" w:before="58"/>
        <w:ind w:left="500" w:right="560"/>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left="500" w:right="560"/>
        <w:jc w:val="left"/>
      </w:pPr>
      <w:r>
        <w:rPr/>
        <w:t>其他说明：</w:t>
      </w:r>
    </w:p>
    <w:p>
      <w:pPr>
        <w:pStyle w:val="BodyText"/>
        <w:tabs>
          <w:tab w:pos="1342" w:val="left" w:leader="none"/>
        </w:tabs>
        <w:spacing w:line="273" w:lineRule="exact"/>
        <w:ind w:left="500" w:right="560"/>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940" w:right="940"/>
        </w:sectPr>
      </w:pPr>
    </w:p>
    <w:p>
      <w:pPr>
        <w:pStyle w:val="Heading2"/>
        <w:spacing w:line="292" w:lineRule="auto" w:before="36"/>
        <w:ind w:left="500" w:right="290"/>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0"/>
        <w:ind w:left="50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52" w:val="left" w:leader="none"/>
        </w:tabs>
        <w:spacing w:line="240" w:lineRule="auto"/>
        <w:ind w:left="500" w:right="0"/>
        <w:jc w:val="left"/>
      </w:pPr>
      <w:r>
        <w:rPr>
          <w:spacing w:val="-1"/>
        </w:rPr>
        <w:t>单位：元</w:t>
        <w:tab/>
      </w:r>
      <w:r>
        <w:rPr>
          <w:spacing w:val="-2"/>
        </w:rPr>
        <w:t>币种：人民币</w:t>
      </w:r>
    </w:p>
    <w:p>
      <w:pPr>
        <w:spacing w:after="0" w:line="240" w:lineRule="auto"/>
        <w:jc w:val="left"/>
        <w:sectPr>
          <w:type w:val="continuous"/>
          <w:pgSz w:w="11910" w:h="16840"/>
          <w:pgMar w:top="1060" w:bottom="1380" w:left="940" w:right="940"/>
          <w:cols w:num="2" w:equalWidth="0">
            <w:col w:w="2078" w:space="4638"/>
            <w:col w:w="3314"/>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946"/>
        <w:gridCol w:w="1534"/>
        <w:gridCol w:w="1352"/>
        <w:gridCol w:w="1534"/>
        <w:gridCol w:w="1534"/>
        <w:gridCol w:w="1352"/>
        <w:gridCol w:w="1534"/>
      </w:tblGrid>
      <w:tr>
        <w:trPr>
          <w:trHeight w:val="242" w:hRule="exact"/>
        </w:trPr>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0" w:hRule="exact"/>
        </w:trPr>
        <w:tc>
          <w:tcPr>
            <w:tcW w:w="946"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firstLine="43"/>
              <w:jc w:val="left"/>
              <w:rPr>
                <w:rFonts w:ascii="宋体" w:hAnsi="宋体" w:cs="宋体" w:eastAsia="宋体" w:hint="default"/>
                <w:sz w:val="18"/>
                <w:szCs w:val="18"/>
              </w:rPr>
            </w:pPr>
            <w:r>
              <w:rPr>
                <w:rFonts w:ascii="宋体" w:hAnsi="宋体" w:cs="宋体" w:eastAsia="宋体" w:hint="default"/>
                <w:sz w:val="18"/>
                <w:szCs w:val="18"/>
              </w:rPr>
              <w:t>存货跌价准备</w:t>
            </w:r>
            <w:r>
              <w:rPr>
                <w:rFonts w:ascii="宋体" w:hAnsi="宋体" w:cs="宋体" w:eastAsia="宋体" w:hint="default"/>
                <w:sz w:val="18"/>
                <w:szCs w:val="18"/>
              </w:rPr>
              <w:t>/</w:t>
            </w:r>
          </w:p>
          <w:p>
            <w:pPr>
              <w:pStyle w:val="TableParagraph"/>
              <w:spacing w:line="232" w:lineRule="exact" w:before="23"/>
              <w:ind w:left="398" w:right="41" w:hanging="361"/>
              <w:jc w:val="left"/>
              <w:rPr>
                <w:rFonts w:ascii="宋体" w:hAnsi="宋体" w:cs="宋体" w:eastAsia="宋体" w:hint="default"/>
                <w:sz w:val="18"/>
                <w:szCs w:val="18"/>
              </w:rPr>
            </w:pPr>
            <w:r>
              <w:rPr>
                <w:rFonts w:ascii="宋体" w:hAnsi="宋体" w:cs="宋体" w:eastAsia="宋体" w:hint="default"/>
                <w:sz w:val="18"/>
                <w:szCs w:val="18"/>
              </w:rPr>
              <w:t>合同履约成本减 值准备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58,095,851.77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3,271,801.21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54,824,050.56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61,965,619.86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3,271,801.21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58,693,818.65</w:t>
            </w:r>
          </w:p>
        </w:tc>
      </w:tr>
      <w:tr>
        <w:trPr>
          <w:trHeight w:val="24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161,510,325.29</w:t>
            </w:r>
          </w:p>
        </w:tc>
        <w:tc>
          <w:tcPr>
            <w:tcW w:w="13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161,510,325.29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118,847,540.30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118,847,540.30</w:t>
            </w:r>
          </w:p>
        </w:tc>
      </w:tr>
      <w:tr>
        <w:trPr>
          <w:trHeight w:val="24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1,878,279,312.31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173,068,922.90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1,705,210,389.41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1,747,020,907.57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160,116,806.30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1,586,904,101.27</w:t>
            </w:r>
          </w:p>
        </w:tc>
      </w:tr>
      <w:tr>
        <w:trPr>
          <w:trHeight w:val="24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5"/>
              <w:jc w:val="right"/>
              <w:rPr>
                <w:rFonts w:ascii="宋体" w:hAnsi="宋体" w:cs="宋体" w:eastAsia="宋体" w:hint="default"/>
                <w:sz w:val="18"/>
                <w:szCs w:val="18"/>
              </w:rPr>
            </w:pPr>
            <w:r>
              <w:rPr>
                <w:rFonts w:ascii="宋体"/>
                <w:spacing w:val="-1"/>
                <w:sz w:val="18"/>
              </w:rPr>
              <w:t>2,097,885,489.37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pacing w:val="-1"/>
                <w:sz w:val="18"/>
              </w:rPr>
              <w:t>176,340,724.11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6"/>
              <w:jc w:val="right"/>
              <w:rPr>
                <w:rFonts w:ascii="宋体" w:hAnsi="宋体" w:cs="宋体" w:eastAsia="宋体" w:hint="default"/>
                <w:sz w:val="18"/>
                <w:szCs w:val="18"/>
              </w:rPr>
            </w:pPr>
            <w:r>
              <w:rPr>
                <w:rFonts w:ascii="宋体"/>
                <w:spacing w:val="-1"/>
                <w:sz w:val="18"/>
              </w:rPr>
              <w:t>1,921,544,765.26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5"/>
              <w:jc w:val="right"/>
              <w:rPr>
                <w:rFonts w:ascii="宋体" w:hAnsi="宋体" w:cs="宋体" w:eastAsia="宋体" w:hint="default"/>
                <w:sz w:val="18"/>
                <w:szCs w:val="18"/>
              </w:rPr>
            </w:pPr>
            <w:r>
              <w:rPr>
                <w:rFonts w:ascii="宋体"/>
                <w:spacing w:val="-1"/>
                <w:sz w:val="18"/>
              </w:rPr>
              <w:t>1,927,834,067.73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pacing w:val="-1"/>
                <w:sz w:val="18"/>
              </w:rPr>
              <w:t>163,388,607.51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5"/>
              <w:jc w:val="right"/>
              <w:rPr>
                <w:rFonts w:ascii="宋体" w:hAnsi="宋体" w:cs="宋体" w:eastAsia="宋体" w:hint="default"/>
                <w:sz w:val="18"/>
                <w:szCs w:val="18"/>
              </w:rPr>
            </w:pPr>
            <w:r>
              <w:rPr>
                <w:rFonts w:ascii="宋体"/>
                <w:spacing w:val="-1"/>
                <w:sz w:val="18"/>
              </w:rPr>
              <w:t>1,764,445,460.22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940" w:right="940"/>
        </w:sectPr>
      </w:pPr>
    </w:p>
    <w:p>
      <w:pPr>
        <w:pStyle w:val="Heading2"/>
        <w:spacing w:line="240" w:lineRule="auto" w:before="36"/>
        <w:ind w:left="500" w:right="-14"/>
        <w:jc w:val="left"/>
        <w:rPr>
          <w:b w:val="0"/>
          <w:bCs w:val="0"/>
        </w:rPr>
      </w:pPr>
      <w:r>
        <w:rPr>
          <w:rFonts w:ascii="宋体" w:hAnsi="宋体" w:cs="宋体" w:eastAsia="宋体" w:hint="default"/>
        </w:rPr>
        <w:t>(2).</w:t>
      </w:r>
      <w:r>
        <w:rPr/>
        <w:t>存货跌价准备及合同履约成本减值准备</w:t>
      </w:r>
      <w:r>
        <w:rPr>
          <w:b w:val="0"/>
          <w:bCs w:val="0"/>
        </w:rPr>
      </w:r>
    </w:p>
    <w:p>
      <w:pPr>
        <w:pStyle w:val="BodyText"/>
        <w:spacing w:line="240" w:lineRule="auto" w:before="56"/>
        <w:ind w:left="500"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52" w:val="left" w:leader="none"/>
        </w:tabs>
        <w:spacing w:line="240" w:lineRule="auto"/>
        <w:ind w:left="500" w:right="0"/>
        <w:jc w:val="left"/>
      </w:pPr>
      <w:r>
        <w:rPr>
          <w:spacing w:val="-1"/>
        </w:rPr>
        <w:t>单位：元</w:t>
        <w:tab/>
      </w:r>
      <w:r>
        <w:rPr>
          <w:spacing w:val="-2"/>
        </w:rPr>
        <w:t>币种：人民币</w:t>
      </w:r>
    </w:p>
    <w:p>
      <w:pPr>
        <w:spacing w:after="0" w:line="240" w:lineRule="auto"/>
        <w:jc w:val="left"/>
        <w:sectPr>
          <w:type w:val="continuous"/>
          <w:pgSz w:w="11910" w:h="16840"/>
          <w:pgMar w:top="1060" w:bottom="1380" w:left="940" w:right="940"/>
          <w:cols w:num="2" w:equalWidth="0">
            <w:col w:w="4514" w:space="2202"/>
            <w:col w:w="3314"/>
          </w:cols>
        </w:sectPr>
      </w:pPr>
    </w:p>
    <w:p>
      <w:pPr>
        <w:spacing w:line="240" w:lineRule="auto" w:before="4"/>
        <w:rPr>
          <w:rFonts w:ascii="宋体" w:hAnsi="宋体" w:cs="宋体" w:eastAsia="宋体" w:hint="default"/>
          <w:sz w:val="2"/>
          <w:szCs w:val="2"/>
        </w:rPr>
      </w:pPr>
    </w:p>
    <w:tbl>
      <w:tblPr>
        <w:tblW w:w="0" w:type="auto"/>
        <w:jc w:val="left"/>
        <w:tblInd w:w="387" w:type="dxa"/>
        <w:tblLayout w:type="fixed"/>
        <w:tblCellMar>
          <w:top w:w="0" w:type="dxa"/>
          <w:left w:w="0" w:type="dxa"/>
          <w:bottom w:w="0" w:type="dxa"/>
          <w:right w:w="0" w:type="dxa"/>
        </w:tblCellMar>
        <w:tblLook w:val="01E0"/>
      </w:tblPr>
      <w:tblGrid>
        <w:gridCol w:w="1385"/>
        <w:gridCol w:w="1558"/>
        <w:gridCol w:w="1562"/>
        <w:gridCol w:w="567"/>
        <w:gridCol w:w="1418"/>
        <w:gridCol w:w="1417"/>
        <w:gridCol w:w="1558"/>
      </w:tblGrid>
      <w:tr>
        <w:trPr>
          <w:trHeight w:val="247"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1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385"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4" w:space="0" w:color="000000"/>
              <w:bottom w:val="single" w:sz="4" w:space="0" w:color="000000"/>
              <w:right w:val="single" w:sz="4" w:space="0" w:color="000000"/>
            </w:tcBorders>
          </w:tcPr>
          <w:p>
            <w:pPr/>
          </w:p>
        </w:tc>
      </w:tr>
      <w:tr>
        <w:trPr>
          <w:trHeight w:val="2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3,271,801.21</w:t>
            </w:r>
          </w:p>
        </w:tc>
        <w:tc>
          <w:tcPr>
            <w:tcW w:w="15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3,271,801.21</w:t>
            </w:r>
          </w:p>
        </w:tc>
      </w:tr>
      <w:tr>
        <w:trPr>
          <w:trHeight w:val="2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160,116,806.30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40,817,713.77</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5" w:right="0"/>
              <w:jc w:val="left"/>
              <w:rPr>
                <w:rFonts w:ascii="宋体" w:hAnsi="宋体" w:cs="宋体" w:eastAsia="宋体" w:hint="default"/>
                <w:sz w:val="18"/>
                <w:szCs w:val="18"/>
              </w:rPr>
            </w:pPr>
            <w:r>
              <w:rPr>
                <w:rFonts w:ascii="宋体"/>
                <w:sz w:val="18"/>
              </w:rPr>
              <w:t>3,894,962.95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23,970,634.22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173,068,922.90</w:t>
            </w:r>
          </w:p>
        </w:tc>
      </w:tr>
      <w:tr>
        <w:trPr>
          <w:trHeight w:val="2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163,388,607.51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40,817,713.77</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5" w:right="0"/>
              <w:jc w:val="left"/>
              <w:rPr>
                <w:rFonts w:ascii="宋体" w:hAnsi="宋体" w:cs="宋体" w:eastAsia="宋体" w:hint="default"/>
                <w:sz w:val="18"/>
                <w:szCs w:val="18"/>
              </w:rPr>
            </w:pPr>
            <w:r>
              <w:rPr>
                <w:rFonts w:ascii="宋体"/>
                <w:sz w:val="18"/>
              </w:rPr>
              <w:t>3,894,962.95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23,970,634.22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176,340,724.11</w:t>
            </w:r>
          </w:p>
        </w:tc>
      </w:tr>
    </w:tbl>
    <w:p>
      <w:pPr>
        <w:spacing w:line="240" w:lineRule="auto" w:before="5"/>
        <w:rPr>
          <w:rFonts w:ascii="宋体" w:hAnsi="宋体" w:cs="宋体" w:eastAsia="宋体" w:hint="default"/>
          <w:sz w:val="15"/>
          <w:szCs w:val="15"/>
        </w:rPr>
      </w:pPr>
    </w:p>
    <w:p>
      <w:pPr>
        <w:pStyle w:val="BodyText"/>
        <w:spacing w:line="355" w:lineRule="auto" w:before="36"/>
        <w:ind w:left="500" w:right="489"/>
        <w:jc w:val="left"/>
      </w:pPr>
      <w:r>
        <w:rPr>
          <w:spacing w:val="-2"/>
        </w:rPr>
        <w:t>注：本年计提存货跌价准备是由于报告期末存货的预计可变现净值低于存货成本，故相应计提库存</w:t>
      </w:r>
      <w:r>
        <w:rPr>
          <w:spacing w:val="-30"/>
        </w:rPr>
        <w:t> </w:t>
      </w:r>
      <w:r>
        <w:rPr>
          <w:spacing w:val="-30"/>
        </w:rPr>
      </w:r>
      <w:r>
        <w:rPr/>
        <w:t>商品的存货跌价准备人民币</w:t>
      </w:r>
      <w:r>
        <w:rPr>
          <w:spacing w:val="-59"/>
        </w:rPr>
        <w:t> </w:t>
      </w:r>
      <w:r>
        <w:rPr>
          <w:rFonts w:ascii="宋体" w:hAnsi="宋体" w:cs="宋体" w:eastAsia="宋体" w:hint="default"/>
        </w:rPr>
        <w:t>40,817,713.77</w:t>
      </w:r>
      <w:r>
        <w:rPr>
          <w:rFonts w:ascii="宋体" w:hAnsi="宋体" w:cs="宋体" w:eastAsia="宋体" w:hint="default"/>
          <w:spacing w:val="-59"/>
        </w:rPr>
        <w:t> </w:t>
      </w:r>
      <w:r>
        <w:rPr/>
        <w:t>元；由于报告期存货报废，故核销已计提的存货跌价准</w:t>
      </w:r>
    </w:p>
    <w:p>
      <w:pPr>
        <w:pStyle w:val="BodyText"/>
        <w:spacing w:line="240" w:lineRule="auto" w:before="35"/>
        <w:ind w:left="500" w:right="0"/>
        <w:jc w:val="left"/>
      </w:pPr>
      <w:r>
        <w:rPr/>
        <w:t>备人民币 </w:t>
      </w:r>
      <w:r>
        <w:rPr>
          <w:rFonts w:ascii="宋体" w:hAnsi="宋体" w:cs="宋体" w:eastAsia="宋体" w:hint="default"/>
        </w:rPr>
        <w:t>23,970,634.22</w:t>
      </w:r>
      <w:r>
        <w:rPr>
          <w:rFonts w:ascii="宋体" w:hAnsi="宋体" w:cs="宋体" w:eastAsia="宋体" w:hint="default"/>
          <w:spacing w:val="9"/>
        </w:rPr>
        <w:t> </w:t>
      </w:r>
      <w:r>
        <w:rPr>
          <w:spacing w:val="-4"/>
        </w:rPr>
        <w:t>元；由于已计提存货跌价准备的商品出售，故转销已计提的存货跌价准备</w:t>
      </w:r>
    </w:p>
    <w:p>
      <w:pPr>
        <w:pStyle w:val="BodyText"/>
        <w:spacing w:line="240" w:lineRule="auto" w:before="133"/>
        <w:ind w:left="500" w:right="560"/>
        <w:jc w:val="left"/>
      </w:pPr>
      <w:r>
        <w:rPr/>
        <w:t>人民币</w:t>
      </w:r>
      <w:r>
        <w:rPr>
          <w:spacing w:val="-53"/>
        </w:rPr>
        <w:t> </w:t>
      </w:r>
      <w:r>
        <w:rPr>
          <w:rFonts w:ascii="宋体" w:hAnsi="宋体" w:cs="宋体" w:eastAsia="宋体" w:hint="default"/>
        </w:rPr>
        <w:t>3,894,962.95</w:t>
      </w:r>
      <w:r>
        <w:rPr>
          <w:rFonts w:ascii="宋体" w:hAnsi="宋体" w:cs="宋体" w:eastAsia="宋体" w:hint="default"/>
          <w:spacing w:val="-53"/>
        </w:rPr>
        <w:t> </w:t>
      </w:r>
      <w:r>
        <w:rPr>
          <w:spacing w:val="-3"/>
        </w:rPr>
        <w:t>元。</w:t>
      </w:r>
      <w:r>
        <w:rPr/>
      </w:r>
    </w:p>
    <w:p>
      <w:pPr>
        <w:spacing w:line="240" w:lineRule="auto" w:before="10"/>
        <w:rPr>
          <w:rFonts w:ascii="宋体" w:hAnsi="宋体" w:cs="宋体" w:eastAsia="宋体" w:hint="default"/>
          <w:sz w:val="14"/>
          <w:szCs w:val="14"/>
        </w:rPr>
      </w:pPr>
    </w:p>
    <w:p>
      <w:pPr>
        <w:pStyle w:val="Heading2"/>
        <w:spacing w:line="240" w:lineRule="auto"/>
        <w:ind w:left="500" w:right="560"/>
        <w:jc w:val="left"/>
        <w:rPr>
          <w:b w:val="0"/>
          <w:bCs w:val="0"/>
        </w:rPr>
      </w:pPr>
      <w:r>
        <w:rPr>
          <w:rFonts w:ascii="宋体" w:hAnsi="宋体" w:cs="宋体" w:eastAsia="宋体" w:hint="default"/>
        </w:rPr>
        <w:t>(3).</w:t>
      </w:r>
      <w:r>
        <w:rPr/>
        <w:t>存货期末余额含有借款费用资本化金额的说明</w:t>
      </w:r>
      <w:r>
        <w:rPr>
          <w:b w:val="0"/>
          <w:bCs w:val="0"/>
        </w:rPr>
      </w:r>
    </w:p>
    <w:p>
      <w:pPr>
        <w:pStyle w:val="BodyText"/>
        <w:tabs>
          <w:tab w:pos="1342" w:val="left" w:leader="none"/>
        </w:tabs>
        <w:spacing w:line="240" w:lineRule="auto" w:before="56"/>
        <w:ind w:left="500" w:right="560"/>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500" w:right="560"/>
        <w:jc w:val="left"/>
        <w:rPr>
          <w:b w:val="0"/>
          <w:bCs w:val="0"/>
        </w:rPr>
      </w:pPr>
      <w:r>
        <w:rPr>
          <w:rFonts w:ascii="宋体" w:hAnsi="宋体" w:cs="宋体" w:eastAsia="宋体" w:hint="default"/>
        </w:rPr>
        <w:t>(4).</w:t>
      </w:r>
      <w:r>
        <w:rPr/>
        <w:t>合同履约成本本期摊销金额的说明</w:t>
      </w:r>
      <w:r>
        <w:rPr>
          <w:b w:val="0"/>
          <w:bCs w:val="0"/>
        </w:rPr>
      </w:r>
    </w:p>
    <w:p>
      <w:pPr>
        <w:pStyle w:val="BodyText"/>
        <w:spacing w:line="240" w:lineRule="auto" w:before="58"/>
        <w:ind w:left="500" w:right="56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500" w:right="560"/>
        <w:jc w:val="left"/>
      </w:pPr>
      <w:r>
        <w:rPr/>
        <w:t>其他说明</w:t>
      </w:r>
    </w:p>
    <w:p>
      <w:pPr>
        <w:pStyle w:val="BodyText"/>
        <w:tabs>
          <w:tab w:pos="1342" w:val="left" w:leader="none"/>
        </w:tabs>
        <w:spacing w:line="273" w:lineRule="exact"/>
        <w:ind w:left="500" w:right="560"/>
        <w:jc w:val="left"/>
      </w:pPr>
      <w:r>
        <w:rPr/>
        <w:t>□适用</w:t>
        <w:tab/>
        <w:t>√不适用</w:t>
      </w:r>
    </w:p>
    <w:p>
      <w:pPr>
        <w:spacing w:after="0" w:line="273" w:lineRule="exact"/>
        <w:jc w:val="left"/>
        <w:sectPr>
          <w:type w:val="continuous"/>
          <w:pgSz w:w="11910" w:h="16840"/>
          <w:pgMar w:top="1060" w:bottom="1380" w:left="94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90" w:lineRule="auto" w:before="36"/>
        <w:ind w:right="7538"/>
        <w:jc w:val="left"/>
        <w:rPr>
          <w:b w:val="0"/>
          <w:bCs w:val="0"/>
        </w:rPr>
      </w:pPr>
      <w:r>
        <w:rPr>
          <w:rFonts w:ascii="宋体" w:hAnsi="宋体" w:cs="宋体" w:eastAsia="宋体" w:hint="default"/>
        </w:rPr>
        <w:t>8</w:t>
      </w:r>
      <w:r>
        <w:rPr/>
        <w:t>、</w:t>
      </w:r>
      <w:r>
        <w:rPr>
          <w:spacing w:val="-3"/>
        </w:rPr>
        <w:t> </w:t>
      </w:r>
      <w:r>
        <w:rPr/>
        <w:t>合同资产</w:t>
      </w:r>
      <w:r>
        <w:rPr>
          <w:w w:val="100"/>
        </w:rPr>
        <w:t> </w:t>
      </w:r>
      <w:r>
        <w:rPr>
          <w:rFonts w:ascii="宋体" w:hAnsi="宋体" w:cs="宋体" w:eastAsia="宋体" w:hint="default"/>
        </w:rPr>
        <w:t>(1).</w:t>
      </w:r>
      <w:r>
        <w:rPr/>
        <w:t>合同资产情况</w:t>
      </w:r>
      <w:r>
        <w:rPr>
          <w:b w:val="0"/>
          <w:bCs w:val="0"/>
        </w:rPr>
      </w:r>
    </w:p>
    <w:p>
      <w:pPr>
        <w:spacing w:line="290" w:lineRule="auto" w:before="14"/>
        <w:ind w:left="220" w:right="458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报告期内账面价值发生重大变动的金额和原因</w:t>
      </w:r>
      <w:r>
        <w:rPr>
          <w:rFonts w:ascii="宋体" w:hAnsi="宋体" w:cs="宋体" w:eastAsia="宋体" w:hint="default"/>
          <w:sz w:val="21"/>
          <w:szCs w:val="21"/>
        </w:rPr>
      </w:r>
    </w:p>
    <w:p>
      <w:pPr>
        <w:spacing w:line="290" w:lineRule="auto" w:before="14"/>
        <w:ind w:left="220" w:right="58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本期合同资产计提减值准备情况</w:t>
      </w:r>
      <w:r>
        <w:rPr>
          <w:rFonts w:ascii="宋体" w:hAnsi="宋体" w:cs="宋体" w:eastAsia="宋体" w:hint="default"/>
          <w:sz w:val="21"/>
          <w:szCs w:val="21"/>
        </w:rPr>
      </w:r>
    </w:p>
    <w:p>
      <w:pPr>
        <w:pStyle w:val="BodyText"/>
        <w:spacing w:line="272" w:lineRule="exact" w:before="42"/>
        <w:ind w:right="1453"/>
        <w:jc w:val="left"/>
      </w:pPr>
      <w:r>
        <w:rPr/>
        <w:t>□适用</w:t>
      </w:r>
      <w:r>
        <w:rPr>
          <w:spacing w:val="-2"/>
        </w:rPr>
        <w:t> </w:t>
      </w:r>
      <w:r>
        <w:rPr/>
        <w:t>√不适用</w:t>
      </w:r>
      <w:r>
        <w:rPr>
          <w:spacing w:val="-103"/>
        </w:rPr>
        <w:t> </w:t>
      </w:r>
      <w:r>
        <w:rPr>
          <w:spacing w:val="-103"/>
        </w:rPr>
      </w:r>
      <w:r>
        <w:rPr>
          <w:spacing w:val="-2"/>
        </w:rPr>
        <w:t>如按预期信用损失一般模型计提坏账准备，请参照其他应收款披露：</w:t>
      </w:r>
    </w:p>
    <w:p>
      <w:pPr>
        <w:pStyle w:val="BodyText"/>
        <w:spacing w:line="249" w:lineRule="exact"/>
        <w:ind w:right="205"/>
        <w:jc w:val="left"/>
      </w:pPr>
      <w:r>
        <w:rPr/>
        <w:t>□适用 √不适用</w:t>
      </w:r>
    </w:p>
    <w:p>
      <w:pPr>
        <w:spacing w:line="240" w:lineRule="auto" w:before="9"/>
        <w:rPr>
          <w:rFonts w:ascii="宋体" w:hAnsi="宋体" w:cs="宋体" w:eastAsia="宋体" w:hint="default"/>
          <w:sz w:val="20"/>
          <w:szCs w:val="20"/>
        </w:rPr>
      </w:pPr>
    </w:p>
    <w:p>
      <w:pPr>
        <w:pStyle w:val="BodyText"/>
        <w:spacing w:line="273" w:lineRule="exact"/>
        <w:ind w:right="205"/>
        <w:jc w:val="left"/>
      </w:pPr>
      <w:r>
        <w:rPr/>
        <w:t>其他说明：</w:t>
      </w:r>
    </w:p>
    <w:p>
      <w:pPr>
        <w:pStyle w:val="BodyText"/>
        <w:spacing w:line="273" w:lineRule="exact"/>
        <w:ind w:right="20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9</w:t>
      </w:r>
      <w:r>
        <w:rPr/>
        <w:t>、</w:t>
      </w:r>
      <w:r>
        <w:rPr>
          <w:spacing w:val="-1"/>
        </w:rPr>
        <w:t> </w:t>
      </w:r>
      <w:r>
        <w:rPr/>
        <w:t>持有待售资产</w:t>
      </w:r>
      <w:r>
        <w:rPr>
          <w:b w:val="0"/>
          <w:bCs w:val="0"/>
        </w:rPr>
      </w:r>
    </w:p>
    <w:p>
      <w:pPr>
        <w:pStyle w:val="BodyText"/>
        <w:spacing w:line="240" w:lineRule="auto" w:before="56"/>
        <w:ind w:right="20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20" w:right="1220"/>
        </w:sectPr>
      </w:pPr>
    </w:p>
    <w:p>
      <w:pPr>
        <w:pStyle w:val="Heading2"/>
        <w:spacing w:line="240" w:lineRule="auto" w:before="36"/>
        <w:ind w:right="-18"/>
        <w:jc w:val="left"/>
        <w:rPr>
          <w:b w:val="0"/>
          <w:bCs w:val="0"/>
        </w:rPr>
      </w:pPr>
      <w:r>
        <w:rPr>
          <w:rFonts w:ascii="宋体" w:hAnsi="宋体" w:cs="宋体" w:eastAsia="宋体" w:hint="default"/>
        </w:rPr>
        <w:t>10</w:t>
      </w:r>
      <w:r>
        <w:rPr/>
        <w:t>、</w:t>
      </w:r>
      <w:r>
        <w:rPr>
          <w:spacing w:val="-24"/>
        </w:rPr>
        <w:t> </w:t>
      </w:r>
      <w:r>
        <w:rPr/>
        <w:t>一年内到期的非流动资产</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3046" w:space="3459"/>
            <w:col w:w="296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358"/>
        <w:gridCol w:w="2960"/>
        <w:gridCol w:w="2926"/>
      </w:tblGrid>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0"/>
              <w:jc w:val="right"/>
              <w:rPr>
                <w:rFonts w:ascii="宋体" w:hAnsi="宋体" w:cs="宋体" w:eastAsia="宋体" w:hint="default"/>
                <w:sz w:val="21"/>
                <w:szCs w:val="21"/>
              </w:rPr>
            </w:pPr>
            <w:r>
              <w:rPr>
                <w:rFonts w:ascii="宋体" w:hAnsi="宋体" w:cs="宋体" w:eastAsia="宋体" w:hint="default"/>
                <w:sz w:val="21"/>
                <w:szCs w:val="21"/>
              </w:rPr>
              <w:t>项目</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960"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280,000,000.00</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5"/>
              <w:jc w:val="right"/>
              <w:rPr>
                <w:rFonts w:ascii="宋体" w:hAnsi="宋体" w:cs="宋体" w:eastAsia="宋体" w:hint="default"/>
                <w:sz w:val="21"/>
                <w:szCs w:val="21"/>
              </w:rPr>
            </w:pPr>
            <w:r>
              <w:rPr>
                <w:rFonts w:ascii="宋体" w:hAnsi="宋体" w:cs="宋体" w:eastAsia="宋体" w:hint="default"/>
                <w:sz w:val="21"/>
                <w:szCs w:val="21"/>
              </w:rPr>
              <w:t>合计</w:t>
            </w:r>
          </w:p>
        </w:tc>
        <w:tc>
          <w:tcPr>
            <w:tcW w:w="2960"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280,000,000.00</w:t>
            </w:r>
          </w:p>
        </w:tc>
      </w:tr>
    </w:tbl>
    <w:p>
      <w:pPr>
        <w:pStyle w:val="BodyText"/>
        <w:spacing w:line="241" w:lineRule="exact"/>
        <w:ind w:right="205"/>
        <w:jc w:val="left"/>
      </w:pPr>
      <w:r>
        <w:rPr/>
        <w:t>注：定期存款为</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12</w:t>
      </w:r>
      <w:r>
        <w:rPr>
          <w:rFonts w:ascii="宋体" w:hAnsi="宋体" w:cs="宋体" w:eastAsia="宋体" w:hint="default"/>
          <w:spacing w:val="-53"/>
        </w:rPr>
        <w:t> </w:t>
      </w:r>
      <w:r>
        <w:rPr/>
        <w:t>日至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12</w:t>
      </w:r>
      <w:r>
        <w:rPr>
          <w:rFonts w:ascii="宋体" w:hAnsi="宋体" w:cs="宋体" w:eastAsia="宋体" w:hint="default"/>
          <w:spacing w:val="-52"/>
        </w:rPr>
        <w:t> </w:t>
      </w:r>
      <w:r>
        <w:rPr/>
        <w:t>日的定期存单，利率为</w:t>
      </w:r>
      <w:r>
        <w:rPr>
          <w:spacing w:val="-55"/>
        </w:rPr>
        <w:t> </w:t>
      </w:r>
      <w:r>
        <w:rPr>
          <w:rFonts w:ascii="宋体" w:hAnsi="宋体" w:cs="宋体" w:eastAsia="宋体" w:hint="default"/>
        </w:rPr>
        <w:t>2.98%</w:t>
      </w:r>
      <w:r>
        <w:rPr/>
        <w:t>。</w:t>
      </w:r>
    </w:p>
    <w:p>
      <w:pPr>
        <w:spacing w:line="240" w:lineRule="auto" w:before="8"/>
        <w:rPr>
          <w:rFonts w:ascii="宋体" w:hAnsi="宋体" w:cs="宋体" w:eastAsia="宋体" w:hint="default"/>
          <w:sz w:val="20"/>
          <w:szCs w:val="20"/>
        </w:rPr>
      </w:pPr>
    </w:p>
    <w:p>
      <w:pPr>
        <w:pStyle w:val="BodyText"/>
        <w:spacing w:line="273" w:lineRule="exact"/>
        <w:ind w:right="205"/>
        <w:jc w:val="left"/>
      </w:pPr>
      <w:r>
        <w:rPr/>
        <w:t>期末重要的债权投资和其他债权投资：</w:t>
      </w:r>
    </w:p>
    <w:p>
      <w:pPr>
        <w:pStyle w:val="BodyText"/>
        <w:spacing w:line="240" w:lineRule="auto"/>
        <w:ind w:right="7651"/>
        <w:jc w:val="left"/>
      </w:pPr>
      <w:r>
        <w:rPr/>
        <w:t>□适用 √不适用</w:t>
      </w:r>
      <w:r>
        <w:rPr>
          <w:w w:val="100"/>
        </w:rPr>
        <w:t> </w:t>
      </w:r>
      <w:r>
        <w:rPr/>
        <w:t>其他说明</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220" w:right="1220"/>
        </w:sectPr>
      </w:pPr>
    </w:p>
    <w:p>
      <w:pPr>
        <w:pStyle w:val="Heading2"/>
        <w:spacing w:line="240" w:lineRule="auto" w:before="36"/>
        <w:ind w:right="-19"/>
        <w:jc w:val="left"/>
        <w:rPr>
          <w:b w:val="0"/>
          <w:bCs w:val="0"/>
        </w:rPr>
      </w:pPr>
      <w:r>
        <w:rPr>
          <w:rFonts w:ascii="宋体" w:hAnsi="宋体" w:cs="宋体" w:eastAsia="宋体" w:hint="default"/>
        </w:rPr>
        <w:t>11</w:t>
      </w:r>
      <w:r>
        <w:rPr/>
        <w:t>、</w:t>
      </w:r>
      <w:r>
        <w:rPr>
          <w:spacing w:val="-23"/>
        </w:rPr>
        <w:t> </w:t>
      </w:r>
      <w:r>
        <w:rPr/>
        <w:t>其他流动资产</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992" w:space="4724"/>
            <w:col w:w="275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356"/>
        <w:gridCol w:w="2981"/>
        <w:gridCol w:w="2907"/>
      </w:tblGrid>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应收退货成本</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37,695,738.35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42,946,827.33</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r>
              <w:rPr>
                <w:rFonts w:ascii="宋体" w:hAnsi="宋体" w:cs="宋体" w:eastAsia="宋体" w:hint="default"/>
                <w:sz w:val="21"/>
                <w:szCs w:val="21"/>
              </w:rPr>
              <w:t>(</w:t>
            </w:r>
            <w:r>
              <w:rPr>
                <w:rFonts w:ascii="宋体" w:hAnsi="宋体" w:cs="宋体" w:eastAsia="宋体" w:hint="default"/>
                <w:sz w:val="21"/>
                <w:szCs w:val="21"/>
              </w:rPr>
              <w:t>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33,178,327.54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26,501,297.91</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70,874,065.89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69,448,125.24</w:t>
            </w:r>
          </w:p>
        </w:tc>
      </w:tr>
    </w:tbl>
    <w:p>
      <w:pPr>
        <w:pStyle w:val="BodyText"/>
        <w:spacing w:line="241" w:lineRule="exact"/>
        <w:ind w:right="205"/>
        <w:jc w:val="left"/>
      </w:pPr>
      <w:r>
        <w:rPr/>
        <w:t>注：待抵扣增值税进项税额为本集团预计在未来一年以内抵扣的增值税进项税额。</w:t>
      </w:r>
    </w:p>
    <w:p>
      <w:pPr>
        <w:spacing w:line="240" w:lineRule="auto" w:before="3"/>
        <w:rPr>
          <w:rFonts w:ascii="宋体" w:hAnsi="宋体" w:cs="宋体" w:eastAsia="宋体" w:hint="default"/>
          <w:sz w:val="25"/>
          <w:szCs w:val="25"/>
        </w:rPr>
      </w:pPr>
    </w:p>
    <w:p>
      <w:pPr>
        <w:pStyle w:val="Heading2"/>
        <w:spacing w:line="290" w:lineRule="auto"/>
        <w:ind w:right="7538"/>
        <w:jc w:val="left"/>
        <w:rPr>
          <w:b w:val="0"/>
          <w:bCs w:val="0"/>
        </w:rPr>
      </w:pPr>
      <w:r>
        <w:rPr>
          <w:rFonts w:ascii="宋体" w:hAnsi="宋体" w:cs="宋体" w:eastAsia="宋体" w:hint="default"/>
        </w:rPr>
        <w:t>12</w:t>
      </w:r>
      <w:r>
        <w:rPr/>
        <w:t>、</w:t>
      </w:r>
      <w:r>
        <w:rPr>
          <w:spacing w:val="-25"/>
        </w:rPr>
        <w:t> </w:t>
      </w:r>
      <w:r>
        <w:rPr/>
        <w:t>债权投资</w:t>
      </w:r>
      <w:r>
        <w:rPr>
          <w:w w:val="100"/>
        </w:rPr>
        <w:t> </w:t>
      </w:r>
      <w:r>
        <w:rPr>
          <w:rFonts w:ascii="宋体" w:hAnsi="宋体" w:cs="宋体" w:eastAsia="宋体" w:hint="default"/>
        </w:rPr>
        <w:t>(1).</w:t>
      </w:r>
      <w:r>
        <w:rPr/>
        <w:t>债权投资情况</w:t>
      </w:r>
      <w:r>
        <w:rPr>
          <w:b w:val="0"/>
          <w:bCs w:val="0"/>
        </w:rPr>
      </w:r>
    </w:p>
    <w:p>
      <w:pPr>
        <w:spacing w:line="290" w:lineRule="auto" w:before="14"/>
        <w:ind w:left="220" w:right="690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sz w:val="21"/>
          <w:szCs w:val="21"/>
        </w:rPr>
      </w:r>
    </w:p>
    <w:p>
      <w:pPr>
        <w:spacing w:line="290" w:lineRule="auto" w:before="14"/>
        <w:ind w:left="220" w:right="71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sz w:val="21"/>
          <w:szCs w:val="21"/>
        </w:rPr>
      </w:r>
    </w:p>
    <w:p>
      <w:pPr>
        <w:pStyle w:val="BodyText"/>
        <w:spacing w:line="240" w:lineRule="auto" w:before="15"/>
        <w:ind w:right="205"/>
        <w:jc w:val="left"/>
      </w:pPr>
      <w:r>
        <w:rPr/>
        <w:t>□适用 √不适用</w:t>
      </w:r>
    </w:p>
    <w:p>
      <w:pPr>
        <w:spacing w:after="0" w:line="240" w:lineRule="auto"/>
        <w:jc w:val="left"/>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74" w:lineRule="exact" w:before="36"/>
        <w:ind w:right="123"/>
        <w:jc w:val="left"/>
      </w:pPr>
      <w:r>
        <w:rPr/>
        <w:t>本期减值准备计提金额以及评估金融工具的信用风险是否显著增加的采用依据</w:t>
      </w:r>
    </w:p>
    <w:p>
      <w:pPr>
        <w:pStyle w:val="BodyText"/>
        <w:spacing w:line="274" w:lineRule="exact"/>
        <w:ind w:right="123"/>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right="123"/>
        <w:jc w:val="left"/>
      </w:pPr>
      <w:r>
        <w:rPr/>
        <w:t>其他说明</w:t>
      </w:r>
    </w:p>
    <w:p>
      <w:pPr>
        <w:spacing w:line="290" w:lineRule="auto" w:before="0"/>
        <w:ind w:left="220" w:right="747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其他债权投资</w:t>
      </w:r>
      <w:r>
        <w:rPr>
          <w:rFonts w:ascii="宋体" w:hAnsi="宋体" w:cs="宋体" w:eastAsia="宋体" w:hint="default"/>
          <w:sz w:val="21"/>
          <w:szCs w:val="21"/>
        </w:rPr>
      </w:r>
    </w:p>
    <w:p>
      <w:pPr>
        <w:pStyle w:val="Heading2"/>
        <w:spacing w:line="240" w:lineRule="auto" w:before="12"/>
        <w:ind w:right="123"/>
        <w:jc w:val="left"/>
        <w:rPr>
          <w:b w:val="0"/>
          <w:bCs w:val="0"/>
        </w:rPr>
      </w:pPr>
      <w:r>
        <w:rPr>
          <w:rFonts w:ascii="宋体" w:hAnsi="宋体" w:cs="宋体" w:eastAsia="宋体" w:hint="default"/>
        </w:rPr>
        <w:t>(1).</w:t>
      </w:r>
      <w:r>
        <w:rPr/>
        <w:t>其他债权投资情况</w:t>
      </w:r>
      <w:r>
        <w:rPr>
          <w:b w:val="0"/>
          <w:bCs w:val="0"/>
        </w:rPr>
      </w:r>
    </w:p>
    <w:p>
      <w:pPr>
        <w:spacing w:line="290" w:lineRule="auto" w:before="58"/>
        <w:ind w:left="220" w:right="650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sz w:val="21"/>
          <w:szCs w:val="21"/>
        </w:rPr>
      </w:r>
    </w:p>
    <w:p>
      <w:pPr>
        <w:spacing w:line="290" w:lineRule="auto" w:before="15"/>
        <w:ind w:left="220" w:right="713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sz w:val="21"/>
          <w:szCs w:val="21"/>
        </w:rPr>
      </w:r>
    </w:p>
    <w:p>
      <w:pPr>
        <w:pStyle w:val="BodyText"/>
        <w:spacing w:line="240" w:lineRule="auto" w:before="12"/>
        <w:ind w:right="752"/>
        <w:jc w:val="left"/>
      </w:pPr>
      <w:r>
        <w:rPr/>
        <w:t>□适用</w:t>
      </w:r>
      <w:r>
        <w:rPr>
          <w:spacing w:val="-2"/>
        </w:rPr>
        <w:t> </w:t>
      </w:r>
      <w:r>
        <w:rPr/>
        <w:t>√不适用</w:t>
      </w:r>
      <w:r>
        <w:rPr>
          <w:spacing w:val="-103"/>
        </w:rPr>
        <w:t> </w:t>
      </w:r>
      <w:r>
        <w:rPr>
          <w:spacing w:val="-103"/>
        </w:rPr>
      </w:r>
      <w:r>
        <w:rPr>
          <w:spacing w:val="-2"/>
        </w:rPr>
        <w:t>本期减值准备计提金额以及评估金融工具的信用风险是否显著增加的采用依据</w:t>
      </w:r>
    </w:p>
    <w:p>
      <w:pPr>
        <w:pStyle w:val="BodyText"/>
        <w:spacing w:line="274" w:lineRule="exact" w:before="22"/>
        <w:ind w:right="7671"/>
        <w:jc w:val="left"/>
      </w:pPr>
      <w:r>
        <w:rPr/>
        <w:t>□适用 √不适用</w:t>
      </w:r>
      <w:r>
        <w:rPr>
          <w:w w:val="100"/>
        </w:rPr>
        <w:t> </w:t>
      </w:r>
      <w:r>
        <w:rPr/>
        <w:t>其他说明：</w:t>
      </w:r>
    </w:p>
    <w:p>
      <w:pPr>
        <w:pStyle w:val="BodyText"/>
        <w:spacing w:line="246" w:lineRule="exact"/>
        <w:ind w:right="123"/>
        <w:jc w:val="left"/>
      </w:pPr>
      <w:r>
        <w:rPr/>
        <w:t>□适用 √不适用</w:t>
      </w:r>
    </w:p>
    <w:p>
      <w:pPr>
        <w:pStyle w:val="Heading2"/>
        <w:spacing w:line="290" w:lineRule="auto" w:before="58"/>
        <w:ind w:right="7347"/>
        <w:jc w:val="left"/>
        <w:rPr>
          <w:b w:val="0"/>
          <w:bCs w:val="0"/>
        </w:rPr>
      </w:pPr>
      <w:r>
        <w:rPr>
          <w:rFonts w:ascii="宋体" w:hAnsi="宋体" w:cs="宋体" w:eastAsia="宋体" w:hint="default"/>
        </w:rPr>
        <w:t>14</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pStyle w:val="BodyText"/>
        <w:spacing w:line="240" w:lineRule="auto" w:before="14"/>
        <w:ind w:right="123"/>
        <w:jc w:val="left"/>
      </w:pPr>
      <w:r>
        <w:rPr/>
        <w:t>√适用 □不适用</w:t>
      </w:r>
    </w:p>
    <w:p>
      <w:pPr>
        <w:pStyle w:val="BodyText"/>
        <w:tabs>
          <w:tab w:pos="1051" w:val="left" w:leader="none"/>
        </w:tabs>
        <w:spacing w:line="271" w:lineRule="exact"/>
        <w:ind w:left="0" w:right="233"/>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90"/>
        <w:gridCol w:w="1323"/>
        <w:gridCol w:w="605"/>
        <w:gridCol w:w="1322"/>
        <w:gridCol w:w="1323"/>
        <w:gridCol w:w="605"/>
        <w:gridCol w:w="1325"/>
        <w:gridCol w:w="1051"/>
      </w:tblGrid>
      <w:tr>
        <w:trPr>
          <w:trHeight w:val="245" w:hRule="exact"/>
        </w:trPr>
        <w:tc>
          <w:tcPr>
            <w:tcW w:w="169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0" w:type="dxa"/>
            <w:gridSpan w:val="3"/>
            <w:tcBorders>
              <w:top w:val="single" w:sz="4" w:space="0" w:color="000000"/>
              <w:left w:val="single" w:sz="4" w:space="0" w:color="000000"/>
              <w:bottom w:val="single" w:sz="6"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53" w:type="dxa"/>
            <w:gridSpan w:val="3"/>
            <w:tcBorders>
              <w:top w:val="single" w:sz="4" w:space="0" w:color="000000"/>
              <w:left w:val="single" w:sz="4" w:space="0" w:color="000000"/>
              <w:bottom w:val="single" w:sz="6"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51" w:type="dxa"/>
            <w:vMerge w:val="restart"/>
            <w:tcBorders>
              <w:top w:val="single" w:sz="4" w:space="0" w:color="000000"/>
              <w:left w:val="single" w:sz="4" w:space="0" w:color="000000"/>
              <w:right w:val="single" w:sz="4" w:space="0" w:color="000000"/>
            </w:tcBorders>
          </w:tcPr>
          <w:p>
            <w:pPr>
              <w:pStyle w:val="TableParagraph"/>
              <w:spacing w:line="232" w:lineRule="exact" w:before="119"/>
              <w:ind w:left="429" w:right="158" w:hanging="269"/>
              <w:jc w:val="left"/>
              <w:rPr>
                <w:rFonts w:ascii="宋体" w:hAnsi="宋体" w:cs="宋体" w:eastAsia="宋体" w:hint="default"/>
                <w:sz w:val="18"/>
                <w:szCs w:val="18"/>
              </w:rPr>
            </w:pPr>
            <w:r>
              <w:rPr>
                <w:rFonts w:ascii="宋体" w:hAnsi="宋体" w:cs="宋体" w:eastAsia="宋体" w:hint="default"/>
                <w:sz w:val="18"/>
                <w:szCs w:val="18"/>
              </w:rPr>
              <w:t>折现率区 间</w:t>
            </w:r>
          </w:p>
        </w:tc>
      </w:tr>
      <w:tr>
        <w:trPr>
          <w:trHeight w:val="482" w:hRule="exact"/>
        </w:trPr>
        <w:tc>
          <w:tcPr>
            <w:tcW w:w="1690" w:type="dxa"/>
            <w:vMerge/>
            <w:tcBorders>
              <w:left w:val="single" w:sz="4" w:space="0" w:color="000000"/>
              <w:bottom w:val="single" w:sz="6" w:space="0" w:color="000000"/>
              <w:right w:val="single" w:sz="4" w:space="0" w:color="000000"/>
            </w:tcBorders>
          </w:tcPr>
          <w:p>
            <w:pPr/>
          </w:p>
        </w:tc>
        <w:tc>
          <w:tcPr>
            <w:tcW w:w="132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坏账准</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坏账准</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2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051" w:type="dxa"/>
            <w:vMerge/>
            <w:tcBorders>
              <w:left w:val="single" w:sz="4" w:space="0" w:color="000000"/>
              <w:bottom w:val="single" w:sz="6" w:space="0" w:color="000000"/>
              <w:right w:val="single" w:sz="4" w:space="0" w:color="000000"/>
            </w:tcBorders>
          </w:tcPr>
          <w:p>
            <w:pPr/>
          </w:p>
        </w:tc>
      </w:tr>
      <w:tr>
        <w:trPr>
          <w:trHeight w:val="247"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267,742,224.79</w:t>
            </w:r>
          </w:p>
        </w:tc>
        <w:tc>
          <w:tcPr>
            <w:tcW w:w="605"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267,742,224.79</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194,801,883.56</w:t>
            </w:r>
          </w:p>
        </w:tc>
        <w:tc>
          <w:tcPr>
            <w:tcW w:w="60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194,801,883.56</w:t>
            </w:r>
          </w:p>
        </w:tc>
        <w:tc>
          <w:tcPr>
            <w:tcW w:w="10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4.75%-5.00%</w:t>
            </w:r>
          </w:p>
        </w:tc>
      </w:tr>
      <w:tr>
        <w:trPr>
          <w:trHeight w:val="250"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267,742,224.79</w:t>
            </w:r>
          </w:p>
        </w:tc>
        <w:tc>
          <w:tcPr>
            <w:tcW w:w="605"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267,742,224.79</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194,801,883.56</w:t>
            </w:r>
          </w:p>
        </w:tc>
        <w:tc>
          <w:tcPr>
            <w:tcW w:w="60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sz w:val="18"/>
              </w:rPr>
              <w:t>194,801,883.56</w:t>
            </w:r>
          </w:p>
        </w:tc>
        <w:tc>
          <w:tcPr>
            <w:tcW w:w="1051" w:type="dxa"/>
            <w:tcBorders>
              <w:top w:val="single" w:sz="6" w:space="0" w:color="000000"/>
              <w:left w:val="single" w:sz="4" w:space="0" w:color="000000"/>
              <w:bottom w:val="single" w:sz="6" w:space="0" w:color="000000"/>
              <w:right w:val="single" w:sz="6" w:space="0" w:color="000000"/>
            </w:tcBorders>
          </w:tcPr>
          <w:p>
            <w:pPr/>
          </w:p>
        </w:tc>
      </w:tr>
    </w:tbl>
    <w:p>
      <w:pPr>
        <w:pStyle w:val="BodyText"/>
        <w:spacing w:line="241" w:lineRule="exact"/>
        <w:ind w:right="123"/>
        <w:jc w:val="left"/>
      </w:pPr>
      <w:r>
        <w:rPr/>
        <w:t>注：分期收款销售商品应收款为本集团销售设备及软件款项，分期收款按具体合同约定执行，合同</w:t>
      </w:r>
    </w:p>
    <w:p>
      <w:pPr>
        <w:spacing w:line="470" w:lineRule="exact" w:before="2"/>
        <w:ind w:left="220" w:right="3844" w:firstLine="0"/>
        <w:jc w:val="left"/>
        <w:rPr>
          <w:rFonts w:ascii="宋体" w:hAnsi="宋体" w:cs="宋体" w:eastAsia="宋体" w:hint="default"/>
          <w:sz w:val="21"/>
          <w:szCs w:val="21"/>
        </w:rPr>
      </w:pPr>
      <w:r>
        <w:rPr>
          <w:rFonts w:ascii="宋体" w:hAnsi="宋体" w:cs="宋体" w:eastAsia="宋体" w:hint="default"/>
          <w:sz w:val="21"/>
          <w:szCs w:val="21"/>
        </w:rPr>
        <w:t>约定期间为</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年，本集团已按</w:t>
      </w:r>
      <w:r>
        <w:rPr>
          <w:rFonts w:ascii="宋体" w:hAnsi="宋体" w:cs="宋体" w:eastAsia="宋体" w:hint="default"/>
          <w:spacing w:val="-53"/>
          <w:sz w:val="21"/>
          <w:szCs w:val="21"/>
        </w:rPr>
        <w:t> </w:t>
      </w:r>
      <w:r>
        <w:rPr>
          <w:rFonts w:ascii="宋体" w:hAnsi="宋体" w:cs="宋体" w:eastAsia="宋体" w:hint="default"/>
          <w:sz w:val="21"/>
          <w:szCs w:val="21"/>
        </w:rPr>
        <w:t>4.75%-5.00%</w:t>
      </w:r>
      <w:r>
        <w:rPr>
          <w:rFonts w:ascii="宋体" w:hAnsi="宋体" w:cs="宋体" w:eastAsia="宋体" w:hint="default"/>
          <w:sz w:val="21"/>
          <w:szCs w:val="21"/>
        </w:rPr>
        <w:t>折现率折现。</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74" w:lineRule="exact" w:before="18"/>
        <w:ind w:right="752"/>
        <w:jc w:val="left"/>
      </w:pPr>
      <w:r>
        <w:rPr/>
        <w:t>□适用</w:t>
      </w:r>
      <w:r>
        <w:rPr>
          <w:spacing w:val="-2"/>
        </w:rPr>
        <w:t> </w:t>
      </w:r>
      <w:r>
        <w:rPr/>
        <w:t>√不适用</w:t>
      </w:r>
      <w:r>
        <w:rPr>
          <w:spacing w:val="-103"/>
        </w:rPr>
        <w:t> </w:t>
      </w:r>
      <w:r>
        <w:rPr>
          <w:spacing w:val="-103"/>
        </w:rPr>
      </w:r>
      <w:r>
        <w:rPr>
          <w:spacing w:val="-2"/>
        </w:rPr>
        <w:t>本期坏账准备计提金额以及评估金融工具的信用风险是否显著增加的采用依据</w:t>
      </w:r>
    </w:p>
    <w:p>
      <w:pPr>
        <w:pStyle w:val="BodyText"/>
        <w:spacing w:line="246" w:lineRule="exact"/>
        <w:ind w:right="1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123"/>
        <w:jc w:val="left"/>
        <w:rPr>
          <w:b w:val="0"/>
          <w:bCs w:val="0"/>
        </w:rPr>
      </w:pPr>
      <w:r>
        <w:rPr>
          <w:rFonts w:ascii="宋体" w:hAnsi="宋体" w:cs="宋体" w:eastAsia="宋体" w:hint="default"/>
        </w:rPr>
        <w:t>(3).</w:t>
      </w:r>
      <w:r>
        <w:rPr/>
        <w:t>因金融资产转移而终止确认的长期应收款</w:t>
      </w:r>
      <w:r>
        <w:rPr>
          <w:b w:val="0"/>
          <w:bCs w:val="0"/>
        </w:rPr>
      </w:r>
    </w:p>
    <w:p>
      <w:pPr>
        <w:pStyle w:val="BodyText"/>
        <w:tabs>
          <w:tab w:pos="1062" w:val="left" w:leader="none"/>
        </w:tabs>
        <w:spacing w:line="240" w:lineRule="auto" w:before="58"/>
        <w:ind w:right="123"/>
        <w:jc w:val="left"/>
      </w:pPr>
      <w:r>
        <w:rPr/>
        <w:t>□适用</w:t>
        <w:tab/>
        <w:t>√不适用</w:t>
      </w:r>
    </w:p>
    <w:p>
      <w:pPr>
        <w:spacing w:line="240" w:lineRule="auto" w:before="0"/>
        <w:rPr>
          <w:rFonts w:ascii="宋体" w:hAnsi="宋体" w:cs="宋体" w:eastAsia="宋体" w:hint="default"/>
          <w:sz w:val="25"/>
          <w:szCs w:val="25"/>
        </w:rPr>
      </w:pPr>
    </w:p>
    <w:p>
      <w:pPr>
        <w:pStyle w:val="Heading2"/>
        <w:spacing w:line="240" w:lineRule="auto"/>
        <w:ind w:right="123"/>
        <w:jc w:val="left"/>
        <w:rPr>
          <w:b w:val="0"/>
          <w:bCs w:val="0"/>
        </w:rPr>
      </w:pPr>
      <w:r>
        <w:rPr>
          <w:rFonts w:ascii="宋体" w:hAnsi="宋体" w:cs="宋体" w:eastAsia="宋体" w:hint="default"/>
        </w:rPr>
        <w:t>(4).</w:t>
      </w:r>
      <w:r>
        <w:rPr/>
        <w:t>转移长期应收款且继续涉入形成的资产、负债金额</w:t>
      </w:r>
      <w:r>
        <w:rPr>
          <w:b w:val="0"/>
          <w:bCs w:val="0"/>
        </w:rPr>
      </w:r>
    </w:p>
    <w:p>
      <w:pPr>
        <w:pStyle w:val="BodyText"/>
        <w:tabs>
          <w:tab w:pos="1062" w:val="left" w:leader="none"/>
        </w:tabs>
        <w:spacing w:line="272" w:lineRule="exact" w:before="86"/>
        <w:ind w:right="7581"/>
        <w:jc w:val="left"/>
      </w:pPr>
      <w:r>
        <w:rPr/>
        <w:t>□适用</w:t>
        <w:tab/>
      </w:r>
      <w:r>
        <w:rPr>
          <w:spacing w:val="-2"/>
        </w:rPr>
        <w:t>√不适用</w:t>
      </w:r>
      <w:r>
        <w:rPr>
          <w:spacing w:val="-99"/>
        </w:rPr>
        <w:t> </w:t>
      </w:r>
      <w:r>
        <w:rPr>
          <w:spacing w:val="-99"/>
        </w:rPr>
      </w:r>
      <w:r>
        <w:rPr/>
        <w:t>其他说明</w:t>
      </w:r>
    </w:p>
    <w:p>
      <w:pPr>
        <w:pStyle w:val="BodyText"/>
        <w:spacing w:line="249" w:lineRule="exact"/>
        <w:ind w:right="123"/>
        <w:jc w:val="left"/>
      </w:pPr>
      <w:r>
        <w:rPr/>
        <w:t>□适用 √不适用</w:t>
      </w:r>
    </w:p>
    <w:p>
      <w:pPr>
        <w:spacing w:after="0" w:line="249" w:lineRule="exact"/>
        <w:jc w:val="left"/>
        <w:sectPr>
          <w:pgSz w:w="11910" w:h="16840"/>
          <w:pgMar w:header="882" w:footer="1195" w:top="1120" w:bottom="1380" w:left="1220" w:right="1200"/>
        </w:sectPr>
      </w:pPr>
    </w:p>
    <w:p>
      <w:pPr>
        <w:spacing w:line="240" w:lineRule="auto" w:before="4"/>
        <w:rPr>
          <w:rFonts w:ascii="宋体" w:hAnsi="宋体" w:cs="宋体" w:eastAsia="宋体" w:hint="default"/>
          <w:sz w:val="23"/>
          <w:szCs w:val="23"/>
        </w:rPr>
      </w:pPr>
    </w:p>
    <w:p>
      <w:pPr>
        <w:pStyle w:val="Heading2"/>
        <w:spacing w:line="240" w:lineRule="auto" w:before="36"/>
        <w:ind w:left="818" w:right="0"/>
        <w:jc w:val="left"/>
        <w:rPr>
          <w:b w:val="0"/>
          <w:bCs w:val="0"/>
        </w:rPr>
      </w:pPr>
      <w:r>
        <w:rPr>
          <w:rFonts w:ascii="宋体" w:hAnsi="宋体" w:cs="宋体" w:eastAsia="宋体" w:hint="default"/>
        </w:rPr>
        <w:t>15</w:t>
      </w:r>
      <w:r>
        <w:rPr/>
        <w:t>、</w:t>
      </w:r>
      <w:r>
        <w:rPr>
          <w:spacing w:val="-24"/>
        </w:rPr>
        <w:t> </w:t>
      </w:r>
      <w:r>
        <w:rPr/>
        <w:t>长期股权投资</w:t>
      </w:r>
      <w:r>
        <w:rPr>
          <w:b w:val="0"/>
          <w:bCs w:val="0"/>
        </w:rPr>
      </w:r>
    </w:p>
    <w:p>
      <w:pPr>
        <w:pStyle w:val="BodyText"/>
        <w:spacing w:line="240" w:lineRule="auto" w:before="56"/>
        <w:ind w:left="818" w:right="0"/>
        <w:jc w:val="left"/>
      </w:pPr>
      <w:r>
        <w:rPr/>
        <w:t>√适用</w:t>
      </w:r>
      <w:r>
        <w:rPr>
          <w:spacing w:val="-1"/>
        </w:rPr>
        <w:t> </w:t>
      </w:r>
      <w:r>
        <w:rPr/>
        <w:t>□不适用</w:t>
      </w:r>
    </w:p>
    <w:p>
      <w:pPr>
        <w:spacing w:line="240" w:lineRule="auto" w:before="11"/>
        <w:rPr>
          <w:rFonts w:ascii="宋体" w:hAnsi="宋体" w:cs="宋体" w:eastAsia="宋体" w:hint="default"/>
          <w:sz w:val="17"/>
          <w:szCs w:val="17"/>
        </w:rPr>
      </w:pPr>
    </w:p>
    <w:p>
      <w:pPr>
        <w:pStyle w:val="BodyText"/>
        <w:tabs>
          <w:tab w:pos="1051" w:val="left" w:leader="none"/>
        </w:tabs>
        <w:spacing w:line="240" w:lineRule="auto" w:before="36"/>
        <w:ind w:left="0" w:right="471"/>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1418"/>
        <w:gridCol w:w="1246"/>
        <w:gridCol w:w="1164"/>
        <w:gridCol w:w="1274"/>
        <w:gridCol w:w="713"/>
        <w:gridCol w:w="710"/>
        <w:gridCol w:w="1274"/>
        <w:gridCol w:w="1277"/>
        <w:gridCol w:w="1140"/>
        <w:gridCol w:w="1327"/>
        <w:gridCol w:w="1356"/>
      </w:tblGrid>
      <w:tr>
        <w:trPr>
          <w:trHeight w:val="204" w:hRule="exact"/>
        </w:trPr>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51" w:right="552"/>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8800"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06" w:right="506"/>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95" w:right="144" w:hanging="449"/>
              <w:jc w:val="left"/>
              <w:rPr>
                <w:rFonts w:ascii="宋体" w:hAnsi="宋体" w:cs="宋体" w:eastAsia="宋体" w:hint="default"/>
                <w:sz w:val="15"/>
                <w:szCs w:val="15"/>
              </w:rPr>
            </w:pPr>
            <w:r>
              <w:rPr>
                <w:rFonts w:ascii="宋体" w:hAnsi="宋体" w:cs="宋体" w:eastAsia="宋体" w:hint="default"/>
                <w:sz w:val="15"/>
                <w:szCs w:val="15"/>
              </w:rPr>
              <w:t>减值准备期末余</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额</w:t>
            </w:r>
          </w:p>
        </w:tc>
      </w:tr>
      <w:tr>
        <w:trPr>
          <w:trHeight w:val="593" w:hRule="exact"/>
        </w:trPr>
        <w:tc>
          <w:tcPr>
            <w:tcW w:w="1416"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追加投资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1" w:right="103" w:hanging="226"/>
              <w:jc w:val="left"/>
              <w:rPr>
                <w:rFonts w:ascii="宋体" w:hAnsi="宋体" w:cs="宋体" w:eastAsia="宋体" w:hint="default"/>
                <w:sz w:val="15"/>
                <w:szCs w:val="15"/>
              </w:rPr>
            </w:pPr>
            <w:r>
              <w:rPr>
                <w:rFonts w:ascii="宋体" w:hAnsi="宋体" w:cs="宋体" w:eastAsia="宋体" w:hint="default"/>
                <w:sz w:val="15"/>
                <w:szCs w:val="15"/>
              </w:rPr>
              <w:t>权益法下确认的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投资损益</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4" w:right="0"/>
              <w:jc w:val="left"/>
              <w:rPr>
                <w:rFonts w:ascii="宋体" w:hAnsi="宋体" w:cs="宋体" w:eastAsia="宋体" w:hint="default"/>
                <w:sz w:val="15"/>
                <w:szCs w:val="15"/>
              </w:rPr>
            </w:pPr>
            <w:r>
              <w:rPr>
                <w:rFonts w:ascii="宋体" w:hAnsi="宋体" w:cs="宋体" w:eastAsia="宋体" w:hint="default"/>
                <w:sz w:val="15"/>
                <w:szCs w:val="15"/>
              </w:rPr>
              <w:t>其他综</w:t>
            </w:r>
          </w:p>
          <w:p>
            <w:pPr>
              <w:pStyle w:val="TableParagraph"/>
              <w:spacing w:line="240" w:lineRule="auto"/>
              <w:ind w:left="201" w:right="123" w:hanging="77"/>
              <w:jc w:val="left"/>
              <w:rPr>
                <w:rFonts w:ascii="宋体" w:hAnsi="宋体" w:cs="宋体" w:eastAsia="宋体" w:hint="default"/>
                <w:sz w:val="15"/>
                <w:szCs w:val="15"/>
              </w:rPr>
            </w:pP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调整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4" w:right="120"/>
              <w:jc w:val="left"/>
              <w:rPr>
                <w:rFonts w:ascii="宋体" w:hAnsi="宋体" w:cs="宋体" w:eastAsia="宋体" w:hint="default"/>
                <w:sz w:val="15"/>
                <w:szCs w:val="15"/>
              </w:rPr>
            </w:pPr>
            <w:r>
              <w:rPr>
                <w:rFonts w:ascii="宋体" w:hAnsi="宋体" w:cs="宋体" w:eastAsia="宋体" w:hint="default"/>
                <w:sz w:val="15"/>
                <w:szCs w:val="15"/>
              </w:rPr>
              <w:t>其他权</w:t>
            </w:r>
            <w:r>
              <w:rPr>
                <w:rFonts w:ascii="宋体" w:hAnsi="宋体" w:cs="宋体" w:eastAsia="宋体" w:hint="default"/>
                <w:spacing w:val="-72"/>
                <w:sz w:val="15"/>
                <w:szCs w:val="15"/>
              </w:rPr>
              <w:t> </w:t>
            </w:r>
            <w:r>
              <w:rPr>
                <w:rFonts w:ascii="宋体" w:hAnsi="宋体" w:cs="宋体" w:eastAsia="宋体" w:hint="default"/>
                <w:sz w:val="15"/>
                <w:szCs w:val="15"/>
              </w:rPr>
              <w:t>益变动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8" w:right="106" w:hanging="226"/>
              <w:jc w:val="left"/>
              <w:rPr>
                <w:rFonts w:ascii="宋体" w:hAnsi="宋体" w:cs="宋体" w:eastAsia="宋体" w:hint="default"/>
                <w:sz w:val="15"/>
                <w:szCs w:val="15"/>
              </w:rPr>
            </w:pPr>
            <w:r>
              <w:rPr>
                <w:rFonts w:ascii="宋体" w:hAnsi="宋体" w:cs="宋体" w:eastAsia="宋体" w:hint="default"/>
                <w:sz w:val="15"/>
                <w:szCs w:val="15"/>
              </w:rPr>
              <w:t>宣告发放现金股</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利或利润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计提减值准备</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327"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r>
      <w:tr>
        <w:trPr>
          <w:trHeight w:val="206" w:hRule="exact"/>
        </w:trPr>
        <w:tc>
          <w:tcPr>
            <w:tcW w:w="14318"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59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海南出版社有限公</w:t>
            </w:r>
          </w:p>
          <w:p>
            <w:pPr>
              <w:pStyle w:val="TableParagraph"/>
              <w:spacing w:line="240" w:lineRule="auto"/>
              <w:ind w:left="100" w:right="327"/>
              <w:jc w:val="left"/>
              <w:rPr>
                <w:rFonts w:ascii="宋体" w:hAnsi="宋体" w:cs="宋体" w:eastAsia="宋体" w:hint="default"/>
                <w:sz w:val="15"/>
                <w:szCs w:val="15"/>
              </w:rPr>
            </w:pPr>
            <w:r>
              <w:rPr>
                <w:rFonts w:ascii="宋体" w:hAnsi="宋体" w:cs="宋体" w:eastAsia="宋体" w:hint="default"/>
                <w:sz w:val="15"/>
                <w:szCs w:val="15"/>
              </w:rPr>
              <w:t>司(“海南出版</w:t>
            </w:r>
            <w:r>
              <w:rPr>
                <w:rFonts w:ascii="宋体" w:hAnsi="宋体" w:cs="宋体" w:eastAsia="宋体" w:hint="default"/>
                <w:w w:val="100"/>
                <w:sz w:val="15"/>
                <w:szCs w:val="15"/>
              </w:rPr>
              <w:t> </w:t>
            </w:r>
            <w:r>
              <w:rPr>
                <w:rFonts w:ascii="宋体" w:hAnsi="宋体" w:cs="宋体" w:eastAsia="宋体" w:hint="default"/>
                <w:sz w:val="15"/>
                <w:szCs w:val="15"/>
              </w:rPr>
              <w:t>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3"/>
              <w:jc w:val="right"/>
              <w:rPr>
                <w:rFonts w:ascii="宋体" w:hAnsi="宋体" w:cs="宋体" w:eastAsia="宋体" w:hint="default"/>
                <w:sz w:val="15"/>
                <w:szCs w:val="15"/>
              </w:rPr>
            </w:pPr>
            <w:r>
              <w:rPr>
                <w:rFonts w:ascii="宋体"/>
                <w:spacing w:val="-1"/>
                <w:sz w:val="15"/>
              </w:rPr>
              <w:t>131,622,920.10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16,604,538.54</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148,227,458.64</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四川福豆科技有限</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公司</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1"/>
                <w:sz w:val="15"/>
                <w:szCs w:val="15"/>
              </w:rPr>
              <w:t> </w:t>
            </w:r>
            <w:r>
              <w:rPr>
                <w:rFonts w:ascii="宋体" w:hAnsi="宋体" w:cs="宋体" w:eastAsia="宋体" w:hint="default"/>
                <w:sz w:val="15"/>
                <w:szCs w:val="15"/>
              </w:rPr>
              <w:t>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135,584.70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105,045.69</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240,630.39</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西藏文轩股权投资</w:t>
            </w: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有限公司（注</w:t>
            </w:r>
            <w:r>
              <w:rPr>
                <w:rFonts w:ascii="宋体" w:hAnsi="宋体" w:cs="宋体" w:eastAsia="宋体" w:hint="default"/>
                <w:spacing w:val="-38"/>
                <w:sz w:val="15"/>
                <w:szCs w:val="15"/>
              </w:rPr>
              <w:t> </w:t>
            </w:r>
            <w:r>
              <w:rPr>
                <w:rFonts w:ascii="宋体" w:hAnsi="宋体" w:cs="宋体" w:eastAsia="宋体" w:hint="default"/>
                <w:sz w:val="15"/>
                <w:szCs w:val="15"/>
              </w:rPr>
              <w:t>2</w:t>
            </w:r>
            <w:r>
              <w:rPr>
                <w:rFonts w:ascii="宋体" w:hAnsi="宋体" w:cs="宋体" w:eastAsia="宋体" w:hint="default"/>
                <w:sz w:val="15"/>
                <w:szCs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393,935.96</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-393,935.96</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深圳轩彩创业投资</w:t>
            </w:r>
          </w:p>
          <w:p>
            <w:pPr>
              <w:pStyle w:val="TableParagraph"/>
              <w:spacing w:line="240" w:lineRule="auto"/>
              <w:ind w:left="100" w:right="101"/>
              <w:jc w:val="left"/>
              <w:rPr>
                <w:rFonts w:ascii="宋体" w:hAnsi="宋体" w:cs="宋体" w:eastAsia="宋体" w:hint="default"/>
                <w:sz w:val="15"/>
                <w:szCs w:val="15"/>
              </w:rPr>
            </w:pPr>
            <w:r>
              <w:rPr>
                <w:rFonts w:ascii="宋体" w:hAnsi="宋体" w:cs="宋体" w:eastAsia="宋体" w:hint="default"/>
                <w:sz w:val="15"/>
                <w:szCs w:val="15"/>
              </w:rPr>
              <w:t>基金管理有限公司</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612,351.78</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-4,343.47</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608,008.31</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凉山新华文轩教育</w:t>
            </w:r>
          </w:p>
          <w:p>
            <w:pPr>
              <w:pStyle w:val="TableParagraph"/>
              <w:spacing w:line="240" w:lineRule="auto"/>
              <w:ind w:left="100" w:right="175"/>
              <w:jc w:val="left"/>
              <w:rPr>
                <w:rFonts w:ascii="宋体" w:hAnsi="宋体" w:cs="宋体" w:eastAsia="宋体" w:hint="default"/>
                <w:sz w:val="15"/>
                <w:szCs w:val="15"/>
              </w:rPr>
            </w:pPr>
            <w:r>
              <w:rPr>
                <w:rFonts w:ascii="宋体" w:hAnsi="宋体" w:cs="宋体" w:eastAsia="宋体" w:hint="default"/>
                <w:sz w:val="15"/>
                <w:szCs w:val="15"/>
              </w:rPr>
              <w:t>科技有限公司</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73"/>
                <w:sz w:val="15"/>
                <w:szCs w:val="15"/>
              </w:rPr>
              <w:t> </w:t>
            </w:r>
            <w:r>
              <w:rPr>
                <w:rFonts w:ascii="宋体" w:hAnsi="宋体" w:cs="宋体" w:eastAsia="宋体" w:hint="default"/>
                <w:sz w:val="15"/>
                <w:szCs w:val="15"/>
              </w:rPr>
              <w:t>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4,151,258.65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 w:right="0"/>
              <w:jc w:val="center"/>
              <w:rPr>
                <w:rFonts w:ascii="宋体" w:hAnsi="宋体" w:cs="宋体" w:eastAsia="宋体" w:hint="default"/>
                <w:sz w:val="15"/>
                <w:szCs w:val="15"/>
              </w:rPr>
            </w:pPr>
            <w:r>
              <w:rPr>
                <w:rFonts w:ascii="宋体"/>
                <w:sz w:val="15"/>
              </w:rPr>
              <w:t>14,700,000.00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686,244.41</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19,537,503.06</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1"/>
                <w:sz w:val="15"/>
              </w:rPr>
              <w:t>136,916,051.19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55" w:right="0"/>
              <w:jc w:val="center"/>
              <w:rPr>
                <w:rFonts w:ascii="宋体" w:hAnsi="宋体" w:cs="宋体" w:eastAsia="宋体" w:hint="default"/>
                <w:sz w:val="15"/>
                <w:szCs w:val="15"/>
              </w:rPr>
            </w:pPr>
            <w:r>
              <w:rPr>
                <w:rFonts w:ascii="宋体"/>
                <w:sz w:val="15"/>
              </w:rPr>
              <w:t>14,700,000.00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1"/>
                <w:sz w:val="15"/>
              </w:rPr>
              <w:t>-393,935.96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17,391,485.17</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168,613,600.40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4318"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39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四川文轩宝湾供应</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链有限公司</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1"/>
                <w:sz w:val="15"/>
                <w:szCs w:val="15"/>
              </w:rPr>
              <w:t> </w:t>
            </w:r>
            <w:r>
              <w:rPr>
                <w:rFonts w:ascii="宋体" w:hAnsi="宋体" w:cs="宋体" w:eastAsia="宋体" w:hint="default"/>
                <w:sz w:val="15"/>
                <w:szCs w:val="15"/>
              </w:rPr>
              <w:t>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45,014,743.75</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-191,119.64</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44,823,624.11</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商务印书馆</w:t>
            </w:r>
            <w:r>
              <w:rPr>
                <w:rFonts w:ascii="宋体" w:hAnsi="宋体" w:cs="宋体" w:eastAsia="宋体" w:hint="default"/>
                <w:sz w:val="15"/>
                <w:szCs w:val="15"/>
              </w:rPr>
              <w:t>(</w:t>
            </w:r>
            <w:r>
              <w:rPr>
                <w:rFonts w:ascii="宋体" w:hAnsi="宋体" w:cs="宋体" w:eastAsia="宋体" w:hint="default"/>
                <w:sz w:val="15"/>
                <w:szCs w:val="15"/>
              </w:rPr>
              <w:t>成都</w:t>
            </w:r>
            <w:r>
              <w:rPr>
                <w:rFonts w:ascii="宋体" w:hAnsi="宋体" w:cs="宋体" w:eastAsia="宋体" w:hint="default"/>
                <w:sz w:val="15"/>
                <w:szCs w:val="15"/>
              </w:rPr>
              <w:t>)</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2,435,042.07</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191,840.76</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2,626,882.83</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人民东方</w:t>
            </w:r>
            <w:r>
              <w:rPr>
                <w:rFonts w:ascii="宋体" w:hAnsi="宋体" w:cs="宋体" w:eastAsia="宋体" w:hint="default"/>
                <w:sz w:val="15"/>
                <w:szCs w:val="15"/>
              </w:rPr>
              <w:t>(</w:t>
            </w:r>
            <w:r>
              <w:rPr>
                <w:rFonts w:ascii="宋体" w:hAnsi="宋体" w:cs="宋体" w:eastAsia="宋体" w:hint="default"/>
                <w:sz w:val="15"/>
                <w:szCs w:val="15"/>
              </w:rPr>
              <w:t>北京</w:t>
            </w:r>
            <w:r>
              <w:rPr>
                <w:rFonts w:ascii="宋体" w:hAnsi="宋体" w:cs="宋体" w:eastAsia="宋体" w:hint="default"/>
                <w:sz w:val="15"/>
                <w:szCs w:val="15"/>
              </w:rPr>
              <w:t>)</w:t>
            </w:r>
            <w:r>
              <w:rPr>
                <w:rFonts w:ascii="宋体" w:hAnsi="宋体" w:cs="宋体" w:eastAsia="宋体" w:hint="default"/>
                <w:sz w:val="15"/>
                <w:szCs w:val="15"/>
              </w:rPr>
              <w:t>书</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10,620,350.30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2,702,454.78</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84" w:right="0"/>
              <w:jc w:val="left"/>
              <w:rPr>
                <w:rFonts w:ascii="宋体" w:hAnsi="宋体" w:cs="宋体" w:eastAsia="宋体" w:hint="default"/>
                <w:sz w:val="15"/>
                <w:szCs w:val="15"/>
              </w:rPr>
            </w:pPr>
            <w:r>
              <w:rPr>
                <w:rFonts w:ascii="宋体"/>
                <w:sz w:val="15"/>
              </w:rPr>
              <w:t>-2,400,000.00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10,922,805.08</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贵州新华文轩图书</w:t>
            </w:r>
          </w:p>
          <w:p>
            <w:pPr>
              <w:pStyle w:val="TableParagraph"/>
              <w:spacing w:line="240" w:lineRule="auto"/>
              <w:ind w:left="100" w:right="101"/>
              <w:jc w:val="left"/>
              <w:rPr>
                <w:rFonts w:ascii="宋体" w:hAnsi="宋体" w:cs="宋体" w:eastAsia="宋体" w:hint="default"/>
                <w:sz w:val="15"/>
                <w:szCs w:val="15"/>
              </w:rPr>
            </w:pPr>
            <w:r>
              <w:rPr>
                <w:rFonts w:ascii="宋体" w:hAnsi="宋体" w:cs="宋体" w:eastAsia="宋体" w:hint="default"/>
                <w:sz w:val="15"/>
                <w:szCs w:val="15"/>
              </w:rPr>
              <w:t>音像连锁有限责任</w:t>
            </w:r>
            <w:r>
              <w:rPr>
                <w:rFonts w:ascii="宋体" w:hAnsi="宋体" w:cs="宋体" w:eastAsia="宋体" w:hint="default"/>
                <w:w w:val="100"/>
                <w:sz w:val="15"/>
                <w:szCs w:val="15"/>
              </w:rPr>
              <w:t> </w:t>
            </w:r>
            <w:r>
              <w:rPr>
                <w:rFonts w:ascii="宋体" w:hAnsi="宋体" w:cs="宋体" w:eastAsia="宋体" w:hint="default"/>
                <w:sz w:val="15"/>
                <w:szCs w:val="15"/>
              </w:rPr>
              <w:t>公司（“贵州文</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轩”）</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0.00</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明博教育科技股份</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32,007,766.13</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4,987,119.63</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36,994,885.76</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上海景界信息科技</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1,983,768.64</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175,209.72</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2,158,978.36</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四川文轩幼儿教育</w:t>
            </w:r>
          </w:p>
          <w:p>
            <w:pPr>
              <w:pStyle w:val="TableParagraph"/>
              <w:spacing w:line="194" w:lineRule="exact"/>
              <w:ind w:left="100" w:right="0"/>
              <w:jc w:val="left"/>
              <w:rPr>
                <w:rFonts w:ascii="宋体" w:hAnsi="宋体" w:cs="宋体" w:eastAsia="宋体" w:hint="default"/>
                <w:sz w:val="15"/>
                <w:szCs w:val="15"/>
              </w:rPr>
            </w:pPr>
            <w:r>
              <w:rPr>
                <w:rFonts w:ascii="宋体" w:hAnsi="宋体" w:cs="宋体" w:eastAsia="宋体" w:hint="default"/>
                <w:sz w:val="15"/>
                <w:szCs w:val="15"/>
              </w:rPr>
              <w:t>管理有限公司</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（“幼儿教育”）</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2"/>
                <w:sz w:val="15"/>
              </w:rPr>
              <w:t>3,968,925.78</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1,608,473.29</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5,577,399.07</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重庆云汉网络传媒</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45,760,782.62</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-1,861,303.61</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 w:right="0"/>
              <w:jc w:val="center"/>
              <w:rPr>
                <w:rFonts w:ascii="宋体" w:hAnsi="宋体" w:cs="宋体" w:eastAsia="宋体" w:hint="default"/>
                <w:sz w:val="15"/>
                <w:szCs w:val="15"/>
              </w:rPr>
            </w:pPr>
            <w:r>
              <w:rPr>
                <w:rFonts w:ascii="宋体"/>
                <w:sz w:val="15"/>
              </w:rPr>
              <w:t>-16,529,000.00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27,370,479.01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89" w:right="0"/>
              <w:jc w:val="left"/>
              <w:rPr>
                <w:rFonts w:ascii="宋体" w:hAnsi="宋体" w:cs="宋体" w:eastAsia="宋体" w:hint="default"/>
                <w:sz w:val="15"/>
                <w:szCs w:val="15"/>
              </w:rPr>
            </w:pPr>
            <w:r>
              <w:rPr>
                <w:rFonts w:ascii="宋体"/>
                <w:sz w:val="15"/>
              </w:rPr>
              <w:t>-16,529,000.00</w:t>
            </w:r>
          </w:p>
        </w:tc>
      </w:tr>
    </w:tbl>
    <w:p>
      <w:pPr>
        <w:spacing w:after="0" w:line="172" w:lineRule="exact"/>
        <w:jc w:val="left"/>
        <w:rPr>
          <w:rFonts w:ascii="宋体" w:hAnsi="宋体" w:cs="宋体" w:eastAsia="宋体" w:hint="default"/>
          <w:sz w:val="15"/>
          <w:szCs w:val="15"/>
        </w:rPr>
        <w:sectPr>
          <w:headerReference w:type="default" r:id="rId45"/>
          <w:footerReference w:type="default" r:id="rId46"/>
          <w:pgSz w:w="16840" w:h="11910" w:orient="landscape"/>
          <w:pgMar w:header="882" w:footer="1195" w:top="1120" w:bottom="1380" w:left="980" w:right="1320"/>
          <w:pgNumType w:start="127"/>
        </w:sectPr>
      </w:pPr>
    </w:p>
    <w:p>
      <w:pPr>
        <w:spacing w:line="240" w:lineRule="auto" w:before="4"/>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416"/>
        <w:gridCol w:w="1418"/>
        <w:gridCol w:w="1246"/>
        <w:gridCol w:w="1164"/>
        <w:gridCol w:w="1274"/>
        <w:gridCol w:w="713"/>
        <w:gridCol w:w="710"/>
        <w:gridCol w:w="1274"/>
        <w:gridCol w:w="1277"/>
        <w:gridCol w:w="1140"/>
        <w:gridCol w:w="1327"/>
        <w:gridCol w:w="1356"/>
      </w:tblGrid>
      <w:tr>
        <w:trPr>
          <w:trHeight w:val="39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成都文轩股权投资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基金管理有限公司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30,017,149.67</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-4,151,002.80</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25,866,146.87</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四川省教育科学杂</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志社有限公司</w:t>
            </w: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(“教育论坛”)</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143,598.78</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143,598.78</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四川天合文化有限</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146,578.48</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-146,578.48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西藏文轩创业投资</w:t>
            </w:r>
          </w:p>
          <w:p>
            <w:pPr>
              <w:pStyle w:val="TableParagraph"/>
              <w:spacing w:line="240" w:lineRule="auto"/>
              <w:ind w:left="100" w:right="175"/>
              <w:jc w:val="left"/>
              <w:rPr>
                <w:rFonts w:ascii="宋体" w:hAnsi="宋体" w:cs="宋体" w:eastAsia="宋体" w:hint="default"/>
                <w:sz w:val="15"/>
                <w:szCs w:val="15"/>
              </w:rPr>
            </w:pPr>
            <w:r>
              <w:rPr>
                <w:rFonts w:ascii="宋体" w:hAnsi="宋体" w:cs="宋体" w:eastAsia="宋体" w:hint="default"/>
                <w:sz w:val="15"/>
                <w:szCs w:val="15"/>
              </w:rPr>
              <w:t>基金合伙企业</w:t>
            </w:r>
            <w:r>
              <w:rPr>
                <w:rFonts w:ascii="宋体" w:hAnsi="宋体" w:cs="宋体" w:eastAsia="宋体" w:hint="default"/>
                <w:sz w:val="15"/>
                <w:szCs w:val="15"/>
              </w:rPr>
              <w:t>(</w:t>
            </w:r>
            <w:r>
              <w:rPr>
                <w:rFonts w:ascii="宋体" w:hAnsi="宋体" w:cs="宋体" w:eastAsia="宋体" w:hint="default"/>
                <w:sz w:val="15"/>
                <w:szCs w:val="15"/>
              </w:rPr>
              <w:t>有</w:t>
            </w:r>
            <w:r>
              <w:rPr>
                <w:rFonts w:ascii="宋体" w:hAnsi="宋体" w:cs="宋体" w:eastAsia="宋体" w:hint="default"/>
                <w:spacing w:val="-73"/>
                <w:sz w:val="15"/>
                <w:szCs w:val="15"/>
              </w:rPr>
              <w:t> </w:t>
            </w:r>
            <w:r>
              <w:rPr>
                <w:rFonts w:ascii="宋体" w:hAnsi="宋体" w:cs="宋体" w:eastAsia="宋体" w:hint="default"/>
                <w:sz w:val="15"/>
                <w:szCs w:val="15"/>
              </w:rPr>
              <w:t>限合伙</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7"/>
                <w:sz w:val="15"/>
                <w:szCs w:val="15"/>
              </w:rPr>
              <w:t> </w:t>
            </w:r>
            <w:r>
              <w:rPr>
                <w:rFonts w:ascii="宋体" w:hAnsi="宋体" w:cs="宋体" w:eastAsia="宋体" w:hint="default"/>
                <w:sz w:val="15"/>
                <w:szCs w:val="15"/>
              </w:rPr>
              <w:t>6</w:t>
            </w:r>
            <w:r>
              <w:rPr>
                <w:rFonts w:ascii="宋体" w:hAnsi="宋体" w:cs="宋体" w:eastAsia="宋体" w:hint="default"/>
                <w:sz w:val="15"/>
                <w:szCs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27,762,802.35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9" w:right="0"/>
              <w:jc w:val="center"/>
              <w:rPr>
                <w:rFonts w:ascii="宋体" w:hAnsi="宋体" w:cs="宋体" w:eastAsia="宋体" w:hint="default"/>
                <w:sz w:val="15"/>
                <w:szCs w:val="15"/>
              </w:rPr>
            </w:pPr>
            <w:r>
              <w:rPr>
                <w:rFonts w:ascii="宋体"/>
                <w:sz w:val="15"/>
              </w:rPr>
              <w:t>1,700,000.00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-811,704.84</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28,651,097.51</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四川骄阳似火影业</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34,045.55</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33,445.71</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67,491.26</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both"/>
              <w:rPr>
                <w:rFonts w:ascii="宋体" w:hAnsi="宋体" w:cs="宋体" w:eastAsia="宋体" w:hint="default"/>
                <w:sz w:val="15"/>
                <w:szCs w:val="15"/>
              </w:rPr>
            </w:pPr>
            <w:r>
              <w:rPr>
                <w:rFonts w:ascii="宋体" w:hAnsi="宋体" w:cs="宋体" w:eastAsia="宋体" w:hint="default"/>
                <w:sz w:val="15"/>
                <w:szCs w:val="15"/>
              </w:rPr>
              <w:t>新华影轩（北京）</w:t>
            </w:r>
          </w:p>
          <w:p>
            <w:pPr>
              <w:pStyle w:val="TableParagraph"/>
              <w:spacing w:line="240" w:lineRule="auto"/>
              <w:ind w:left="100" w:right="101"/>
              <w:jc w:val="both"/>
              <w:rPr>
                <w:rFonts w:ascii="宋体" w:hAnsi="宋体" w:cs="宋体" w:eastAsia="宋体" w:hint="default"/>
                <w:sz w:val="15"/>
                <w:szCs w:val="15"/>
              </w:rPr>
            </w:pPr>
            <w:r>
              <w:rPr>
                <w:rFonts w:ascii="宋体" w:hAnsi="宋体" w:cs="宋体" w:eastAsia="宋体" w:hint="default"/>
                <w:sz w:val="15"/>
                <w:szCs w:val="15"/>
              </w:rPr>
              <w:t>影视文化有限公司</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原华影文轩</w:t>
            </w:r>
            <w:r>
              <w:rPr>
                <w:rFonts w:ascii="宋体" w:hAnsi="宋体" w:cs="宋体" w:eastAsia="宋体" w:hint="default"/>
                <w:sz w:val="15"/>
                <w:szCs w:val="15"/>
              </w:rPr>
              <w:t>)("</w:t>
            </w:r>
            <w:r>
              <w:rPr>
                <w:rFonts w:ascii="宋体" w:hAnsi="宋体" w:cs="宋体" w:eastAsia="宋体" w:hint="default"/>
                <w:sz w:val="15"/>
                <w:szCs w:val="15"/>
              </w:rPr>
              <w:t>新</w:t>
            </w:r>
            <w:r>
              <w:rPr>
                <w:rFonts w:ascii="宋体" w:hAnsi="宋体" w:cs="宋体" w:eastAsia="宋体" w:hint="default"/>
                <w:w w:val="100"/>
                <w:sz w:val="15"/>
                <w:szCs w:val="15"/>
              </w:rPr>
              <w:t> </w:t>
            </w:r>
            <w:r>
              <w:rPr>
                <w:rFonts w:ascii="宋体" w:hAnsi="宋体" w:cs="宋体" w:eastAsia="宋体" w:hint="default"/>
                <w:sz w:val="15"/>
                <w:szCs w:val="15"/>
              </w:rPr>
              <w:t>华影轩</w:t>
            </w:r>
            <w:r>
              <w:rPr>
                <w:rFonts w:ascii="宋体" w:hAnsi="宋体" w:cs="宋体" w:eastAsia="宋体" w:hint="default"/>
                <w:sz w:val="15"/>
                <w:szCs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2"/>
                <w:sz w:val="15"/>
              </w:rPr>
              <w:t>19,917,696.03</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395,873.79</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20,313,569.82</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219,669,651.37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9" w:right="0"/>
              <w:jc w:val="center"/>
              <w:rPr>
                <w:rFonts w:ascii="宋体" w:hAnsi="宋体" w:cs="宋体" w:eastAsia="宋体" w:hint="default"/>
                <w:sz w:val="15"/>
                <w:szCs w:val="15"/>
              </w:rPr>
            </w:pPr>
            <w:r>
              <w:rPr>
                <w:rFonts w:ascii="宋体"/>
                <w:sz w:val="15"/>
              </w:rPr>
              <w:t>1,700,000.00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3,222,885.57</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0" w:right="0"/>
              <w:jc w:val="center"/>
              <w:rPr>
                <w:rFonts w:ascii="宋体" w:hAnsi="宋体" w:cs="宋体" w:eastAsia="宋体" w:hint="default"/>
                <w:sz w:val="15"/>
                <w:szCs w:val="15"/>
              </w:rPr>
            </w:pPr>
            <w:r>
              <w:rPr>
                <w:rFonts w:ascii="宋体"/>
                <w:sz w:val="15"/>
              </w:rPr>
              <w:t>-2,400,000.00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0" w:right="0"/>
              <w:jc w:val="left"/>
              <w:rPr>
                <w:rFonts w:ascii="宋体" w:hAnsi="宋体" w:cs="宋体" w:eastAsia="宋体" w:hint="default"/>
                <w:sz w:val="15"/>
                <w:szCs w:val="15"/>
              </w:rPr>
            </w:pPr>
            <w:r>
              <w:rPr>
                <w:rFonts w:ascii="宋体"/>
                <w:sz w:val="15"/>
              </w:rPr>
              <w:t>-16,529,000.00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-146,578.48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205,516,958.46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-16,529,000.00</w:t>
            </w:r>
          </w:p>
        </w:tc>
      </w:tr>
      <w:tr>
        <w:trPr>
          <w:trHeight w:val="20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356,585,702.56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 w:right="0"/>
              <w:jc w:val="center"/>
              <w:rPr>
                <w:rFonts w:ascii="宋体" w:hAnsi="宋体" w:cs="宋体" w:eastAsia="宋体" w:hint="default"/>
                <w:sz w:val="15"/>
                <w:szCs w:val="15"/>
              </w:rPr>
            </w:pPr>
            <w:r>
              <w:rPr>
                <w:rFonts w:ascii="宋体"/>
                <w:sz w:val="15"/>
              </w:rPr>
              <w:t>16,400,000.00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3" w:right="0"/>
              <w:jc w:val="left"/>
              <w:rPr>
                <w:rFonts w:ascii="宋体" w:hAnsi="宋体" w:cs="宋体" w:eastAsia="宋体" w:hint="default"/>
                <w:sz w:val="15"/>
                <w:szCs w:val="15"/>
              </w:rPr>
            </w:pPr>
            <w:r>
              <w:rPr>
                <w:rFonts w:ascii="宋体"/>
                <w:sz w:val="15"/>
              </w:rPr>
              <w:t>-393,935.96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20,614,370.74</w:t>
            </w:r>
          </w:p>
        </w:tc>
        <w:tc>
          <w:tcPr>
            <w:tcW w:w="71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0" w:right="0"/>
              <w:jc w:val="center"/>
              <w:rPr>
                <w:rFonts w:ascii="宋体" w:hAnsi="宋体" w:cs="宋体" w:eastAsia="宋体" w:hint="default"/>
                <w:sz w:val="15"/>
                <w:szCs w:val="15"/>
              </w:rPr>
            </w:pPr>
            <w:r>
              <w:rPr>
                <w:rFonts w:ascii="宋体"/>
                <w:sz w:val="15"/>
              </w:rPr>
              <w:t>-2,400,000.00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0" w:right="0"/>
              <w:jc w:val="left"/>
              <w:rPr>
                <w:rFonts w:ascii="宋体" w:hAnsi="宋体" w:cs="宋体" w:eastAsia="宋体" w:hint="default"/>
                <w:sz w:val="15"/>
                <w:szCs w:val="15"/>
              </w:rPr>
            </w:pPr>
            <w:r>
              <w:rPr>
                <w:rFonts w:ascii="宋体"/>
                <w:sz w:val="15"/>
              </w:rPr>
              <w:t>-16,529,000.00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-146,578.48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374,130,558.86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-16,529,000.00</w:t>
            </w:r>
          </w:p>
        </w:tc>
      </w:tr>
    </w:tbl>
    <w:p>
      <w:pPr>
        <w:spacing w:after="0" w:line="172" w:lineRule="exact"/>
        <w:jc w:val="center"/>
        <w:rPr>
          <w:rFonts w:ascii="宋体" w:hAnsi="宋体" w:cs="宋体" w:eastAsia="宋体" w:hint="default"/>
          <w:sz w:val="15"/>
          <w:szCs w:val="15"/>
        </w:rPr>
        <w:sectPr>
          <w:pgSz w:w="16840" w:h="11910" w:orient="landscape"/>
          <w:pgMar w:header="882" w:footer="1195" w:top="1120" w:bottom="1380" w:left="98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73" w:lineRule="exact" w:before="178"/>
        <w:ind w:left="140" w:right="0"/>
        <w:jc w:val="both"/>
      </w:pPr>
      <w:r>
        <w:rPr/>
        <w:t>其他说明</w:t>
      </w:r>
    </w:p>
    <w:p>
      <w:pPr>
        <w:pStyle w:val="BodyText"/>
        <w:spacing w:line="357" w:lineRule="auto"/>
        <w:ind w:left="140" w:right="117"/>
        <w:jc w:val="left"/>
      </w:pPr>
      <w:r>
        <w:rPr/>
        <w:t>注</w:t>
      </w:r>
      <w:r>
        <w:rPr>
          <w:spacing w:val="-35"/>
        </w:rPr>
        <w:t> </w:t>
      </w:r>
      <w:r>
        <w:rPr>
          <w:rFonts w:ascii="宋体" w:hAnsi="宋体" w:cs="宋体" w:eastAsia="宋体" w:hint="default"/>
          <w:spacing w:val="-5"/>
        </w:rPr>
        <w:t>1</w:t>
      </w:r>
      <w:r>
        <w:rPr>
          <w:spacing w:val="-5"/>
        </w:rPr>
        <w:t>：根据四川福豆科技有限公司公司章程约定，本公司的子公司文轩教育科技在股东会享有</w:t>
      </w:r>
      <w:r>
        <w:rPr>
          <w:spacing w:val="-35"/>
        </w:rPr>
        <w:t> </w:t>
      </w:r>
      <w:r>
        <w:rPr>
          <w:rFonts w:ascii="宋体" w:hAnsi="宋体" w:cs="宋体" w:eastAsia="宋体" w:hint="default"/>
        </w:rPr>
        <w:t>38.5%</w:t>
      </w:r>
      <w:r>
        <w:rPr>
          <w:rFonts w:ascii="宋体" w:hAnsi="宋体" w:cs="宋体" w:eastAsia="宋体" w:hint="default"/>
          <w:spacing w:val="-62"/>
        </w:rPr>
        <w:t> </w:t>
      </w:r>
      <w:r>
        <w:rPr>
          <w:rFonts w:ascii="宋体" w:hAnsi="宋体" w:cs="宋体" w:eastAsia="宋体" w:hint="default"/>
          <w:spacing w:val="-62"/>
        </w:rPr>
      </w:r>
      <w:r>
        <w:rPr/>
        <w:t>的表决权，另一方股东在股东会享有</w:t>
      </w:r>
      <w:r>
        <w:rPr>
          <w:spacing w:val="-9"/>
        </w:rPr>
        <w:t> </w:t>
      </w:r>
      <w:r>
        <w:rPr>
          <w:rFonts w:ascii="宋体" w:hAnsi="宋体" w:cs="宋体" w:eastAsia="宋体" w:hint="default"/>
        </w:rPr>
        <w:t>61.5%</w:t>
      </w:r>
      <w:r>
        <w:rPr/>
        <w:t>的表决权。四川福豆科技有限公司股东会对年度财务预</w:t>
      </w:r>
      <w:r>
        <w:rPr>
          <w:w w:val="100"/>
        </w:rPr>
        <w:t> </w:t>
      </w:r>
      <w:r>
        <w:rPr/>
        <w:t>算方案、决算方案、利润分配和弥补亏损作出决议时，须经代表三分之二以上表决权的股东通过。</w:t>
      </w:r>
      <w:r>
        <w:rPr>
          <w:spacing w:val="-8"/>
        </w:rPr>
        <w:t> </w:t>
      </w:r>
      <w:r>
        <w:rPr>
          <w:spacing w:val="-8"/>
        </w:rPr>
      </w:r>
      <w:r>
        <w:rPr/>
        <w:t>因此，文轩教育科技及另一方股东对四川福豆科技有限公司实施共同控制，四川福豆科技有限公司</w:t>
      </w:r>
      <w:r>
        <w:rPr>
          <w:w w:val="100"/>
        </w:rPr>
        <w:t> </w:t>
      </w:r>
      <w:r>
        <w:rPr/>
        <w:t>为本公司的合营企业。于</w:t>
      </w:r>
      <w:r>
        <w:rPr>
          <w:spacing w:val="-31"/>
        </w:rPr>
        <w:t> </w:t>
      </w:r>
      <w:r>
        <w:rPr>
          <w:rFonts w:ascii="宋体" w:hAnsi="宋体" w:cs="宋体" w:eastAsia="宋体" w:hint="default"/>
        </w:rPr>
        <w:t>2017</w:t>
      </w:r>
      <w:r>
        <w:rPr>
          <w:rFonts w:ascii="宋体" w:hAnsi="宋体" w:cs="宋体" w:eastAsia="宋体" w:hint="default"/>
          <w:spacing w:val="-29"/>
        </w:rPr>
        <w:t> </w:t>
      </w:r>
      <w:r>
        <w:rPr/>
        <w:t>年</w:t>
      </w:r>
      <w:r>
        <w:rPr>
          <w:spacing w:val="-29"/>
        </w:rPr>
        <w:t> </w:t>
      </w:r>
      <w:r>
        <w:rPr>
          <w:rFonts w:ascii="宋体" w:hAnsi="宋体" w:cs="宋体" w:eastAsia="宋体" w:hint="default"/>
        </w:rPr>
        <w:t>4</w:t>
      </w:r>
      <w:r>
        <w:rPr>
          <w:rFonts w:ascii="宋体" w:hAnsi="宋体" w:cs="宋体" w:eastAsia="宋体" w:hint="default"/>
          <w:spacing w:val="-29"/>
        </w:rPr>
        <w:t> </w:t>
      </w:r>
      <w:r>
        <w:rPr/>
        <w:t>月，文轩教育科技将所持有的股权全部转让给本公司的另一子</w:t>
      </w:r>
      <w:r>
        <w:rPr>
          <w:w w:val="100"/>
        </w:rPr>
        <w:t> </w:t>
      </w:r>
      <w:r>
        <w:rPr/>
        <w:t>公司文轩投资，文轩投资继承上述文轩教育科技在四川福豆科技有限公司公司中的一切权益。</w:t>
      </w:r>
    </w:p>
    <w:p>
      <w:pPr>
        <w:spacing w:line="240" w:lineRule="auto" w:before="0"/>
        <w:rPr>
          <w:rFonts w:ascii="宋体" w:hAnsi="宋体" w:cs="宋体" w:eastAsia="宋体" w:hint="default"/>
          <w:sz w:val="20"/>
          <w:szCs w:val="20"/>
        </w:rPr>
      </w:pPr>
    </w:p>
    <w:p>
      <w:pPr>
        <w:pStyle w:val="BodyText"/>
        <w:spacing w:line="357" w:lineRule="auto" w:before="179"/>
        <w:ind w:left="140" w:right="211"/>
        <w:jc w:val="both"/>
      </w:pPr>
      <w:r>
        <w:rPr/>
        <w:t>注</w:t>
      </w:r>
      <w:r>
        <w:rPr>
          <w:spacing w:val="-19"/>
        </w:rPr>
        <w:t> </w:t>
      </w:r>
      <w:r>
        <w:rPr>
          <w:rFonts w:ascii="宋体" w:hAnsi="宋体" w:cs="宋体" w:eastAsia="宋体" w:hint="default"/>
          <w:spacing w:val="-5"/>
        </w:rPr>
        <w:t>2</w:t>
      </w:r>
      <w:r>
        <w:rPr>
          <w:spacing w:val="-5"/>
        </w:rPr>
        <w:t>：根据西藏文轩股权投资有限公司的公司章程约定，本公司的子公司文轩投资在股东会享有</w:t>
      </w:r>
      <w:r>
        <w:rPr>
          <w:spacing w:val="-19"/>
        </w:rPr>
        <w:t> </w:t>
      </w:r>
      <w:r>
        <w:rPr>
          <w:rFonts w:ascii="宋体" w:hAnsi="宋体" w:cs="宋体" w:eastAsia="宋体" w:hint="default"/>
        </w:rPr>
        <w:t>40%</w:t>
      </w:r>
      <w:r>
        <w:rPr>
          <w:rFonts w:ascii="宋体" w:hAnsi="宋体" w:cs="宋体" w:eastAsia="宋体" w:hint="default"/>
          <w:spacing w:val="-89"/>
        </w:rPr>
        <w:t> </w:t>
      </w:r>
      <w:r>
        <w:rPr>
          <w:rFonts w:ascii="宋体" w:hAnsi="宋体" w:cs="宋体" w:eastAsia="宋体" w:hint="default"/>
          <w:spacing w:val="-89"/>
        </w:rPr>
      </w:r>
      <w:r>
        <w:rPr/>
        <w:t>的表决权，另外两方股东在股东会分别享有</w:t>
      </w:r>
      <w:r>
        <w:rPr>
          <w:spacing w:val="-11"/>
        </w:rPr>
        <w:t> </w:t>
      </w:r>
      <w:r>
        <w:rPr>
          <w:rFonts w:ascii="宋体" w:hAnsi="宋体" w:cs="宋体" w:eastAsia="宋体" w:hint="default"/>
        </w:rPr>
        <w:t>30%</w:t>
      </w:r>
      <w:r>
        <w:rPr/>
        <w:t>的表决权。西藏文轩股权投资有限公司股东会对年</w:t>
      </w:r>
      <w:r>
        <w:rPr>
          <w:w w:val="100"/>
        </w:rPr>
        <w:t> </w:t>
      </w:r>
      <w:r>
        <w:rPr/>
        <w:t>度财务预算方案、决算方案、利润分配和弥补亏损作出决议时，须经代表</w:t>
      </w:r>
      <w:r>
        <w:rPr>
          <w:spacing w:val="-11"/>
        </w:rPr>
        <w:t> </w:t>
      </w:r>
      <w:r>
        <w:rPr>
          <w:rFonts w:ascii="宋体" w:hAnsi="宋体" w:cs="宋体" w:eastAsia="宋体" w:hint="default"/>
        </w:rPr>
        <w:t>75%</w:t>
      </w:r>
      <w:r>
        <w:rPr/>
        <w:t>以上表决权的股东通</w:t>
      </w:r>
      <w:r>
        <w:rPr>
          <w:w w:val="100"/>
        </w:rPr>
        <w:t> </w:t>
      </w:r>
      <w:r>
        <w:rPr>
          <w:spacing w:val="-2"/>
        </w:rPr>
        <w:t>过。因此，文轩投资及另两方股东对西藏文轩股权投资有限公司实施共同控制，西藏文轩股权投资</w:t>
      </w:r>
      <w:r>
        <w:rPr>
          <w:spacing w:val="-31"/>
        </w:rPr>
        <w:t> </w:t>
      </w:r>
      <w:r>
        <w:rPr>
          <w:spacing w:val="-31"/>
        </w:rPr>
      </w:r>
      <w:r>
        <w:rPr/>
        <w:t>有限公司为本集团的合营企业。于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月，西藏文轩股权投资有限公司完成工商注销。</w:t>
      </w:r>
    </w:p>
    <w:p>
      <w:pPr>
        <w:spacing w:line="240" w:lineRule="auto" w:before="0"/>
        <w:rPr>
          <w:rFonts w:ascii="宋体" w:hAnsi="宋体" w:cs="宋体" w:eastAsia="宋体" w:hint="default"/>
          <w:sz w:val="20"/>
          <w:szCs w:val="20"/>
        </w:rPr>
      </w:pPr>
    </w:p>
    <w:p>
      <w:pPr>
        <w:pStyle w:val="BodyText"/>
        <w:spacing w:line="357" w:lineRule="auto" w:before="176"/>
        <w:ind w:left="140" w:right="211"/>
        <w:jc w:val="both"/>
      </w:pPr>
      <w:r>
        <w:rPr/>
        <w:t>注</w:t>
      </w:r>
      <w:r>
        <w:rPr>
          <w:spacing w:val="-10"/>
        </w:rPr>
        <w:t> </w:t>
      </w:r>
      <w:r>
        <w:rPr>
          <w:rFonts w:ascii="宋体" w:hAnsi="宋体" w:cs="宋体" w:eastAsia="宋体" w:hint="default"/>
        </w:rPr>
        <w:t>3</w:t>
      </w:r>
      <w:r>
        <w:rPr/>
        <w:t>：根据深圳轩彩创业投资基金管理有限公司的公司章程约定，本公司的子公司文轩投资在股东</w:t>
      </w:r>
      <w:r>
        <w:rPr>
          <w:w w:val="100"/>
        </w:rPr>
        <w:t> </w:t>
      </w:r>
      <w:r>
        <w:rPr/>
        <w:t>会享有 </w:t>
      </w:r>
      <w:r>
        <w:rPr>
          <w:rFonts w:ascii="宋体" w:hAnsi="宋体" w:cs="宋体" w:eastAsia="宋体" w:hint="default"/>
        </w:rPr>
        <w:t>40%</w:t>
      </w:r>
      <w:r>
        <w:rPr/>
        <w:t>的表决权，另外两方股东在股东会分别享有</w:t>
      </w:r>
      <w:r>
        <w:rPr>
          <w:spacing w:val="-11"/>
        </w:rPr>
        <w:t> </w:t>
      </w:r>
      <w:r>
        <w:rPr>
          <w:rFonts w:ascii="宋体" w:hAnsi="宋体" w:cs="宋体" w:eastAsia="宋体" w:hint="default"/>
        </w:rPr>
        <w:t>30%</w:t>
      </w:r>
      <w:r>
        <w:rPr/>
        <w:t>的表决权。深圳轩彩创业投资基金管理</w:t>
      </w:r>
      <w:r>
        <w:rPr>
          <w:w w:val="100"/>
        </w:rPr>
        <w:t> </w:t>
      </w:r>
      <w:r>
        <w:rPr/>
        <w:t>有限公司股东会对年度财务预算方案、决算方案、利润分配和弥补亏损作出决议时，须经代表</w:t>
      </w:r>
      <w:r>
        <w:rPr>
          <w:spacing w:val="-10"/>
        </w:rPr>
        <w:t> </w:t>
      </w:r>
      <w:r>
        <w:rPr>
          <w:rFonts w:ascii="宋体" w:hAnsi="宋体" w:cs="宋体" w:eastAsia="宋体" w:hint="default"/>
        </w:rPr>
        <w:t>75%</w:t>
      </w:r>
      <w:r>
        <w:rPr>
          <w:rFonts w:ascii="宋体" w:hAnsi="宋体" w:cs="宋体" w:eastAsia="宋体" w:hint="default"/>
          <w:w w:val="100"/>
        </w:rPr>
        <w:t> </w:t>
      </w:r>
      <w:r>
        <w:rPr>
          <w:spacing w:val="-2"/>
        </w:rPr>
        <w:t>以上表决权的股东通过。因此，文轩投资及另两方股东对深圳轩彩创业投资基金管理有限公司实施</w:t>
      </w:r>
      <w:r>
        <w:rPr>
          <w:spacing w:val="-29"/>
        </w:rPr>
        <w:t> </w:t>
      </w:r>
      <w:r>
        <w:rPr>
          <w:spacing w:val="-29"/>
        </w:rPr>
      </w:r>
      <w:r>
        <w:rPr/>
        <w:t>共同控制，深圳轩彩创业投资基金管理有限公司为本集团的合营企业。</w:t>
      </w:r>
    </w:p>
    <w:p>
      <w:pPr>
        <w:spacing w:line="240" w:lineRule="auto" w:before="0"/>
        <w:rPr>
          <w:rFonts w:ascii="宋体" w:hAnsi="宋体" w:cs="宋体" w:eastAsia="宋体" w:hint="default"/>
          <w:sz w:val="20"/>
          <w:szCs w:val="20"/>
        </w:rPr>
      </w:pPr>
    </w:p>
    <w:p>
      <w:pPr>
        <w:pStyle w:val="BodyText"/>
        <w:spacing w:line="357" w:lineRule="auto" w:before="176"/>
        <w:ind w:left="140" w:right="211"/>
        <w:jc w:val="both"/>
      </w:pPr>
      <w:r>
        <w:rPr/>
        <w:t>注</w:t>
      </w:r>
      <w:r>
        <w:rPr>
          <w:spacing w:val="-41"/>
        </w:rPr>
        <w:t> </w:t>
      </w:r>
      <w:r>
        <w:rPr>
          <w:rFonts w:ascii="宋体" w:hAnsi="宋体" w:cs="宋体" w:eastAsia="宋体" w:hint="default"/>
          <w:spacing w:val="-8"/>
        </w:rPr>
        <w:t>4</w:t>
      </w:r>
      <w:r>
        <w:rPr>
          <w:spacing w:val="-8"/>
        </w:rPr>
        <w:t>：于</w:t>
      </w:r>
      <w:r>
        <w:rPr>
          <w:spacing w:val="-41"/>
        </w:rPr>
        <w:t> </w:t>
      </w:r>
      <w:r>
        <w:rPr>
          <w:rFonts w:ascii="宋体" w:hAnsi="宋体" w:cs="宋体" w:eastAsia="宋体" w:hint="default"/>
        </w:rPr>
        <w:t>2017</w:t>
      </w:r>
      <w:r>
        <w:rPr>
          <w:rFonts w:ascii="宋体" w:hAnsi="宋体" w:cs="宋体" w:eastAsia="宋体" w:hint="default"/>
          <w:spacing w:val="-44"/>
        </w:rPr>
        <w:t> </w:t>
      </w:r>
      <w:r>
        <w:rPr/>
        <w:t>年</w:t>
      </w:r>
      <w:r>
        <w:rPr>
          <w:spacing w:val="-41"/>
        </w:rPr>
        <w:t> </w:t>
      </w:r>
      <w:r>
        <w:rPr>
          <w:rFonts w:ascii="宋体" w:hAnsi="宋体" w:cs="宋体" w:eastAsia="宋体" w:hint="default"/>
        </w:rPr>
        <w:t>3</w:t>
      </w:r>
      <w:r>
        <w:rPr>
          <w:rFonts w:ascii="宋体" w:hAnsi="宋体" w:cs="宋体" w:eastAsia="宋体" w:hint="default"/>
          <w:spacing w:val="-41"/>
        </w:rPr>
        <w:t> </w:t>
      </w:r>
      <w:r>
        <w:rPr>
          <w:spacing w:val="-3"/>
        </w:rPr>
        <w:t>月，本公司与西昌市新华书店签订投资协议，共同投资设立凉山新华文轩教育科</w:t>
      </w:r>
      <w:r>
        <w:rPr>
          <w:spacing w:val="-100"/>
        </w:rPr>
        <w:t> </w:t>
      </w:r>
      <w:r>
        <w:rPr>
          <w:spacing w:val="-100"/>
        </w:rPr>
      </w:r>
      <w:r>
        <w:rPr/>
        <w:t>技有限公司，持股比例分别为 </w:t>
      </w:r>
      <w:r>
        <w:rPr>
          <w:rFonts w:ascii="宋体" w:hAnsi="宋体" w:cs="宋体" w:eastAsia="宋体" w:hint="default"/>
        </w:rPr>
        <w:t>49%</w:t>
      </w:r>
      <w:r>
        <w:rPr/>
        <w:t>和</w:t>
      </w:r>
      <w:r>
        <w:rPr>
          <w:spacing w:val="-11"/>
        </w:rPr>
        <w:t> </w:t>
      </w:r>
      <w:r>
        <w:rPr>
          <w:rFonts w:ascii="宋体" w:hAnsi="宋体" w:cs="宋体" w:eastAsia="宋体" w:hint="default"/>
        </w:rPr>
        <w:t>51%</w:t>
      </w:r>
      <w:r>
        <w:rPr/>
        <w:t>。根据公司章程，凉山新华文轩教育科技有限公司对年度</w:t>
      </w:r>
      <w:r>
        <w:rPr>
          <w:w w:val="100"/>
        </w:rPr>
        <w:t> </w:t>
      </w:r>
      <w:r>
        <w:rPr>
          <w:spacing w:val="-2"/>
        </w:rPr>
        <w:t>财务预算方案、决算方案、利润分配和弥补亏损等事项作出决议时，须经代表三分之二以上表决权</w:t>
      </w:r>
      <w:r>
        <w:rPr>
          <w:spacing w:val="-33"/>
        </w:rPr>
        <w:t> </w:t>
      </w:r>
      <w:r>
        <w:rPr>
          <w:spacing w:val="-33"/>
        </w:rPr>
      </w:r>
      <w:r>
        <w:rPr>
          <w:spacing w:val="-2"/>
        </w:rPr>
        <w:t>的股东通过。因此，本公司及另一方股东对凉山新华文轩教育科技有限公司实施共同控制，凉山新</w:t>
      </w:r>
      <w:r>
        <w:rPr>
          <w:spacing w:val="-30"/>
        </w:rPr>
        <w:t> </w:t>
      </w:r>
      <w:r>
        <w:rPr>
          <w:spacing w:val="-30"/>
        </w:rPr>
      </w:r>
      <w:r>
        <w:rPr/>
        <w:t>华文轩教育科技有限公司为本集团的合营企业。</w:t>
      </w:r>
    </w:p>
    <w:p>
      <w:pPr>
        <w:spacing w:line="240" w:lineRule="auto" w:before="0"/>
        <w:rPr>
          <w:rFonts w:ascii="宋体" w:hAnsi="宋体" w:cs="宋体" w:eastAsia="宋体" w:hint="default"/>
          <w:sz w:val="20"/>
          <w:szCs w:val="20"/>
        </w:rPr>
      </w:pPr>
    </w:p>
    <w:p>
      <w:pPr>
        <w:pStyle w:val="BodyText"/>
        <w:spacing w:line="355" w:lineRule="auto" w:before="179"/>
        <w:ind w:left="140" w:right="211"/>
        <w:jc w:val="both"/>
      </w:pPr>
      <w:r>
        <w:rPr/>
        <w:t>注</w:t>
      </w:r>
      <w:r>
        <w:rPr>
          <w:spacing w:val="-41"/>
        </w:rPr>
        <w:t> </w:t>
      </w:r>
      <w:r>
        <w:rPr>
          <w:rFonts w:ascii="宋体" w:hAnsi="宋体" w:cs="宋体" w:eastAsia="宋体" w:hint="default"/>
          <w:spacing w:val="-8"/>
        </w:rPr>
        <w:t>5</w:t>
      </w:r>
      <w:r>
        <w:rPr>
          <w:spacing w:val="-8"/>
        </w:rPr>
        <w:t>：于</w:t>
      </w:r>
      <w:r>
        <w:rPr>
          <w:spacing w:val="-41"/>
        </w:rPr>
        <w:t> </w:t>
      </w:r>
      <w:r>
        <w:rPr>
          <w:rFonts w:ascii="宋体" w:hAnsi="宋体" w:cs="宋体" w:eastAsia="宋体" w:hint="default"/>
        </w:rPr>
        <w:t>2017</w:t>
      </w:r>
      <w:r>
        <w:rPr>
          <w:rFonts w:ascii="宋体" w:hAnsi="宋体" w:cs="宋体" w:eastAsia="宋体" w:hint="default"/>
          <w:spacing w:val="-43"/>
        </w:rPr>
        <w:t> </w:t>
      </w:r>
      <w:r>
        <w:rPr/>
        <w:t>年</w:t>
      </w:r>
      <w:r>
        <w:rPr>
          <w:spacing w:val="-41"/>
        </w:rPr>
        <w:t> </w:t>
      </w:r>
      <w:r>
        <w:rPr>
          <w:rFonts w:ascii="宋体" w:hAnsi="宋体" w:cs="宋体" w:eastAsia="宋体" w:hint="default"/>
        </w:rPr>
        <w:t>6</w:t>
      </w:r>
      <w:r>
        <w:rPr>
          <w:rFonts w:ascii="宋体" w:hAnsi="宋体" w:cs="宋体" w:eastAsia="宋体" w:hint="default"/>
          <w:spacing w:val="-41"/>
        </w:rPr>
        <w:t> </w:t>
      </w:r>
      <w:r>
        <w:rPr>
          <w:spacing w:val="-3"/>
        </w:rPr>
        <w:t>月，本公司之子公司文传物流与宝湾物流控股有限公司、成都龙创投资管理中心</w:t>
      </w:r>
      <w:r>
        <w:rPr>
          <w:spacing w:val="-100"/>
        </w:rPr>
        <w:t> </w:t>
      </w:r>
      <w:r>
        <w:rPr>
          <w:spacing w:val="-100"/>
        </w:rPr>
      </w:r>
      <w:r>
        <w:rPr>
          <w:rFonts w:ascii="宋体" w:hAnsi="宋体" w:cs="宋体" w:eastAsia="宋体" w:hint="default"/>
          <w:spacing w:val="-6"/>
          <w:w w:val="100"/>
        </w:rPr>
        <w:t>(</w:t>
      </w:r>
      <w:r>
        <w:rPr>
          <w:spacing w:val="-6"/>
          <w:w w:val="100"/>
        </w:rPr>
        <w:t>有限合伙</w:t>
      </w:r>
      <w:r>
        <w:rPr>
          <w:rFonts w:ascii="宋体" w:hAnsi="宋体" w:cs="宋体" w:eastAsia="宋体" w:hint="default"/>
          <w:spacing w:val="-6"/>
          <w:w w:val="100"/>
        </w:rPr>
        <w:t>)</w:t>
      </w:r>
      <w:r>
        <w:rPr>
          <w:spacing w:val="-6"/>
          <w:w w:val="100"/>
        </w:rPr>
        <w:t>签订投资协议，共同投资设立四川文轩宝湾供应链有限公司，三方持股比例分别为</w:t>
      </w:r>
      <w:r>
        <w:rPr>
          <w:spacing w:val="-32"/>
          <w:w w:val="100"/>
        </w:rPr>
        <w:t> </w:t>
      </w:r>
      <w:r>
        <w:rPr>
          <w:rFonts w:ascii="宋体" w:hAnsi="宋体" w:cs="宋体" w:eastAsia="宋体" w:hint="default"/>
          <w:spacing w:val="-1"/>
          <w:w w:val="100"/>
        </w:rPr>
        <w:t>45%</w:t>
      </w:r>
      <w:r>
        <w:rPr>
          <w:spacing w:val="-1"/>
          <w:w w:val="100"/>
        </w:rPr>
        <w:t>、</w:t>
      </w:r>
      <w:r>
        <w:rPr>
          <w:spacing w:val="-97"/>
          <w:w w:val="100"/>
        </w:rPr>
        <w:t> </w:t>
      </w:r>
      <w:r>
        <w:rPr>
          <w:rFonts w:ascii="宋体" w:hAnsi="宋体" w:cs="宋体" w:eastAsia="宋体" w:hint="default"/>
        </w:rPr>
        <w:t>40%</w:t>
      </w:r>
      <w:r>
        <w:rPr/>
        <w:t>和 </w:t>
      </w:r>
      <w:r>
        <w:rPr>
          <w:rFonts w:ascii="宋体" w:hAnsi="宋体" w:cs="宋体" w:eastAsia="宋体" w:hint="default"/>
          <w:spacing w:val="-3"/>
        </w:rPr>
        <w:t>15%</w:t>
      </w:r>
      <w:r>
        <w:rPr>
          <w:spacing w:val="-3"/>
        </w:rPr>
        <w:t>。根据公司章程，四川文轩宝湾供应链有限公司对年度财务预算方案、决算方案、利润分</w:t>
      </w:r>
      <w:r>
        <w:rPr>
          <w:spacing w:val="-95"/>
        </w:rPr>
        <w:t> </w:t>
      </w:r>
      <w:r>
        <w:rPr>
          <w:spacing w:val="-95"/>
        </w:rPr>
      </w:r>
      <w:r>
        <w:rPr/>
        <w:t>配和弥补亏损作出决议时，须经代表</w:t>
      </w:r>
      <w:r>
        <w:rPr>
          <w:spacing w:val="-10"/>
        </w:rPr>
        <w:t> </w:t>
      </w:r>
      <w:r>
        <w:rPr>
          <w:rFonts w:ascii="宋体" w:hAnsi="宋体" w:cs="宋体" w:eastAsia="宋体" w:hint="default"/>
        </w:rPr>
        <w:t>50%</w:t>
      </w:r>
      <w:r>
        <w:rPr/>
        <w:t>以上表决权的股东通过。因此，四川文轩宝湾供应链有限</w:t>
      </w:r>
      <w:r>
        <w:rPr>
          <w:w w:val="100"/>
        </w:rPr>
        <w:t> </w:t>
      </w:r>
      <w:r>
        <w:rPr/>
        <w:t>公司为本集团的联营企业。</w:t>
      </w:r>
    </w:p>
    <w:p>
      <w:pPr>
        <w:spacing w:after="0" w:line="355" w:lineRule="auto"/>
        <w:jc w:val="both"/>
        <w:sectPr>
          <w:headerReference w:type="default" r:id="rId47"/>
          <w:footerReference w:type="default" r:id="rId48"/>
          <w:pgSz w:w="11910" w:h="16840"/>
          <w:pgMar w:header="882" w:footer="1195" w:top="1120" w:bottom="1380" w:left="1300" w:right="1220"/>
          <w:pgNumType w:start="1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right="213"/>
        <w:jc w:val="both"/>
      </w:pPr>
      <w:r>
        <w:rPr/>
        <w:t>注</w:t>
      </w:r>
      <w:r>
        <w:rPr>
          <w:spacing w:val="-56"/>
        </w:rPr>
        <w:t> </w:t>
      </w:r>
      <w:r>
        <w:rPr>
          <w:rFonts w:ascii="宋体" w:hAnsi="宋体" w:cs="宋体" w:eastAsia="宋体" w:hint="default"/>
        </w:rPr>
        <w:t>6</w:t>
      </w:r>
      <w:r>
        <w:rPr/>
        <w:t>：本公司之子公司文轩投资作为有限合伙人，对西藏文轩创业投资基金合伙企业</w:t>
      </w:r>
      <w:r>
        <w:rPr>
          <w:rFonts w:ascii="宋体" w:hAnsi="宋体" w:cs="宋体" w:eastAsia="宋体" w:hint="default"/>
        </w:rPr>
        <w:t>(</w:t>
      </w:r>
      <w:r>
        <w:rPr/>
        <w:t>有限合伙</w:t>
      </w:r>
      <w:r>
        <w:rPr>
          <w:rFonts w:ascii="宋体" w:hAnsi="宋体" w:cs="宋体" w:eastAsia="宋体" w:hint="default"/>
        </w:rPr>
        <w:t>)</w:t>
      </w:r>
      <w:r>
        <w:rPr/>
        <w:t>的</w:t>
      </w:r>
      <w:r>
        <w:rPr>
          <w:w w:val="100"/>
        </w:rPr>
        <w:t> </w:t>
      </w:r>
      <w:r>
        <w:rPr/>
        <w:t>投资成本为人民币</w:t>
      </w:r>
      <w:r>
        <w:rPr>
          <w:spacing w:val="-44"/>
        </w:rPr>
        <w:t> </w:t>
      </w:r>
      <w:r>
        <w:rPr>
          <w:rFonts w:ascii="宋体" w:hAnsi="宋体" w:cs="宋体" w:eastAsia="宋体" w:hint="default"/>
        </w:rPr>
        <w:t>30,300,000.00</w:t>
      </w:r>
      <w:r>
        <w:rPr>
          <w:rFonts w:ascii="宋体" w:hAnsi="宋体" w:cs="宋体" w:eastAsia="宋体" w:hint="default"/>
          <w:spacing w:val="-42"/>
        </w:rPr>
        <w:t> </w:t>
      </w:r>
      <w:r>
        <w:rPr>
          <w:spacing w:val="-3"/>
        </w:rPr>
        <w:t>元，文轩投资认缴出资额占其总认缴资本的比例为</w:t>
      </w:r>
      <w:r>
        <w:rPr>
          <w:spacing w:val="-44"/>
        </w:rPr>
        <w:t> </w:t>
      </w:r>
      <w:r>
        <w:rPr>
          <w:rFonts w:ascii="宋体" w:hAnsi="宋体" w:cs="宋体" w:eastAsia="宋体" w:hint="default"/>
          <w:spacing w:val="-4"/>
        </w:rPr>
        <w:t>56.34%</w:t>
      </w:r>
      <w:r>
        <w:rPr>
          <w:spacing w:val="-4"/>
        </w:rPr>
        <w:t>。于本</w:t>
      </w:r>
      <w:r>
        <w:rPr>
          <w:spacing w:val="-101"/>
        </w:rPr>
        <w:t> </w:t>
      </w:r>
      <w:r>
        <w:rPr>
          <w:spacing w:val="-101"/>
        </w:rPr>
      </w:r>
      <w:r>
        <w:rPr/>
        <w:t>年度，文轩投资完成剩余出资人民币</w:t>
      </w:r>
      <w:r>
        <w:rPr>
          <w:spacing w:val="-60"/>
        </w:rPr>
        <w:t> </w:t>
      </w:r>
      <w:r>
        <w:rPr>
          <w:rFonts w:ascii="宋体" w:hAnsi="宋体" w:cs="宋体" w:eastAsia="宋体" w:hint="default"/>
        </w:rPr>
        <w:t>1,700,000.00</w:t>
      </w:r>
      <w:r>
        <w:rPr>
          <w:rFonts w:ascii="宋体" w:hAnsi="宋体" w:cs="宋体" w:eastAsia="宋体" w:hint="default"/>
          <w:spacing w:val="-62"/>
        </w:rPr>
        <w:t> </w:t>
      </w:r>
      <w:r>
        <w:rPr/>
        <w:t>元。根据西藏文轩创业投资基金合伙企业</w:t>
      </w:r>
      <w:r>
        <w:rPr>
          <w:rFonts w:ascii="宋体" w:hAnsi="宋体" w:cs="宋体" w:eastAsia="宋体" w:hint="default"/>
        </w:rPr>
        <w:t>(</w:t>
      </w:r>
      <w:r>
        <w:rPr/>
        <w:t>有限</w:t>
      </w:r>
    </w:p>
    <w:p>
      <w:pPr>
        <w:pStyle w:val="BodyText"/>
        <w:spacing w:line="357" w:lineRule="auto" w:before="32"/>
        <w:ind w:right="211"/>
        <w:jc w:val="both"/>
      </w:pPr>
      <w:r>
        <w:rPr>
          <w:spacing w:val="-3"/>
        </w:rPr>
        <w:t>合伙</w:t>
      </w:r>
      <w:r>
        <w:rPr>
          <w:rFonts w:ascii="宋体" w:hAnsi="宋体" w:cs="宋体" w:eastAsia="宋体" w:hint="default"/>
          <w:spacing w:val="-3"/>
        </w:rPr>
        <w:t>)</w:t>
      </w:r>
      <w:r>
        <w:rPr>
          <w:spacing w:val="-3"/>
        </w:rPr>
        <w:t>的合伙协议，由投资决策委员会负责基金项目的决策，文轩投资在投资决策委员会中占有 </w:t>
      </w:r>
      <w:r>
        <w:rPr>
          <w:rFonts w:ascii="宋体" w:hAnsi="宋体" w:cs="宋体" w:eastAsia="宋体" w:hint="default"/>
        </w:rPr>
        <w:t>25%</w:t>
      </w:r>
      <w:r>
        <w:rPr>
          <w:rFonts w:ascii="宋体" w:hAnsi="宋体" w:cs="宋体" w:eastAsia="宋体" w:hint="default"/>
          <w:spacing w:val="-93"/>
        </w:rPr>
        <w:t> </w:t>
      </w:r>
      <w:r>
        <w:rPr>
          <w:rFonts w:ascii="宋体" w:hAnsi="宋体" w:cs="宋体" w:eastAsia="宋体" w:hint="default"/>
          <w:spacing w:val="-93"/>
        </w:rPr>
      </w:r>
      <w:r>
        <w:rPr>
          <w:spacing w:val="-2"/>
        </w:rPr>
        <w:t>的表决权，可以对西藏文轩创业投资基金合伙企业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施加重大影响，因此西藏文轩创业投</w:t>
      </w:r>
      <w:r>
        <w:rPr>
          <w:spacing w:val="-30"/>
        </w:rPr>
        <w:t> </w:t>
      </w:r>
      <w:r>
        <w:rPr>
          <w:spacing w:val="-30"/>
        </w:rPr>
      </w:r>
      <w:r>
        <w:rPr/>
        <w:t>资基金合伙企业</w:t>
      </w:r>
      <w:r>
        <w:rPr>
          <w:rFonts w:ascii="宋体" w:hAnsi="宋体" w:cs="宋体" w:eastAsia="宋体" w:hint="default"/>
        </w:rPr>
        <w:t>(</w:t>
      </w:r>
      <w:r>
        <w:rPr/>
        <w:t>有限合伙</w:t>
      </w:r>
      <w:r>
        <w:rPr>
          <w:rFonts w:ascii="宋体" w:hAnsi="宋体" w:cs="宋体" w:eastAsia="宋体" w:hint="default"/>
        </w:rPr>
        <w:t>)</w:t>
      </w:r>
      <w:r>
        <w:rPr/>
        <w:t>是本集团的联营企业。</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220" w:right="1220"/>
        </w:sectPr>
      </w:pPr>
    </w:p>
    <w:p>
      <w:pPr>
        <w:pStyle w:val="Heading2"/>
        <w:spacing w:line="290" w:lineRule="auto" w:before="36"/>
        <w:ind w:right="-15"/>
        <w:jc w:val="left"/>
        <w:rPr>
          <w:b w:val="0"/>
          <w:bCs w:val="0"/>
        </w:rPr>
      </w:pPr>
      <w:r>
        <w:rPr>
          <w:rFonts w:ascii="宋体" w:hAnsi="宋体" w:cs="宋体" w:eastAsia="宋体" w:hint="default"/>
        </w:rPr>
        <w:t>16</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b w:val="0"/>
          <w:bCs w:val="0"/>
        </w:rPr>
      </w:r>
    </w:p>
    <w:p>
      <w:pPr>
        <w:pStyle w:val="BodyText"/>
        <w:spacing w:line="240" w:lineRule="auto" w:before="12"/>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2758" w:space="3853"/>
            <w:col w:w="2859"/>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211"/>
        <w:gridCol w:w="1985"/>
        <w:gridCol w:w="2048"/>
      </w:tblGrid>
      <w:tr>
        <w:trPr>
          <w:trHeight w:val="286" w:hRule="exact"/>
        </w:trPr>
        <w:tc>
          <w:tcPr>
            <w:tcW w:w="5211"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5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48"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7"/>
              <w:jc w:val="left"/>
              <w:rPr>
                <w:rFonts w:ascii="宋体" w:hAnsi="宋体" w:cs="宋体" w:eastAsia="宋体" w:hint="default"/>
                <w:sz w:val="21"/>
                <w:szCs w:val="21"/>
              </w:rPr>
            </w:pPr>
            <w:r>
              <w:rPr>
                <w:rFonts w:ascii="宋体" w:hAnsi="宋体" w:cs="宋体" w:eastAsia="宋体" w:hint="default"/>
                <w:spacing w:val="-3"/>
                <w:sz w:val="21"/>
                <w:szCs w:val="21"/>
              </w:rPr>
              <w:t>安徽新华传媒股份有限公司</w:t>
            </w:r>
            <w:r>
              <w:rPr>
                <w:rFonts w:ascii="宋体" w:hAnsi="宋体" w:cs="宋体" w:eastAsia="宋体" w:hint="default"/>
                <w:spacing w:val="-3"/>
                <w:sz w:val="21"/>
                <w:szCs w:val="21"/>
              </w:rPr>
              <w:t>*</w:t>
            </w:r>
            <w:r>
              <w:rPr>
                <w:rFonts w:ascii="宋体" w:hAnsi="宋体" w:cs="宋体" w:eastAsia="宋体" w:hint="default"/>
                <w:spacing w:val="-3"/>
                <w:sz w:val="21"/>
                <w:szCs w:val="21"/>
              </w:rPr>
              <w:t>（“皖新传媒”）</w:t>
            </w:r>
            <w:r>
              <w:rPr>
                <w:rFonts w:ascii="宋体" w:hAnsi="宋体" w:cs="宋体" w:eastAsia="宋体" w:hint="default"/>
                <w:spacing w:val="-56"/>
                <w:sz w:val="21"/>
                <w:szCs w:val="21"/>
              </w:rPr>
              <w:t> </w:t>
            </w:r>
            <w:r>
              <w:rPr>
                <w:rFonts w:ascii="宋体" w:hAnsi="宋体" w:cs="宋体" w:eastAsia="宋体" w:hint="default"/>
                <w:sz w:val="21"/>
                <w:szCs w:val="21"/>
              </w:rPr>
              <w:t>（注</w:t>
            </w:r>
            <w:r>
              <w:rPr>
                <w:rFonts w:ascii="宋体" w:hAnsi="宋体" w:cs="宋体" w:eastAsia="宋体" w:hint="default"/>
                <w:spacing w:val="-37"/>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832,595,200.00</w:t>
            </w:r>
          </w:p>
        </w:tc>
        <w:tc>
          <w:tcPr>
            <w:tcW w:w="20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1,318,691,200.00</w:t>
            </w:r>
          </w:p>
        </w:tc>
      </w:tr>
      <w:tr>
        <w:trPr>
          <w:trHeight w:val="559"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江苏哈工智能机器人股份有限公司（“哈工智能”）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844,038.28</w:t>
            </w:r>
          </w:p>
        </w:tc>
        <w:tc>
          <w:tcPr>
            <w:tcW w:w="20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1,979,726.73</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成都银行股份有限公司</w:t>
            </w:r>
            <w:r>
              <w:rPr>
                <w:rFonts w:ascii="宋体" w:hAnsi="宋体" w:cs="宋体" w:eastAsia="宋体" w:hint="default"/>
                <w:sz w:val="21"/>
                <w:szCs w:val="21"/>
              </w:rPr>
              <w:t>* </w:t>
            </w:r>
            <w:r>
              <w:rPr>
                <w:rFonts w:ascii="宋体" w:hAnsi="宋体" w:cs="宋体" w:eastAsia="宋体" w:hint="default"/>
                <w:sz w:val="21"/>
                <w:szCs w:val="21"/>
              </w:rPr>
              <w:t>（“成都银行”） （注</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618,240,000.00</w:t>
            </w:r>
          </w:p>
        </w:tc>
        <w:tc>
          <w:tcPr>
            <w:tcW w:w="20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520,056,000.00</w:t>
            </w:r>
          </w:p>
        </w:tc>
      </w:tr>
      <w:tr>
        <w:trPr>
          <w:trHeight w:val="286"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375,393.81</w:t>
            </w:r>
          </w:p>
        </w:tc>
        <w:tc>
          <w:tcPr>
            <w:tcW w:w="20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228,815.33</w:t>
            </w:r>
          </w:p>
        </w:tc>
      </w:tr>
      <w:tr>
        <w:trPr>
          <w:trHeight w:val="286" w:hRule="exact"/>
        </w:trPr>
        <w:tc>
          <w:tcPr>
            <w:tcW w:w="5211"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1,452,054,632.09</w:t>
            </w:r>
          </w:p>
        </w:tc>
        <w:tc>
          <w:tcPr>
            <w:tcW w:w="2048"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1,840,955,742.06</w:t>
            </w:r>
          </w:p>
        </w:tc>
      </w:tr>
    </w:tbl>
    <w:p>
      <w:pPr>
        <w:spacing w:line="240" w:lineRule="auto" w:before="7"/>
        <w:rPr>
          <w:rFonts w:ascii="宋体" w:hAnsi="宋体" w:cs="宋体" w:eastAsia="宋体" w:hint="default"/>
          <w:sz w:val="15"/>
          <w:szCs w:val="15"/>
        </w:rPr>
      </w:pPr>
    </w:p>
    <w:p>
      <w:pPr>
        <w:pStyle w:val="BodyText"/>
        <w:tabs>
          <w:tab w:pos="640" w:val="left" w:leader="none"/>
        </w:tabs>
        <w:spacing w:line="273" w:lineRule="exact" w:before="36"/>
        <w:ind w:right="205"/>
        <w:jc w:val="left"/>
      </w:pPr>
      <w:r>
        <w:rPr>
          <w:rFonts w:ascii="宋体" w:hAnsi="宋体" w:cs="宋体" w:eastAsia="宋体" w:hint="default"/>
        </w:rPr>
        <w:t>*</w:t>
        <w:tab/>
      </w:r>
      <w:r>
        <w:rPr/>
        <w:t>同时亦为母公司的其他权益工具投资。</w:t>
      </w:r>
    </w:p>
    <w:p>
      <w:pPr>
        <w:pStyle w:val="BodyText"/>
        <w:spacing w:line="273" w:lineRule="exact"/>
        <w:ind w:right="107"/>
        <w:jc w:val="left"/>
        <w:rPr>
          <w:rFonts w:ascii="宋体" w:hAnsi="宋体" w:cs="宋体" w:eastAsia="宋体" w:hint="default"/>
        </w:rPr>
      </w:pPr>
      <w:r>
        <w:rPr/>
        <w:t>注</w:t>
      </w:r>
      <w:r>
        <w:rPr>
          <w:spacing w:val="-44"/>
        </w:rPr>
        <w:t> </w:t>
      </w:r>
      <w:r>
        <w:rPr>
          <w:rFonts w:ascii="宋体" w:hAnsi="宋体" w:cs="宋体" w:eastAsia="宋体" w:hint="default"/>
          <w:spacing w:val="-3"/>
        </w:rPr>
        <w:t>1</w:t>
      </w:r>
      <w:r>
        <w:rPr>
          <w:spacing w:val="-3"/>
        </w:rPr>
        <w:t>：本公司对上市公司皖新传媒的股票投资占其股份的</w:t>
      </w:r>
      <w:r>
        <w:rPr>
          <w:spacing w:val="-43"/>
        </w:rPr>
        <w:t> </w:t>
      </w:r>
      <w:r>
        <w:rPr>
          <w:rFonts w:ascii="宋体" w:hAnsi="宋体" w:cs="宋体" w:eastAsia="宋体" w:hint="default"/>
          <w:spacing w:val="-4"/>
        </w:rPr>
        <w:t>6.27%</w:t>
      </w:r>
      <w:r>
        <w:rPr>
          <w:spacing w:val="-4"/>
        </w:rPr>
        <w:t>。皖新传媒的股票于</w:t>
      </w:r>
      <w:r>
        <w:rPr>
          <w:spacing w:val="-43"/>
        </w:rPr>
        <w:t> </w:t>
      </w:r>
      <w:r>
        <w:rPr>
          <w:rFonts w:ascii="宋体" w:hAnsi="宋体" w:cs="宋体" w:eastAsia="宋体" w:hint="default"/>
        </w:rPr>
        <w:t>2010</w:t>
      </w:r>
      <w:r>
        <w:rPr>
          <w:rFonts w:ascii="宋体" w:hAnsi="宋体" w:cs="宋体" w:eastAsia="宋体" w:hint="default"/>
          <w:spacing w:val="-46"/>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w:t>
      </w:r>
      <w:r>
        <w:rPr>
          <w:spacing w:val="-44"/>
        </w:rPr>
        <w:t> </w:t>
      </w:r>
      <w:r>
        <w:rPr>
          <w:rFonts w:ascii="宋体" w:hAnsi="宋体" w:cs="宋体" w:eastAsia="宋体" w:hint="default"/>
        </w:rPr>
        <w:t>18</w:t>
      </w:r>
    </w:p>
    <w:p>
      <w:pPr>
        <w:pStyle w:val="BodyText"/>
        <w:spacing w:line="240" w:lineRule="auto" w:before="135"/>
        <w:ind w:right="107"/>
        <w:jc w:val="left"/>
      </w:pPr>
      <w:r>
        <w:rPr/>
        <w:t>日在上海证券交易所上市交易。本年皖新传媒公允价值变动为亏损人民币 </w:t>
      </w:r>
      <w:r>
        <w:rPr>
          <w:rFonts w:ascii="宋体" w:hAnsi="宋体" w:cs="宋体" w:eastAsia="宋体" w:hint="default"/>
        </w:rPr>
        <w:t>486,096,000.00</w:t>
      </w:r>
      <w:r>
        <w:rPr>
          <w:rFonts w:ascii="宋体" w:hAnsi="宋体" w:cs="宋体" w:eastAsia="宋体" w:hint="default"/>
          <w:spacing w:val="-13"/>
        </w:rPr>
        <w:t> </w:t>
      </w:r>
      <w:r>
        <w:rPr/>
        <w:t>元，计</w:t>
      </w:r>
    </w:p>
    <w:p>
      <w:pPr>
        <w:pStyle w:val="BodyText"/>
        <w:spacing w:line="240" w:lineRule="auto" w:before="133"/>
        <w:ind w:right="107"/>
        <w:jc w:val="left"/>
      </w:pPr>
      <w:r>
        <w:rPr/>
        <w:t>入其他综合收益；本年收到皖新传媒分红人民币</w:t>
      </w:r>
      <w:r>
        <w:rPr>
          <w:spacing w:val="-29"/>
        </w:rPr>
        <w:t> </w:t>
      </w:r>
      <w:r>
        <w:rPr>
          <w:rFonts w:ascii="宋体" w:hAnsi="宋体" w:cs="宋体" w:eastAsia="宋体" w:hint="default"/>
        </w:rPr>
        <w:t>21,188,800.00</w:t>
      </w:r>
      <w:r>
        <w:rPr>
          <w:rFonts w:ascii="宋体" w:hAnsi="宋体" w:cs="宋体" w:eastAsia="宋体" w:hint="default"/>
          <w:spacing w:val="-31"/>
        </w:rPr>
        <w:t> </w:t>
      </w:r>
      <w:r>
        <w:rPr/>
        <w:t>元，计入投资收益。截至</w:t>
      </w:r>
      <w:r>
        <w:rPr>
          <w:spacing w:val="-28"/>
        </w:rPr>
        <w:t> </w:t>
      </w:r>
      <w:r>
        <w:rPr>
          <w:rFonts w:ascii="宋体" w:hAnsi="宋体" w:cs="宋体" w:eastAsia="宋体" w:hint="default"/>
        </w:rPr>
        <w:t>2018</w:t>
      </w:r>
      <w:r>
        <w:rPr>
          <w:rFonts w:ascii="宋体" w:hAnsi="宋体" w:cs="宋体" w:eastAsia="宋体" w:hint="default"/>
          <w:spacing w:val="-31"/>
        </w:rPr>
        <w:t> </w:t>
      </w:r>
      <w:r>
        <w:rPr/>
        <w:t>年</w:t>
      </w:r>
    </w:p>
    <w:p>
      <w:pPr>
        <w:pStyle w:val="BodyText"/>
        <w:spacing w:line="240" w:lineRule="auto" w:before="133"/>
        <w:ind w:right="205"/>
        <w:jc w:val="left"/>
      </w:pP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日，本公司持有的皖新传媒股票中，</w:t>
      </w:r>
      <w:r>
        <w:rPr>
          <w:rFonts w:ascii="宋体" w:hAnsi="宋体" w:cs="宋体" w:eastAsia="宋体" w:hint="default"/>
        </w:rPr>
        <w:t>100,000</w:t>
      </w:r>
      <w:r>
        <w:rPr>
          <w:rFonts w:ascii="宋体" w:hAnsi="宋体" w:cs="宋体" w:eastAsia="宋体" w:hint="default"/>
          <w:spacing w:val="-55"/>
        </w:rPr>
        <w:t> </w:t>
      </w:r>
      <w:r>
        <w:rPr/>
        <w:t>股用于融券业务。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right="210"/>
        <w:jc w:val="left"/>
      </w:pPr>
      <w:r>
        <w:rPr/>
        <w:t>注</w:t>
      </w:r>
      <w:r>
        <w:rPr>
          <w:spacing w:val="-48"/>
        </w:rPr>
        <w:t> </w:t>
      </w:r>
      <w:r>
        <w:rPr>
          <w:rFonts w:ascii="宋体" w:hAnsi="宋体" w:cs="宋体" w:eastAsia="宋体" w:hint="default"/>
          <w:spacing w:val="-6"/>
        </w:rPr>
        <w:t>2</w:t>
      </w:r>
      <w:r>
        <w:rPr>
          <w:spacing w:val="-6"/>
        </w:rPr>
        <w:t>：本公司于</w:t>
      </w:r>
      <w:r>
        <w:rPr>
          <w:spacing w:val="-48"/>
        </w:rPr>
        <w:t> </w:t>
      </w:r>
      <w:r>
        <w:rPr>
          <w:rFonts w:ascii="宋体" w:hAnsi="宋体" w:cs="宋体" w:eastAsia="宋体" w:hint="default"/>
        </w:rPr>
        <w:t>2014</w:t>
      </w:r>
      <w:r>
        <w:rPr>
          <w:rFonts w:ascii="宋体" w:hAnsi="宋体" w:cs="宋体" w:eastAsia="宋体" w:hint="default"/>
          <w:spacing w:val="-51"/>
        </w:rPr>
        <w:t> </w:t>
      </w:r>
      <w:r>
        <w:rPr/>
        <w:t>年</w:t>
      </w:r>
      <w:r>
        <w:rPr>
          <w:spacing w:val="-48"/>
        </w:rPr>
        <w:t> </w:t>
      </w:r>
      <w:r>
        <w:rPr>
          <w:rFonts w:ascii="宋体" w:hAnsi="宋体" w:cs="宋体" w:eastAsia="宋体" w:hint="default"/>
        </w:rPr>
        <w:t>8</w:t>
      </w:r>
      <w:r>
        <w:rPr>
          <w:rFonts w:ascii="宋体" w:hAnsi="宋体" w:cs="宋体" w:eastAsia="宋体" w:hint="default"/>
          <w:spacing w:val="-51"/>
        </w:rPr>
        <w:t> </w:t>
      </w:r>
      <w:r>
        <w:rPr/>
        <w:t>月收购的子公司四川新华印刷持有哈工智能</w:t>
      </w:r>
      <w:r>
        <w:rPr>
          <w:spacing w:val="11"/>
        </w:rPr>
        <w:t> </w:t>
      </w:r>
      <w:r>
        <w:rPr>
          <w:rFonts w:ascii="宋体" w:hAnsi="宋体" w:cs="宋体" w:eastAsia="宋体" w:hint="default"/>
          <w:spacing w:val="-4"/>
        </w:rPr>
        <w:t>0.02%</w:t>
      </w:r>
      <w:r>
        <w:rPr>
          <w:spacing w:val="-4"/>
        </w:rPr>
        <w:t>的股权，收购日公允价</w:t>
      </w:r>
      <w:r>
        <w:rPr>
          <w:spacing w:val="-103"/>
        </w:rPr>
        <w:t> </w:t>
      </w:r>
      <w:r>
        <w:rPr>
          <w:spacing w:val="-103"/>
        </w:rPr>
      </w:r>
      <w:r>
        <w:rPr/>
        <w:t>值为人民币</w:t>
      </w:r>
      <w:r>
        <w:rPr>
          <w:spacing w:val="-56"/>
        </w:rPr>
        <w:t> </w:t>
      </w:r>
      <w:r>
        <w:rPr>
          <w:rFonts w:ascii="宋体" w:hAnsi="宋体" w:cs="宋体" w:eastAsia="宋体" w:hint="default"/>
        </w:rPr>
        <w:t>783,556.84</w:t>
      </w:r>
      <w:r>
        <w:rPr>
          <w:rFonts w:ascii="宋体" w:hAnsi="宋体" w:cs="宋体" w:eastAsia="宋体" w:hint="default"/>
          <w:spacing w:val="-58"/>
        </w:rPr>
        <w:t> </w:t>
      </w:r>
      <w:r>
        <w:rPr/>
        <w:t>元。其后续公允价值变动于本年为亏损人民币</w:t>
      </w:r>
      <w:r>
        <w:rPr>
          <w:spacing w:val="-55"/>
        </w:rPr>
        <w:t> </w:t>
      </w:r>
      <w:r>
        <w:rPr>
          <w:rFonts w:ascii="宋体" w:hAnsi="宋体" w:cs="宋体" w:eastAsia="宋体" w:hint="default"/>
        </w:rPr>
        <w:t>1,135,688.45</w:t>
      </w:r>
      <w:r>
        <w:rPr>
          <w:rFonts w:ascii="宋体" w:hAnsi="宋体" w:cs="宋体" w:eastAsia="宋体" w:hint="default"/>
          <w:spacing w:val="-55"/>
        </w:rPr>
        <w:t> </w:t>
      </w:r>
      <w:r>
        <w:rPr/>
        <w:t>元，已计入其</w:t>
      </w:r>
    </w:p>
    <w:p>
      <w:pPr>
        <w:pStyle w:val="BodyText"/>
        <w:spacing w:line="240" w:lineRule="auto" w:before="31"/>
        <w:ind w:right="205"/>
        <w:jc w:val="left"/>
      </w:pPr>
      <w:r>
        <w:rPr/>
        <w:t>他综合收益；本公司本年收到哈工智能分红人民币</w:t>
      </w:r>
      <w:r>
        <w:rPr>
          <w:spacing w:val="-57"/>
        </w:rPr>
        <w:t> </w:t>
      </w:r>
      <w:r>
        <w:rPr>
          <w:rFonts w:ascii="宋体" w:hAnsi="宋体" w:cs="宋体" w:eastAsia="宋体" w:hint="default"/>
        </w:rPr>
        <w:t>2,688.02</w:t>
      </w:r>
      <w:r>
        <w:rPr>
          <w:rFonts w:ascii="宋体" w:hAnsi="宋体" w:cs="宋体" w:eastAsia="宋体" w:hint="default"/>
          <w:spacing w:val="-57"/>
        </w:rPr>
        <w:t> </w:t>
      </w:r>
      <w:r>
        <w:rPr/>
        <w:t>元，计入投资收益。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107"/>
        <w:jc w:val="left"/>
      </w:pPr>
      <w:r>
        <w:rPr/>
        <w:t>注</w:t>
      </w:r>
      <w:r>
        <w:rPr>
          <w:spacing w:val="-54"/>
        </w:rPr>
        <w:t> </w:t>
      </w:r>
      <w:r>
        <w:rPr>
          <w:rFonts w:ascii="宋体" w:hAnsi="宋体" w:cs="宋体" w:eastAsia="宋体" w:hint="default"/>
        </w:rPr>
        <w:t>3</w:t>
      </w:r>
      <w:r>
        <w:rPr/>
        <w:t>：本公司持有成都银行</w:t>
      </w:r>
      <w:r>
        <w:rPr>
          <w:spacing w:val="-54"/>
        </w:rPr>
        <w:t> </w:t>
      </w:r>
      <w:r>
        <w:rPr>
          <w:rFonts w:ascii="宋体" w:hAnsi="宋体" w:cs="宋体" w:eastAsia="宋体" w:hint="default"/>
        </w:rPr>
        <w:t>80,000,000</w:t>
      </w:r>
      <w:r>
        <w:rPr>
          <w:rFonts w:ascii="宋体" w:hAnsi="宋体" w:cs="宋体" w:eastAsia="宋体" w:hint="default"/>
          <w:spacing w:val="-56"/>
        </w:rPr>
        <w:t> </w:t>
      </w:r>
      <w:r>
        <w:rPr/>
        <w:t>股，持股比例</w:t>
      </w:r>
      <w:r>
        <w:rPr>
          <w:spacing w:val="-54"/>
        </w:rPr>
        <w:t> </w:t>
      </w:r>
      <w:r>
        <w:rPr>
          <w:rFonts w:ascii="宋体" w:hAnsi="宋体" w:cs="宋体" w:eastAsia="宋体" w:hint="default"/>
        </w:rPr>
        <w:t>2.21%</w:t>
      </w:r>
      <w:r>
        <w:rPr/>
        <w:t>，成都银行于</w:t>
      </w:r>
      <w:r>
        <w:rPr>
          <w:spacing w:val="-56"/>
        </w:rPr>
        <w:t> </w:t>
      </w:r>
      <w:r>
        <w:rPr>
          <w:rFonts w:ascii="宋体" w:hAnsi="宋体" w:cs="宋体" w:eastAsia="宋体" w:hint="default"/>
        </w:rPr>
        <w:t>2018</w:t>
      </w:r>
      <w:r>
        <w:rPr>
          <w:rFonts w:ascii="宋体" w:hAnsi="宋体" w:cs="宋体" w:eastAsia="宋体" w:hint="default"/>
          <w:spacing w:val="-54"/>
        </w:rPr>
        <w:t> </w:t>
      </w:r>
      <w:r>
        <w:rPr/>
        <w:t>年</w:t>
      </w:r>
      <w:r>
        <w:rPr>
          <w:spacing w:val="-53"/>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日在上海</w:t>
      </w:r>
    </w:p>
    <w:p>
      <w:pPr>
        <w:pStyle w:val="BodyText"/>
        <w:spacing w:line="240" w:lineRule="auto" w:before="133"/>
        <w:ind w:right="0"/>
        <w:jc w:val="left"/>
      </w:pPr>
      <w:r>
        <w:rPr/>
        <w:t>证券交易所上市交易。本年期公允价值变动为收益人民币 </w:t>
      </w:r>
      <w:r>
        <w:rPr>
          <w:rFonts w:ascii="宋体" w:hAnsi="宋体" w:cs="宋体" w:eastAsia="宋体" w:hint="default"/>
        </w:rPr>
        <w:t>98,184,000.00</w:t>
      </w:r>
      <w:r>
        <w:rPr>
          <w:rFonts w:ascii="宋体" w:hAnsi="宋体" w:cs="宋体" w:eastAsia="宋体" w:hint="default"/>
          <w:spacing w:val="-11"/>
        </w:rPr>
        <w:t> </w:t>
      </w:r>
      <w:r>
        <w:rPr/>
        <w:t>元，计入其他综合收益；</w:t>
      </w:r>
    </w:p>
    <w:p>
      <w:pPr>
        <w:pStyle w:val="BodyText"/>
        <w:spacing w:line="240" w:lineRule="auto" w:before="135"/>
        <w:ind w:right="205"/>
        <w:jc w:val="left"/>
      </w:pPr>
      <w:r>
        <w:rPr/>
        <w:t>本公司本年收到成都银行分红人民币</w:t>
      </w:r>
      <w:r>
        <w:rPr>
          <w:spacing w:val="-57"/>
        </w:rPr>
        <w:t> </w:t>
      </w:r>
      <w:r>
        <w:rPr>
          <w:rFonts w:ascii="宋体" w:hAnsi="宋体" w:cs="宋体" w:eastAsia="宋体" w:hint="default"/>
        </w:rPr>
        <w:t>22,400,000.00</w:t>
      </w:r>
      <w:r>
        <w:rPr>
          <w:rFonts w:ascii="宋体" w:hAnsi="宋体" w:cs="宋体" w:eastAsia="宋体" w:hint="default"/>
          <w:spacing w:val="-57"/>
        </w:rPr>
        <w:t> </w:t>
      </w:r>
      <w:r>
        <w:rPr/>
        <w:t>元，计入投资收益。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right="205" w:firstLine="424"/>
        <w:jc w:val="left"/>
      </w:pPr>
      <w:r>
        <w:rPr>
          <w:spacing w:val="-2"/>
        </w:rPr>
        <w:t>本集团在可预见的未来无出售上述投资的计划，因此将上述投资指定为以公允价值计量且其变</w:t>
      </w:r>
      <w:r>
        <w:rPr>
          <w:w w:val="100"/>
        </w:rPr>
        <w:t> </w:t>
      </w:r>
      <w:r>
        <w:rPr/>
        <w:t>动计入其他综合收益的金融资产。</w:t>
      </w:r>
    </w:p>
    <w:p>
      <w:pPr>
        <w:spacing w:after="0" w:line="355" w:lineRule="auto"/>
        <w:jc w:val="left"/>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36"/>
        <w:ind w:right="205"/>
        <w:jc w:val="left"/>
        <w:rPr>
          <w:b w:val="0"/>
          <w:bCs w:val="0"/>
        </w:rPr>
      </w:pPr>
      <w:r>
        <w:rPr>
          <w:rFonts w:ascii="宋体" w:hAnsi="宋体" w:cs="宋体" w:eastAsia="宋体" w:hint="default"/>
        </w:rPr>
        <w:t>(2).</w:t>
      </w:r>
      <w:r>
        <w:rPr/>
        <w:t>非交易性权益工具投资的情况</w:t>
      </w:r>
      <w:r>
        <w:rPr>
          <w:b w:val="0"/>
          <w:bCs w:val="0"/>
        </w:rPr>
      </w:r>
    </w:p>
    <w:p>
      <w:pPr>
        <w:pStyle w:val="BodyText"/>
        <w:spacing w:line="240" w:lineRule="auto" w:before="56"/>
        <w:ind w:right="7651"/>
        <w:jc w:val="left"/>
      </w:pPr>
      <w:r>
        <w:rPr/>
        <w:t>□适用 √不适用</w:t>
      </w:r>
      <w:r>
        <w:rPr>
          <w:w w:val="100"/>
        </w:rPr>
        <w:t> </w:t>
      </w:r>
      <w:r>
        <w:rPr/>
        <w:t>其他说明：</w:t>
      </w:r>
    </w:p>
    <w:p>
      <w:pPr>
        <w:pStyle w:val="BodyText"/>
        <w:spacing w:line="271" w:lineRule="exact"/>
        <w:ind w:right="20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9"/>
          <w:pgSz w:w="11910" w:h="16840"/>
          <w:pgMar w:footer="1195" w:header="882" w:top="1120" w:bottom="1380" w:left="1220" w:right="1220"/>
          <w:pgNumType w:start="131"/>
        </w:sectPr>
      </w:pPr>
    </w:p>
    <w:p>
      <w:pPr>
        <w:pStyle w:val="Heading2"/>
        <w:spacing w:line="240" w:lineRule="auto" w:before="36"/>
        <w:ind w:right="-19"/>
        <w:jc w:val="left"/>
        <w:rPr>
          <w:b w:val="0"/>
          <w:bCs w:val="0"/>
        </w:rPr>
      </w:pPr>
      <w:r>
        <w:rPr>
          <w:rFonts w:ascii="宋体" w:hAnsi="宋体" w:cs="宋体" w:eastAsia="宋体" w:hint="default"/>
        </w:rPr>
        <w:t>17</w:t>
      </w:r>
      <w:r>
        <w:rPr/>
        <w:t>、</w:t>
      </w:r>
      <w:r>
        <w:rPr>
          <w:spacing w:val="-22"/>
        </w:rPr>
        <w:t> </w:t>
      </w:r>
      <w:r>
        <w:rPr/>
        <w:t>其他非流动金融资产</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2626" w:space="4090"/>
            <w:col w:w="275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728"/>
        <w:gridCol w:w="2746"/>
        <w:gridCol w:w="2770"/>
      </w:tblGrid>
      <w:tr>
        <w:trPr>
          <w:trHeight w:val="283" w:hRule="exact"/>
        </w:trPr>
        <w:tc>
          <w:tcPr>
            <w:tcW w:w="372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7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0" w:hRule="exact"/>
        </w:trPr>
        <w:tc>
          <w:tcPr>
            <w:tcW w:w="37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中信</w:t>
            </w:r>
            <w:r>
              <w:rPr>
                <w:rFonts w:ascii="宋体" w:hAnsi="宋体" w:cs="宋体" w:eastAsia="宋体" w:hint="default"/>
                <w:spacing w:val="-3"/>
                <w:w w:val="100"/>
                <w:sz w:val="21"/>
                <w:szCs w:val="21"/>
              </w:rPr>
              <w:t>并</w:t>
            </w:r>
            <w:r>
              <w:rPr>
                <w:rFonts w:ascii="宋体" w:hAnsi="宋体" w:cs="宋体" w:eastAsia="宋体" w:hint="default"/>
                <w:w w:val="100"/>
                <w:sz w:val="21"/>
                <w:szCs w:val="21"/>
              </w:rPr>
              <w:t>购</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基</w:t>
            </w:r>
            <w:r>
              <w:rPr>
                <w:rFonts w:ascii="宋体" w:hAnsi="宋体" w:cs="宋体" w:eastAsia="宋体" w:hint="default"/>
                <w:spacing w:val="-92"/>
                <w:w w:val="100"/>
                <w:sz w:val="21"/>
                <w:szCs w:val="21"/>
              </w:rPr>
              <w:t>金</w:t>
            </w:r>
            <w:r>
              <w:rPr>
                <w:rFonts w:ascii="宋体" w:hAnsi="宋体" w:cs="宋体" w:eastAsia="宋体" w:hint="default"/>
                <w:w w:val="100"/>
                <w:sz w:val="21"/>
                <w:szCs w:val="21"/>
              </w:rPr>
              <w:t>（</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92"/>
                <w:w w:val="100"/>
                <w:sz w:val="21"/>
                <w:szCs w:val="21"/>
              </w:rPr>
              <w:t>）</w:t>
            </w:r>
            <w:r>
              <w:rPr>
                <w:rFonts w:ascii="宋体" w:hAnsi="宋体" w:cs="宋体" w:eastAsia="宋体" w:hint="default"/>
                <w:w w:val="100"/>
                <w:sz w:val="21"/>
                <w:szCs w:val="21"/>
              </w:rPr>
              <w:t>合伙</w:t>
            </w:r>
            <w:r>
              <w:rPr>
                <w:rFonts w:ascii="宋体" w:hAnsi="宋体" w:cs="宋体" w:eastAsia="宋体" w:hint="default"/>
                <w:spacing w:val="-3"/>
                <w:w w:val="100"/>
                <w:sz w:val="21"/>
                <w:szCs w:val="21"/>
              </w:rPr>
              <w:t>企</w:t>
            </w:r>
            <w:r>
              <w:rPr>
                <w:rFonts w:ascii="宋体" w:hAnsi="宋体" w:cs="宋体" w:eastAsia="宋体" w:hint="default"/>
                <w:spacing w:val="-91"/>
                <w:w w:val="100"/>
                <w:sz w:val="21"/>
                <w:szCs w:val="21"/>
              </w:rPr>
              <w:t>业</w:t>
            </w:r>
            <w:r>
              <w:rPr>
                <w:rFonts w:ascii="宋体" w:hAnsi="宋体" w:cs="宋体" w:eastAsia="宋体" w:hint="default"/>
                <w:w w:val="100"/>
                <w:sz w:val="21"/>
                <w:szCs w:val="21"/>
              </w:rPr>
              <w:t>（有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 </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94,837,468.07</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96,885,632.80</w:t>
            </w:r>
          </w:p>
        </w:tc>
      </w:tr>
      <w:tr>
        <w:trPr>
          <w:trHeight w:val="562" w:hRule="exact"/>
        </w:trPr>
        <w:tc>
          <w:tcPr>
            <w:tcW w:w="37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文轩恒信（深圳）股权投资基金合伙企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业（有限合伙） （注</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248,097,708.00</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269,424,584.74</w:t>
            </w:r>
          </w:p>
        </w:tc>
      </w:tr>
      <w:tr>
        <w:trPr>
          <w:trHeight w:val="286" w:hRule="exact"/>
        </w:trPr>
        <w:tc>
          <w:tcPr>
            <w:tcW w:w="37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43"/>
              <w:jc w:val="center"/>
              <w:rPr>
                <w:rFonts w:ascii="宋体" w:hAnsi="宋体" w:cs="宋体" w:eastAsia="宋体" w:hint="default"/>
                <w:sz w:val="21"/>
                <w:szCs w:val="21"/>
              </w:rPr>
            </w:pPr>
            <w:r>
              <w:rPr>
                <w:rFonts w:ascii="宋体" w:hAnsi="宋体" w:cs="宋体" w:eastAsia="宋体" w:hint="default"/>
                <w:sz w:val="21"/>
                <w:szCs w:val="21"/>
              </w:rPr>
              <w:t>青岛金石智信投资中心（有限合伙）</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148,790,378.40</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153,252,074.60</w:t>
            </w:r>
          </w:p>
        </w:tc>
      </w:tr>
      <w:tr>
        <w:trPr>
          <w:trHeight w:val="288" w:hRule="exact"/>
        </w:trPr>
        <w:tc>
          <w:tcPr>
            <w:tcW w:w="372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43"/>
              <w:jc w:val="center"/>
              <w:rPr>
                <w:rFonts w:ascii="宋体" w:hAnsi="宋体" w:cs="宋体" w:eastAsia="宋体" w:hint="default"/>
                <w:sz w:val="21"/>
                <w:szCs w:val="21"/>
              </w:rPr>
            </w:pPr>
            <w:r>
              <w:rPr>
                <w:rFonts w:ascii="宋体" w:hAnsi="宋体" w:cs="宋体" w:eastAsia="宋体" w:hint="default"/>
                <w:sz w:val="21"/>
                <w:szCs w:val="21"/>
              </w:rPr>
              <w:t>泰州信恒众润投资基金（有限合伙）</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15,931,213.44</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35,625,966.22</w:t>
            </w:r>
          </w:p>
        </w:tc>
      </w:tr>
      <w:tr>
        <w:trPr>
          <w:trHeight w:val="286" w:hRule="exact"/>
        </w:trPr>
        <w:tc>
          <w:tcPr>
            <w:tcW w:w="372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4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507,656,767.91</w:t>
            </w:r>
          </w:p>
        </w:tc>
        <w:tc>
          <w:tcPr>
            <w:tcW w:w="277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555,188,258.36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74" w:lineRule="exact" w:before="36"/>
        <w:ind w:right="0"/>
        <w:jc w:val="both"/>
      </w:pPr>
      <w:r>
        <w:rPr/>
        <w:t>其他说明：</w:t>
      </w:r>
    </w:p>
    <w:p>
      <w:pPr>
        <w:pStyle w:val="BodyText"/>
        <w:spacing w:line="272" w:lineRule="exact"/>
        <w:ind w:right="0"/>
        <w:jc w:val="both"/>
      </w:pPr>
      <w:r>
        <w:rPr/>
        <w:t>√适用 □不适用</w:t>
      </w:r>
    </w:p>
    <w:p>
      <w:pPr>
        <w:pStyle w:val="BodyText"/>
        <w:spacing w:line="273" w:lineRule="exact"/>
        <w:ind w:right="0"/>
        <w:jc w:val="both"/>
      </w:pPr>
      <w:r>
        <w:rPr>
          <w:rFonts w:ascii="宋体" w:hAnsi="宋体" w:cs="宋体" w:eastAsia="宋体" w:hint="default"/>
        </w:rPr>
        <w:t>* </w:t>
      </w:r>
      <w:r>
        <w:rPr>
          <w:rFonts w:ascii="宋体" w:hAnsi="宋体" w:cs="宋体" w:eastAsia="宋体" w:hint="default"/>
          <w:spacing w:val="104"/>
        </w:rPr>
        <w:t> </w:t>
      </w:r>
      <w:r>
        <w:rPr/>
        <w:t>同时亦为母公司的其他非流动金融资产</w:t>
      </w:r>
    </w:p>
    <w:p>
      <w:pPr>
        <w:pStyle w:val="BodyText"/>
        <w:spacing w:line="357" w:lineRule="auto" w:before="133"/>
        <w:ind w:right="211"/>
        <w:jc w:val="both"/>
        <w:rPr>
          <w:rFonts w:ascii="宋体" w:hAnsi="宋体" w:cs="宋体" w:eastAsia="宋体" w:hint="default"/>
        </w:rPr>
      </w:pPr>
      <w:r>
        <w:rPr/>
        <w:t>注</w:t>
      </w:r>
      <w:r>
        <w:rPr>
          <w:spacing w:val="-10"/>
        </w:rPr>
        <w:t> </w:t>
      </w:r>
      <w:r>
        <w:rPr>
          <w:rFonts w:ascii="宋体" w:hAnsi="宋体" w:cs="宋体" w:eastAsia="宋体" w:hint="default"/>
        </w:rPr>
        <w:t>1</w:t>
      </w:r>
      <w:r>
        <w:rPr/>
        <w:t>：本公司作为有限合伙人对中信并购投资基金（深圳）合伙企业（有限合伙）的投资成本为人</w:t>
      </w:r>
      <w:r>
        <w:rPr>
          <w:w w:val="100"/>
        </w:rPr>
        <w:t> </w:t>
      </w:r>
      <w:r>
        <w:rPr/>
        <w:t>民币</w:t>
      </w:r>
      <w:r>
        <w:rPr>
          <w:spacing w:val="-55"/>
        </w:rPr>
        <w:t> </w:t>
      </w:r>
      <w:r>
        <w:rPr>
          <w:rFonts w:ascii="宋体" w:hAnsi="宋体" w:cs="宋体" w:eastAsia="宋体" w:hint="default"/>
        </w:rPr>
        <w:t>100,000,000.00</w:t>
      </w:r>
      <w:r>
        <w:rPr>
          <w:rFonts w:ascii="宋体" w:hAnsi="宋体" w:cs="宋体" w:eastAsia="宋体" w:hint="default"/>
          <w:spacing w:val="-55"/>
        </w:rPr>
        <w:t> </w:t>
      </w:r>
      <w:r>
        <w:rPr/>
        <w:t>元。根据合伙协议，本公司认缴出资额占其总认缴资本的比例为</w:t>
      </w:r>
      <w:r>
        <w:rPr>
          <w:spacing w:val="-54"/>
        </w:rPr>
        <w:t> </w:t>
      </w:r>
      <w:r>
        <w:rPr>
          <w:rFonts w:ascii="宋体" w:hAnsi="宋体" w:cs="宋体" w:eastAsia="宋体" w:hint="default"/>
        </w:rPr>
        <w:t>1%</w:t>
      </w:r>
      <w:r>
        <w:rPr/>
        <w:t>。于</w:t>
      </w:r>
      <w:r>
        <w:rPr>
          <w:spacing w:val="-57"/>
        </w:rPr>
        <w:t> </w:t>
      </w:r>
      <w:r>
        <w:rPr>
          <w:rFonts w:ascii="宋体" w:hAnsi="宋体" w:cs="宋体" w:eastAsia="宋体" w:hint="default"/>
        </w:rPr>
        <w:t>2017</w:t>
      </w:r>
    </w:p>
    <w:p>
      <w:pPr>
        <w:pStyle w:val="BodyText"/>
        <w:spacing w:line="240" w:lineRule="auto" w:before="30"/>
        <w:ind w:right="0"/>
        <w:jc w:val="both"/>
      </w:pPr>
      <w:r>
        <w:rPr/>
        <w:t>年和</w:t>
      </w:r>
      <w:r>
        <w:rPr>
          <w:spacing w:val="-54"/>
        </w:rPr>
        <w:t> </w:t>
      </w:r>
      <w:r>
        <w:rPr>
          <w:rFonts w:ascii="宋体" w:hAnsi="宋体" w:cs="宋体" w:eastAsia="宋体" w:hint="default"/>
        </w:rPr>
        <w:t>2018</w:t>
      </w:r>
      <w:r>
        <w:rPr>
          <w:rFonts w:ascii="宋体" w:hAnsi="宋体" w:cs="宋体" w:eastAsia="宋体" w:hint="default"/>
          <w:spacing w:val="-56"/>
        </w:rPr>
        <w:t> </w:t>
      </w:r>
      <w:r>
        <w:rPr/>
        <w:t>年，本公司分别收回投资人民币</w:t>
      </w:r>
      <w:r>
        <w:rPr>
          <w:spacing w:val="-54"/>
        </w:rPr>
        <w:t> </w:t>
      </w:r>
      <w:r>
        <w:rPr>
          <w:rFonts w:ascii="宋体" w:hAnsi="宋体" w:cs="宋体" w:eastAsia="宋体" w:hint="default"/>
        </w:rPr>
        <w:t>5,085,525.25</w:t>
      </w:r>
      <w:r>
        <w:rPr>
          <w:rFonts w:ascii="宋体" w:hAnsi="宋体" w:cs="宋体" w:eastAsia="宋体" w:hint="default"/>
          <w:spacing w:val="-56"/>
        </w:rPr>
        <w:t> </w:t>
      </w:r>
      <w:r>
        <w:rPr/>
        <w:t>元及人民币</w:t>
      </w:r>
      <w:r>
        <w:rPr>
          <w:spacing w:val="-54"/>
        </w:rPr>
        <w:t> </w:t>
      </w:r>
      <w:r>
        <w:rPr>
          <w:rFonts w:ascii="宋体" w:hAnsi="宋体" w:cs="宋体" w:eastAsia="宋体" w:hint="default"/>
        </w:rPr>
        <w:t>9,477,898.92</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right="211" w:firstLine="424"/>
        <w:jc w:val="both"/>
      </w:pPr>
      <w:r>
        <w:rPr>
          <w:spacing w:val="-2"/>
        </w:rPr>
        <w:t>根据合伙协议，普通合伙人为合伙企业的执行事务合伙人，对合伙企业的运营、合伙企业投资</w:t>
      </w:r>
      <w:r>
        <w:rPr>
          <w:w w:val="100"/>
        </w:rPr>
        <w:t> </w:t>
      </w:r>
      <w:r>
        <w:rPr>
          <w:spacing w:val="-2"/>
        </w:rPr>
        <w:t>业务及其他事务的管理和控制拥有排他性的权力。合伙企业因项目投资产生的可分配现金，在所有</w:t>
      </w:r>
      <w:r>
        <w:rPr>
          <w:spacing w:val="-29"/>
        </w:rPr>
        <w:t> </w:t>
      </w:r>
      <w:r>
        <w:rPr>
          <w:spacing w:val="-29"/>
        </w:rPr>
      </w:r>
      <w:r>
        <w:rPr>
          <w:spacing w:val="-2"/>
        </w:rPr>
        <w:t>合伙人之间根据其对相关投资的权益比例分配，其中归属于有限合伙人的部分首先返还其出资，直</w:t>
      </w:r>
      <w:r>
        <w:rPr>
          <w:spacing w:val="-30"/>
        </w:rPr>
        <w:t> </w:t>
      </w:r>
      <w:r>
        <w:rPr>
          <w:spacing w:val="-30"/>
        </w:rPr>
      </w:r>
      <w:r>
        <w:rPr>
          <w:spacing w:val="-4"/>
        </w:rPr>
        <w:t>至累计分配的金额达到其当时的实缴出资额。然后，合伙企业按照每年 </w:t>
      </w:r>
      <w:r>
        <w:rPr>
          <w:rFonts w:ascii="宋体" w:hAnsi="宋体" w:cs="宋体" w:eastAsia="宋体" w:hint="default"/>
        </w:rPr>
        <w:t>8%</w:t>
      </w:r>
      <w:r>
        <w:rPr/>
        <w:t>的内部收益率优先分配给</w:t>
      </w:r>
      <w:r>
        <w:rPr>
          <w:spacing w:val="-93"/>
        </w:rPr>
        <w:t> </w:t>
      </w:r>
      <w:r>
        <w:rPr>
          <w:spacing w:val="-93"/>
        </w:rPr>
      </w:r>
      <w:r>
        <w:rPr>
          <w:spacing w:val="-2"/>
        </w:rPr>
        <w:t>有限合伙人，在满足约定的分配顺序的前提下，普通合伙人将提取收益分成，收益分成总额为有限</w:t>
      </w:r>
      <w:r>
        <w:rPr>
          <w:spacing w:val="-30"/>
        </w:rPr>
        <w:t> </w:t>
      </w:r>
      <w:r>
        <w:rPr>
          <w:spacing w:val="-30"/>
        </w:rPr>
      </w:r>
      <w:r>
        <w:rPr/>
        <w:t>合伙人收益总额的</w:t>
      </w:r>
      <w:r>
        <w:rPr>
          <w:spacing w:val="-54"/>
        </w:rPr>
        <w:t> </w:t>
      </w:r>
      <w:r>
        <w:rPr>
          <w:rFonts w:ascii="宋体" w:hAnsi="宋体" w:cs="宋体" w:eastAsia="宋体" w:hint="default"/>
        </w:rPr>
        <w:t>20%</w:t>
      </w:r>
      <w:r>
        <w:rPr/>
        <w:t>。</w:t>
      </w:r>
    </w:p>
    <w:p>
      <w:pPr>
        <w:spacing w:line="240" w:lineRule="auto" w:before="0"/>
        <w:rPr>
          <w:rFonts w:ascii="宋体" w:hAnsi="宋体" w:cs="宋体" w:eastAsia="宋体" w:hint="default"/>
          <w:sz w:val="20"/>
          <w:szCs w:val="20"/>
        </w:rPr>
      </w:pPr>
    </w:p>
    <w:p>
      <w:pPr>
        <w:pStyle w:val="BodyText"/>
        <w:spacing w:line="240" w:lineRule="auto" w:before="179"/>
        <w:ind w:left="645" w:right="205"/>
        <w:jc w:val="left"/>
      </w:pPr>
      <w:r>
        <w:rPr/>
        <w:t>本年，公允价值变动为收益人民币</w:t>
      </w:r>
      <w:r>
        <w:rPr>
          <w:spacing w:val="-55"/>
        </w:rPr>
        <w:t> </w:t>
      </w:r>
      <w:r>
        <w:rPr>
          <w:rFonts w:ascii="宋体" w:hAnsi="宋体" w:cs="宋体" w:eastAsia="宋体" w:hint="default"/>
        </w:rPr>
        <w:t>7,429,734.19</w:t>
      </w:r>
      <w:r>
        <w:rPr>
          <w:rFonts w:ascii="宋体" w:hAnsi="宋体" w:cs="宋体" w:eastAsia="宋体" w:hint="default"/>
          <w:spacing w:val="-57"/>
        </w:rPr>
        <w:t> </w:t>
      </w:r>
      <w:r>
        <w:rPr/>
        <w:t>元，已计入公允价值变动收益。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right="211"/>
        <w:jc w:val="both"/>
      </w:pPr>
      <w:r>
        <w:rPr/>
        <w:t>注</w:t>
      </w:r>
      <w:r>
        <w:rPr>
          <w:spacing w:val="-10"/>
        </w:rPr>
        <w:t> </w:t>
      </w:r>
      <w:r>
        <w:rPr>
          <w:rFonts w:ascii="宋体" w:hAnsi="宋体" w:cs="宋体" w:eastAsia="宋体" w:hint="default"/>
        </w:rPr>
        <w:t>2</w:t>
      </w:r>
      <w:r>
        <w:rPr/>
        <w:t>：本公司之子公司文轩投资作为有限合伙人，对文轩恒信（深圳）股权投资基金合伙企业（有</w:t>
      </w:r>
      <w:r>
        <w:rPr>
          <w:w w:val="100"/>
        </w:rPr>
        <w:t> </w:t>
      </w:r>
      <w:r>
        <w:rPr/>
        <w:t>限合伙）投资人民币 </w:t>
      </w:r>
      <w:r>
        <w:rPr>
          <w:rFonts w:ascii="宋体" w:hAnsi="宋体" w:cs="宋体" w:eastAsia="宋体" w:hint="default"/>
        </w:rPr>
        <w:t>200,000,000.00</w:t>
      </w:r>
      <w:r>
        <w:rPr>
          <w:rFonts w:ascii="宋体" w:hAnsi="宋体" w:cs="宋体" w:eastAsia="宋体" w:hint="default"/>
          <w:spacing w:val="-14"/>
        </w:rPr>
        <w:t> </w:t>
      </w:r>
      <w:r>
        <w:rPr/>
        <w:t>元。根据合伙协议，本集团认缴出资额占其总认缴资本的比</w:t>
      </w:r>
      <w:r>
        <w:rPr>
          <w:w w:val="100"/>
        </w:rPr>
        <w:t> </w:t>
      </w:r>
      <w:r>
        <w:rPr/>
        <w:t>例为</w:t>
      </w:r>
      <w:r>
        <w:rPr>
          <w:spacing w:val="-53"/>
        </w:rPr>
        <w:t> </w:t>
      </w:r>
      <w:r>
        <w:rPr>
          <w:rFonts w:ascii="宋体" w:hAnsi="宋体" w:cs="宋体" w:eastAsia="宋体" w:hint="default"/>
        </w:rPr>
        <w:t>62.30%</w:t>
      </w:r>
      <w:r>
        <w:rPr/>
        <w:t>。</w:t>
      </w:r>
    </w:p>
    <w:p>
      <w:pPr>
        <w:spacing w:after="0" w:line="357" w:lineRule="auto"/>
        <w:jc w:val="both"/>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357" w:lineRule="auto" w:before="36"/>
        <w:ind w:right="211" w:firstLine="424"/>
        <w:jc w:val="both"/>
      </w:pPr>
      <w:r>
        <w:rPr>
          <w:spacing w:val="-2"/>
        </w:rPr>
        <w:t>根据合伙协议，普通合伙人为合伙企业的执行事务合伙人，对合伙企业的运营、合伙企业投资</w:t>
      </w:r>
      <w:r>
        <w:rPr>
          <w:w w:val="100"/>
        </w:rPr>
        <w:t> </w:t>
      </w:r>
      <w:r>
        <w:rPr>
          <w:spacing w:val="-2"/>
        </w:rPr>
        <w:t>业务及其他事务的管理和控制拥有排他性的权力。合伙企业因项目投资产生的可分配现金，在所有</w:t>
      </w:r>
      <w:r>
        <w:rPr>
          <w:spacing w:val="-29"/>
        </w:rPr>
        <w:t> </w:t>
      </w:r>
      <w:r>
        <w:rPr>
          <w:spacing w:val="-29"/>
        </w:rPr>
      </w:r>
      <w:r>
        <w:rPr>
          <w:spacing w:val="-2"/>
        </w:rPr>
        <w:t>合伙人之间根据其对相关投资的权益比例分配，其中归属于有限合伙人的部分首先返还其出资，直</w:t>
      </w:r>
      <w:r>
        <w:rPr>
          <w:spacing w:val="-30"/>
        </w:rPr>
        <w:t> </w:t>
      </w:r>
      <w:r>
        <w:rPr>
          <w:spacing w:val="-30"/>
        </w:rPr>
      </w:r>
      <w:r>
        <w:rPr>
          <w:spacing w:val="-4"/>
        </w:rPr>
        <w:t>至累计分配的金额达到其当时的实缴出资额。然后，合伙企业按照每年 </w:t>
      </w:r>
      <w:r>
        <w:rPr>
          <w:rFonts w:ascii="宋体" w:hAnsi="宋体" w:cs="宋体" w:eastAsia="宋体" w:hint="default"/>
        </w:rPr>
        <w:t>8%</w:t>
      </w:r>
      <w:r>
        <w:rPr/>
        <w:t>的内部收益率优先分配给</w:t>
      </w:r>
      <w:r>
        <w:rPr>
          <w:spacing w:val="-93"/>
        </w:rPr>
        <w:t> </w:t>
      </w:r>
      <w:r>
        <w:rPr>
          <w:spacing w:val="-93"/>
        </w:rPr>
      </w:r>
      <w:r>
        <w:rPr>
          <w:spacing w:val="-2"/>
        </w:rPr>
        <w:t>有限合伙人，在满足约定的分配顺序的前提下，普通合伙人将提取收益分成，收益分成总额为有限</w:t>
      </w:r>
      <w:r>
        <w:rPr>
          <w:spacing w:val="-30"/>
        </w:rPr>
        <w:t> </w:t>
      </w:r>
      <w:r>
        <w:rPr>
          <w:spacing w:val="-30"/>
        </w:rPr>
      </w:r>
      <w:r>
        <w:rPr/>
        <w:t>合伙人收益总额的</w:t>
      </w:r>
      <w:r>
        <w:rPr>
          <w:spacing w:val="-54"/>
        </w:rPr>
        <w:t> </w:t>
      </w:r>
      <w:r>
        <w:rPr>
          <w:rFonts w:ascii="宋体" w:hAnsi="宋体" w:cs="宋体" w:eastAsia="宋体" w:hint="default"/>
        </w:rPr>
        <w:t>20%</w:t>
      </w:r>
      <w:r>
        <w:rPr/>
        <w:t>。</w:t>
      </w:r>
    </w:p>
    <w:p>
      <w:pPr>
        <w:spacing w:line="240" w:lineRule="auto" w:before="0"/>
        <w:rPr>
          <w:rFonts w:ascii="宋体" w:hAnsi="宋体" w:cs="宋体" w:eastAsia="宋体" w:hint="default"/>
          <w:sz w:val="20"/>
          <w:szCs w:val="20"/>
        </w:rPr>
      </w:pPr>
    </w:p>
    <w:p>
      <w:pPr>
        <w:pStyle w:val="BodyText"/>
        <w:spacing w:line="240" w:lineRule="auto" w:before="177"/>
        <w:ind w:left="633" w:right="1238"/>
        <w:jc w:val="center"/>
      </w:pPr>
      <w:r>
        <w:rPr/>
        <w:t>本年，公允价值变动为损失人民币</w:t>
      </w:r>
      <w:r>
        <w:rPr>
          <w:spacing w:val="-54"/>
        </w:rPr>
        <w:t> </w:t>
      </w:r>
      <w:r>
        <w:rPr>
          <w:rFonts w:ascii="宋体" w:hAnsi="宋体" w:cs="宋体" w:eastAsia="宋体" w:hint="default"/>
        </w:rPr>
        <w:t>21,326,876.74</w:t>
      </w:r>
      <w:r>
        <w:rPr>
          <w:rFonts w:ascii="宋体" w:hAnsi="宋体" w:cs="宋体" w:eastAsia="宋体" w:hint="default"/>
          <w:spacing w:val="-56"/>
        </w:rPr>
        <w:t> </w:t>
      </w:r>
      <w:r>
        <w:rPr/>
        <w:t>元，已计入公允价值变动损失。</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7" w:lineRule="auto"/>
        <w:ind w:right="211"/>
        <w:jc w:val="both"/>
      </w:pPr>
      <w:r>
        <w:rPr/>
        <w:t>注</w:t>
      </w:r>
      <w:r>
        <w:rPr>
          <w:spacing w:val="-10"/>
        </w:rPr>
        <w:t> </w:t>
      </w:r>
      <w:r>
        <w:rPr>
          <w:rFonts w:ascii="宋体" w:hAnsi="宋体" w:cs="宋体" w:eastAsia="宋体" w:hint="default"/>
        </w:rPr>
        <w:t>3</w:t>
      </w:r>
      <w:r>
        <w:rPr/>
        <w:t>：本公司之子公司文轩投资作为有限合伙人，对青岛金石智信投资中心（有限合伙）投资人民</w:t>
      </w:r>
      <w:r>
        <w:rPr>
          <w:w w:val="100"/>
        </w:rPr>
        <w:t> </w:t>
      </w:r>
      <w:r>
        <w:rPr/>
        <w:t>币</w:t>
      </w:r>
      <w:r>
        <w:rPr>
          <w:spacing w:val="-39"/>
        </w:rPr>
        <w:t> </w:t>
      </w:r>
      <w:r>
        <w:rPr>
          <w:rFonts w:ascii="宋体" w:hAnsi="宋体" w:cs="宋体" w:eastAsia="宋体" w:hint="default"/>
        </w:rPr>
        <w:t>152,117,500.00</w:t>
      </w:r>
      <w:r>
        <w:rPr>
          <w:rFonts w:ascii="宋体" w:hAnsi="宋体" w:cs="宋体" w:eastAsia="宋体" w:hint="default"/>
          <w:spacing w:val="-39"/>
        </w:rPr>
        <w:t> </w:t>
      </w:r>
      <w:r>
        <w:rPr/>
        <w:t>元。根据合伙协议，本集团认缴出资额占其总认缴资本的比例为</w:t>
      </w:r>
      <w:r>
        <w:rPr>
          <w:spacing w:val="-38"/>
        </w:rPr>
        <w:t> </w:t>
      </w:r>
      <w:r>
        <w:rPr>
          <w:rFonts w:ascii="宋体" w:hAnsi="宋体" w:cs="宋体" w:eastAsia="宋体" w:hint="default"/>
        </w:rPr>
        <w:t>10.05%</w:t>
      </w:r>
      <w:r>
        <w:rPr/>
        <w:t>。本年</w:t>
      </w:r>
      <w:r>
        <w:rPr>
          <w:w w:val="100"/>
        </w:rPr>
        <w:t> </w:t>
      </w:r>
      <w:r>
        <w:rPr/>
        <w:t>度，文轩投资收到青岛金石智信投资中心（有限合伙）分红人民币</w:t>
      </w:r>
      <w:r>
        <w:rPr>
          <w:spacing w:val="-58"/>
        </w:rPr>
        <w:t> </w:t>
      </w:r>
      <w:r>
        <w:rPr>
          <w:rFonts w:ascii="宋体" w:hAnsi="宋体" w:cs="宋体" w:eastAsia="宋体" w:hint="default"/>
        </w:rPr>
        <w:t>12,800,284.84</w:t>
      </w:r>
      <w:r>
        <w:rPr>
          <w:rFonts w:ascii="宋体" w:hAnsi="宋体" w:cs="宋体" w:eastAsia="宋体" w:hint="default"/>
          <w:spacing w:val="-60"/>
        </w:rPr>
        <w:t> </w:t>
      </w:r>
      <w:r>
        <w:rPr/>
        <w:t>元，已计入投资</w:t>
      </w:r>
      <w:r>
        <w:rPr>
          <w:w w:val="100"/>
        </w:rPr>
        <w:t> </w:t>
      </w:r>
      <w:r>
        <w:rPr/>
        <w:t>收益。</w:t>
      </w:r>
    </w:p>
    <w:p>
      <w:pPr>
        <w:spacing w:line="240" w:lineRule="auto" w:before="0"/>
        <w:rPr>
          <w:rFonts w:ascii="宋体" w:hAnsi="宋体" w:cs="宋体" w:eastAsia="宋体" w:hint="default"/>
          <w:sz w:val="20"/>
          <w:szCs w:val="20"/>
        </w:rPr>
      </w:pPr>
    </w:p>
    <w:p>
      <w:pPr>
        <w:pStyle w:val="BodyText"/>
        <w:spacing w:line="240" w:lineRule="auto" w:before="176"/>
        <w:ind w:left="633" w:right="1149"/>
        <w:jc w:val="center"/>
      </w:pPr>
      <w:r>
        <w:rPr/>
        <w:t>本年，公允价值变动为损失人民币</w:t>
      </w:r>
      <w:r>
        <w:rPr>
          <w:spacing w:val="-59"/>
        </w:rPr>
        <w:t> </w:t>
      </w:r>
      <w:r>
        <w:rPr>
          <w:rFonts w:ascii="宋体" w:hAnsi="宋体" w:cs="宋体" w:eastAsia="宋体" w:hint="default"/>
        </w:rPr>
        <w:t>4,461,696.20</w:t>
      </w:r>
      <w:r>
        <w:rPr>
          <w:rFonts w:ascii="宋体" w:hAnsi="宋体" w:cs="宋体" w:eastAsia="宋体" w:hint="default"/>
          <w:spacing w:val="-59"/>
        </w:rPr>
        <w:t> </w:t>
      </w:r>
      <w:r>
        <w:rPr/>
        <w:t>元，已计入公允价值变动损失。</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right="211"/>
        <w:jc w:val="both"/>
      </w:pPr>
      <w:r>
        <w:rPr/>
        <w:t>注</w:t>
      </w:r>
      <w:r>
        <w:rPr>
          <w:spacing w:val="-10"/>
        </w:rPr>
        <w:t> </w:t>
      </w:r>
      <w:r>
        <w:rPr>
          <w:rFonts w:ascii="宋体" w:hAnsi="宋体" w:cs="宋体" w:eastAsia="宋体" w:hint="default"/>
        </w:rPr>
        <w:t>4</w:t>
      </w:r>
      <w:r>
        <w:rPr/>
        <w:t>：本公司之子公司文轩投资受让了泰州信恒众润投资基金（有限合伙）的有限合伙份额的收益</w:t>
      </w:r>
      <w:r>
        <w:rPr>
          <w:w w:val="100"/>
        </w:rPr>
        <w:t> </w:t>
      </w:r>
      <w:r>
        <w:rPr>
          <w:spacing w:val="-4"/>
        </w:rPr>
        <w:t>权，该合伙份额占合伙企业总认缴资本的比例为</w:t>
      </w:r>
      <w:r>
        <w:rPr>
          <w:spacing w:val="-32"/>
        </w:rPr>
        <w:t> </w:t>
      </w:r>
      <w:r>
        <w:rPr>
          <w:rFonts w:ascii="宋体" w:hAnsi="宋体" w:cs="宋体" w:eastAsia="宋体" w:hint="default"/>
          <w:spacing w:val="-5"/>
        </w:rPr>
        <w:t>2.37%</w:t>
      </w:r>
      <w:r>
        <w:rPr>
          <w:spacing w:val="-5"/>
        </w:rPr>
        <w:t>，本集团的投资成本为人民币</w:t>
      </w:r>
      <w:r>
        <w:rPr>
          <w:spacing w:val="-32"/>
        </w:rPr>
        <w:t> </w:t>
      </w:r>
      <w:r>
        <w:rPr>
          <w:rFonts w:ascii="宋体" w:hAnsi="宋体" w:cs="宋体" w:eastAsia="宋体" w:hint="default"/>
        </w:rPr>
        <w:t>10,426,540.29</w:t>
      </w:r>
      <w:r>
        <w:rPr>
          <w:rFonts w:ascii="宋体" w:hAnsi="宋体" w:cs="宋体" w:eastAsia="宋体" w:hint="default"/>
          <w:spacing w:val="-95"/>
        </w:rPr>
        <w:t> </w:t>
      </w:r>
      <w:r>
        <w:rPr>
          <w:rFonts w:ascii="宋体" w:hAnsi="宋体" w:cs="宋体" w:eastAsia="宋体" w:hint="default"/>
          <w:spacing w:val="-95"/>
        </w:rPr>
      </w:r>
      <w:r>
        <w:rPr>
          <w:spacing w:val="-2"/>
        </w:rPr>
        <w:t>元。该项投资按照公允价值进行后续计量；本年度，文轩投资收到泰州信恒众润投资基金（有限合</w:t>
      </w:r>
      <w:r>
        <w:rPr>
          <w:spacing w:val="-34"/>
        </w:rPr>
        <w:t> </w:t>
      </w:r>
      <w:r>
        <w:rPr>
          <w:spacing w:val="-34"/>
        </w:rPr>
      </w:r>
      <w:r>
        <w:rPr/>
        <w:t>伙）分红人民币</w:t>
      </w:r>
      <w:r>
        <w:rPr>
          <w:spacing w:val="-57"/>
        </w:rPr>
        <w:t> </w:t>
      </w:r>
      <w:r>
        <w:rPr>
          <w:rFonts w:ascii="宋体" w:hAnsi="宋体" w:cs="宋体" w:eastAsia="宋体" w:hint="default"/>
        </w:rPr>
        <w:t>416,209.90</w:t>
      </w:r>
      <w:r>
        <w:rPr>
          <w:rFonts w:ascii="宋体" w:hAnsi="宋体" w:cs="宋体" w:eastAsia="宋体" w:hint="default"/>
          <w:spacing w:val="-56"/>
        </w:rPr>
        <w:t> </w:t>
      </w:r>
      <w:r>
        <w:rPr/>
        <w:t>元，已计入投资收益。</w:t>
      </w:r>
    </w:p>
    <w:p>
      <w:pPr>
        <w:spacing w:line="240" w:lineRule="auto" w:before="0"/>
        <w:rPr>
          <w:rFonts w:ascii="宋体" w:hAnsi="宋体" w:cs="宋体" w:eastAsia="宋体" w:hint="default"/>
          <w:sz w:val="20"/>
          <w:szCs w:val="20"/>
        </w:rPr>
      </w:pPr>
    </w:p>
    <w:p>
      <w:pPr>
        <w:pStyle w:val="BodyText"/>
        <w:spacing w:line="240" w:lineRule="auto" w:before="176"/>
        <w:ind w:right="0"/>
        <w:jc w:val="both"/>
      </w:pPr>
      <w:r>
        <w:rPr/>
        <w:t>本年，公允价值变动为损失人民币</w:t>
      </w:r>
      <w:r>
        <w:rPr>
          <w:spacing w:val="-53"/>
        </w:rPr>
        <w:t> </w:t>
      </w:r>
      <w:r>
        <w:rPr>
          <w:rFonts w:ascii="宋体" w:hAnsi="宋体" w:cs="宋体" w:eastAsia="宋体" w:hint="default"/>
        </w:rPr>
        <w:t>19,694,752.78</w:t>
      </w:r>
      <w:r>
        <w:rPr>
          <w:rFonts w:ascii="宋体" w:hAnsi="宋体" w:cs="宋体" w:eastAsia="宋体" w:hint="default"/>
          <w:spacing w:val="-55"/>
        </w:rPr>
        <w:t> </w:t>
      </w:r>
      <w:r>
        <w:rPr/>
        <w:t>元，已计入公允价值变动损失。</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20" w:right="1220"/>
        </w:sectPr>
      </w:pPr>
    </w:p>
    <w:p>
      <w:pPr>
        <w:spacing w:line="290" w:lineRule="auto" w:before="36"/>
        <w:ind w:left="220" w:right="-15"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3812" w:space="2905"/>
            <w:col w:w="2753"/>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1"/>
        <w:gridCol w:w="1687"/>
        <w:gridCol w:w="1548"/>
        <w:gridCol w:w="1520"/>
        <w:gridCol w:w="1687"/>
      </w:tblGrid>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112,060,675.07</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112,060,675.07</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801"/>
        <w:gridCol w:w="1687"/>
        <w:gridCol w:w="1548"/>
        <w:gridCol w:w="1520"/>
        <w:gridCol w:w="1687"/>
      </w:tblGrid>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30,652,484.23</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30,652,484.23</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30,652,484.23</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30,652,484.23</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81,408,190.84</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81,408,190.84</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41,372,173.02</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41,372,173.02</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3,007,276.14</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3,007,276.14</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3,007,276.14</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3,007,276.14</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16,890,400.57</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16,890,400.57</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16,890,400.57</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16,890,400.57</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27,489,048.59</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27,489,048.59</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53,919,142.25</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53,919,142.25</w:t>
            </w:r>
          </w:p>
        </w:tc>
      </w:tr>
      <w:tr>
        <w:trPr>
          <w:trHeight w:val="30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70,688,502.05</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70,688,502.05</w:t>
            </w:r>
          </w:p>
        </w:tc>
      </w:tr>
    </w:tbl>
    <w:p>
      <w:pPr>
        <w:spacing w:line="240" w:lineRule="auto" w:before="12"/>
        <w:rPr>
          <w:rFonts w:ascii="宋体" w:hAnsi="宋体" w:cs="宋体" w:eastAsia="宋体" w:hint="default"/>
          <w:sz w:val="19"/>
          <w:szCs w:val="19"/>
        </w:rPr>
      </w:pPr>
    </w:p>
    <w:p>
      <w:pPr>
        <w:pStyle w:val="Heading2"/>
        <w:spacing w:line="240" w:lineRule="auto" w:before="36"/>
        <w:ind w:right="205"/>
        <w:jc w:val="left"/>
        <w:rPr>
          <w:b w:val="0"/>
          <w:bCs w:val="0"/>
        </w:rPr>
      </w:pPr>
      <w:r>
        <w:rPr>
          <w:rFonts w:ascii="宋体" w:hAnsi="宋体" w:cs="宋体" w:eastAsia="宋体" w:hint="default"/>
        </w:rPr>
        <w:t>(2).</w:t>
      </w:r>
      <w:r>
        <w:rPr/>
        <w:t>未办妥产权证书的投资性房地产情况</w:t>
      </w:r>
      <w:r>
        <w:rPr>
          <w:b w:val="0"/>
          <w:bCs w:val="0"/>
        </w:rPr>
      </w:r>
    </w:p>
    <w:p>
      <w:pPr>
        <w:pStyle w:val="BodyText"/>
        <w:spacing w:line="272" w:lineRule="exact" w:before="86"/>
        <w:ind w:left="177" w:right="7651" w:firstLine="43"/>
        <w:jc w:val="left"/>
      </w:pPr>
      <w:r>
        <w:rPr/>
        <w:t>□适用 √不适用</w:t>
      </w:r>
      <w:r>
        <w:rPr>
          <w:w w:val="100"/>
        </w:rPr>
        <w:t> </w:t>
      </w:r>
      <w:r>
        <w:rPr/>
        <w:t>其他说明</w:t>
      </w:r>
    </w:p>
    <w:p>
      <w:pPr>
        <w:pStyle w:val="BodyText"/>
        <w:spacing w:line="249" w:lineRule="exact"/>
        <w:ind w:right="20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20" w:right="1220"/>
        </w:sectPr>
      </w:pPr>
    </w:p>
    <w:p>
      <w:pPr>
        <w:pStyle w:val="Heading2"/>
        <w:spacing w:line="290" w:lineRule="auto" w:before="36"/>
        <w:ind w:right="209"/>
        <w:jc w:val="left"/>
        <w:rPr>
          <w:b w:val="0"/>
          <w:bCs w:val="0"/>
        </w:rPr>
      </w:pPr>
      <w:r>
        <w:rPr>
          <w:rFonts w:ascii="宋体" w:hAnsi="宋体" w:cs="宋体" w:eastAsia="宋体" w:hint="default"/>
        </w:rPr>
        <w:t>19</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798" w:space="4918"/>
            <w:col w:w="275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380"/>
        <w:gridCol w:w="2924"/>
        <w:gridCol w:w="2941"/>
      </w:tblGrid>
      <w:tr>
        <w:trPr>
          <w:trHeight w:val="283" w:hRule="exact"/>
        </w:trPr>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2"/>
              <w:jc w:val="right"/>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1,284,362,282.11</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1,293,739,079.58</w:t>
            </w:r>
          </w:p>
        </w:tc>
      </w:tr>
      <w:tr>
        <w:trPr>
          <w:trHeight w:val="283" w:hRule="exact"/>
        </w:trPr>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2"/>
              <w:jc w:val="right"/>
              <w:rPr>
                <w:rFonts w:ascii="宋体" w:hAnsi="宋体" w:cs="宋体" w:eastAsia="宋体" w:hint="default"/>
                <w:sz w:val="21"/>
                <w:szCs w:val="21"/>
              </w:rPr>
            </w:pPr>
            <w:r>
              <w:rPr>
                <w:rFonts w:ascii="宋体" w:hAnsi="宋体" w:cs="宋体" w:eastAsia="宋体" w:hint="default"/>
                <w:sz w:val="21"/>
                <w:szCs w:val="21"/>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1,284,362,282.11</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1,293,739,079.58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220" w:right="1220"/>
        </w:sectPr>
      </w:pPr>
    </w:p>
    <w:p>
      <w:pPr>
        <w:pStyle w:val="BodyText"/>
        <w:spacing w:line="274" w:lineRule="exact" w:before="36"/>
        <w:ind w:right="-14"/>
        <w:jc w:val="left"/>
      </w:pPr>
      <w:r>
        <w:rPr/>
        <w:t>其他说明：</w:t>
      </w:r>
    </w:p>
    <w:p>
      <w:pPr>
        <w:spacing w:line="290" w:lineRule="auto" w:before="0"/>
        <w:ind w:left="220"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12"/>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915" w:space="4801"/>
            <w:col w:w="275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266"/>
        <w:gridCol w:w="1561"/>
        <w:gridCol w:w="1416"/>
        <w:gridCol w:w="1563"/>
        <w:gridCol w:w="1594"/>
        <w:gridCol w:w="1728"/>
      </w:tblGrid>
      <w:tr>
        <w:trPr>
          <w:trHeight w:val="24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1"/>
              <w:jc w:val="right"/>
              <w:rPr>
                <w:rFonts w:ascii="宋体" w:hAnsi="宋体" w:cs="宋体" w:eastAsia="宋体" w:hint="default"/>
                <w:sz w:val="18"/>
                <w:szCs w:val="18"/>
              </w:rPr>
            </w:pPr>
            <w:r>
              <w:rPr>
                <w:rFonts w:ascii="宋体" w:hAnsi="宋体" w:cs="宋体" w:eastAsia="宋体" w:hint="default"/>
                <w:sz w:val="18"/>
                <w:szCs w:val="18"/>
              </w:rPr>
              <w:t>电子设备及其他</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9"/>
              <w:jc w:val="right"/>
              <w:rPr>
                <w:rFonts w:ascii="Times New Roman" w:hAnsi="Times New Roman" w:cs="Times New Roman" w:eastAsia="Times New Roman" w:hint="default"/>
                <w:sz w:val="18"/>
                <w:szCs w:val="18"/>
              </w:rPr>
            </w:pPr>
            <w:r>
              <w:rPr>
                <w:rFonts w:ascii="Times New Roman"/>
                <w:spacing w:val="-1"/>
                <w:sz w:val="18"/>
              </w:rPr>
              <w:t>1,562,387,216.16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279,253,629.58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110,636,921.44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9"/>
              <w:jc w:val="right"/>
              <w:rPr>
                <w:rFonts w:ascii="Times New Roman" w:hAnsi="Times New Roman" w:cs="Times New Roman" w:eastAsia="Times New Roman" w:hint="default"/>
                <w:sz w:val="18"/>
                <w:szCs w:val="18"/>
              </w:rPr>
            </w:pPr>
            <w:r>
              <w:rPr>
                <w:rFonts w:ascii="Times New Roman"/>
                <w:spacing w:val="-1"/>
                <w:sz w:val="18"/>
              </w:rPr>
              <w:t>164,740,977.53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2,117,018,744.71</w:t>
            </w: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70,941,826.01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3,458,924.63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3,186,157.77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19,682,517.29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97,269,425.70</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164,821.04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2,614,390.58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3,186,157.77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19,682,517.29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25,647,886.68</w:t>
            </w: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39,081,404.84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844,534.05</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39,925,938.89</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7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8"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4</w:t>
            </w:r>
            <w:r>
              <w:rPr>
                <w:rFonts w:ascii="宋体" w:hAnsi="宋体" w:cs="宋体" w:eastAsia="宋体" w:hint="default"/>
                <w:spacing w:val="-4"/>
                <w:sz w:val="18"/>
                <w:szCs w:val="18"/>
              </w:rPr>
              <w:t>）投资性房地产</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9"/>
              <w:jc w:val="right"/>
              <w:rPr>
                <w:rFonts w:ascii="Times New Roman" w:hAnsi="Times New Roman" w:cs="Times New Roman" w:eastAsia="Times New Roman" w:hint="default"/>
                <w:sz w:val="18"/>
                <w:szCs w:val="18"/>
              </w:rPr>
            </w:pPr>
            <w:r>
              <w:rPr>
                <w:rFonts w:ascii="Times New Roman"/>
                <w:spacing w:val="-1"/>
                <w:sz w:val="18"/>
              </w:rPr>
              <w:t>30,652,484.23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30,652,484.23</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）其他转入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1,043,115.90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1,043,115.90</w:t>
            </w: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3,511,902.05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5,522,409.87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4,871,869.71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18,344,184.11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32,250,365.74</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3,511,902.05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5,522,409.87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4,871,869.71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18,344,184.11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32,250,365.74</w:t>
            </w:r>
          </w:p>
        </w:tc>
      </w:tr>
      <w:tr>
        <w:trPr>
          <w:trHeight w:val="243" w:hRule="exact"/>
        </w:trPr>
        <w:tc>
          <w:tcPr>
            <w:tcW w:w="22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9"/>
              <w:jc w:val="right"/>
              <w:rPr>
                <w:rFonts w:ascii="Times New Roman" w:hAnsi="Times New Roman" w:cs="Times New Roman" w:eastAsia="Times New Roman" w:hint="default"/>
                <w:sz w:val="18"/>
                <w:szCs w:val="18"/>
              </w:rPr>
            </w:pPr>
            <w:r>
              <w:rPr>
                <w:rFonts w:ascii="Times New Roman"/>
                <w:spacing w:val="-1"/>
                <w:sz w:val="18"/>
              </w:rPr>
              <w:t>1,629,817,140.12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277,190,144.34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108,951,209.50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9"/>
              <w:jc w:val="right"/>
              <w:rPr>
                <w:rFonts w:ascii="Times New Roman" w:hAnsi="Times New Roman" w:cs="Times New Roman" w:eastAsia="Times New Roman" w:hint="default"/>
                <w:sz w:val="18"/>
                <w:szCs w:val="18"/>
              </w:rPr>
            </w:pPr>
            <w:r>
              <w:rPr>
                <w:rFonts w:ascii="Times New Roman"/>
                <w:spacing w:val="-1"/>
                <w:sz w:val="18"/>
              </w:rPr>
              <w:t>166,079,310.71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2,182,037,804.67</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9"/>
              <w:jc w:val="right"/>
              <w:rPr>
                <w:rFonts w:ascii="Times New Roman" w:hAnsi="Times New Roman" w:cs="Times New Roman" w:eastAsia="Times New Roman" w:hint="default"/>
                <w:sz w:val="18"/>
                <w:szCs w:val="18"/>
              </w:rPr>
            </w:pPr>
            <w:r>
              <w:rPr>
                <w:rFonts w:ascii="Times New Roman"/>
                <w:spacing w:val="-1"/>
                <w:sz w:val="18"/>
              </w:rPr>
              <w:t>406,603,865.75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196,178,039.45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87,621,989.65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9"/>
              <w:jc w:val="right"/>
              <w:rPr>
                <w:rFonts w:ascii="Times New Roman" w:hAnsi="Times New Roman" w:cs="Times New Roman" w:eastAsia="Times New Roman" w:hint="default"/>
                <w:sz w:val="18"/>
                <w:szCs w:val="18"/>
              </w:rPr>
            </w:pPr>
            <w:r>
              <w:rPr>
                <w:rFonts w:ascii="Times New Roman"/>
                <w:spacing w:val="-1"/>
                <w:sz w:val="18"/>
              </w:rPr>
              <w:t>131,871,056.69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822,274,951.54</w:t>
            </w: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61,285,939.17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16,638,010.47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8,687,033.02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16,929,585.10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103,540,567.76</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44,395,538.60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16,638,010.47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8,687,033.02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16,929,585.10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86,650,167.19</w:t>
            </w:r>
          </w:p>
        </w:tc>
      </w:tr>
      <w:tr>
        <w:trPr>
          <w:trHeight w:val="47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8"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）投资性房地产</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pacing w:val="-1"/>
                <w:sz w:val="18"/>
              </w:rPr>
              <w:t>16,890,400.57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16,890,400.57</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1,847,029.60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4,584,825.69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4,456,366.32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17,251,775.13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28,139,996.74</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1,847,029.60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4,584,825.69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4,456,366.32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17,251,775.13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28,139,996.74</w:t>
            </w: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9"/>
              <w:jc w:val="right"/>
              <w:rPr>
                <w:rFonts w:ascii="Times New Roman" w:hAnsi="Times New Roman" w:cs="Times New Roman" w:eastAsia="Times New Roman" w:hint="default"/>
                <w:sz w:val="18"/>
                <w:szCs w:val="18"/>
              </w:rPr>
            </w:pPr>
            <w:r>
              <w:rPr>
                <w:rFonts w:ascii="Times New Roman"/>
                <w:spacing w:val="-1"/>
                <w:sz w:val="18"/>
              </w:rPr>
              <w:t>466,042,775.32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208,231,224.23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91,852,656.35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9"/>
              <w:jc w:val="right"/>
              <w:rPr>
                <w:rFonts w:ascii="Times New Roman" w:hAnsi="Times New Roman" w:cs="Times New Roman" w:eastAsia="Times New Roman" w:hint="default"/>
                <w:sz w:val="18"/>
                <w:szCs w:val="18"/>
              </w:rPr>
            </w:pPr>
            <w:r>
              <w:rPr>
                <w:rFonts w:ascii="Times New Roman"/>
                <w:spacing w:val="-1"/>
                <w:sz w:val="18"/>
              </w:rPr>
              <w:t>131,548,866.66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897,675,522.56</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1,004,713.59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1,004,713.59</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1,004,713.59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1,004,713.59</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1,004,713.59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1,004,713.59</w:t>
            </w: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9"/>
              <w:jc w:val="right"/>
              <w:rPr>
                <w:rFonts w:ascii="Times New Roman" w:hAnsi="Times New Roman" w:cs="Times New Roman" w:eastAsia="Times New Roman" w:hint="default"/>
                <w:sz w:val="18"/>
                <w:szCs w:val="18"/>
              </w:rPr>
            </w:pPr>
            <w:r>
              <w:rPr>
                <w:rFonts w:ascii="Times New Roman"/>
                <w:spacing w:val="-1"/>
                <w:sz w:val="18"/>
              </w:rPr>
              <w:t>1,163,774,364.80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68,958,920.11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17,098,553.15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9"/>
              <w:jc w:val="right"/>
              <w:rPr>
                <w:rFonts w:ascii="Times New Roman" w:hAnsi="Times New Roman" w:cs="Times New Roman" w:eastAsia="Times New Roman" w:hint="default"/>
                <w:sz w:val="18"/>
                <w:szCs w:val="18"/>
              </w:rPr>
            </w:pPr>
            <w:r>
              <w:rPr>
                <w:rFonts w:ascii="Times New Roman"/>
                <w:spacing w:val="-1"/>
                <w:sz w:val="18"/>
              </w:rPr>
              <w:t>34,530,444.05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1,284,362,282.11</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1,155,783,350.41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83,075,590.13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23,014,931.79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31,865,207.25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1,293,739,079.58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760" w:right="780"/>
        </w:sectPr>
      </w:pPr>
    </w:p>
    <w:p>
      <w:pPr>
        <w:pStyle w:val="Heading2"/>
        <w:spacing w:line="240" w:lineRule="auto" w:before="36"/>
        <w:ind w:left="680" w:right="-15"/>
        <w:jc w:val="left"/>
        <w:rPr>
          <w:b w:val="0"/>
          <w:bCs w:val="0"/>
        </w:rPr>
      </w:pPr>
      <w:r>
        <w:rPr>
          <w:rFonts w:ascii="宋体" w:hAnsi="宋体" w:cs="宋体" w:eastAsia="宋体" w:hint="default"/>
        </w:rPr>
        <w:t>(2).</w:t>
      </w:r>
      <w:r>
        <w:rPr/>
        <w:t>暂时闲置的固定资产情况</w:t>
      </w:r>
      <w:r>
        <w:rPr>
          <w:b w:val="0"/>
          <w:bCs w:val="0"/>
        </w:rPr>
      </w:r>
    </w:p>
    <w:p>
      <w:pPr>
        <w:spacing w:line="290" w:lineRule="auto" w:before="57"/>
        <w:ind w:left="680" w:right="-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90" w:lineRule="auto" w:before="12"/>
        <w:ind w:left="680" w:right="4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90" w:lineRule="auto" w:before="12"/>
        <w:ind w:left="680" w:right="1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40" w:lineRule="auto" w:before="12"/>
        <w:ind w:left="68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tabs>
          <w:tab w:pos="1732" w:val="left" w:leader="none"/>
        </w:tabs>
        <w:spacing w:line="240" w:lineRule="auto"/>
        <w:ind w:left="680" w:right="0"/>
        <w:jc w:val="left"/>
      </w:pPr>
      <w:r>
        <w:rPr>
          <w:spacing w:val="-1"/>
        </w:rPr>
        <w:t>单位：元</w:t>
        <w:tab/>
      </w:r>
      <w:r>
        <w:rPr>
          <w:spacing w:val="-2"/>
        </w:rPr>
        <w:t>币种：人民币</w:t>
      </w:r>
    </w:p>
    <w:p>
      <w:pPr>
        <w:spacing w:after="0" w:line="240" w:lineRule="auto"/>
        <w:jc w:val="left"/>
        <w:sectPr>
          <w:type w:val="continuous"/>
          <w:pgSz w:w="11910" w:h="16840"/>
          <w:pgMar w:top="1060" w:bottom="1380" w:left="760" w:right="780"/>
          <w:cols w:num="2" w:equalWidth="0">
            <w:col w:w="4272" w:space="2445"/>
            <w:col w:w="3653"/>
          </w:cols>
        </w:sectPr>
      </w:pPr>
    </w:p>
    <w:p>
      <w:pPr>
        <w:spacing w:line="240" w:lineRule="auto" w:before="7"/>
        <w:rPr>
          <w:rFonts w:ascii="宋体" w:hAnsi="宋体" w:cs="宋体" w:eastAsia="宋体" w:hint="default"/>
          <w:sz w:val="2"/>
          <w:szCs w:val="2"/>
        </w:rPr>
      </w:pPr>
    </w:p>
    <w:tbl>
      <w:tblPr>
        <w:tblW w:w="0" w:type="auto"/>
        <w:jc w:val="left"/>
        <w:tblInd w:w="567" w:type="dxa"/>
        <w:tblLayout w:type="fixed"/>
        <w:tblCellMar>
          <w:top w:w="0" w:type="dxa"/>
          <w:left w:w="0" w:type="dxa"/>
          <w:bottom w:w="0" w:type="dxa"/>
          <w:right w:w="0" w:type="dxa"/>
        </w:tblCellMar>
        <w:tblLook w:val="01E0"/>
      </w:tblPr>
      <w:tblGrid>
        <w:gridCol w:w="3013"/>
        <w:gridCol w:w="3106"/>
        <w:gridCol w:w="3125"/>
      </w:tblGrid>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1"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办公楼（北京分部）</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63,165,989.66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营业用房（广安书城）</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19,274,339.19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4"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仓库及办公楼（四川剑阁）</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5,799,820.20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bl>
    <w:p>
      <w:pPr>
        <w:spacing w:after="0" w:line="241" w:lineRule="exact"/>
        <w:jc w:val="left"/>
        <w:rPr>
          <w:rFonts w:ascii="宋体" w:hAnsi="宋体" w:cs="宋体" w:eastAsia="宋体" w:hint="default"/>
          <w:sz w:val="21"/>
          <w:szCs w:val="21"/>
        </w:rPr>
        <w:sectPr>
          <w:type w:val="continuous"/>
          <w:pgSz w:w="11910" w:h="16840"/>
          <w:pgMar w:top="1060" w:bottom="1380" w:left="7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013"/>
        <w:gridCol w:w="3106"/>
        <w:gridCol w:w="3125"/>
      </w:tblGrid>
      <w:tr>
        <w:trPr>
          <w:trHeight w:val="281"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仓库及办公楼（四川西充）</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6,732,121.83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仓库及办公楼（四川南充）</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31,167,843.27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仓库及办公楼（四川龙泉）</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8,134,285.37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1"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仓库及办公楼（四川蓬安）</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4,956,857.32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仓库及办公楼（四川广安）</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8,995,937.05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仓库及办公楼（巴中）</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16,027,292.57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1"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164,254,486.46</w:t>
            </w:r>
          </w:p>
        </w:tc>
        <w:tc>
          <w:tcPr>
            <w:tcW w:w="31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right="2009"/>
        <w:jc w:val="left"/>
      </w:pPr>
      <w:r>
        <w:rPr/>
        <w:t>上述未办妥产权证书的固定资产对本集团的经营不存在重大影响。</w:t>
      </w:r>
    </w:p>
    <w:p>
      <w:pPr>
        <w:spacing w:line="240" w:lineRule="auto" w:before="0"/>
        <w:rPr>
          <w:rFonts w:ascii="宋体" w:hAnsi="宋体" w:cs="宋体" w:eastAsia="宋体" w:hint="default"/>
          <w:sz w:val="20"/>
          <w:szCs w:val="20"/>
        </w:rPr>
      </w:pPr>
    </w:p>
    <w:p>
      <w:pPr>
        <w:pStyle w:val="BodyText"/>
        <w:spacing w:line="273" w:lineRule="exact" w:before="145"/>
        <w:ind w:right="2009"/>
        <w:jc w:val="left"/>
      </w:pPr>
      <w:r>
        <w:rPr/>
        <w:t>其他说明：</w:t>
      </w:r>
    </w:p>
    <w:p>
      <w:pPr>
        <w:pStyle w:val="BodyText"/>
        <w:spacing w:line="240" w:lineRule="auto"/>
        <w:ind w:right="2009"/>
        <w:jc w:val="left"/>
      </w:pPr>
      <w:r>
        <w:rPr/>
        <w:t>√适用</w:t>
      </w:r>
      <w:r>
        <w:rPr>
          <w:spacing w:val="-2"/>
        </w:rPr>
        <w:t> </w:t>
      </w:r>
      <w:r>
        <w:rPr/>
        <w:t>□不适用</w:t>
      </w:r>
      <w:r>
        <w:rPr>
          <w:spacing w:val="-103"/>
        </w:rPr>
        <w:t> </w:t>
      </w:r>
      <w:r>
        <w:rPr>
          <w:spacing w:val="-103"/>
        </w:rPr>
      </w:r>
      <w:r>
        <w:rPr>
          <w:spacing w:val="-2"/>
        </w:rPr>
        <w:t>年末，本集团主要生产经营固定资产中无暂时闲置的固定资产。</w:t>
      </w:r>
    </w:p>
    <w:p>
      <w:pPr>
        <w:spacing w:line="240" w:lineRule="auto" w:before="0"/>
        <w:rPr>
          <w:rFonts w:ascii="宋体" w:hAnsi="宋体" w:cs="宋体" w:eastAsia="宋体" w:hint="default"/>
          <w:sz w:val="25"/>
          <w:szCs w:val="25"/>
        </w:rPr>
      </w:pPr>
    </w:p>
    <w:p>
      <w:pPr>
        <w:pStyle w:val="Heading2"/>
        <w:spacing w:line="240" w:lineRule="auto"/>
        <w:ind w:right="2009"/>
        <w:jc w:val="left"/>
        <w:rPr>
          <w:b w:val="0"/>
          <w:bCs w:val="0"/>
        </w:rPr>
      </w:pPr>
      <w:r>
        <w:rPr/>
        <w:t>固定资产清理</w:t>
      </w:r>
      <w:r>
        <w:rPr>
          <w:b w:val="0"/>
          <w:bCs w:val="0"/>
        </w:rPr>
      </w:r>
    </w:p>
    <w:p>
      <w:pPr>
        <w:pStyle w:val="BodyText"/>
        <w:spacing w:line="240" w:lineRule="auto" w:before="58"/>
        <w:ind w:right="2009"/>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220" w:right="1080"/>
        </w:sectPr>
      </w:pPr>
    </w:p>
    <w:p>
      <w:pPr>
        <w:pStyle w:val="Heading2"/>
        <w:spacing w:line="290" w:lineRule="auto" w:before="36"/>
        <w:ind w:right="209"/>
        <w:jc w:val="left"/>
        <w:rPr>
          <w:b w:val="0"/>
          <w:bCs w:val="0"/>
        </w:rPr>
      </w:pPr>
      <w:r>
        <w:rPr>
          <w:rFonts w:ascii="宋体" w:hAnsi="宋体" w:cs="宋体" w:eastAsia="宋体" w:hint="default"/>
        </w:rPr>
        <w:t>20</w:t>
      </w:r>
      <w:r>
        <w:rPr/>
        <w:t>、</w:t>
      </w:r>
      <w:r>
        <w:rPr>
          <w:spacing w:val="-24"/>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5"/>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080"/>
          <w:cols w:num="2" w:equalWidth="0">
            <w:col w:w="1798" w:space="4918"/>
            <w:col w:w="289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65"/>
        <w:gridCol w:w="3000"/>
        <w:gridCol w:w="2989"/>
      </w:tblGrid>
      <w:tr>
        <w:trPr>
          <w:trHeight w:val="281"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671,459,973.65</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622,149,298.16</w:t>
            </w:r>
          </w:p>
        </w:tc>
      </w:tr>
      <w:tr>
        <w:trPr>
          <w:trHeight w:val="283"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671,459,973.65</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622,149,298.16</w:t>
            </w:r>
          </w:p>
        </w:tc>
      </w:tr>
    </w:tbl>
    <w:p>
      <w:pPr>
        <w:spacing w:line="240" w:lineRule="auto" w:before="5"/>
        <w:rPr>
          <w:rFonts w:ascii="宋体" w:hAnsi="宋体" w:cs="宋体" w:eastAsia="宋体" w:hint="default"/>
          <w:sz w:val="15"/>
          <w:szCs w:val="15"/>
        </w:rPr>
      </w:pPr>
    </w:p>
    <w:p>
      <w:pPr>
        <w:pStyle w:val="BodyText"/>
        <w:spacing w:line="274" w:lineRule="exact" w:before="36"/>
        <w:ind w:right="2009"/>
        <w:jc w:val="left"/>
      </w:pPr>
      <w:r>
        <w:rPr/>
        <w:t>其他说明：</w:t>
      </w:r>
    </w:p>
    <w:p>
      <w:pPr>
        <w:pStyle w:val="BodyText"/>
        <w:spacing w:line="274" w:lineRule="exact"/>
        <w:ind w:right="2009"/>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220" w:right="1080"/>
        </w:sectPr>
      </w:pPr>
    </w:p>
    <w:p>
      <w:pPr>
        <w:pStyle w:val="Heading2"/>
        <w:spacing w:line="290" w:lineRule="auto" w:before="36"/>
        <w:ind w:right="-14"/>
        <w:jc w:val="left"/>
        <w:rPr>
          <w:b w:val="0"/>
          <w:bCs w:val="0"/>
        </w:rPr>
      </w:pPr>
      <w:r>
        <w:rPr/>
        <w:t>在建工程</w:t>
      </w:r>
      <w:r>
        <w:rPr>
          <w:w w:val="100"/>
        </w:rPr>
        <w:t> </w:t>
      </w:r>
      <w:r>
        <w:rPr>
          <w:rFonts w:ascii="宋体" w:hAnsi="宋体" w:cs="宋体" w:eastAsia="宋体" w:hint="default"/>
        </w:rPr>
        <w:t>(1).</w:t>
      </w:r>
      <w:r>
        <w:rPr/>
        <w:t>在建工程情况</w:t>
      </w:r>
      <w:r>
        <w:rPr>
          <w:b w:val="0"/>
          <w:bCs w:val="0"/>
        </w:rPr>
      </w:r>
    </w:p>
    <w:p>
      <w:pPr>
        <w:pStyle w:val="BodyText"/>
        <w:spacing w:line="240" w:lineRule="auto" w:before="15"/>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080"/>
          <w:cols w:num="2" w:equalWidth="0">
            <w:col w:w="1915" w:space="4801"/>
            <w:col w:w="2894"/>
          </w:cols>
        </w:sectPr>
      </w:pP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2014"/>
        <w:gridCol w:w="1429"/>
        <w:gridCol w:w="842"/>
        <w:gridCol w:w="1395"/>
        <w:gridCol w:w="1322"/>
        <w:gridCol w:w="980"/>
        <w:gridCol w:w="1322"/>
      </w:tblGrid>
      <w:tr>
        <w:trPr>
          <w:trHeight w:val="242" w:hRule="exact"/>
        </w:trPr>
        <w:tc>
          <w:tcPr>
            <w:tcW w:w="2014"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2014" w:type="dxa"/>
            <w:vMerge/>
            <w:tcBorders>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出版传媒创意中心</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577,034,488.41</w:t>
            </w:r>
          </w:p>
        </w:tc>
        <w:tc>
          <w:tcPr>
            <w:tcW w:w="84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577,034,488.41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514,035,070.57</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514,035,070.57</w:t>
            </w:r>
          </w:p>
        </w:tc>
      </w:tr>
      <w:tr>
        <w:trPr>
          <w:trHeight w:val="24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巴中仓库办公用房</w:t>
            </w:r>
          </w:p>
        </w:tc>
        <w:tc>
          <w:tcPr>
            <w:tcW w:w="142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11,395,765.67</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11,395,765.67</w:t>
            </w:r>
          </w:p>
        </w:tc>
      </w:tr>
      <w:tr>
        <w:trPr>
          <w:trHeight w:val="245"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仪陇教材配送中心项目</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9"/>
              <w:jc w:val="right"/>
              <w:rPr>
                <w:rFonts w:ascii="宋体" w:hAnsi="宋体" w:cs="宋体" w:eastAsia="宋体" w:hint="default"/>
                <w:sz w:val="18"/>
                <w:szCs w:val="18"/>
              </w:rPr>
            </w:pPr>
            <w:r>
              <w:rPr>
                <w:rFonts w:ascii="宋体"/>
                <w:spacing w:val="-1"/>
                <w:sz w:val="18"/>
              </w:rPr>
              <w:t>99,099.10</w:t>
            </w:r>
          </w:p>
        </w:tc>
        <w:tc>
          <w:tcPr>
            <w:tcW w:w="84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99,099.10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13,071,297.31</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13,071,297.31</w:t>
            </w:r>
          </w:p>
        </w:tc>
      </w:tr>
      <w:tr>
        <w:trPr>
          <w:trHeight w:val="24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资阳教材中转站项目</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29,373,389.91</w:t>
            </w:r>
          </w:p>
        </w:tc>
        <w:tc>
          <w:tcPr>
            <w:tcW w:w="84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29,373,389.91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20,787,545.27</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20,787,545.27</w:t>
            </w:r>
          </w:p>
        </w:tc>
      </w:tr>
      <w:tr>
        <w:trPr>
          <w:trHeight w:val="245"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乐至教材配送中心</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14,637,028.47</w:t>
            </w:r>
          </w:p>
        </w:tc>
        <w:tc>
          <w:tcPr>
            <w:tcW w:w="84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14,637,028.47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9,937,771.68</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9,937,771.68</w:t>
            </w:r>
          </w:p>
        </w:tc>
      </w:tr>
      <w:tr>
        <w:trPr>
          <w:trHeight w:val="24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绵阳教材仓库</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46,019,878.87</w:t>
            </w:r>
          </w:p>
        </w:tc>
        <w:tc>
          <w:tcPr>
            <w:tcW w:w="84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46,019,878.87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45,953,382.79</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45,953,382.79</w:t>
            </w:r>
          </w:p>
        </w:tc>
      </w:tr>
      <w:tr>
        <w:trPr>
          <w:trHeight w:val="245"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岳池库房办公楼</w:t>
            </w:r>
          </w:p>
        </w:tc>
        <w:tc>
          <w:tcPr>
            <w:tcW w:w="142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5,868,996.00</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5,868,996.00</w:t>
            </w:r>
          </w:p>
        </w:tc>
      </w:tr>
      <w:tr>
        <w:trPr>
          <w:trHeight w:val="24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3"/>
              <w:jc w:val="left"/>
              <w:rPr>
                <w:rFonts w:ascii="宋体" w:hAnsi="宋体" w:cs="宋体" w:eastAsia="宋体" w:hint="default"/>
                <w:sz w:val="18"/>
                <w:szCs w:val="18"/>
              </w:rPr>
            </w:pPr>
            <w:r>
              <w:rPr>
                <w:rFonts w:ascii="宋体" w:hAnsi="宋体" w:cs="宋体" w:eastAsia="宋体" w:hint="default"/>
                <w:sz w:val="18"/>
                <w:szCs w:val="18"/>
              </w:rPr>
              <w:t>渠县图书仓库办公综合楼</w:t>
            </w:r>
          </w:p>
        </w:tc>
        <w:tc>
          <w:tcPr>
            <w:tcW w:w="142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290,000.00</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290,000.00</w:t>
            </w:r>
          </w:p>
        </w:tc>
      </w:tr>
      <w:tr>
        <w:trPr>
          <w:trHeight w:val="24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4,296,088.89</w:t>
            </w:r>
          </w:p>
        </w:tc>
        <w:tc>
          <w:tcPr>
            <w:tcW w:w="84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4,296,088.89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809,468.87</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809,468.87</w:t>
            </w:r>
          </w:p>
        </w:tc>
      </w:tr>
      <w:tr>
        <w:trPr>
          <w:trHeight w:val="245"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0"/>
              <w:jc w:val="right"/>
              <w:rPr>
                <w:rFonts w:ascii="宋体" w:hAnsi="宋体" w:cs="宋体" w:eastAsia="宋体" w:hint="default"/>
                <w:sz w:val="18"/>
                <w:szCs w:val="18"/>
              </w:rPr>
            </w:pPr>
            <w:r>
              <w:rPr>
                <w:rFonts w:ascii="宋体"/>
                <w:spacing w:val="-1"/>
                <w:sz w:val="18"/>
              </w:rPr>
              <w:t>671,459,973.65</w:t>
            </w:r>
          </w:p>
        </w:tc>
        <w:tc>
          <w:tcPr>
            <w:tcW w:w="84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671,459,973.65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622,149,298.16</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622,149,298.16</w:t>
            </w:r>
          </w:p>
        </w:tc>
      </w:tr>
    </w:tbl>
    <w:p>
      <w:pPr>
        <w:spacing w:after="0" w:line="208" w:lineRule="exact"/>
        <w:jc w:val="right"/>
        <w:rPr>
          <w:rFonts w:ascii="宋体" w:hAnsi="宋体" w:cs="宋体" w:eastAsia="宋体" w:hint="default"/>
          <w:sz w:val="18"/>
          <w:szCs w:val="18"/>
        </w:rPr>
        <w:sectPr>
          <w:type w:val="continuous"/>
          <w:pgSz w:w="11910" w:h="16840"/>
          <w:pgMar w:top="1060" w:bottom="1380" w:left="1220" w:right="108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82" w:footer="1195" w:top="1120" w:bottom="1380" w:left="130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82" w:footer="1195" w:top="1120" w:bottom="1380" w:left="1300" w:right="1320"/>
        </w:sectPr>
      </w:pPr>
    </w:p>
    <w:p>
      <w:pPr>
        <w:pStyle w:val="Heading2"/>
        <w:spacing w:line="240" w:lineRule="auto" w:before="36"/>
        <w:ind w:left="140" w:right="-15"/>
        <w:jc w:val="left"/>
        <w:rPr>
          <w:b w:val="0"/>
          <w:bCs w:val="0"/>
        </w:rPr>
      </w:pPr>
      <w:r>
        <w:rPr>
          <w:rFonts w:ascii="宋体" w:hAnsi="宋体" w:cs="宋体" w:eastAsia="宋体" w:hint="default"/>
        </w:rPr>
        <w:t>(2).</w:t>
      </w:r>
      <w:r>
        <w:rPr/>
        <w:t>重要在建工程项目本期变动情况</w:t>
      </w:r>
      <w:r>
        <w:rPr>
          <w:b w:val="0"/>
          <w:bCs w:val="0"/>
        </w:rPr>
      </w:r>
    </w:p>
    <w:p>
      <w:pPr>
        <w:pStyle w:val="BodyText"/>
        <w:spacing w:line="240" w:lineRule="auto" w:before="58"/>
        <w:ind w:left="14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92"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1910" w:h="16840"/>
          <w:pgMar w:top="1060" w:bottom="1380" w:left="1300" w:right="1320"/>
          <w:cols w:num="2" w:equalWidth="0">
            <w:col w:w="3520" w:space="2985"/>
            <w:col w:w="2785"/>
          </w:cols>
        </w:sectPr>
      </w:pPr>
    </w:p>
    <w:p>
      <w:pPr>
        <w:spacing w:line="240" w:lineRule="auto" w:before="7"/>
        <w:rPr>
          <w:rFonts w:ascii="宋体" w:hAnsi="宋体" w:cs="宋体" w:eastAsia="宋体" w:hint="default"/>
          <w:sz w:val="2"/>
          <w:szCs w:val="2"/>
        </w:rPr>
      </w:pPr>
    </w:p>
    <w:tbl>
      <w:tblPr>
        <w:tblW w:w="0" w:type="auto"/>
        <w:jc w:val="left"/>
        <w:tblInd w:w="315" w:type="dxa"/>
        <w:tblLayout w:type="fixed"/>
        <w:tblCellMar>
          <w:top w:w="0" w:type="dxa"/>
          <w:left w:w="0" w:type="dxa"/>
          <w:bottom w:w="0" w:type="dxa"/>
          <w:right w:w="0" w:type="dxa"/>
        </w:tblCellMar>
        <w:tblLook w:val="01E0"/>
      </w:tblPr>
      <w:tblGrid>
        <w:gridCol w:w="1015"/>
        <w:gridCol w:w="967"/>
        <w:gridCol w:w="874"/>
        <w:gridCol w:w="869"/>
        <w:gridCol w:w="967"/>
        <w:gridCol w:w="800"/>
        <w:gridCol w:w="850"/>
        <w:gridCol w:w="427"/>
        <w:gridCol w:w="574"/>
        <w:gridCol w:w="288"/>
        <w:gridCol w:w="290"/>
        <w:gridCol w:w="290"/>
        <w:gridCol w:w="456"/>
      </w:tblGrid>
      <w:tr>
        <w:trPr>
          <w:trHeight w:val="2149"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231" w:right="329"/>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225" w:right="178" w:hanging="149"/>
              <w:jc w:val="left"/>
              <w:rPr>
                <w:rFonts w:ascii="宋体" w:hAnsi="宋体" w:cs="宋体" w:eastAsia="宋体" w:hint="default"/>
                <w:sz w:val="15"/>
                <w:szCs w:val="15"/>
              </w:rPr>
            </w:pPr>
            <w:r>
              <w:rPr>
                <w:rFonts w:ascii="宋体" w:hAnsi="宋体" w:cs="宋体" w:eastAsia="宋体" w:hint="default"/>
                <w:sz w:val="15"/>
                <w:szCs w:val="15"/>
              </w:rPr>
              <w:t>本期增加</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67" w:right="134"/>
              <w:jc w:val="left"/>
              <w:rPr>
                <w:rFonts w:ascii="宋体" w:hAnsi="宋体" w:cs="宋体" w:eastAsia="宋体" w:hint="default"/>
                <w:sz w:val="15"/>
                <w:szCs w:val="15"/>
              </w:rPr>
            </w:pPr>
            <w:r>
              <w:rPr>
                <w:rFonts w:ascii="宋体" w:hAnsi="宋体" w:cs="宋体" w:eastAsia="宋体" w:hint="default"/>
                <w:sz w:val="15"/>
                <w:szCs w:val="15"/>
              </w:rPr>
              <w:t>本期转入固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定资产金额</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60" w:right="125"/>
              <w:jc w:val="left"/>
              <w:rPr>
                <w:rFonts w:ascii="宋体" w:hAnsi="宋体" w:cs="宋体" w:eastAsia="宋体" w:hint="default"/>
                <w:sz w:val="15"/>
                <w:szCs w:val="15"/>
              </w:rPr>
            </w:pPr>
            <w:r>
              <w:rPr>
                <w:rFonts w:ascii="宋体" w:hAnsi="宋体" w:cs="宋体" w:eastAsia="宋体" w:hint="default"/>
                <w:sz w:val="15"/>
                <w:szCs w:val="15"/>
              </w:rPr>
              <w:t>本期其他</w:t>
            </w:r>
            <w:r>
              <w:rPr>
                <w:rFonts w:ascii="宋体" w:hAnsi="宋体" w:cs="宋体" w:eastAsia="宋体" w:hint="default"/>
                <w:w w:val="100"/>
                <w:sz w:val="15"/>
                <w:szCs w:val="15"/>
              </w:rPr>
              <w:t> </w:t>
            </w:r>
            <w:r>
              <w:rPr>
                <w:rFonts w:ascii="宋体" w:hAnsi="宋体" w:cs="宋体" w:eastAsia="宋体" w:hint="default"/>
                <w:sz w:val="15"/>
                <w:szCs w:val="15"/>
              </w:rPr>
              <w:t>减少金额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268" w:right="266"/>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2" w:lineRule="auto"/>
              <w:ind w:left="57" w:right="55"/>
              <w:jc w:val="center"/>
              <w:rPr>
                <w:rFonts w:ascii="Times New Roman" w:hAnsi="Times New Roman" w:cs="Times New Roman" w:eastAsia="Times New Roman" w:hint="default"/>
                <w:sz w:val="15"/>
                <w:szCs w:val="15"/>
              </w:rPr>
            </w:pPr>
            <w:r>
              <w:rPr>
                <w:rFonts w:ascii="宋体" w:hAnsi="宋体" w:cs="宋体" w:eastAsia="宋体" w:hint="default"/>
                <w:sz w:val="15"/>
                <w:szCs w:val="15"/>
              </w:rPr>
              <w:t>工程</w:t>
            </w:r>
            <w:r>
              <w:rPr>
                <w:rFonts w:ascii="宋体" w:hAnsi="宋体" w:cs="宋体" w:eastAsia="宋体" w:hint="default"/>
                <w:w w:val="100"/>
                <w:sz w:val="15"/>
                <w:szCs w:val="15"/>
              </w:rPr>
              <w:t> </w:t>
            </w:r>
            <w:r>
              <w:rPr>
                <w:rFonts w:ascii="宋体" w:hAnsi="宋体" w:cs="宋体" w:eastAsia="宋体" w:hint="default"/>
                <w:sz w:val="15"/>
                <w:szCs w:val="15"/>
              </w:rPr>
              <w:t>累计</w:t>
            </w:r>
            <w:r>
              <w:rPr>
                <w:rFonts w:ascii="宋体" w:hAnsi="宋体" w:cs="宋体" w:eastAsia="宋体" w:hint="default"/>
                <w:w w:val="100"/>
                <w:sz w:val="15"/>
                <w:szCs w:val="15"/>
              </w:rPr>
              <w:t> </w:t>
            </w:r>
            <w:r>
              <w:rPr>
                <w:rFonts w:ascii="宋体" w:hAnsi="宋体" w:cs="宋体" w:eastAsia="宋体" w:hint="default"/>
                <w:sz w:val="15"/>
                <w:szCs w:val="15"/>
              </w:rPr>
              <w:t>投入</w:t>
            </w:r>
            <w:r>
              <w:rPr>
                <w:rFonts w:ascii="宋体" w:hAnsi="宋体" w:cs="宋体" w:eastAsia="宋体" w:hint="default"/>
                <w:w w:val="100"/>
                <w:sz w:val="15"/>
                <w:szCs w:val="15"/>
              </w:rPr>
              <w:t> </w:t>
            </w:r>
            <w:r>
              <w:rPr>
                <w:rFonts w:ascii="宋体" w:hAnsi="宋体" w:cs="宋体" w:eastAsia="宋体" w:hint="default"/>
                <w:sz w:val="15"/>
                <w:szCs w:val="15"/>
              </w:rPr>
              <w:t>占预</w:t>
            </w:r>
            <w:r>
              <w:rPr>
                <w:rFonts w:ascii="宋体" w:hAnsi="宋体" w:cs="宋体" w:eastAsia="宋体" w:hint="default"/>
                <w:w w:val="100"/>
                <w:sz w:val="15"/>
                <w:szCs w:val="15"/>
              </w:rPr>
              <w:t> </w:t>
            </w:r>
            <w:r>
              <w:rPr>
                <w:rFonts w:ascii="宋体" w:hAnsi="宋体" w:cs="宋体" w:eastAsia="宋体" w:hint="default"/>
                <w:sz w:val="15"/>
                <w:szCs w:val="15"/>
              </w:rPr>
              <w:t>算比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206" w:right="53" w:hanging="152"/>
              <w:jc w:val="left"/>
              <w:rPr>
                <w:rFonts w:ascii="宋体" w:hAnsi="宋体" w:cs="宋体" w:eastAsia="宋体" w:hint="default"/>
                <w:sz w:val="15"/>
                <w:szCs w:val="15"/>
              </w:rPr>
            </w:pPr>
            <w:r>
              <w:rPr>
                <w:rFonts w:ascii="宋体" w:hAnsi="宋体" w:cs="宋体" w:eastAsia="宋体" w:hint="default"/>
                <w:sz w:val="15"/>
                <w:szCs w:val="15"/>
              </w:rPr>
              <w:t>工程进</w:t>
            </w:r>
            <w:r>
              <w:rPr>
                <w:rFonts w:ascii="宋体" w:hAnsi="宋体" w:cs="宋体" w:eastAsia="宋体" w:hint="default"/>
                <w:spacing w:val="-72"/>
                <w:sz w:val="15"/>
                <w:szCs w:val="15"/>
              </w:rPr>
              <w:t> </w:t>
            </w:r>
            <w:r>
              <w:rPr>
                <w:rFonts w:ascii="宋体" w:hAnsi="宋体" w:cs="宋体" w:eastAsia="宋体" w:hint="default"/>
                <w:sz w:val="15"/>
                <w:szCs w:val="15"/>
              </w:rPr>
              <w:t>度</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4" w:right="60"/>
              <w:jc w:val="both"/>
              <w:rPr>
                <w:rFonts w:ascii="宋体" w:hAnsi="宋体" w:cs="宋体" w:eastAsia="宋体" w:hint="default"/>
                <w:sz w:val="15"/>
                <w:szCs w:val="15"/>
              </w:rPr>
            </w:pPr>
            <w:r>
              <w:rPr>
                <w:rFonts w:ascii="宋体" w:hAnsi="宋体" w:cs="宋体" w:eastAsia="宋体" w:hint="default"/>
                <w:sz w:val="15"/>
                <w:szCs w:val="15"/>
              </w:rPr>
              <w:t>利</w:t>
            </w:r>
            <w:r>
              <w:rPr>
                <w:rFonts w:ascii="宋体" w:hAnsi="宋体" w:cs="宋体" w:eastAsia="宋体" w:hint="default"/>
                <w:w w:val="100"/>
                <w:sz w:val="15"/>
                <w:szCs w:val="15"/>
              </w:rPr>
              <w:t> </w:t>
            </w:r>
            <w:r>
              <w:rPr>
                <w:rFonts w:ascii="宋体" w:hAnsi="宋体" w:cs="宋体" w:eastAsia="宋体" w:hint="default"/>
                <w:sz w:val="15"/>
                <w:szCs w:val="15"/>
              </w:rPr>
              <w:t>息</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化</w:t>
            </w:r>
            <w:r>
              <w:rPr>
                <w:rFonts w:ascii="宋体" w:hAnsi="宋体" w:cs="宋体" w:eastAsia="宋体" w:hint="default"/>
                <w:w w:val="100"/>
                <w:sz w:val="15"/>
                <w:szCs w:val="15"/>
              </w:rPr>
              <w:t> </w:t>
            </w:r>
            <w:r>
              <w:rPr>
                <w:rFonts w:ascii="宋体" w:hAnsi="宋体" w:cs="宋体" w:eastAsia="宋体" w:hint="default"/>
                <w:sz w:val="15"/>
                <w:szCs w:val="15"/>
              </w:rPr>
              <w:t>累</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firstLine="38"/>
              <w:jc w:val="both"/>
              <w:rPr>
                <w:rFonts w:ascii="宋体" w:hAnsi="宋体" w:cs="宋体" w:eastAsia="宋体" w:hint="default"/>
                <w:sz w:val="15"/>
                <w:szCs w:val="15"/>
              </w:rPr>
            </w:pPr>
            <w:r>
              <w:rPr>
                <w:rFonts w:ascii="宋体" w:hAnsi="宋体" w:cs="宋体" w:eastAsia="宋体" w:hint="default"/>
                <w:w w:val="100"/>
                <w:sz w:val="15"/>
                <w:szCs w:val="15"/>
              </w:rPr>
              <w:t>其</w:t>
            </w:r>
          </w:p>
          <w:p>
            <w:pPr>
              <w:pStyle w:val="TableParagraph"/>
              <w:spacing w:line="240" w:lineRule="auto"/>
              <w:ind w:left="64" w:right="62" w:hanging="39"/>
              <w:jc w:val="both"/>
              <w:rPr>
                <w:rFonts w:ascii="宋体" w:hAnsi="宋体" w:cs="宋体" w:eastAsia="宋体" w:hint="default"/>
                <w:sz w:val="15"/>
                <w:szCs w:val="15"/>
              </w:rPr>
            </w:pPr>
            <w:r>
              <w:rPr>
                <w:rFonts w:ascii="宋体" w:hAnsi="宋体" w:cs="宋体" w:eastAsia="宋体" w:hint="default"/>
                <w:sz w:val="15"/>
                <w:szCs w:val="15"/>
              </w:rPr>
              <w:t>中</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利</w:t>
            </w:r>
            <w:r>
              <w:rPr>
                <w:rFonts w:ascii="宋体" w:hAnsi="宋体" w:cs="宋体" w:eastAsia="宋体" w:hint="default"/>
                <w:w w:val="100"/>
                <w:sz w:val="15"/>
                <w:szCs w:val="15"/>
              </w:rPr>
              <w:t> </w:t>
            </w:r>
            <w:r>
              <w:rPr>
                <w:rFonts w:ascii="宋体" w:hAnsi="宋体" w:cs="宋体" w:eastAsia="宋体" w:hint="default"/>
                <w:sz w:val="15"/>
                <w:szCs w:val="15"/>
              </w:rPr>
              <w:t>息</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化</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26" w:hanging="140"/>
              <w:jc w:val="both"/>
              <w:rPr>
                <w:rFonts w:ascii="Times New Roman" w:hAnsi="Times New Roman" w:cs="Times New Roman" w:eastAsia="Times New Roman" w:hint="default"/>
                <w:sz w:val="15"/>
                <w:szCs w:val="15"/>
              </w:rPr>
            </w:pPr>
            <w:r>
              <w:rPr>
                <w:rFonts w:ascii="宋体" w:hAnsi="宋体" w:cs="宋体" w:eastAsia="宋体" w:hint="default"/>
                <w:position w:val="1"/>
                <w:sz w:val="15"/>
                <w:szCs w:val="15"/>
              </w:rPr>
              <w:t>：</w:t>
            </w:r>
            <w:r>
              <w:rPr>
                <w:rFonts w:ascii="宋体" w:hAnsi="宋体" w:cs="宋体" w:eastAsia="宋体" w:hint="default"/>
                <w:spacing w:val="-49"/>
                <w:position w:val="1"/>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利</w:t>
            </w:r>
            <w:r>
              <w:rPr>
                <w:rFonts w:ascii="宋体" w:hAnsi="宋体" w:cs="宋体" w:eastAsia="宋体" w:hint="default"/>
                <w:w w:val="100"/>
                <w:sz w:val="15"/>
                <w:szCs w:val="15"/>
              </w:rPr>
              <w:t> </w:t>
            </w:r>
            <w:r>
              <w:rPr>
                <w:rFonts w:ascii="宋体" w:hAnsi="宋体" w:cs="宋体" w:eastAsia="宋体" w:hint="default"/>
                <w:sz w:val="15"/>
                <w:szCs w:val="15"/>
              </w:rPr>
              <w:t>息</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化</w:t>
            </w:r>
            <w:r>
              <w:rPr>
                <w:rFonts w:ascii="宋体" w:hAnsi="宋体" w:cs="宋体" w:eastAsia="宋体" w:hint="default"/>
                <w:w w:val="100"/>
                <w:sz w:val="15"/>
                <w:szCs w:val="15"/>
              </w:rPr>
              <w:t> </w:t>
            </w:r>
            <w:r>
              <w:rPr>
                <w:rFonts w:ascii="宋体" w:hAnsi="宋体" w:cs="宋体" w:eastAsia="宋体" w:hint="default"/>
                <w:sz w:val="15"/>
                <w:szCs w:val="15"/>
              </w:rPr>
              <w:t>率</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71" w:right="71"/>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r>
      <w:tr>
        <w:trPr>
          <w:trHeight w:val="295"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17" w:lineRule="exact"/>
              <w:ind w:left="26" w:right="0"/>
              <w:jc w:val="left"/>
              <w:rPr>
                <w:rFonts w:ascii="宋体" w:hAnsi="宋体" w:cs="宋体" w:eastAsia="宋体" w:hint="default"/>
                <w:sz w:val="11"/>
                <w:szCs w:val="11"/>
              </w:rPr>
            </w:pPr>
            <w:r>
              <w:rPr>
                <w:rFonts w:ascii="宋体" w:hAnsi="宋体" w:cs="宋体" w:eastAsia="宋体" w:hint="default"/>
                <w:sz w:val="11"/>
                <w:szCs w:val="11"/>
              </w:rPr>
              <w:t>南充川东北发运</w:t>
            </w:r>
          </w:p>
          <w:p>
            <w:pPr>
              <w:pStyle w:val="TableParagraph"/>
              <w:spacing w:line="151" w:lineRule="exact"/>
              <w:ind w:left="26" w:right="0"/>
              <w:jc w:val="left"/>
              <w:rPr>
                <w:rFonts w:ascii="Times New Roman" w:hAnsi="Times New Roman" w:cs="Times New Roman" w:eastAsia="Times New Roman" w:hint="default"/>
                <w:sz w:val="11"/>
                <w:szCs w:val="11"/>
              </w:rPr>
            </w:pPr>
            <w:r>
              <w:rPr>
                <w:rFonts w:ascii="宋体" w:hAnsi="宋体" w:cs="宋体" w:eastAsia="宋体" w:hint="default"/>
                <w:sz w:val="11"/>
                <w:szCs w:val="11"/>
              </w:rPr>
              <w:t>中心</w:t>
            </w:r>
            <w:r>
              <w:rPr>
                <w:rFonts w:ascii="Times New Roman" w:hAnsi="Times New Roman" w:cs="Times New Roman" w:eastAsia="Times New Roman" w:hint="default"/>
                <w:sz w:val="11"/>
                <w:szCs w:val="1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5" w:lineRule="exact"/>
              <w:ind w:left="192" w:right="0"/>
              <w:jc w:val="left"/>
              <w:rPr>
                <w:rFonts w:ascii="Times New Roman" w:hAnsi="Times New Roman" w:cs="Times New Roman" w:eastAsia="Times New Roman" w:hint="default"/>
                <w:sz w:val="11"/>
                <w:szCs w:val="11"/>
              </w:rPr>
            </w:pPr>
            <w:r>
              <w:rPr>
                <w:rFonts w:ascii="Times New Roman"/>
                <w:sz w:val="11"/>
              </w:rPr>
              <w:t>18,500,000.00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25" w:lineRule="exact"/>
              <w:ind w:right="96"/>
              <w:jc w:val="right"/>
              <w:rPr>
                <w:rFonts w:ascii="Times New Roman" w:hAnsi="Times New Roman" w:cs="Times New Roman" w:eastAsia="Times New Roman" w:hint="default"/>
                <w:sz w:val="11"/>
                <w:szCs w:val="11"/>
              </w:rPr>
            </w:pPr>
            <w:r>
              <w:rPr>
                <w:rFonts w:ascii="Times New Roman"/>
                <w:spacing w:val="-1"/>
                <w:sz w:val="11"/>
              </w:rPr>
              <w:t>25,887.00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5" w:lineRule="exact"/>
              <w:ind w:right="94"/>
              <w:jc w:val="right"/>
              <w:rPr>
                <w:rFonts w:ascii="Times New Roman" w:hAnsi="Times New Roman" w:cs="Times New Roman" w:eastAsia="Times New Roman" w:hint="default"/>
                <w:sz w:val="11"/>
                <w:szCs w:val="11"/>
              </w:rPr>
            </w:pPr>
            <w:r>
              <w:rPr>
                <w:rFonts w:ascii="Times New Roman"/>
                <w:sz w:val="11"/>
              </w:rPr>
              <w:t>-25,887.00</w:t>
            </w:r>
          </w:p>
        </w:tc>
        <w:tc>
          <w:tcPr>
            <w:tcW w:w="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25" w:lineRule="exact"/>
              <w:ind w:right="23"/>
              <w:jc w:val="right"/>
              <w:rPr>
                <w:rFonts w:ascii="Times New Roman" w:hAnsi="Times New Roman" w:cs="Times New Roman" w:eastAsia="Times New Roman" w:hint="default"/>
                <w:sz w:val="11"/>
                <w:szCs w:val="11"/>
              </w:rPr>
            </w:pPr>
            <w:r>
              <w:rPr>
                <w:rFonts w:ascii="Times New Roman"/>
                <w:sz w:val="11"/>
              </w:rPr>
              <w:t>0.30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25" w:lineRule="exact"/>
              <w:ind w:right="21"/>
              <w:jc w:val="right"/>
              <w:rPr>
                <w:rFonts w:ascii="Times New Roman" w:hAnsi="Times New Roman" w:cs="Times New Roman" w:eastAsia="Times New Roman" w:hint="default"/>
                <w:sz w:val="11"/>
                <w:szCs w:val="11"/>
              </w:rPr>
            </w:pPr>
            <w:r>
              <w:rPr>
                <w:rFonts w:ascii="Times New Roman"/>
                <w:sz w:val="11"/>
              </w:rPr>
              <w:t>0.30%</w:t>
            </w:r>
          </w:p>
        </w:tc>
        <w:tc>
          <w:tcPr>
            <w:tcW w:w="288"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98"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17" w:lineRule="exact"/>
              <w:ind w:left="26" w:right="0"/>
              <w:jc w:val="left"/>
              <w:rPr>
                <w:rFonts w:ascii="宋体" w:hAnsi="宋体" w:cs="宋体" w:eastAsia="宋体" w:hint="default"/>
                <w:sz w:val="11"/>
                <w:szCs w:val="11"/>
              </w:rPr>
            </w:pPr>
            <w:r>
              <w:rPr>
                <w:rFonts w:ascii="宋体" w:hAnsi="宋体" w:cs="宋体" w:eastAsia="宋体" w:hint="default"/>
                <w:sz w:val="11"/>
                <w:szCs w:val="11"/>
              </w:rPr>
              <w:t>出版传媒创意中</w:t>
            </w:r>
          </w:p>
          <w:p>
            <w:pPr>
              <w:pStyle w:val="TableParagraph"/>
              <w:spacing w:line="151" w:lineRule="exact"/>
              <w:ind w:left="26" w:right="0"/>
              <w:jc w:val="left"/>
              <w:rPr>
                <w:rFonts w:ascii="Times New Roman" w:hAnsi="Times New Roman" w:cs="Times New Roman" w:eastAsia="Times New Roman" w:hint="default"/>
                <w:sz w:val="11"/>
                <w:szCs w:val="11"/>
              </w:rPr>
            </w:pPr>
            <w:r>
              <w:rPr>
                <w:rFonts w:ascii="宋体" w:hAnsi="宋体" w:cs="宋体" w:eastAsia="宋体" w:hint="default"/>
                <w:sz w:val="11"/>
                <w:szCs w:val="11"/>
              </w:rPr>
              <w:t>心</w:t>
            </w:r>
            <w:r>
              <w:rPr>
                <w:rFonts w:ascii="Times New Roman" w:hAnsi="Times New Roman" w:cs="Times New Roman" w:eastAsia="Times New Roman" w:hint="default"/>
                <w:sz w:val="11"/>
                <w:szCs w:val="1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5" w:lineRule="exact"/>
              <w:ind w:left="139" w:right="0"/>
              <w:jc w:val="left"/>
              <w:rPr>
                <w:rFonts w:ascii="Times New Roman" w:hAnsi="Times New Roman" w:cs="Times New Roman" w:eastAsia="Times New Roman" w:hint="default"/>
                <w:sz w:val="11"/>
                <w:szCs w:val="11"/>
              </w:rPr>
            </w:pPr>
            <w:r>
              <w:rPr>
                <w:rFonts w:ascii="Times New Roman"/>
                <w:sz w:val="11"/>
              </w:rPr>
              <w:t>736,000,000.00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25" w:lineRule="exact"/>
              <w:ind w:right="22"/>
              <w:jc w:val="right"/>
              <w:rPr>
                <w:rFonts w:ascii="Times New Roman" w:hAnsi="Times New Roman" w:cs="Times New Roman" w:eastAsia="Times New Roman" w:hint="default"/>
                <w:sz w:val="11"/>
                <w:szCs w:val="11"/>
              </w:rPr>
            </w:pPr>
            <w:r>
              <w:rPr>
                <w:rFonts w:ascii="Times New Roman"/>
                <w:spacing w:val="-1"/>
                <w:sz w:val="11"/>
              </w:rPr>
              <w:t>514,035,070.57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25" w:lineRule="exact"/>
              <w:ind w:right="96"/>
              <w:jc w:val="right"/>
              <w:rPr>
                <w:rFonts w:ascii="Times New Roman" w:hAnsi="Times New Roman" w:cs="Times New Roman" w:eastAsia="Times New Roman" w:hint="default"/>
                <w:sz w:val="11"/>
                <w:szCs w:val="11"/>
              </w:rPr>
            </w:pPr>
            <w:r>
              <w:rPr>
                <w:rFonts w:ascii="Times New Roman"/>
                <w:sz w:val="11"/>
              </w:rPr>
              <w:t>62,999,417.84</w:t>
            </w:r>
          </w:p>
        </w:tc>
        <w:tc>
          <w:tcPr>
            <w:tcW w:w="96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25" w:lineRule="exact"/>
              <w:ind w:right="22"/>
              <w:jc w:val="right"/>
              <w:rPr>
                <w:rFonts w:ascii="Times New Roman" w:hAnsi="Times New Roman" w:cs="Times New Roman" w:eastAsia="Times New Roman" w:hint="default"/>
                <w:sz w:val="11"/>
                <w:szCs w:val="11"/>
              </w:rPr>
            </w:pPr>
            <w:r>
              <w:rPr>
                <w:rFonts w:ascii="Times New Roman"/>
                <w:spacing w:val="-1"/>
                <w:sz w:val="11"/>
              </w:rPr>
              <w:t>577,034,488.41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25" w:lineRule="exact"/>
              <w:ind w:right="23"/>
              <w:jc w:val="right"/>
              <w:rPr>
                <w:rFonts w:ascii="Times New Roman" w:hAnsi="Times New Roman" w:cs="Times New Roman" w:eastAsia="Times New Roman" w:hint="default"/>
                <w:sz w:val="11"/>
                <w:szCs w:val="11"/>
              </w:rPr>
            </w:pPr>
            <w:r>
              <w:rPr>
                <w:rFonts w:ascii="Times New Roman"/>
                <w:sz w:val="11"/>
              </w:rPr>
              <w:t>78.40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25" w:lineRule="exact"/>
              <w:ind w:right="21"/>
              <w:jc w:val="right"/>
              <w:rPr>
                <w:rFonts w:ascii="Times New Roman" w:hAnsi="Times New Roman" w:cs="Times New Roman" w:eastAsia="Times New Roman" w:hint="default"/>
                <w:sz w:val="11"/>
                <w:szCs w:val="11"/>
              </w:rPr>
            </w:pPr>
            <w:r>
              <w:rPr>
                <w:rFonts w:ascii="Times New Roman"/>
                <w:sz w:val="11"/>
              </w:rPr>
              <w:t>78.40%</w:t>
            </w:r>
          </w:p>
        </w:tc>
        <w:tc>
          <w:tcPr>
            <w:tcW w:w="288"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95"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15" w:lineRule="exact"/>
              <w:ind w:left="26" w:right="0"/>
              <w:jc w:val="left"/>
              <w:rPr>
                <w:rFonts w:ascii="宋体" w:hAnsi="宋体" w:cs="宋体" w:eastAsia="宋体" w:hint="default"/>
                <w:sz w:val="11"/>
                <w:szCs w:val="11"/>
              </w:rPr>
            </w:pPr>
            <w:r>
              <w:rPr>
                <w:rFonts w:ascii="宋体" w:hAnsi="宋体" w:cs="宋体" w:eastAsia="宋体" w:hint="default"/>
                <w:sz w:val="11"/>
                <w:szCs w:val="11"/>
              </w:rPr>
              <w:t>巴中仓库办公用</w:t>
            </w:r>
          </w:p>
          <w:p>
            <w:pPr>
              <w:pStyle w:val="TableParagraph"/>
              <w:spacing w:line="151" w:lineRule="exact"/>
              <w:ind w:left="26" w:right="0"/>
              <w:jc w:val="left"/>
              <w:rPr>
                <w:rFonts w:ascii="Times New Roman" w:hAnsi="Times New Roman" w:cs="Times New Roman" w:eastAsia="Times New Roman" w:hint="default"/>
                <w:sz w:val="11"/>
                <w:szCs w:val="11"/>
              </w:rPr>
            </w:pPr>
            <w:r>
              <w:rPr>
                <w:rFonts w:ascii="宋体" w:hAnsi="宋体" w:cs="宋体" w:eastAsia="宋体" w:hint="default"/>
                <w:sz w:val="11"/>
                <w:szCs w:val="11"/>
              </w:rPr>
              <w:t>房</w:t>
            </w:r>
            <w:r>
              <w:rPr>
                <w:rFonts w:ascii="Times New Roman" w:hAnsi="Times New Roman" w:cs="Times New Roman" w:eastAsia="Times New Roman" w:hint="default"/>
                <w:sz w:val="11"/>
                <w:szCs w:val="1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192" w:right="0"/>
              <w:jc w:val="left"/>
              <w:rPr>
                <w:rFonts w:ascii="Times New Roman" w:hAnsi="Times New Roman" w:cs="Times New Roman" w:eastAsia="Times New Roman" w:hint="default"/>
                <w:sz w:val="11"/>
                <w:szCs w:val="11"/>
              </w:rPr>
            </w:pPr>
            <w:r>
              <w:rPr>
                <w:rFonts w:ascii="Times New Roman"/>
                <w:sz w:val="11"/>
              </w:rPr>
              <w:t>21,200,000.00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11,395,765.67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6"/>
              <w:jc w:val="right"/>
              <w:rPr>
                <w:rFonts w:ascii="Times New Roman" w:hAnsi="Times New Roman" w:cs="Times New Roman" w:eastAsia="Times New Roman" w:hint="default"/>
                <w:sz w:val="11"/>
                <w:szCs w:val="11"/>
              </w:rPr>
            </w:pPr>
            <w:r>
              <w:rPr>
                <w:rFonts w:ascii="Times New Roman"/>
                <w:sz w:val="11"/>
              </w:rPr>
              <w:t>4,664,986.80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4"/>
              <w:jc w:val="right"/>
              <w:rPr>
                <w:rFonts w:ascii="Times New Roman" w:hAnsi="Times New Roman" w:cs="Times New Roman" w:eastAsia="Times New Roman" w:hint="default"/>
                <w:sz w:val="11"/>
                <w:szCs w:val="11"/>
              </w:rPr>
            </w:pPr>
            <w:r>
              <w:rPr>
                <w:rFonts w:ascii="Times New Roman"/>
                <w:spacing w:val="-1"/>
                <w:sz w:val="11"/>
              </w:rPr>
              <w:t>-16,060,752.47</w:t>
            </w:r>
          </w:p>
        </w:tc>
        <w:tc>
          <w:tcPr>
            <w:tcW w:w="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79.13</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1"/>
              <w:jc w:val="right"/>
              <w:rPr>
                <w:rFonts w:ascii="Times New Roman" w:hAnsi="Times New Roman" w:cs="Times New Roman" w:eastAsia="Times New Roman" w:hint="default"/>
                <w:sz w:val="11"/>
                <w:szCs w:val="11"/>
              </w:rPr>
            </w:pPr>
            <w:r>
              <w:rPr>
                <w:rFonts w:ascii="Times New Roman"/>
                <w:sz w:val="11"/>
              </w:rPr>
              <w:t>79.13%</w:t>
            </w:r>
          </w:p>
        </w:tc>
        <w:tc>
          <w:tcPr>
            <w:tcW w:w="288"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95"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15" w:lineRule="exact"/>
              <w:ind w:left="26" w:right="0"/>
              <w:jc w:val="left"/>
              <w:rPr>
                <w:rFonts w:ascii="宋体" w:hAnsi="宋体" w:cs="宋体" w:eastAsia="宋体" w:hint="default"/>
                <w:sz w:val="11"/>
                <w:szCs w:val="11"/>
              </w:rPr>
            </w:pPr>
            <w:r>
              <w:rPr>
                <w:rFonts w:ascii="宋体" w:hAnsi="宋体" w:cs="宋体" w:eastAsia="宋体" w:hint="default"/>
                <w:sz w:val="11"/>
                <w:szCs w:val="11"/>
              </w:rPr>
              <w:t>仪陇教材配送中</w:t>
            </w:r>
          </w:p>
          <w:p>
            <w:pPr>
              <w:pStyle w:val="TableParagraph"/>
              <w:spacing w:line="151" w:lineRule="exact"/>
              <w:ind w:left="26" w:right="0"/>
              <w:jc w:val="left"/>
              <w:rPr>
                <w:rFonts w:ascii="Times New Roman" w:hAnsi="Times New Roman" w:cs="Times New Roman" w:eastAsia="Times New Roman" w:hint="default"/>
                <w:sz w:val="11"/>
                <w:szCs w:val="11"/>
              </w:rPr>
            </w:pPr>
            <w:r>
              <w:rPr>
                <w:rFonts w:ascii="宋体" w:hAnsi="宋体" w:cs="宋体" w:eastAsia="宋体" w:hint="default"/>
                <w:sz w:val="11"/>
                <w:szCs w:val="11"/>
              </w:rPr>
              <w:t>心项目</w:t>
            </w:r>
            <w:r>
              <w:rPr>
                <w:rFonts w:ascii="Times New Roman" w:hAnsi="Times New Roman" w:cs="Times New Roman" w:eastAsia="Times New Roman" w:hint="default"/>
                <w:sz w:val="11"/>
                <w:szCs w:val="1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192" w:right="0"/>
              <w:jc w:val="left"/>
              <w:rPr>
                <w:rFonts w:ascii="Times New Roman" w:hAnsi="Times New Roman" w:cs="Times New Roman" w:eastAsia="Times New Roman" w:hint="default"/>
                <w:sz w:val="11"/>
                <w:szCs w:val="11"/>
              </w:rPr>
            </w:pPr>
            <w:r>
              <w:rPr>
                <w:rFonts w:ascii="Times New Roman"/>
                <w:sz w:val="11"/>
              </w:rPr>
              <w:t>21,900,000.00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13,071,297.31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6"/>
              <w:jc w:val="right"/>
              <w:rPr>
                <w:rFonts w:ascii="Times New Roman" w:hAnsi="Times New Roman" w:cs="Times New Roman" w:eastAsia="Times New Roman" w:hint="default"/>
                <w:sz w:val="11"/>
                <w:szCs w:val="11"/>
              </w:rPr>
            </w:pPr>
            <w:r>
              <w:rPr>
                <w:rFonts w:ascii="Times New Roman"/>
                <w:sz w:val="11"/>
              </w:rPr>
              <w:t>2,513,290.50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4"/>
              <w:jc w:val="right"/>
              <w:rPr>
                <w:rFonts w:ascii="Times New Roman" w:hAnsi="Times New Roman" w:cs="Times New Roman" w:eastAsia="Times New Roman" w:hint="default"/>
                <w:sz w:val="11"/>
                <w:szCs w:val="11"/>
              </w:rPr>
            </w:pPr>
            <w:r>
              <w:rPr>
                <w:rFonts w:ascii="Times New Roman"/>
                <w:spacing w:val="-1"/>
                <w:sz w:val="11"/>
              </w:rPr>
              <w:t>-15,485,488.71</w:t>
            </w:r>
          </w:p>
        </w:tc>
        <w:tc>
          <w:tcPr>
            <w:tcW w:w="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pacing w:val="-1"/>
                <w:sz w:val="11"/>
              </w:rPr>
              <w:t>99,099.10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87.26</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1"/>
              <w:jc w:val="right"/>
              <w:rPr>
                <w:rFonts w:ascii="Times New Roman" w:hAnsi="Times New Roman" w:cs="Times New Roman" w:eastAsia="Times New Roman" w:hint="default"/>
                <w:sz w:val="11"/>
                <w:szCs w:val="11"/>
              </w:rPr>
            </w:pPr>
            <w:r>
              <w:rPr>
                <w:rFonts w:ascii="Times New Roman"/>
                <w:sz w:val="11"/>
              </w:rPr>
              <w:t>87.26%</w:t>
            </w:r>
          </w:p>
        </w:tc>
        <w:tc>
          <w:tcPr>
            <w:tcW w:w="288"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95"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15" w:lineRule="exact"/>
              <w:ind w:left="26" w:right="0"/>
              <w:jc w:val="left"/>
              <w:rPr>
                <w:rFonts w:ascii="宋体" w:hAnsi="宋体" w:cs="宋体" w:eastAsia="宋体" w:hint="default"/>
                <w:sz w:val="11"/>
                <w:szCs w:val="11"/>
              </w:rPr>
            </w:pPr>
            <w:r>
              <w:rPr>
                <w:rFonts w:ascii="宋体" w:hAnsi="宋体" w:cs="宋体" w:eastAsia="宋体" w:hint="default"/>
                <w:sz w:val="11"/>
                <w:szCs w:val="11"/>
              </w:rPr>
              <w:t>资阳教材中转站</w:t>
            </w:r>
          </w:p>
          <w:p>
            <w:pPr>
              <w:pStyle w:val="TableParagraph"/>
              <w:spacing w:line="151" w:lineRule="exact"/>
              <w:ind w:left="26" w:right="0"/>
              <w:jc w:val="left"/>
              <w:rPr>
                <w:rFonts w:ascii="Times New Roman" w:hAnsi="Times New Roman" w:cs="Times New Roman" w:eastAsia="Times New Roman" w:hint="default"/>
                <w:sz w:val="11"/>
                <w:szCs w:val="11"/>
              </w:rPr>
            </w:pPr>
            <w:r>
              <w:rPr>
                <w:rFonts w:ascii="宋体" w:hAnsi="宋体" w:cs="宋体" w:eastAsia="宋体" w:hint="default"/>
                <w:sz w:val="11"/>
                <w:szCs w:val="11"/>
              </w:rPr>
              <w:t>项目</w:t>
            </w:r>
            <w:r>
              <w:rPr>
                <w:rFonts w:ascii="Times New Roman" w:hAnsi="Times New Roman" w:cs="Times New Roman" w:eastAsia="Times New Roman" w:hint="default"/>
                <w:sz w:val="11"/>
                <w:szCs w:val="1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192" w:right="0"/>
              <w:jc w:val="left"/>
              <w:rPr>
                <w:rFonts w:ascii="Times New Roman" w:hAnsi="Times New Roman" w:cs="Times New Roman" w:eastAsia="Times New Roman" w:hint="default"/>
                <w:sz w:val="11"/>
                <w:szCs w:val="11"/>
              </w:rPr>
            </w:pPr>
            <w:r>
              <w:rPr>
                <w:rFonts w:ascii="Times New Roman"/>
                <w:sz w:val="11"/>
              </w:rPr>
              <w:t>30,000,000.00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20,787,545.27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6"/>
              <w:jc w:val="right"/>
              <w:rPr>
                <w:rFonts w:ascii="Times New Roman" w:hAnsi="Times New Roman" w:cs="Times New Roman" w:eastAsia="Times New Roman" w:hint="default"/>
                <w:sz w:val="11"/>
                <w:szCs w:val="11"/>
              </w:rPr>
            </w:pPr>
            <w:r>
              <w:rPr>
                <w:rFonts w:ascii="Times New Roman"/>
                <w:sz w:val="11"/>
              </w:rPr>
              <w:t>8,585,844.64</w:t>
            </w:r>
          </w:p>
        </w:tc>
        <w:tc>
          <w:tcPr>
            <w:tcW w:w="96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29,373,389.91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97.91</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1"/>
              <w:jc w:val="right"/>
              <w:rPr>
                <w:rFonts w:ascii="Times New Roman" w:hAnsi="Times New Roman" w:cs="Times New Roman" w:eastAsia="Times New Roman" w:hint="default"/>
                <w:sz w:val="11"/>
                <w:szCs w:val="11"/>
              </w:rPr>
            </w:pPr>
            <w:r>
              <w:rPr>
                <w:rFonts w:ascii="Times New Roman"/>
                <w:sz w:val="11"/>
              </w:rPr>
              <w:t>97.91%</w:t>
            </w:r>
          </w:p>
        </w:tc>
        <w:tc>
          <w:tcPr>
            <w:tcW w:w="288"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95"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15" w:lineRule="exact"/>
              <w:ind w:left="26" w:right="0"/>
              <w:jc w:val="left"/>
              <w:rPr>
                <w:rFonts w:ascii="宋体" w:hAnsi="宋体" w:cs="宋体" w:eastAsia="宋体" w:hint="default"/>
                <w:sz w:val="11"/>
                <w:szCs w:val="11"/>
              </w:rPr>
            </w:pPr>
            <w:r>
              <w:rPr>
                <w:rFonts w:ascii="宋体" w:hAnsi="宋体" w:cs="宋体" w:eastAsia="宋体" w:hint="default"/>
                <w:sz w:val="11"/>
                <w:szCs w:val="11"/>
              </w:rPr>
              <w:t>武胜分公司基建</w:t>
            </w:r>
          </w:p>
          <w:p>
            <w:pPr>
              <w:pStyle w:val="TableParagraph"/>
              <w:spacing w:line="151" w:lineRule="exact"/>
              <w:ind w:left="26" w:right="0"/>
              <w:jc w:val="left"/>
              <w:rPr>
                <w:rFonts w:ascii="Times New Roman" w:hAnsi="Times New Roman" w:cs="Times New Roman" w:eastAsia="Times New Roman" w:hint="default"/>
                <w:sz w:val="11"/>
                <w:szCs w:val="11"/>
              </w:rPr>
            </w:pPr>
            <w:r>
              <w:rPr>
                <w:rFonts w:ascii="宋体" w:hAnsi="宋体" w:cs="宋体" w:eastAsia="宋体" w:hint="default"/>
                <w:sz w:val="11"/>
                <w:szCs w:val="11"/>
              </w:rPr>
              <w:t>项目</w:t>
            </w:r>
            <w:r>
              <w:rPr>
                <w:rFonts w:ascii="Times New Roman" w:hAnsi="Times New Roman" w:cs="Times New Roman" w:eastAsia="Times New Roman" w:hint="default"/>
                <w:sz w:val="11"/>
                <w:szCs w:val="1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127"/>
              <w:jc w:val="right"/>
              <w:rPr>
                <w:rFonts w:ascii="Times New Roman" w:hAnsi="Times New Roman" w:cs="Times New Roman" w:eastAsia="Times New Roman" w:hint="default"/>
                <w:sz w:val="11"/>
                <w:szCs w:val="11"/>
              </w:rPr>
            </w:pPr>
            <w:r>
              <w:rPr>
                <w:rFonts w:ascii="Times New Roman"/>
                <w:sz w:val="11"/>
              </w:rPr>
              <w:t>3,000,000.00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6"/>
              <w:jc w:val="right"/>
              <w:rPr>
                <w:rFonts w:ascii="Times New Roman" w:hAnsi="Times New Roman" w:cs="Times New Roman" w:eastAsia="Times New Roman" w:hint="default"/>
                <w:sz w:val="11"/>
                <w:szCs w:val="11"/>
              </w:rPr>
            </w:pPr>
            <w:r>
              <w:rPr>
                <w:rFonts w:ascii="Times New Roman"/>
                <w:spacing w:val="-1"/>
                <w:sz w:val="11"/>
              </w:rPr>
              <w:t>21,400.00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4"/>
              <w:jc w:val="right"/>
              <w:rPr>
                <w:rFonts w:ascii="Times New Roman" w:hAnsi="Times New Roman" w:cs="Times New Roman" w:eastAsia="Times New Roman" w:hint="default"/>
                <w:sz w:val="11"/>
                <w:szCs w:val="11"/>
              </w:rPr>
            </w:pPr>
            <w:r>
              <w:rPr>
                <w:rFonts w:ascii="Times New Roman"/>
                <w:sz w:val="11"/>
              </w:rPr>
              <w:t>-21,400.00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45.26</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1"/>
              <w:jc w:val="right"/>
              <w:rPr>
                <w:rFonts w:ascii="Times New Roman" w:hAnsi="Times New Roman" w:cs="Times New Roman" w:eastAsia="Times New Roman" w:hint="default"/>
                <w:sz w:val="11"/>
                <w:szCs w:val="11"/>
              </w:rPr>
            </w:pPr>
            <w:r>
              <w:rPr>
                <w:rFonts w:ascii="Times New Roman"/>
                <w:sz w:val="11"/>
              </w:rPr>
              <w:t>45.26%</w:t>
            </w:r>
          </w:p>
        </w:tc>
        <w:tc>
          <w:tcPr>
            <w:tcW w:w="288"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95"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15" w:lineRule="exact"/>
              <w:ind w:left="26" w:right="0"/>
              <w:jc w:val="left"/>
              <w:rPr>
                <w:rFonts w:ascii="宋体" w:hAnsi="宋体" w:cs="宋体" w:eastAsia="宋体" w:hint="default"/>
                <w:sz w:val="11"/>
                <w:szCs w:val="11"/>
              </w:rPr>
            </w:pPr>
            <w:r>
              <w:rPr>
                <w:rFonts w:ascii="宋体" w:hAnsi="宋体" w:cs="宋体" w:eastAsia="宋体" w:hint="default"/>
                <w:sz w:val="11"/>
                <w:szCs w:val="11"/>
              </w:rPr>
              <w:t>安岳分公司办公</w:t>
            </w:r>
          </w:p>
          <w:p>
            <w:pPr>
              <w:pStyle w:val="TableParagraph"/>
              <w:spacing w:line="151" w:lineRule="exact"/>
              <w:ind w:left="26" w:right="0"/>
              <w:jc w:val="left"/>
              <w:rPr>
                <w:rFonts w:ascii="Times New Roman" w:hAnsi="Times New Roman" w:cs="Times New Roman" w:eastAsia="Times New Roman" w:hint="default"/>
                <w:sz w:val="11"/>
                <w:szCs w:val="11"/>
              </w:rPr>
            </w:pPr>
            <w:r>
              <w:rPr>
                <w:rFonts w:ascii="宋体" w:hAnsi="宋体" w:cs="宋体" w:eastAsia="宋体" w:hint="default"/>
                <w:sz w:val="11"/>
                <w:szCs w:val="11"/>
              </w:rPr>
              <w:t>用房及仓库</w:t>
            </w:r>
            <w:r>
              <w:rPr>
                <w:rFonts w:ascii="Times New Roman" w:hAnsi="Times New Roman" w:cs="Times New Roman" w:eastAsia="Times New Roman" w:hint="default"/>
                <w:sz w:val="11"/>
                <w:szCs w:val="1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192" w:right="0"/>
              <w:jc w:val="left"/>
              <w:rPr>
                <w:rFonts w:ascii="Times New Roman" w:hAnsi="Times New Roman" w:cs="Times New Roman" w:eastAsia="Times New Roman" w:hint="default"/>
                <w:sz w:val="11"/>
                <w:szCs w:val="11"/>
              </w:rPr>
            </w:pPr>
            <w:r>
              <w:rPr>
                <w:rFonts w:ascii="Times New Roman"/>
                <w:sz w:val="11"/>
              </w:rPr>
              <w:t>13,600,000.00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6"/>
              <w:jc w:val="right"/>
              <w:rPr>
                <w:rFonts w:ascii="Times New Roman" w:hAnsi="Times New Roman" w:cs="Times New Roman" w:eastAsia="Times New Roman" w:hint="default"/>
                <w:sz w:val="11"/>
                <w:szCs w:val="11"/>
              </w:rPr>
            </w:pPr>
            <w:r>
              <w:rPr>
                <w:rFonts w:ascii="Times New Roman"/>
                <w:spacing w:val="-1"/>
                <w:sz w:val="11"/>
              </w:rPr>
              <w:t>47,135.64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4"/>
              <w:jc w:val="right"/>
              <w:rPr>
                <w:rFonts w:ascii="Times New Roman" w:hAnsi="Times New Roman" w:cs="Times New Roman" w:eastAsia="Times New Roman" w:hint="default"/>
                <w:sz w:val="11"/>
                <w:szCs w:val="11"/>
              </w:rPr>
            </w:pPr>
            <w:r>
              <w:rPr>
                <w:rFonts w:ascii="Times New Roman"/>
                <w:sz w:val="11"/>
              </w:rPr>
              <w:t>-47,135.64</w:t>
            </w:r>
          </w:p>
        </w:tc>
        <w:tc>
          <w:tcPr>
            <w:tcW w:w="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36.45</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1"/>
              <w:jc w:val="right"/>
              <w:rPr>
                <w:rFonts w:ascii="Times New Roman" w:hAnsi="Times New Roman" w:cs="Times New Roman" w:eastAsia="Times New Roman" w:hint="default"/>
                <w:sz w:val="11"/>
                <w:szCs w:val="11"/>
              </w:rPr>
            </w:pPr>
            <w:r>
              <w:rPr>
                <w:rFonts w:ascii="Times New Roman"/>
                <w:sz w:val="11"/>
              </w:rPr>
              <w:t>36.45%</w:t>
            </w:r>
          </w:p>
        </w:tc>
        <w:tc>
          <w:tcPr>
            <w:tcW w:w="288"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0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25" w:lineRule="exact"/>
              <w:ind w:left="26" w:right="0"/>
              <w:jc w:val="left"/>
              <w:rPr>
                <w:rFonts w:ascii="Times New Roman" w:hAnsi="Times New Roman" w:cs="Times New Roman" w:eastAsia="Times New Roman" w:hint="default"/>
                <w:sz w:val="11"/>
                <w:szCs w:val="11"/>
              </w:rPr>
            </w:pPr>
            <w:r>
              <w:rPr>
                <w:rFonts w:ascii="宋体" w:hAnsi="宋体" w:cs="宋体" w:eastAsia="宋体" w:hint="default"/>
                <w:sz w:val="11"/>
                <w:szCs w:val="11"/>
              </w:rPr>
              <w:t>新都教材仓库</w:t>
            </w:r>
            <w:r>
              <w:rPr>
                <w:rFonts w:ascii="Times New Roman" w:hAnsi="Times New Roman" w:cs="Times New Roman" w:eastAsia="Times New Roman" w:hint="default"/>
                <w:sz w:val="11"/>
                <w:szCs w:val="1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127"/>
              <w:jc w:val="right"/>
              <w:rPr>
                <w:rFonts w:ascii="Times New Roman" w:hAnsi="Times New Roman" w:cs="Times New Roman" w:eastAsia="Times New Roman" w:hint="default"/>
                <w:sz w:val="11"/>
                <w:szCs w:val="11"/>
              </w:rPr>
            </w:pPr>
            <w:r>
              <w:rPr>
                <w:rFonts w:ascii="Times New Roman"/>
                <w:sz w:val="11"/>
              </w:rPr>
              <w:t>7,800,000.00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6"/>
              <w:jc w:val="right"/>
              <w:rPr>
                <w:rFonts w:ascii="Times New Roman" w:hAnsi="Times New Roman" w:cs="Times New Roman" w:eastAsia="Times New Roman" w:hint="default"/>
                <w:sz w:val="11"/>
                <w:szCs w:val="11"/>
              </w:rPr>
            </w:pPr>
            <w:r>
              <w:rPr>
                <w:rFonts w:ascii="Times New Roman"/>
                <w:spacing w:val="-1"/>
                <w:sz w:val="11"/>
              </w:rPr>
              <w:t>12,566.94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4"/>
              <w:jc w:val="right"/>
              <w:rPr>
                <w:rFonts w:ascii="Times New Roman" w:hAnsi="Times New Roman" w:cs="Times New Roman" w:eastAsia="Times New Roman" w:hint="default"/>
                <w:sz w:val="11"/>
                <w:szCs w:val="11"/>
              </w:rPr>
            </w:pPr>
            <w:r>
              <w:rPr>
                <w:rFonts w:ascii="Times New Roman"/>
                <w:sz w:val="11"/>
              </w:rPr>
              <w:t>-12,566.94</w:t>
            </w:r>
          </w:p>
        </w:tc>
        <w:tc>
          <w:tcPr>
            <w:tcW w:w="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0.25</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1"/>
              <w:jc w:val="right"/>
              <w:rPr>
                <w:rFonts w:ascii="Times New Roman" w:hAnsi="Times New Roman" w:cs="Times New Roman" w:eastAsia="Times New Roman" w:hint="default"/>
                <w:sz w:val="11"/>
                <w:szCs w:val="11"/>
              </w:rPr>
            </w:pPr>
            <w:r>
              <w:rPr>
                <w:rFonts w:ascii="Times New Roman"/>
                <w:sz w:val="11"/>
              </w:rPr>
              <w:t>0.25%</w:t>
            </w:r>
          </w:p>
        </w:tc>
        <w:tc>
          <w:tcPr>
            <w:tcW w:w="288"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95"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left="26" w:right="0"/>
              <w:jc w:val="left"/>
              <w:rPr>
                <w:rFonts w:ascii="宋体" w:hAnsi="宋体" w:cs="宋体" w:eastAsia="宋体" w:hint="default"/>
                <w:sz w:val="11"/>
                <w:szCs w:val="11"/>
              </w:rPr>
            </w:pPr>
            <w:r>
              <w:rPr>
                <w:rFonts w:ascii="宋体" w:hAnsi="宋体" w:cs="宋体" w:eastAsia="宋体" w:hint="default"/>
                <w:sz w:val="11"/>
                <w:szCs w:val="11"/>
              </w:rPr>
              <w:t>乐至分公司综合</w:t>
            </w:r>
          </w:p>
          <w:p>
            <w:pPr>
              <w:pStyle w:val="TableParagraph"/>
              <w:spacing w:line="240" w:lineRule="auto"/>
              <w:ind w:left="26" w:right="0"/>
              <w:jc w:val="left"/>
              <w:rPr>
                <w:rFonts w:ascii="Times New Roman" w:hAnsi="Times New Roman" w:cs="Times New Roman" w:eastAsia="Times New Roman" w:hint="default"/>
                <w:sz w:val="11"/>
                <w:szCs w:val="11"/>
              </w:rPr>
            </w:pPr>
            <w:r>
              <w:rPr>
                <w:rFonts w:ascii="宋体" w:hAnsi="宋体" w:cs="宋体" w:eastAsia="宋体" w:hint="default"/>
                <w:sz w:val="11"/>
                <w:szCs w:val="11"/>
              </w:rPr>
              <w:t>楼</w:t>
            </w:r>
            <w:r>
              <w:rPr>
                <w:rFonts w:ascii="Times New Roman" w:hAnsi="Times New Roman" w:cs="Times New Roman" w:eastAsia="Times New Roman" w:hint="default"/>
                <w:sz w:val="11"/>
                <w:szCs w:val="1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192" w:right="0"/>
              <w:jc w:val="left"/>
              <w:rPr>
                <w:rFonts w:ascii="Times New Roman" w:hAnsi="Times New Roman" w:cs="Times New Roman" w:eastAsia="Times New Roman" w:hint="default"/>
                <w:sz w:val="11"/>
                <w:szCs w:val="11"/>
              </w:rPr>
            </w:pPr>
            <w:r>
              <w:rPr>
                <w:rFonts w:ascii="Times New Roman"/>
                <w:sz w:val="11"/>
              </w:rPr>
              <w:t>31,000,000.00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9,937,771.68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6"/>
              <w:jc w:val="right"/>
              <w:rPr>
                <w:rFonts w:ascii="Times New Roman" w:hAnsi="Times New Roman" w:cs="Times New Roman" w:eastAsia="Times New Roman" w:hint="default"/>
                <w:sz w:val="11"/>
                <w:szCs w:val="11"/>
              </w:rPr>
            </w:pPr>
            <w:r>
              <w:rPr>
                <w:rFonts w:ascii="Times New Roman"/>
                <w:sz w:val="11"/>
              </w:rPr>
              <w:t>4,699,256.79</w:t>
            </w:r>
          </w:p>
        </w:tc>
        <w:tc>
          <w:tcPr>
            <w:tcW w:w="96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14,637,028.47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47.16</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1"/>
              <w:jc w:val="right"/>
              <w:rPr>
                <w:rFonts w:ascii="Times New Roman" w:hAnsi="Times New Roman" w:cs="Times New Roman" w:eastAsia="Times New Roman" w:hint="default"/>
                <w:sz w:val="11"/>
                <w:szCs w:val="11"/>
              </w:rPr>
            </w:pPr>
            <w:r>
              <w:rPr>
                <w:rFonts w:ascii="Times New Roman"/>
                <w:sz w:val="11"/>
              </w:rPr>
              <w:t>47.16%</w:t>
            </w:r>
          </w:p>
        </w:tc>
        <w:tc>
          <w:tcPr>
            <w:tcW w:w="288"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95"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left="26" w:right="0"/>
              <w:jc w:val="left"/>
              <w:rPr>
                <w:rFonts w:ascii="宋体" w:hAnsi="宋体" w:cs="宋体" w:eastAsia="宋体" w:hint="default"/>
                <w:sz w:val="11"/>
                <w:szCs w:val="11"/>
              </w:rPr>
            </w:pPr>
            <w:r>
              <w:rPr>
                <w:rFonts w:ascii="宋体" w:hAnsi="宋体" w:cs="宋体" w:eastAsia="宋体" w:hint="default"/>
                <w:sz w:val="11"/>
                <w:szCs w:val="11"/>
              </w:rPr>
              <w:t>渠县图书仓库办</w:t>
            </w:r>
          </w:p>
          <w:p>
            <w:pPr>
              <w:pStyle w:val="TableParagraph"/>
              <w:spacing w:line="240" w:lineRule="auto"/>
              <w:ind w:left="26" w:right="0"/>
              <w:jc w:val="left"/>
              <w:rPr>
                <w:rFonts w:ascii="Times New Roman" w:hAnsi="Times New Roman" w:cs="Times New Roman" w:eastAsia="Times New Roman" w:hint="default"/>
                <w:sz w:val="11"/>
                <w:szCs w:val="11"/>
              </w:rPr>
            </w:pPr>
            <w:r>
              <w:rPr>
                <w:rFonts w:ascii="宋体" w:hAnsi="宋体" w:cs="宋体" w:eastAsia="宋体" w:hint="default"/>
                <w:sz w:val="11"/>
                <w:szCs w:val="11"/>
              </w:rPr>
              <w:t>公综合楼</w:t>
            </w:r>
            <w:r>
              <w:rPr>
                <w:rFonts w:ascii="Times New Roman" w:hAnsi="Times New Roman" w:cs="Times New Roman" w:eastAsia="Times New Roman" w:hint="default"/>
                <w:sz w:val="11"/>
                <w:szCs w:val="1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192" w:right="0"/>
              <w:jc w:val="left"/>
              <w:rPr>
                <w:rFonts w:ascii="Times New Roman" w:hAnsi="Times New Roman" w:cs="Times New Roman" w:eastAsia="Times New Roman" w:hint="default"/>
                <w:sz w:val="11"/>
                <w:szCs w:val="11"/>
              </w:rPr>
            </w:pPr>
            <w:r>
              <w:rPr>
                <w:rFonts w:ascii="Times New Roman"/>
                <w:sz w:val="11"/>
              </w:rPr>
              <w:t>11,800,000.00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pacing w:val="-1"/>
                <w:sz w:val="11"/>
              </w:rPr>
              <w:t>290,000.00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19"/>
              <w:jc w:val="right"/>
              <w:rPr>
                <w:rFonts w:ascii="Times New Roman" w:hAnsi="Times New Roman" w:cs="Times New Roman" w:eastAsia="Times New Roman" w:hint="default"/>
                <w:sz w:val="11"/>
                <w:szCs w:val="11"/>
              </w:rPr>
            </w:pPr>
            <w:r>
              <w:rPr>
                <w:rFonts w:ascii="Times New Roman"/>
                <w:sz w:val="11"/>
              </w:rPr>
              <w:t>-290,000.00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2.46</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1"/>
              <w:jc w:val="right"/>
              <w:rPr>
                <w:rFonts w:ascii="Times New Roman" w:hAnsi="Times New Roman" w:cs="Times New Roman" w:eastAsia="Times New Roman" w:hint="default"/>
                <w:sz w:val="11"/>
                <w:szCs w:val="11"/>
              </w:rPr>
            </w:pPr>
            <w:r>
              <w:rPr>
                <w:rFonts w:ascii="Times New Roman"/>
                <w:sz w:val="11"/>
              </w:rPr>
              <w:t>2.46%</w:t>
            </w:r>
          </w:p>
        </w:tc>
        <w:tc>
          <w:tcPr>
            <w:tcW w:w="288"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0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25" w:lineRule="exact"/>
              <w:ind w:left="26" w:right="0"/>
              <w:jc w:val="left"/>
              <w:rPr>
                <w:rFonts w:ascii="Times New Roman" w:hAnsi="Times New Roman" w:cs="Times New Roman" w:eastAsia="Times New Roman" w:hint="default"/>
                <w:sz w:val="11"/>
                <w:szCs w:val="11"/>
              </w:rPr>
            </w:pPr>
            <w:r>
              <w:rPr>
                <w:rFonts w:ascii="宋体" w:hAnsi="宋体" w:cs="宋体" w:eastAsia="宋体" w:hint="default"/>
                <w:sz w:val="11"/>
                <w:szCs w:val="11"/>
              </w:rPr>
              <w:t>绵阳仓库用房</w:t>
            </w:r>
            <w:r>
              <w:rPr>
                <w:rFonts w:ascii="Times New Roman" w:hAnsi="Times New Roman" w:cs="Times New Roman" w:eastAsia="Times New Roman" w:hint="default"/>
                <w:sz w:val="11"/>
                <w:szCs w:val="1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192" w:right="0"/>
              <w:jc w:val="left"/>
              <w:rPr>
                <w:rFonts w:ascii="Times New Roman" w:hAnsi="Times New Roman" w:cs="Times New Roman" w:eastAsia="Times New Roman" w:hint="default"/>
                <w:sz w:val="11"/>
                <w:szCs w:val="11"/>
              </w:rPr>
            </w:pPr>
            <w:r>
              <w:rPr>
                <w:rFonts w:ascii="Times New Roman"/>
                <w:sz w:val="11"/>
              </w:rPr>
              <w:t>52,700,000.00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45,953,382.79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6"/>
              <w:jc w:val="right"/>
              <w:rPr>
                <w:rFonts w:ascii="Times New Roman" w:hAnsi="Times New Roman" w:cs="Times New Roman" w:eastAsia="Times New Roman" w:hint="default"/>
                <w:sz w:val="11"/>
                <w:szCs w:val="11"/>
              </w:rPr>
            </w:pPr>
            <w:r>
              <w:rPr>
                <w:rFonts w:ascii="Times New Roman"/>
                <w:spacing w:val="-1"/>
                <w:sz w:val="11"/>
              </w:rPr>
              <w:t>66,496.08</w:t>
            </w:r>
          </w:p>
        </w:tc>
        <w:tc>
          <w:tcPr>
            <w:tcW w:w="96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46,019,878.87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87.33</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1"/>
              <w:jc w:val="right"/>
              <w:rPr>
                <w:rFonts w:ascii="Times New Roman" w:hAnsi="Times New Roman" w:cs="Times New Roman" w:eastAsia="Times New Roman" w:hint="default"/>
                <w:sz w:val="11"/>
                <w:szCs w:val="11"/>
              </w:rPr>
            </w:pPr>
            <w:r>
              <w:rPr>
                <w:rFonts w:ascii="Times New Roman"/>
                <w:sz w:val="11"/>
              </w:rPr>
              <w:t>87.33%</w:t>
            </w:r>
          </w:p>
        </w:tc>
        <w:tc>
          <w:tcPr>
            <w:tcW w:w="288"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6"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8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left="26" w:right="0"/>
              <w:jc w:val="left"/>
              <w:rPr>
                <w:rFonts w:ascii="宋体" w:hAnsi="宋体" w:cs="宋体" w:eastAsia="宋体" w:hint="default"/>
                <w:sz w:val="11"/>
                <w:szCs w:val="11"/>
              </w:rPr>
            </w:pPr>
            <w:r>
              <w:rPr>
                <w:rFonts w:ascii="宋体" w:hAnsi="宋体" w:cs="宋体" w:eastAsia="宋体" w:hint="default"/>
                <w:sz w:val="11"/>
                <w:szCs w:val="11"/>
              </w:rPr>
              <w:t>岳池库房办公楼</w:t>
            </w:r>
          </w:p>
          <w:p>
            <w:pPr>
              <w:pStyle w:val="TableParagraph"/>
              <w:spacing w:line="240" w:lineRule="auto" w:before="23"/>
              <w:ind w:left="26" w:right="0"/>
              <w:jc w:val="left"/>
              <w:rPr>
                <w:rFonts w:ascii="Times New Roman" w:hAnsi="Times New Roman" w:cs="Times New Roman" w:eastAsia="Times New Roman" w:hint="default"/>
                <w:sz w:val="11"/>
                <w:szCs w:val="11"/>
              </w:rPr>
            </w:pPr>
            <w:r>
              <w:rPr>
                <w:rFonts w:ascii="Times New Roman"/>
                <w:w w:val="100"/>
                <w:sz w:val="1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192" w:right="0"/>
              <w:jc w:val="left"/>
              <w:rPr>
                <w:rFonts w:ascii="Times New Roman" w:hAnsi="Times New Roman" w:cs="Times New Roman" w:eastAsia="Times New Roman" w:hint="default"/>
                <w:sz w:val="11"/>
                <w:szCs w:val="11"/>
              </w:rPr>
            </w:pPr>
            <w:r>
              <w:rPr>
                <w:rFonts w:ascii="Times New Roman"/>
                <w:sz w:val="11"/>
              </w:rPr>
              <w:t>11,120,000.00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5,868,996.00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6"/>
              <w:jc w:val="right"/>
              <w:rPr>
                <w:rFonts w:ascii="Times New Roman" w:hAnsi="Times New Roman" w:cs="Times New Roman" w:eastAsia="Times New Roman" w:hint="default"/>
                <w:sz w:val="11"/>
                <w:szCs w:val="11"/>
              </w:rPr>
            </w:pPr>
            <w:r>
              <w:rPr>
                <w:rFonts w:ascii="Times New Roman"/>
                <w:sz w:val="11"/>
              </w:rPr>
              <w:t>2,116,032.57</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4"/>
              <w:jc w:val="right"/>
              <w:rPr>
                <w:rFonts w:ascii="Times New Roman" w:hAnsi="Times New Roman" w:cs="Times New Roman" w:eastAsia="Times New Roman" w:hint="default"/>
                <w:sz w:val="11"/>
                <w:szCs w:val="11"/>
              </w:rPr>
            </w:pPr>
            <w:r>
              <w:rPr>
                <w:rFonts w:ascii="Times New Roman"/>
                <w:spacing w:val="-1"/>
                <w:sz w:val="11"/>
              </w:rPr>
              <w:t>-7,985,028.57</w:t>
            </w:r>
          </w:p>
        </w:tc>
        <w:tc>
          <w:tcPr>
            <w:tcW w:w="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3"/>
              <w:jc w:val="right"/>
              <w:rPr>
                <w:rFonts w:ascii="Times New Roman" w:hAnsi="Times New Roman" w:cs="Times New Roman" w:eastAsia="Times New Roman" w:hint="default"/>
                <w:sz w:val="11"/>
                <w:szCs w:val="11"/>
              </w:rPr>
            </w:pPr>
            <w:r>
              <w:rPr>
                <w:rFonts w:ascii="Times New Roman"/>
                <w:sz w:val="11"/>
              </w:rPr>
              <w:t>82.50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1"/>
              <w:jc w:val="right"/>
              <w:rPr>
                <w:rFonts w:ascii="Times New Roman" w:hAnsi="Times New Roman" w:cs="Times New Roman" w:eastAsia="Times New Roman" w:hint="default"/>
                <w:sz w:val="11"/>
                <w:szCs w:val="11"/>
              </w:rPr>
            </w:pPr>
            <w:r>
              <w:rPr>
                <w:rFonts w:ascii="Times New Roman"/>
                <w:sz w:val="11"/>
              </w:rPr>
              <w:t>82.50%</w:t>
            </w:r>
          </w:p>
        </w:tc>
        <w:tc>
          <w:tcPr>
            <w:tcW w:w="288"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0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left="26" w:right="0"/>
              <w:jc w:val="left"/>
              <w:rPr>
                <w:rFonts w:ascii="宋体" w:hAnsi="宋体" w:cs="宋体" w:eastAsia="宋体" w:hint="default"/>
                <w:sz w:val="11"/>
                <w:szCs w:val="11"/>
              </w:rPr>
            </w:pPr>
            <w:r>
              <w:rPr>
                <w:rFonts w:ascii="宋体" w:hAnsi="宋体" w:cs="宋体" w:eastAsia="宋体" w:hint="default"/>
                <w:sz w:val="11"/>
                <w:szCs w:val="11"/>
              </w:rPr>
              <w:t>其他</w:t>
            </w:r>
          </w:p>
        </w:tc>
        <w:tc>
          <w:tcPr>
            <w:tcW w:w="96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pacing w:val="-1"/>
                <w:sz w:val="11"/>
              </w:rPr>
              <w:t>809,468.87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6"/>
              <w:jc w:val="right"/>
              <w:rPr>
                <w:rFonts w:ascii="Times New Roman" w:hAnsi="Times New Roman" w:cs="Times New Roman" w:eastAsia="Times New Roman" w:hint="default"/>
                <w:sz w:val="11"/>
                <w:szCs w:val="11"/>
              </w:rPr>
            </w:pPr>
            <w:r>
              <w:rPr>
                <w:rFonts w:ascii="Times New Roman"/>
                <w:sz w:val="11"/>
              </w:rPr>
              <w:t>4,217,903.35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4"/>
              <w:jc w:val="right"/>
              <w:rPr>
                <w:rFonts w:ascii="Times New Roman" w:hAnsi="Times New Roman" w:cs="Times New Roman" w:eastAsia="Times New Roman" w:hint="default"/>
                <w:sz w:val="11"/>
                <w:szCs w:val="11"/>
              </w:rPr>
            </w:pPr>
            <w:r>
              <w:rPr>
                <w:rFonts w:ascii="Times New Roman"/>
                <w:sz w:val="11"/>
              </w:rPr>
              <w:t>-287,679.56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19"/>
              <w:jc w:val="right"/>
              <w:rPr>
                <w:rFonts w:ascii="Times New Roman" w:hAnsi="Times New Roman" w:cs="Times New Roman" w:eastAsia="Times New Roman" w:hint="default"/>
                <w:sz w:val="11"/>
                <w:szCs w:val="11"/>
              </w:rPr>
            </w:pPr>
            <w:r>
              <w:rPr>
                <w:rFonts w:ascii="Times New Roman"/>
                <w:sz w:val="11"/>
              </w:rPr>
              <w:t>-443,603.77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z w:val="11"/>
              </w:rPr>
              <w:t>4,296,088.89</w:t>
            </w:r>
          </w:p>
        </w:tc>
        <w:tc>
          <w:tcPr>
            <w:tcW w:w="42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182"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31" w:lineRule="exact"/>
              <w:ind w:right="101"/>
              <w:jc w:val="center"/>
              <w:rPr>
                <w:rFonts w:ascii="宋体" w:hAnsi="宋体" w:cs="宋体" w:eastAsia="宋体" w:hint="default"/>
                <w:sz w:val="11"/>
                <w:szCs w:val="11"/>
              </w:rPr>
            </w:pPr>
            <w:r>
              <w:rPr>
                <w:rFonts w:ascii="宋体" w:hAnsi="宋体" w:cs="宋体" w:eastAsia="宋体" w:hint="default"/>
                <w:sz w:val="11"/>
                <w:szCs w:val="11"/>
              </w:rPr>
              <w:t>合计</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139" w:right="0"/>
              <w:jc w:val="left"/>
              <w:rPr>
                <w:rFonts w:ascii="Times New Roman" w:hAnsi="Times New Roman" w:cs="Times New Roman" w:eastAsia="Times New Roman" w:hint="default"/>
                <w:sz w:val="11"/>
                <w:szCs w:val="11"/>
              </w:rPr>
            </w:pPr>
            <w:r>
              <w:rPr>
                <w:rFonts w:ascii="Times New Roman"/>
                <w:sz w:val="11"/>
              </w:rPr>
              <w:t>958,620,000.00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pacing w:val="-1"/>
                <w:sz w:val="11"/>
              </w:rPr>
              <w:t>622,149,298.16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6"/>
              <w:jc w:val="right"/>
              <w:rPr>
                <w:rFonts w:ascii="Times New Roman" w:hAnsi="Times New Roman" w:cs="Times New Roman" w:eastAsia="Times New Roman" w:hint="default"/>
                <w:sz w:val="11"/>
                <w:szCs w:val="11"/>
              </w:rPr>
            </w:pPr>
            <w:r>
              <w:rPr>
                <w:rFonts w:ascii="Times New Roman"/>
                <w:sz w:val="11"/>
              </w:rPr>
              <w:t>89,970,218.15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4"/>
              <w:jc w:val="right"/>
              <w:rPr>
                <w:rFonts w:ascii="Times New Roman" w:hAnsi="Times New Roman" w:cs="Times New Roman" w:eastAsia="Times New Roman" w:hint="default"/>
                <w:sz w:val="11"/>
                <w:szCs w:val="11"/>
              </w:rPr>
            </w:pPr>
            <w:r>
              <w:rPr>
                <w:rFonts w:ascii="Times New Roman"/>
                <w:spacing w:val="-1"/>
                <w:sz w:val="11"/>
              </w:rPr>
              <w:t>-39,925,938.89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19"/>
              <w:jc w:val="right"/>
              <w:rPr>
                <w:rFonts w:ascii="Times New Roman" w:hAnsi="Times New Roman" w:cs="Times New Roman" w:eastAsia="Times New Roman" w:hint="default"/>
                <w:sz w:val="11"/>
                <w:szCs w:val="11"/>
              </w:rPr>
            </w:pPr>
            <w:r>
              <w:rPr>
                <w:rFonts w:ascii="Times New Roman"/>
                <w:sz w:val="11"/>
              </w:rPr>
              <w:t>-733,603.77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22"/>
              <w:jc w:val="right"/>
              <w:rPr>
                <w:rFonts w:ascii="Times New Roman" w:hAnsi="Times New Roman" w:cs="Times New Roman" w:eastAsia="Times New Roman" w:hint="default"/>
                <w:sz w:val="11"/>
                <w:szCs w:val="11"/>
              </w:rPr>
            </w:pPr>
            <w:r>
              <w:rPr>
                <w:rFonts w:ascii="Times New Roman"/>
                <w:spacing w:val="-1"/>
                <w:sz w:val="11"/>
              </w:rPr>
              <w:t>671,459,973.65</w:t>
            </w:r>
          </w:p>
        </w:tc>
        <w:tc>
          <w:tcPr>
            <w:tcW w:w="42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140" w:right="106"/>
        <w:jc w:val="left"/>
      </w:pPr>
      <w:r>
        <w:rPr>
          <w:rFonts w:ascii="宋体" w:hAnsi="宋体" w:cs="宋体" w:eastAsia="宋体" w:hint="default"/>
        </w:rPr>
        <w:t>*</w:t>
      </w:r>
      <w:r>
        <w:rPr/>
        <w:t>同时亦为本公司的在建工程项目</w:t>
      </w:r>
    </w:p>
    <w:p>
      <w:pPr>
        <w:spacing w:line="240" w:lineRule="auto" w:before="0"/>
        <w:rPr>
          <w:rFonts w:ascii="宋体" w:hAnsi="宋体" w:cs="宋体" w:eastAsia="宋体" w:hint="default"/>
          <w:sz w:val="25"/>
          <w:szCs w:val="25"/>
        </w:rPr>
      </w:pPr>
    </w:p>
    <w:p>
      <w:pPr>
        <w:pStyle w:val="Heading2"/>
        <w:spacing w:line="240" w:lineRule="auto"/>
        <w:ind w:left="140" w:right="106"/>
        <w:jc w:val="left"/>
        <w:rPr>
          <w:b w:val="0"/>
          <w:bCs w:val="0"/>
        </w:rPr>
      </w:pPr>
      <w:r>
        <w:rPr>
          <w:rFonts w:ascii="宋体" w:hAnsi="宋体" w:cs="宋体" w:eastAsia="宋体" w:hint="default"/>
        </w:rPr>
        <w:t>(3).</w:t>
      </w:r>
      <w:r>
        <w:rPr/>
        <w:t>本期计提在建工程减值准备情况</w:t>
      </w:r>
      <w:r>
        <w:rPr>
          <w:b w:val="0"/>
          <w:bCs w:val="0"/>
        </w:rPr>
      </w:r>
    </w:p>
    <w:p>
      <w:pPr>
        <w:pStyle w:val="BodyText"/>
        <w:spacing w:line="272" w:lineRule="exact" w:before="86"/>
        <w:ind w:left="140" w:right="7551"/>
        <w:jc w:val="left"/>
      </w:pPr>
      <w:r>
        <w:rPr/>
        <w:t>□适用 √不适用</w:t>
      </w:r>
      <w:r>
        <w:rPr>
          <w:w w:val="100"/>
        </w:rPr>
        <w:t> </w:t>
      </w:r>
      <w:r>
        <w:rPr/>
        <w:t>其他说明</w:t>
      </w:r>
    </w:p>
    <w:p>
      <w:pPr>
        <w:pStyle w:val="BodyText"/>
        <w:spacing w:line="249" w:lineRule="exact"/>
        <w:ind w:left="140" w:right="106"/>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140" w:right="7438"/>
        <w:jc w:val="left"/>
        <w:rPr>
          <w:b w:val="0"/>
          <w:bCs w:val="0"/>
        </w:rPr>
      </w:pPr>
      <w:r>
        <w:rPr/>
        <w:t>工程物资</w:t>
      </w:r>
      <w:r>
        <w:rPr>
          <w:w w:val="100"/>
        </w:rPr>
        <w:t> </w:t>
      </w:r>
      <w:r>
        <w:rPr>
          <w:rFonts w:ascii="宋体" w:hAnsi="宋体" w:cs="宋体" w:eastAsia="宋体" w:hint="default"/>
        </w:rPr>
        <w:t>(1).</w:t>
      </w:r>
      <w:r>
        <w:rPr/>
        <w:t>工程物资情况</w:t>
      </w:r>
      <w:r>
        <w:rPr>
          <w:b w:val="0"/>
          <w:bCs w:val="0"/>
        </w:rPr>
      </w:r>
    </w:p>
    <w:p>
      <w:pPr>
        <w:pStyle w:val="BodyText"/>
        <w:spacing w:line="240" w:lineRule="auto" w:before="14"/>
        <w:ind w:left="140" w:right="106"/>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90" w:lineRule="auto"/>
        <w:ind w:left="140" w:right="5330"/>
        <w:jc w:val="left"/>
        <w:rPr>
          <w:b w:val="0"/>
          <w:bCs w:val="0"/>
        </w:rPr>
      </w:pPr>
      <w:r>
        <w:rPr>
          <w:rFonts w:ascii="宋体" w:hAnsi="宋体" w:cs="宋体" w:eastAsia="宋体" w:hint="default"/>
        </w:rPr>
        <w:t>21</w:t>
      </w:r>
      <w:r>
        <w:rPr/>
        <w:t>、</w:t>
      </w:r>
      <w:r>
        <w:rPr>
          <w:spacing w:val="-25"/>
        </w:rPr>
        <w:t> </w:t>
      </w:r>
      <w:r>
        <w:rPr/>
        <w:t>生产性生物资产</w:t>
      </w:r>
      <w:r>
        <w:rPr>
          <w:spacing w:val="-104"/>
        </w:rPr>
        <w:t> </w:t>
      </w:r>
      <w:r>
        <w:rPr>
          <w:spacing w:val="-104"/>
        </w:rPr>
      </w:r>
      <w:r>
        <w:rPr>
          <w:rFonts w:ascii="宋体" w:hAnsi="宋体" w:cs="宋体" w:eastAsia="宋体" w:hint="default"/>
        </w:rPr>
        <w:t>(1).</w:t>
      </w:r>
      <w:r>
        <w:rPr/>
        <w:t>采用成本计量模式的生产性生物资产</w:t>
      </w:r>
      <w:r>
        <w:rPr>
          <w:b w:val="0"/>
          <w:bCs w:val="0"/>
        </w:rPr>
      </w:r>
    </w:p>
    <w:p>
      <w:pPr>
        <w:spacing w:line="290" w:lineRule="auto" w:before="12"/>
        <w:ind w:left="140" w:right="49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40" w:lineRule="auto" w:before="12"/>
        <w:ind w:left="140" w:right="7551"/>
        <w:jc w:val="left"/>
      </w:pPr>
      <w:r>
        <w:rPr/>
        <w:t>□适用 √不适用</w:t>
      </w:r>
      <w:r>
        <w:rPr>
          <w:w w:val="100"/>
        </w:rPr>
        <w:t> </w:t>
      </w:r>
      <w:r>
        <w:rPr/>
        <w:t>其他说明</w:t>
      </w:r>
    </w:p>
    <w:p>
      <w:pPr>
        <w:pStyle w:val="BodyText"/>
        <w:spacing w:line="272" w:lineRule="exact"/>
        <w:ind w:left="140" w:right="106"/>
        <w:jc w:val="left"/>
      </w:pPr>
      <w:r>
        <w:rPr/>
        <w:t>□适用 √不适用</w:t>
      </w:r>
    </w:p>
    <w:p>
      <w:pPr>
        <w:spacing w:after="0" w:line="272" w:lineRule="exact"/>
        <w:jc w:val="left"/>
        <w:sectPr>
          <w:type w:val="continuous"/>
          <w:pgSz w:w="11910" w:h="16840"/>
          <w:pgMar w:top="106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ind w:left="800" w:right="0"/>
        <w:jc w:val="left"/>
        <w:rPr>
          <w:b w:val="0"/>
          <w:bCs w:val="0"/>
        </w:rPr>
      </w:pPr>
      <w:r>
        <w:rPr>
          <w:rFonts w:ascii="宋体" w:hAnsi="宋体" w:cs="宋体" w:eastAsia="宋体" w:hint="default"/>
        </w:rPr>
        <w:t>22</w:t>
      </w:r>
      <w:r>
        <w:rPr/>
        <w:t>、</w:t>
      </w:r>
      <w:r>
        <w:rPr>
          <w:spacing w:val="-24"/>
        </w:rPr>
        <w:t> </w:t>
      </w:r>
      <w:r>
        <w:rPr/>
        <w:t>油气资产</w:t>
      </w:r>
      <w:r>
        <w:rPr>
          <w:b w:val="0"/>
          <w:bCs w:val="0"/>
        </w:rPr>
      </w:r>
    </w:p>
    <w:p>
      <w:pPr>
        <w:pStyle w:val="BodyText"/>
        <w:spacing w:line="240" w:lineRule="auto" w:before="58"/>
        <w:ind w:left="800"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640" w:right="640"/>
        </w:sectPr>
      </w:pPr>
    </w:p>
    <w:p>
      <w:pPr>
        <w:pStyle w:val="Heading2"/>
        <w:spacing w:line="290" w:lineRule="auto" w:before="36"/>
        <w:ind w:left="800" w:right="-14"/>
        <w:jc w:val="left"/>
        <w:rPr>
          <w:b w:val="0"/>
          <w:bCs w:val="0"/>
        </w:rPr>
      </w:pPr>
      <w:r>
        <w:rPr>
          <w:rFonts w:ascii="宋体" w:hAnsi="宋体" w:cs="宋体" w:eastAsia="宋体" w:hint="default"/>
        </w:rPr>
        <w:t>23</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1642" w:val="left" w:leader="none"/>
        </w:tabs>
        <w:spacing w:line="240" w:lineRule="auto" w:before="12"/>
        <w:ind w:left="800" w:right="-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852" w:val="left" w:leader="none"/>
        </w:tabs>
        <w:spacing w:line="240" w:lineRule="auto"/>
        <w:ind w:left="800" w:right="0"/>
        <w:jc w:val="left"/>
      </w:pPr>
      <w:r>
        <w:rPr>
          <w:spacing w:val="-1"/>
        </w:rPr>
        <w:t>单位：元</w:t>
        <w:tab/>
      </w:r>
      <w:r>
        <w:rPr>
          <w:spacing w:val="-2"/>
        </w:rPr>
        <w:t>币种：人民币</w:t>
      </w:r>
    </w:p>
    <w:p>
      <w:pPr>
        <w:spacing w:after="0" w:line="240" w:lineRule="auto"/>
        <w:jc w:val="left"/>
        <w:sectPr>
          <w:type w:val="continuous"/>
          <w:pgSz w:w="11910" w:h="16840"/>
          <w:pgMar w:top="1060" w:bottom="1380" w:left="640" w:right="640"/>
          <w:cols w:num="2" w:equalWidth="0">
            <w:col w:w="2495" w:space="4221"/>
            <w:col w:w="3914"/>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433"/>
        <w:gridCol w:w="1507"/>
        <w:gridCol w:w="1325"/>
        <w:gridCol w:w="403"/>
        <w:gridCol w:w="1508"/>
        <w:gridCol w:w="1418"/>
        <w:gridCol w:w="1325"/>
        <w:gridCol w:w="1476"/>
      </w:tblGrid>
      <w:tr>
        <w:trPr>
          <w:trHeight w:val="1179"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7" w:lineRule="auto" w:before="1"/>
              <w:ind w:left="108" w:right="103"/>
              <w:jc w:val="both"/>
              <w:rPr>
                <w:rFonts w:ascii="宋体" w:hAnsi="宋体" w:cs="宋体" w:eastAsia="宋体" w:hint="default"/>
                <w:sz w:val="18"/>
                <w:szCs w:val="18"/>
              </w:rPr>
            </w:pPr>
            <w:r>
              <w:rPr>
                <w:rFonts w:ascii="宋体" w:hAnsi="宋体" w:cs="宋体" w:eastAsia="宋体" w:hint="default"/>
                <w:sz w:val="18"/>
                <w:szCs w:val="18"/>
              </w:rPr>
              <w:t>专 利 技 术</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门店渠道</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355,882,770.99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5,464,483.80</w:t>
            </w: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111,325,060.98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 w:right="0"/>
              <w:jc w:val="center"/>
              <w:rPr>
                <w:rFonts w:ascii="宋体" w:hAnsi="宋体" w:cs="宋体" w:eastAsia="宋体" w:hint="default"/>
                <w:sz w:val="18"/>
                <w:szCs w:val="18"/>
              </w:rPr>
            </w:pPr>
            <w:r>
              <w:rPr>
                <w:rFonts w:ascii="宋体"/>
                <w:sz w:val="18"/>
              </w:rPr>
              <w:t>44,944,000.00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4,850,056.44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522,466,372.21</w:t>
            </w:r>
          </w:p>
        </w:tc>
      </w:tr>
      <w:tr>
        <w:trPr>
          <w:trHeight w:val="4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571,309.20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1,767,764.43</w:t>
            </w: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11,312,525.31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13,651,598.94</w:t>
            </w: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pacing w:val="-1"/>
                <w:sz w:val="18"/>
              </w:rPr>
              <w:t>571,309.20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1,767,764.43</w:t>
            </w: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4,282,303.22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6,621,376.85</w:t>
            </w:r>
          </w:p>
        </w:tc>
      </w:tr>
      <w:tr>
        <w:trPr>
          <w:trHeight w:val="475"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内部研发</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7,030,222.09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7,030,222.09</w:t>
            </w:r>
          </w:p>
        </w:tc>
      </w:tr>
      <w:tr>
        <w:trPr>
          <w:trHeight w:val="4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企业合并增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356,454,080.19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7,232,248.23</w:t>
            </w: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122,637,586.29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 w:right="0"/>
              <w:jc w:val="center"/>
              <w:rPr>
                <w:rFonts w:ascii="宋体" w:hAnsi="宋体" w:cs="宋体" w:eastAsia="宋体" w:hint="default"/>
                <w:sz w:val="18"/>
                <w:szCs w:val="18"/>
              </w:rPr>
            </w:pPr>
            <w:r>
              <w:rPr>
                <w:rFonts w:ascii="宋体"/>
                <w:sz w:val="18"/>
              </w:rPr>
              <w:t>44,944,000.00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4,850,056.44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536,117,971.15</w:t>
            </w: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75,575,693.88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2,643,685.17</w:t>
            </w: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68,668,565.24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 w:right="0"/>
              <w:jc w:val="center"/>
              <w:rPr>
                <w:rFonts w:ascii="宋体" w:hAnsi="宋体" w:cs="宋体" w:eastAsia="宋体" w:hint="default"/>
                <w:sz w:val="18"/>
                <w:szCs w:val="18"/>
              </w:rPr>
            </w:pPr>
            <w:r>
              <w:rPr>
                <w:rFonts w:ascii="宋体"/>
                <w:sz w:val="18"/>
              </w:rPr>
              <w:t>20,299,733.20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2,524,473.89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169,712,151.38</w:t>
            </w:r>
          </w:p>
        </w:tc>
      </w:tr>
      <w:tr>
        <w:trPr>
          <w:trHeight w:val="4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8,334,010.50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830,377.76</w:t>
            </w: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7,230,932.26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center"/>
              <w:rPr>
                <w:rFonts w:ascii="宋体" w:hAnsi="宋体" w:cs="宋体" w:eastAsia="宋体" w:hint="default"/>
                <w:sz w:val="18"/>
                <w:szCs w:val="18"/>
              </w:rPr>
            </w:pPr>
            <w:r>
              <w:rPr>
                <w:rFonts w:ascii="宋体"/>
                <w:sz w:val="18"/>
              </w:rPr>
              <w:t>3,161,066.64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108,125.16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19,664,512.32</w:t>
            </w:r>
          </w:p>
        </w:tc>
      </w:tr>
      <w:tr>
        <w:trPr>
          <w:trHeight w:val="34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8,334,010.50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pacing w:val="-1"/>
                <w:sz w:val="18"/>
              </w:rPr>
              <w:t>830,377.76</w:t>
            </w: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7,230,932.26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2" w:right="0"/>
              <w:jc w:val="center"/>
              <w:rPr>
                <w:rFonts w:ascii="宋体" w:hAnsi="宋体" w:cs="宋体" w:eastAsia="宋体" w:hint="default"/>
                <w:sz w:val="18"/>
                <w:szCs w:val="18"/>
              </w:rPr>
            </w:pPr>
            <w:r>
              <w:rPr>
                <w:rFonts w:ascii="宋体"/>
                <w:sz w:val="18"/>
              </w:rPr>
              <w:t>3,161,066.64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108,125.16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19,664,512.32</w:t>
            </w:r>
          </w:p>
        </w:tc>
      </w:tr>
      <w:tr>
        <w:trPr>
          <w:trHeight w:val="245"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83,909,704.38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3,474,062.93</w:t>
            </w: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75,899,497.50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 w:right="0"/>
              <w:jc w:val="center"/>
              <w:rPr>
                <w:rFonts w:ascii="宋体" w:hAnsi="宋体" w:cs="宋体" w:eastAsia="宋体" w:hint="default"/>
                <w:sz w:val="18"/>
                <w:szCs w:val="18"/>
              </w:rPr>
            </w:pPr>
            <w:r>
              <w:rPr>
                <w:rFonts w:ascii="宋体"/>
                <w:sz w:val="18"/>
              </w:rPr>
              <w:t>23,460,799.84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2,632,599.05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189,376,663.70</w:t>
            </w:r>
          </w:p>
        </w:tc>
      </w:tr>
      <w:tr>
        <w:trPr>
          <w:trHeight w:val="34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 w:right="0"/>
              <w:jc w:val="center"/>
              <w:rPr>
                <w:rFonts w:ascii="宋体" w:hAnsi="宋体" w:cs="宋体" w:eastAsia="宋体" w:hint="default"/>
                <w:sz w:val="18"/>
                <w:szCs w:val="18"/>
              </w:rPr>
            </w:pPr>
            <w:r>
              <w:rPr>
                <w:rFonts w:ascii="宋体"/>
                <w:sz w:val="18"/>
              </w:rPr>
              <w:t>12,000,000.00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12,000,000.00</w:t>
            </w:r>
          </w:p>
        </w:tc>
      </w:tr>
    </w:tbl>
    <w:p>
      <w:pPr>
        <w:spacing w:after="0" w:line="240" w:lineRule="auto"/>
        <w:jc w:val="right"/>
        <w:rPr>
          <w:rFonts w:ascii="宋体" w:hAnsi="宋体" w:cs="宋体" w:eastAsia="宋体" w:hint="default"/>
          <w:sz w:val="18"/>
          <w:szCs w:val="18"/>
        </w:rPr>
        <w:sectPr>
          <w:type w:val="continuous"/>
          <w:pgSz w:w="11910" w:h="16840"/>
          <w:pgMar w:top="1060" w:bottom="1380" w:left="64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433"/>
        <w:gridCol w:w="1507"/>
        <w:gridCol w:w="1325"/>
        <w:gridCol w:w="403"/>
        <w:gridCol w:w="1508"/>
        <w:gridCol w:w="1418"/>
        <w:gridCol w:w="1325"/>
        <w:gridCol w:w="1476"/>
      </w:tblGrid>
      <w:tr>
        <w:trPr>
          <w:trHeight w:val="475"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 w:right="0"/>
              <w:jc w:val="center"/>
              <w:rPr>
                <w:rFonts w:ascii="宋体" w:hAnsi="宋体" w:cs="宋体" w:eastAsia="宋体" w:hint="default"/>
                <w:sz w:val="18"/>
                <w:szCs w:val="18"/>
              </w:rPr>
            </w:pPr>
            <w:r>
              <w:rPr>
                <w:rFonts w:ascii="宋体"/>
                <w:sz w:val="18"/>
              </w:rPr>
              <w:t>12,000,000.00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12,000,000.00</w:t>
            </w:r>
          </w:p>
        </w:tc>
      </w:tr>
      <w:tr>
        <w:trPr>
          <w:trHeight w:val="35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272,544,375.81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 w:right="0"/>
              <w:jc w:val="center"/>
              <w:rPr>
                <w:rFonts w:ascii="宋体" w:hAnsi="宋体" w:cs="宋体" w:eastAsia="宋体" w:hint="default"/>
                <w:sz w:val="18"/>
                <w:szCs w:val="18"/>
              </w:rPr>
            </w:pPr>
            <w:r>
              <w:rPr>
                <w:rFonts w:ascii="宋体"/>
                <w:sz w:val="18"/>
              </w:rPr>
              <w:t>3,758,185.30</w:t>
            </w: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46,738,088.79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center"/>
              <w:rPr>
                <w:rFonts w:ascii="宋体" w:hAnsi="宋体" w:cs="宋体" w:eastAsia="宋体" w:hint="default"/>
                <w:sz w:val="18"/>
                <w:szCs w:val="18"/>
              </w:rPr>
            </w:pPr>
            <w:r>
              <w:rPr>
                <w:rFonts w:ascii="宋体"/>
                <w:sz w:val="18"/>
              </w:rPr>
              <w:t>9,483,200.16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2,217,457.39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334,741,307.45</w:t>
            </w:r>
          </w:p>
        </w:tc>
      </w:tr>
      <w:tr>
        <w:trPr>
          <w:trHeight w:val="4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280,307,077.11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 w:right="0"/>
              <w:jc w:val="center"/>
              <w:rPr>
                <w:rFonts w:ascii="宋体" w:hAnsi="宋体" w:cs="宋体" w:eastAsia="宋体" w:hint="default"/>
                <w:sz w:val="18"/>
                <w:szCs w:val="18"/>
              </w:rPr>
            </w:pPr>
            <w:r>
              <w:rPr>
                <w:rFonts w:ascii="宋体"/>
                <w:sz w:val="18"/>
              </w:rPr>
              <w:t>2,820,798.63</w:t>
            </w:r>
          </w:p>
        </w:tc>
        <w:tc>
          <w:tcPr>
            <w:tcW w:w="40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42,656,495.74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 w:right="0"/>
              <w:jc w:val="center"/>
              <w:rPr>
                <w:rFonts w:ascii="宋体" w:hAnsi="宋体" w:cs="宋体" w:eastAsia="宋体" w:hint="default"/>
                <w:sz w:val="18"/>
                <w:szCs w:val="18"/>
              </w:rPr>
            </w:pPr>
            <w:r>
              <w:rPr>
                <w:rFonts w:ascii="宋体"/>
                <w:sz w:val="18"/>
              </w:rPr>
              <w:t>12,644,266.80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2,325,582.55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340,754,220.83</w:t>
            </w:r>
          </w:p>
        </w:tc>
      </w:tr>
    </w:tbl>
    <w:p>
      <w:pPr>
        <w:spacing w:line="240" w:lineRule="auto" w:before="5"/>
        <w:rPr>
          <w:rFonts w:ascii="宋体" w:hAnsi="宋体" w:cs="宋体" w:eastAsia="宋体" w:hint="default"/>
          <w:sz w:val="15"/>
          <w:szCs w:val="15"/>
        </w:rPr>
      </w:pPr>
    </w:p>
    <w:p>
      <w:pPr>
        <w:pStyle w:val="BodyText"/>
        <w:spacing w:line="240" w:lineRule="auto" w:before="36"/>
        <w:ind w:left="800" w:right="0"/>
        <w:jc w:val="left"/>
        <w:rPr>
          <w:rFonts w:ascii="宋体" w:hAnsi="宋体" w:cs="宋体" w:eastAsia="宋体" w:hint="default"/>
        </w:rPr>
      </w:pPr>
      <w:r>
        <w:rPr>
          <w:spacing w:val="-2"/>
        </w:rPr>
        <w:t>本期末通过公司内部研发形成的无形资产占无形资产余额的比例</w:t>
      </w:r>
      <w:r>
        <w:rPr>
          <w:spacing w:val="5"/>
        </w:rPr>
        <w:t> </w:t>
      </w:r>
      <w:r>
        <w:rPr>
          <w:rFonts w:ascii="宋体" w:hAnsi="宋体" w:cs="宋体" w:eastAsia="宋体" w:hint="default"/>
          <w:spacing w:val="-1"/>
        </w:rPr>
        <w:t>5.34%</w:t>
      </w:r>
    </w:p>
    <w:p>
      <w:pPr>
        <w:spacing w:line="240" w:lineRule="auto" w:before="3"/>
        <w:rPr>
          <w:rFonts w:ascii="宋体" w:hAnsi="宋体" w:cs="宋体" w:eastAsia="宋体" w:hint="default"/>
          <w:sz w:val="25"/>
          <w:szCs w:val="25"/>
        </w:rPr>
      </w:pPr>
    </w:p>
    <w:p>
      <w:pPr>
        <w:pStyle w:val="Heading2"/>
        <w:spacing w:line="240" w:lineRule="auto"/>
        <w:ind w:left="800" w:right="0"/>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72" w:lineRule="exact" w:before="86"/>
        <w:ind w:left="800" w:right="8231"/>
        <w:jc w:val="left"/>
      </w:pPr>
      <w:r>
        <w:rPr/>
        <w:t>□适用 √不适用</w:t>
      </w:r>
      <w:r>
        <w:rPr>
          <w:w w:val="100"/>
        </w:rPr>
        <w:t> </w:t>
      </w:r>
      <w:r>
        <w:rPr/>
        <w:t>其他说明：</w:t>
      </w:r>
    </w:p>
    <w:p>
      <w:pPr>
        <w:pStyle w:val="BodyText"/>
        <w:spacing w:line="249" w:lineRule="exact"/>
        <w:ind w:left="800"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640" w:right="640"/>
        </w:sectPr>
      </w:pPr>
    </w:p>
    <w:p>
      <w:pPr>
        <w:pStyle w:val="Heading2"/>
        <w:spacing w:line="240" w:lineRule="auto" w:before="36"/>
        <w:ind w:left="800" w:right="-18"/>
        <w:jc w:val="left"/>
        <w:rPr>
          <w:b w:val="0"/>
          <w:bCs w:val="0"/>
        </w:rPr>
      </w:pPr>
      <w:r>
        <w:rPr>
          <w:rFonts w:ascii="宋体" w:hAnsi="宋体" w:cs="宋体" w:eastAsia="宋体" w:hint="default"/>
        </w:rPr>
        <w:t>24</w:t>
      </w:r>
      <w:r>
        <w:rPr/>
        <w:t>、</w:t>
      </w:r>
      <w:r>
        <w:rPr>
          <w:spacing w:val="-25"/>
        </w:rPr>
        <w:t> </w:t>
      </w:r>
      <w:r>
        <w:rPr/>
        <w:t>开发支出</w:t>
      </w:r>
      <w:r>
        <w:rPr>
          <w:b w:val="0"/>
          <w:bCs w:val="0"/>
        </w:rPr>
      </w:r>
    </w:p>
    <w:p>
      <w:pPr>
        <w:pStyle w:val="BodyText"/>
        <w:spacing w:line="240" w:lineRule="auto" w:before="56"/>
        <w:ind w:left="80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52" w:val="left" w:leader="none"/>
        </w:tabs>
        <w:spacing w:line="240" w:lineRule="auto"/>
        <w:ind w:left="800" w:right="0"/>
        <w:jc w:val="left"/>
      </w:pPr>
      <w:r>
        <w:rPr>
          <w:spacing w:val="-1"/>
        </w:rPr>
        <w:t>单位：元</w:t>
        <w:tab/>
      </w:r>
      <w:r>
        <w:rPr>
          <w:spacing w:val="-2"/>
        </w:rPr>
        <w:t>币种：人民币</w:t>
      </w:r>
    </w:p>
    <w:p>
      <w:pPr>
        <w:spacing w:after="0" w:line="240" w:lineRule="auto"/>
        <w:jc w:val="left"/>
        <w:sectPr>
          <w:type w:val="continuous"/>
          <w:pgSz w:w="11910" w:h="16840"/>
          <w:pgMar w:top="1060" w:bottom="1380" w:left="640" w:right="640"/>
          <w:cols w:num="2" w:equalWidth="0">
            <w:col w:w="2378" w:space="4338"/>
            <w:col w:w="3914"/>
          </w:cols>
        </w:sectPr>
      </w:pPr>
    </w:p>
    <w:p>
      <w:pPr>
        <w:spacing w:line="240" w:lineRule="auto" w:before="4"/>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1546"/>
        <w:gridCol w:w="1354"/>
        <w:gridCol w:w="1356"/>
        <w:gridCol w:w="1256"/>
        <w:gridCol w:w="221"/>
        <w:gridCol w:w="1200"/>
        <w:gridCol w:w="1258"/>
        <w:gridCol w:w="221"/>
        <w:gridCol w:w="1277"/>
      </w:tblGrid>
      <w:tr>
        <w:trPr>
          <w:trHeight w:val="218" w:hRule="exact"/>
        </w:trPr>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82"/>
              <w:ind w:left="511" w:right="509"/>
              <w:jc w:val="center"/>
              <w:rPr>
                <w:rFonts w:ascii="宋体" w:hAnsi="宋体" w:cs="宋体" w:eastAsia="宋体" w:hint="default"/>
                <w:sz w:val="16"/>
                <w:szCs w:val="16"/>
              </w:rPr>
            </w:pPr>
            <w:r>
              <w:rPr>
                <w:rFonts w:ascii="宋体" w:hAnsi="宋体" w:cs="宋体" w:eastAsia="宋体" w:hint="default"/>
                <w:sz w:val="16"/>
                <w:szCs w:val="16"/>
              </w:rPr>
              <w:t>期初</w:t>
            </w:r>
            <w:r>
              <w:rPr>
                <w:rFonts w:ascii="宋体" w:hAnsi="宋体" w:cs="宋体" w:eastAsia="宋体" w:hint="default"/>
                <w:w w:val="100"/>
                <w:sz w:val="16"/>
                <w:szCs w:val="16"/>
              </w:rPr>
              <w:t> </w:t>
            </w:r>
            <w:r>
              <w:rPr>
                <w:rFonts w:ascii="宋体" w:hAnsi="宋体" w:cs="宋体" w:eastAsia="宋体" w:hint="default"/>
                <w:sz w:val="16"/>
                <w:szCs w:val="16"/>
              </w:rPr>
              <w:t>余额</w:t>
            </w:r>
          </w:p>
        </w:tc>
        <w:tc>
          <w:tcPr>
            <w:tcW w:w="2832" w:type="dxa"/>
            <w:gridSpan w:val="3"/>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931" w:right="0"/>
              <w:jc w:val="left"/>
              <w:rPr>
                <w:rFonts w:ascii="宋体" w:hAnsi="宋体" w:cs="宋体" w:eastAsia="宋体" w:hint="default"/>
                <w:sz w:val="16"/>
                <w:szCs w:val="16"/>
              </w:rPr>
            </w:pPr>
            <w:r>
              <w:rPr>
                <w:rFonts w:ascii="宋体" w:hAnsi="宋体" w:cs="宋体" w:eastAsia="宋体" w:hint="default"/>
                <w:sz w:val="16"/>
                <w:szCs w:val="16"/>
              </w:rPr>
              <w:t>本期增加金额</w:t>
            </w:r>
          </w:p>
        </w:tc>
        <w:tc>
          <w:tcPr>
            <w:tcW w:w="2679" w:type="dxa"/>
            <w:gridSpan w:val="3"/>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94" w:right="0"/>
              <w:jc w:val="left"/>
              <w:rPr>
                <w:rFonts w:ascii="宋体" w:hAnsi="宋体" w:cs="宋体" w:eastAsia="宋体" w:hint="default"/>
                <w:sz w:val="16"/>
                <w:szCs w:val="16"/>
              </w:rPr>
            </w:pPr>
            <w:r>
              <w:rPr>
                <w:rFonts w:ascii="宋体" w:hAnsi="宋体" w:cs="宋体" w:eastAsia="宋体" w:hint="default"/>
                <w:sz w:val="16"/>
                <w:szCs w:val="16"/>
              </w:rPr>
              <w:t>本期减少金额</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82"/>
              <w:ind w:left="472" w:right="470"/>
              <w:jc w:val="center"/>
              <w:rPr>
                <w:rFonts w:ascii="宋体" w:hAnsi="宋体" w:cs="宋体" w:eastAsia="宋体" w:hint="default"/>
                <w:sz w:val="16"/>
                <w:szCs w:val="16"/>
              </w:rPr>
            </w:pPr>
            <w:r>
              <w:rPr>
                <w:rFonts w:ascii="宋体" w:hAnsi="宋体" w:cs="宋体" w:eastAsia="宋体" w:hint="default"/>
                <w:sz w:val="16"/>
                <w:szCs w:val="16"/>
              </w:rPr>
              <w:t>期末</w:t>
            </w:r>
            <w:r>
              <w:rPr>
                <w:rFonts w:ascii="宋体" w:hAnsi="宋体" w:cs="宋体" w:eastAsia="宋体" w:hint="default"/>
                <w:w w:val="100"/>
                <w:sz w:val="16"/>
                <w:szCs w:val="16"/>
              </w:rPr>
              <w:t> </w:t>
            </w:r>
            <w:r>
              <w:rPr>
                <w:rFonts w:ascii="宋体" w:hAnsi="宋体" w:cs="宋体" w:eastAsia="宋体" w:hint="default"/>
                <w:sz w:val="16"/>
                <w:szCs w:val="16"/>
              </w:rPr>
              <w:t>余额</w:t>
            </w:r>
          </w:p>
        </w:tc>
      </w:tr>
      <w:tr>
        <w:trPr>
          <w:trHeight w:val="425" w:hRule="exact"/>
        </w:trPr>
        <w:tc>
          <w:tcPr>
            <w:tcW w:w="1546"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1" w:right="0"/>
              <w:jc w:val="left"/>
              <w:rPr>
                <w:rFonts w:ascii="宋体" w:hAnsi="宋体" w:cs="宋体" w:eastAsia="宋体" w:hint="default"/>
                <w:sz w:val="16"/>
                <w:szCs w:val="16"/>
              </w:rPr>
            </w:pPr>
            <w:r>
              <w:rPr>
                <w:rFonts w:ascii="宋体" w:hAnsi="宋体" w:cs="宋体" w:eastAsia="宋体" w:hint="default"/>
                <w:sz w:val="16"/>
                <w:szCs w:val="16"/>
              </w:rPr>
              <w:t>内部开发支出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22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6"/>
                <w:szCs w:val="16"/>
              </w:rPr>
            </w:pPr>
            <w:r>
              <w:rPr>
                <w:rFonts w:ascii="宋体" w:hAnsi="宋体" w:cs="宋体" w:eastAsia="宋体" w:hint="default"/>
                <w:sz w:val="16"/>
                <w:szCs w:val="16"/>
              </w:rPr>
              <w:t>确认为无形资</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w w:val="100"/>
                <w:sz w:val="16"/>
                <w:szCs w:val="16"/>
              </w:rPr>
              <w:t>产</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1" w:right="0"/>
              <w:jc w:val="left"/>
              <w:rPr>
                <w:rFonts w:ascii="宋体" w:hAnsi="宋体" w:cs="宋体" w:eastAsia="宋体" w:hint="default"/>
                <w:sz w:val="16"/>
                <w:szCs w:val="16"/>
              </w:rPr>
            </w:pPr>
            <w:r>
              <w:rPr>
                <w:rFonts w:ascii="宋体" w:hAnsi="宋体" w:cs="宋体" w:eastAsia="宋体" w:hint="default"/>
                <w:sz w:val="16"/>
                <w:szCs w:val="16"/>
              </w:rPr>
              <w:t>转入当期损益</w:t>
            </w:r>
          </w:p>
        </w:tc>
        <w:tc>
          <w:tcPr>
            <w:tcW w:w="221" w:type="dxa"/>
            <w:tcBorders>
              <w:top w:val="single" w:sz="4" w:space="0" w:color="000000"/>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216"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教育信息化投入</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44,550,953.70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03" w:right="0"/>
              <w:jc w:val="left"/>
              <w:rPr>
                <w:rFonts w:ascii="宋体" w:hAnsi="宋体" w:cs="宋体" w:eastAsia="宋体" w:hint="default"/>
                <w:sz w:val="16"/>
                <w:szCs w:val="16"/>
              </w:rPr>
            </w:pPr>
            <w:r>
              <w:rPr>
                <w:rFonts w:ascii="宋体"/>
                <w:sz w:val="16"/>
              </w:rPr>
              <w:t>10,000,833.14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13,592,602.42</w:t>
            </w:r>
          </w:p>
        </w:tc>
        <w:tc>
          <w:tcPr>
            <w:tcW w:w="22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27" w:right="0"/>
              <w:jc w:val="left"/>
              <w:rPr>
                <w:rFonts w:ascii="宋体" w:hAnsi="宋体" w:cs="宋体" w:eastAsia="宋体" w:hint="default"/>
                <w:sz w:val="16"/>
                <w:szCs w:val="16"/>
              </w:rPr>
            </w:pPr>
            <w:r>
              <w:rPr>
                <w:rFonts w:ascii="宋体"/>
                <w:sz w:val="16"/>
              </w:rPr>
              <w:t>7,030,222.09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sz w:val="16"/>
              </w:rPr>
              <w:t>13,592,602.42</w:t>
            </w:r>
          </w:p>
        </w:tc>
        <w:tc>
          <w:tcPr>
            <w:tcW w:w="2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47,521,564.75</w:t>
            </w:r>
          </w:p>
        </w:tc>
      </w:tr>
      <w:tr>
        <w:trPr>
          <w:trHeight w:val="218"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44,550,953.70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203" w:right="0"/>
              <w:jc w:val="left"/>
              <w:rPr>
                <w:rFonts w:ascii="宋体" w:hAnsi="宋体" w:cs="宋体" w:eastAsia="宋体" w:hint="default"/>
                <w:sz w:val="16"/>
                <w:szCs w:val="16"/>
              </w:rPr>
            </w:pPr>
            <w:r>
              <w:rPr>
                <w:rFonts w:ascii="宋体"/>
                <w:sz w:val="16"/>
              </w:rPr>
              <w:t>10,000,833.14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0"/>
              <w:jc w:val="center"/>
              <w:rPr>
                <w:rFonts w:ascii="宋体" w:hAnsi="宋体" w:cs="宋体" w:eastAsia="宋体" w:hint="default"/>
                <w:sz w:val="16"/>
                <w:szCs w:val="16"/>
              </w:rPr>
            </w:pPr>
            <w:r>
              <w:rPr>
                <w:rFonts w:ascii="宋体"/>
                <w:sz w:val="16"/>
              </w:rPr>
              <w:t>13,592,602.42</w:t>
            </w:r>
          </w:p>
        </w:tc>
        <w:tc>
          <w:tcPr>
            <w:tcW w:w="22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27" w:right="0"/>
              <w:jc w:val="left"/>
              <w:rPr>
                <w:rFonts w:ascii="宋体" w:hAnsi="宋体" w:cs="宋体" w:eastAsia="宋体" w:hint="default"/>
                <w:sz w:val="16"/>
                <w:szCs w:val="16"/>
              </w:rPr>
            </w:pPr>
            <w:r>
              <w:rPr>
                <w:rFonts w:ascii="宋体"/>
                <w:sz w:val="16"/>
              </w:rPr>
              <w:t>7,030,222.09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sz w:val="16"/>
              </w:rPr>
              <w:t>13,592,602.42</w:t>
            </w:r>
          </w:p>
        </w:tc>
        <w:tc>
          <w:tcPr>
            <w:tcW w:w="2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47,521,564.75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640" w:right="640"/>
        </w:sectPr>
      </w:pPr>
    </w:p>
    <w:p>
      <w:pPr>
        <w:pStyle w:val="Heading2"/>
        <w:spacing w:line="292" w:lineRule="auto" w:before="36"/>
        <w:ind w:left="800" w:right="-14"/>
        <w:jc w:val="left"/>
        <w:rPr>
          <w:b w:val="0"/>
          <w:bCs w:val="0"/>
        </w:rPr>
      </w:pPr>
      <w:r>
        <w:rPr>
          <w:rFonts w:ascii="宋体" w:hAnsi="宋体" w:cs="宋体" w:eastAsia="宋体" w:hint="default"/>
        </w:rPr>
        <w:t>25</w:t>
      </w:r>
      <w:r>
        <w:rPr/>
        <w:t>、</w:t>
      </w:r>
      <w:r>
        <w:rPr>
          <w:spacing w:val="-25"/>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0"/>
        <w:ind w:left="800"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852" w:val="left" w:leader="none"/>
        </w:tabs>
        <w:spacing w:line="240" w:lineRule="auto"/>
        <w:ind w:left="800" w:right="0"/>
        <w:jc w:val="left"/>
      </w:pPr>
      <w:r>
        <w:rPr>
          <w:spacing w:val="-1"/>
        </w:rPr>
        <w:t>单位：元</w:t>
        <w:tab/>
      </w:r>
      <w:r>
        <w:rPr>
          <w:spacing w:val="-2"/>
        </w:rPr>
        <w:t>币种：人民币</w:t>
      </w:r>
    </w:p>
    <w:p>
      <w:pPr>
        <w:spacing w:after="0" w:line="240" w:lineRule="auto"/>
        <w:jc w:val="left"/>
        <w:sectPr>
          <w:type w:val="continuous"/>
          <w:pgSz w:w="11910" w:h="16840"/>
          <w:pgMar w:top="1060" w:bottom="1380" w:left="640" w:right="640"/>
          <w:cols w:num="2" w:equalWidth="0">
            <w:col w:w="2495" w:space="4221"/>
            <w:col w:w="3914"/>
          </w:cols>
        </w:sectPr>
      </w:pPr>
    </w:p>
    <w:p>
      <w:pPr>
        <w:spacing w:line="240" w:lineRule="auto" w:before="4"/>
        <w:rPr>
          <w:rFonts w:ascii="宋体" w:hAnsi="宋体" w:cs="宋体" w:eastAsia="宋体" w:hint="default"/>
          <w:sz w:val="2"/>
          <w:szCs w:val="2"/>
        </w:rPr>
      </w:pPr>
    </w:p>
    <w:tbl>
      <w:tblPr>
        <w:tblW w:w="0" w:type="auto"/>
        <w:jc w:val="left"/>
        <w:tblInd w:w="687" w:type="dxa"/>
        <w:tblLayout w:type="fixed"/>
        <w:tblCellMar>
          <w:top w:w="0" w:type="dxa"/>
          <w:left w:w="0" w:type="dxa"/>
          <w:bottom w:w="0" w:type="dxa"/>
          <w:right w:w="0" w:type="dxa"/>
        </w:tblCellMar>
        <w:tblLook w:val="01E0"/>
      </w:tblPr>
      <w:tblGrid>
        <w:gridCol w:w="2234"/>
        <w:gridCol w:w="1844"/>
        <w:gridCol w:w="1534"/>
        <w:gridCol w:w="290"/>
        <w:gridCol w:w="871"/>
        <w:gridCol w:w="288"/>
        <w:gridCol w:w="2182"/>
      </w:tblGrid>
      <w:tr>
        <w:trPr>
          <w:trHeight w:val="293" w:hRule="exact"/>
        </w:trPr>
        <w:tc>
          <w:tcPr>
            <w:tcW w:w="2234" w:type="dxa"/>
            <w:vMerge w:val="restart"/>
            <w:tcBorders>
              <w:top w:val="single" w:sz="4" w:space="0" w:color="000000"/>
              <w:left w:val="single" w:sz="4" w:space="0" w:color="000000"/>
              <w:right w:val="single" w:sz="4" w:space="0" w:color="000000"/>
            </w:tcBorders>
          </w:tcPr>
          <w:p>
            <w:pPr>
              <w:pStyle w:val="TableParagraph"/>
              <w:spacing w:line="240" w:lineRule="auto" w:before="112"/>
              <w:ind w:left="482" w:right="163" w:hanging="317"/>
              <w:jc w:val="left"/>
              <w:rPr>
                <w:rFonts w:ascii="宋体" w:hAnsi="宋体" w:cs="宋体" w:eastAsia="宋体" w:hint="default"/>
                <w:sz w:val="21"/>
                <w:szCs w:val="21"/>
              </w:rPr>
            </w:pPr>
            <w:r>
              <w:rPr>
                <w:rFonts w:ascii="宋体" w:hAnsi="宋体" w:cs="宋体" w:eastAsia="宋体" w:hint="default"/>
                <w:sz w:val="21"/>
                <w:szCs w:val="21"/>
              </w:rPr>
              <w:t>被投资单位名称或形</w:t>
            </w:r>
            <w:r>
              <w:rPr>
                <w:rFonts w:ascii="宋体" w:hAnsi="宋体" w:cs="宋体" w:eastAsia="宋体" w:hint="default"/>
                <w:w w:val="100"/>
                <w:sz w:val="21"/>
                <w:szCs w:val="21"/>
              </w:rPr>
              <w:t> </w:t>
            </w:r>
            <w:r>
              <w:rPr>
                <w:rFonts w:ascii="宋体" w:hAnsi="宋体" w:cs="宋体" w:eastAsia="宋体" w:hint="default"/>
                <w:sz w:val="21"/>
                <w:szCs w:val="21"/>
              </w:rPr>
              <w:t>成商誉的事项</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8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2234"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企业合并形成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的</w:t>
            </w:r>
          </w:p>
        </w:tc>
        <w:tc>
          <w:tcPr>
            <w:tcW w:w="29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288" w:type="dxa"/>
            <w:tcBorders>
              <w:top w:val="single" w:sz="4" w:space="0" w:color="000000"/>
              <w:left w:val="single" w:sz="4" w:space="0" w:color="000000"/>
              <w:bottom w:val="single" w:sz="4" w:space="0" w:color="000000"/>
              <w:right w:val="single" w:sz="4" w:space="0" w:color="000000"/>
            </w:tcBorders>
          </w:tcPr>
          <w:p>
            <w:pPr/>
          </w:p>
        </w:tc>
        <w:tc>
          <w:tcPr>
            <w:tcW w:w="2182" w:type="dxa"/>
            <w:vMerge/>
            <w:tcBorders>
              <w:left w:val="single" w:sz="4" w:space="0" w:color="000000"/>
              <w:bottom w:val="single" w:sz="4" w:space="0" w:color="000000"/>
              <w:right w:val="single" w:sz="4" w:space="0" w:color="000000"/>
            </w:tcBorders>
          </w:tcPr>
          <w:p>
            <w:pPr/>
          </w:p>
        </w:tc>
      </w:tr>
      <w:tr>
        <w:trPr>
          <w:trHeight w:val="28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收购十五家出版公司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500,571,581.14</w:t>
            </w:r>
          </w:p>
        </w:tc>
        <w:tc>
          <w:tcPr>
            <w:tcW w:w="1534"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500,571,581.14</w:t>
            </w:r>
          </w:p>
        </w:tc>
      </w:tr>
      <w:tr>
        <w:trPr>
          <w:trHeight w:val="283"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3,870,061.53</w:t>
            </w:r>
          </w:p>
        </w:tc>
        <w:tc>
          <w:tcPr>
            <w:tcW w:w="1534"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3,870,061.53</w:t>
            </w:r>
          </w:p>
        </w:tc>
      </w:tr>
      <w:tr>
        <w:trPr>
          <w:trHeight w:val="307"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504,441,642.67</w:t>
            </w:r>
          </w:p>
        </w:tc>
        <w:tc>
          <w:tcPr>
            <w:tcW w:w="1534"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504,441,642.67</w:t>
            </w:r>
          </w:p>
        </w:tc>
      </w:tr>
    </w:tbl>
    <w:p>
      <w:pPr>
        <w:spacing w:after="0" w:line="241" w:lineRule="exact"/>
        <w:jc w:val="right"/>
        <w:rPr>
          <w:rFonts w:ascii="宋体" w:hAnsi="宋体" w:cs="宋体" w:eastAsia="宋体" w:hint="default"/>
          <w:sz w:val="21"/>
          <w:szCs w:val="21"/>
        </w:rPr>
        <w:sectPr>
          <w:type w:val="continuous"/>
          <w:pgSz w:w="11910" w:h="16840"/>
          <w:pgMar w:top="1060" w:bottom="1380" w:left="640" w:right="640"/>
        </w:sectPr>
      </w:pPr>
    </w:p>
    <w:p>
      <w:pPr>
        <w:pStyle w:val="Heading2"/>
        <w:spacing w:line="240" w:lineRule="auto" w:before="26"/>
        <w:ind w:left="800" w:right="-14"/>
        <w:jc w:val="left"/>
        <w:rPr>
          <w:b w:val="0"/>
          <w:bCs w:val="0"/>
        </w:rPr>
      </w:pPr>
      <w:r>
        <w:rPr>
          <w:rFonts w:ascii="宋体" w:hAnsi="宋体" w:cs="宋体" w:eastAsia="宋体" w:hint="default"/>
        </w:rPr>
        <w:t>(2).</w:t>
      </w:r>
      <w:r>
        <w:rPr/>
        <w:t>商誉减值准备</w:t>
      </w:r>
      <w:r>
        <w:rPr>
          <w:b w:val="0"/>
          <w:bCs w:val="0"/>
        </w:rPr>
      </w:r>
    </w:p>
    <w:p>
      <w:pPr>
        <w:pStyle w:val="BodyText"/>
        <w:spacing w:line="240" w:lineRule="auto" w:before="56"/>
        <w:ind w:left="800"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852" w:val="left" w:leader="none"/>
        </w:tabs>
        <w:spacing w:line="240" w:lineRule="auto"/>
        <w:ind w:left="800" w:right="0"/>
        <w:jc w:val="left"/>
      </w:pPr>
      <w:r>
        <w:rPr>
          <w:spacing w:val="-1"/>
        </w:rPr>
        <w:t>单位：元</w:t>
        <w:tab/>
      </w:r>
      <w:r>
        <w:rPr>
          <w:spacing w:val="-2"/>
        </w:rPr>
        <w:t>币种：人民币</w:t>
      </w:r>
    </w:p>
    <w:p>
      <w:pPr>
        <w:spacing w:after="0" w:line="240" w:lineRule="auto"/>
        <w:jc w:val="left"/>
        <w:sectPr>
          <w:type w:val="continuous"/>
          <w:pgSz w:w="11910" w:h="16840"/>
          <w:pgMar w:top="1060" w:bottom="1380" w:left="640" w:right="640"/>
          <w:cols w:num="2" w:equalWidth="0">
            <w:col w:w="2495" w:space="4221"/>
            <w:col w:w="391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865"/>
        <w:gridCol w:w="1477"/>
        <w:gridCol w:w="1106"/>
        <w:gridCol w:w="1083"/>
        <w:gridCol w:w="1092"/>
        <w:gridCol w:w="1145"/>
        <w:gridCol w:w="1476"/>
      </w:tblGrid>
      <w:tr>
        <w:trPr>
          <w:trHeight w:val="281" w:hRule="exact"/>
        </w:trPr>
        <w:tc>
          <w:tcPr>
            <w:tcW w:w="1865" w:type="dxa"/>
            <w:vMerge w:val="restart"/>
            <w:tcBorders>
              <w:top w:val="single" w:sz="4" w:space="0" w:color="000000"/>
              <w:left w:val="single" w:sz="4" w:space="0" w:color="000000"/>
              <w:right w:val="single" w:sz="4" w:space="0" w:color="000000"/>
            </w:tcBorders>
          </w:tcPr>
          <w:p>
            <w:pPr>
              <w:pStyle w:val="TableParagraph"/>
              <w:spacing w:line="239" w:lineRule="exact"/>
              <w:ind w:left="191"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40" w:lineRule="auto"/>
              <w:ind w:left="820" w:right="187" w:hanging="629"/>
              <w:jc w:val="left"/>
              <w:rPr>
                <w:rFonts w:ascii="宋体" w:hAnsi="宋体" w:cs="宋体" w:eastAsia="宋体" w:hint="default"/>
                <w:sz w:val="21"/>
                <w:szCs w:val="21"/>
              </w:rPr>
            </w:pP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865"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38"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08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31"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45" w:type="dxa"/>
            <w:tcBorders>
              <w:top w:val="single" w:sz="4" w:space="0" w:color="000000"/>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283"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新华商</w:t>
            </w:r>
            <w:r>
              <w:rPr>
                <w:rFonts w:ascii="宋体" w:hAnsi="宋体" w:cs="宋体" w:eastAsia="宋体" w:hint="default"/>
                <w:sz w:val="21"/>
                <w:szCs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3,851,606.53</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3,851,606.53</w:t>
            </w:r>
          </w:p>
        </w:tc>
      </w:tr>
      <w:tr>
        <w:trPr>
          <w:trHeight w:val="283" w:hRule="exact"/>
        </w:trPr>
        <w:tc>
          <w:tcPr>
            <w:tcW w:w="18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3,851,606.53</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3,851,606.53</w:t>
            </w:r>
          </w:p>
        </w:tc>
      </w:tr>
    </w:tbl>
    <w:p>
      <w:pPr>
        <w:spacing w:line="240" w:lineRule="auto" w:before="2"/>
        <w:rPr>
          <w:rFonts w:ascii="宋体" w:hAnsi="宋体" w:cs="宋体" w:eastAsia="宋体" w:hint="default"/>
          <w:sz w:val="20"/>
          <w:szCs w:val="20"/>
        </w:rPr>
      </w:pPr>
    </w:p>
    <w:p>
      <w:pPr>
        <w:pStyle w:val="Heading2"/>
        <w:spacing w:line="240" w:lineRule="auto" w:before="36"/>
        <w:ind w:right="205"/>
        <w:jc w:val="left"/>
        <w:rPr>
          <w:b w:val="0"/>
          <w:bCs w:val="0"/>
        </w:rPr>
      </w:pPr>
      <w:r>
        <w:rPr>
          <w:rFonts w:ascii="宋体" w:hAnsi="宋体" w:cs="宋体" w:eastAsia="宋体" w:hint="default"/>
        </w:rPr>
        <w:t>(3).</w:t>
      </w:r>
      <w:r>
        <w:rPr/>
        <w:t>商誉所在资产组或资产组组合的相关信息</w:t>
      </w:r>
      <w:r>
        <w:rPr>
          <w:b w:val="0"/>
          <w:bCs w:val="0"/>
        </w:rPr>
      </w:r>
    </w:p>
    <w:p>
      <w:pPr>
        <w:pStyle w:val="BodyText"/>
        <w:spacing w:line="274" w:lineRule="exact" w:before="56"/>
        <w:ind w:right="205"/>
        <w:jc w:val="left"/>
      </w:pPr>
      <w:r>
        <w:rPr/>
        <w:t>√适用 □不适用</w:t>
      </w:r>
    </w:p>
    <w:p>
      <w:pPr>
        <w:pStyle w:val="BodyText"/>
        <w:spacing w:line="357" w:lineRule="auto"/>
        <w:ind w:right="205" w:firstLine="314"/>
        <w:jc w:val="left"/>
      </w:pPr>
      <w:r>
        <w:rPr/>
        <w:t>本集团于</w:t>
      </w:r>
      <w:r>
        <w:rPr>
          <w:spacing w:val="-54"/>
        </w:rPr>
        <w:t> </w:t>
      </w:r>
      <w:r>
        <w:rPr>
          <w:rFonts w:ascii="宋体" w:hAnsi="宋体" w:cs="宋体" w:eastAsia="宋体" w:hint="default"/>
        </w:rPr>
        <w:t>2010</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5"/>
        </w:rPr>
        <w:t> </w:t>
      </w:r>
      <w:r>
        <w:rPr/>
        <w:t>日收购十五家出版单位，形成商誉人民币</w:t>
      </w:r>
      <w:r>
        <w:rPr>
          <w:spacing w:val="-54"/>
        </w:rPr>
        <w:t> </w:t>
      </w:r>
      <w:r>
        <w:rPr>
          <w:rFonts w:ascii="宋体" w:hAnsi="宋体" w:cs="宋体" w:eastAsia="宋体" w:hint="default"/>
        </w:rPr>
        <w:t>500,571,581.14</w:t>
      </w:r>
      <w:r>
        <w:rPr>
          <w:rFonts w:ascii="宋体" w:hAnsi="宋体" w:cs="宋体" w:eastAsia="宋体" w:hint="default"/>
          <w:spacing w:val="-53"/>
        </w:rPr>
        <w:t> </w:t>
      </w:r>
      <w:r>
        <w:rPr/>
        <w:t>元，并已分</w:t>
      </w:r>
      <w:r>
        <w:rPr>
          <w:w w:val="100"/>
        </w:rPr>
        <w:t> </w:t>
      </w:r>
      <w:r>
        <w:rPr/>
        <w:t>配至相关资产组，即出版分部的十五家出版单位中的三家公司。</w:t>
      </w:r>
    </w:p>
    <w:p>
      <w:pPr>
        <w:spacing w:line="240" w:lineRule="auto" w:before="12"/>
        <w:rPr>
          <w:rFonts w:ascii="宋体" w:hAnsi="宋体" w:cs="宋体" w:eastAsia="宋体" w:hint="default"/>
          <w:sz w:val="29"/>
          <w:szCs w:val="29"/>
        </w:rPr>
      </w:pPr>
    </w:p>
    <w:p>
      <w:pPr>
        <w:pStyle w:val="Heading2"/>
        <w:spacing w:line="272" w:lineRule="exact"/>
        <w:ind w:left="645" w:right="205" w:hanging="425"/>
        <w:jc w:val="left"/>
        <w:rPr>
          <w:b w:val="0"/>
          <w:bCs w:val="0"/>
        </w:rPr>
      </w:pPr>
      <w:r>
        <w:rPr>
          <w:rFonts w:ascii="宋体" w:hAnsi="宋体" w:cs="宋体" w:eastAsia="宋体" w:hint="default"/>
          <w:spacing w:val="-2"/>
        </w:rPr>
        <w:t>(4).</w:t>
      </w:r>
      <w:r>
        <w:rPr>
          <w:spacing w:val="-2"/>
        </w:rPr>
        <w:t>说明商誉减值测试过程、关键参数（例如预计未来现金流量现值时的预测期增长率、稳定期增</w:t>
      </w:r>
      <w:r>
        <w:rPr>
          <w:spacing w:val="-57"/>
        </w:rPr>
        <w:t> </w:t>
      </w:r>
      <w:r>
        <w:rPr>
          <w:spacing w:val="-57"/>
        </w:rPr>
      </w:r>
      <w:r>
        <w:rPr/>
        <w:t>长率、利润率、折现率、预测期等，如适用）及商誉减值损失的确认方法</w:t>
      </w:r>
      <w:r>
        <w:rPr>
          <w:b w:val="0"/>
          <w:bCs w:val="0"/>
        </w:rPr>
      </w:r>
    </w:p>
    <w:p>
      <w:pPr>
        <w:pStyle w:val="BodyText"/>
        <w:spacing w:line="272" w:lineRule="exact" w:before="61"/>
        <w:ind w:left="640" w:right="205" w:hanging="420"/>
        <w:jc w:val="left"/>
      </w:pPr>
      <w:r>
        <w:rPr/>
        <w:t>√适用</w:t>
      </w:r>
      <w:r>
        <w:rPr>
          <w:spacing w:val="-2"/>
        </w:rPr>
        <w:t> </w:t>
      </w:r>
      <w:r>
        <w:rPr/>
        <w:t>□不适用</w:t>
      </w:r>
      <w:r>
        <w:rPr>
          <w:spacing w:val="-103"/>
        </w:rPr>
        <w:t> </w:t>
      </w:r>
      <w:r>
        <w:rPr>
          <w:spacing w:val="-103"/>
        </w:rPr>
      </w:r>
      <w:r>
        <w:rPr>
          <w:spacing w:val="-2"/>
        </w:rPr>
        <w:t>该等资产组的可收回金额按照其预计未来现金流量的现值确定，未来现金流量根据管理层批准</w:t>
      </w:r>
    </w:p>
    <w:p>
      <w:pPr>
        <w:pStyle w:val="BodyText"/>
        <w:spacing w:line="357" w:lineRule="auto" w:before="108"/>
        <w:ind w:right="211"/>
        <w:jc w:val="both"/>
      </w:pPr>
      <w:r>
        <w:rPr/>
        <w:t>的</w:t>
      </w:r>
      <w:r>
        <w:rPr>
          <w:spacing w:val="-40"/>
        </w:rPr>
        <w:t> </w:t>
      </w:r>
      <w:r>
        <w:rPr>
          <w:rFonts w:ascii="宋体" w:hAnsi="宋体" w:cs="宋体" w:eastAsia="宋体" w:hint="default"/>
        </w:rPr>
        <w:t>5</w:t>
      </w:r>
      <w:r>
        <w:rPr>
          <w:rFonts w:ascii="宋体" w:hAnsi="宋体" w:cs="宋体" w:eastAsia="宋体" w:hint="default"/>
          <w:spacing w:val="-38"/>
        </w:rPr>
        <w:t> </w:t>
      </w:r>
      <w:r>
        <w:rPr/>
        <w:t>年期的财务预算为基础确定。预算毛利在预算年度前五年实现的平均毛利率为基础确定，</w:t>
      </w:r>
      <w:r>
        <w:rPr>
          <w:rFonts w:ascii="宋体" w:hAnsi="宋体" w:cs="宋体" w:eastAsia="宋体" w:hint="default"/>
        </w:rPr>
        <w:t>5</w:t>
      </w:r>
      <w:r>
        <w:rPr>
          <w:rFonts w:ascii="宋体" w:hAnsi="宋体" w:cs="宋体" w:eastAsia="宋体" w:hint="default"/>
          <w:spacing w:val="-38"/>
        </w:rPr>
        <w:t> </w:t>
      </w:r>
      <w:r>
        <w:rPr/>
        <w:t>年</w:t>
      </w:r>
      <w:r>
        <w:rPr>
          <w:w w:val="100"/>
        </w:rPr>
        <w:t> </w:t>
      </w:r>
      <w:r>
        <w:rPr/>
        <w:t>以后的营业收入的增长率为零至</w:t>
      </w:r>
      <w:r>
        <w:rPr>
          <w:spacing w:val="-38"/>
        </w:rPr>
        <w:t> </w:t>
      </w:r>
      <w:r>
        <w:rPr>
          <w:rFonts w:ascii="宋体" w:hAnsi="宋体" w:cs="宋体" w:eastAsia="宋体" w:hint="default"/>
        </w:rPr>
        <w:t>2%(</w:t>
      </w:r>
      <w:r>
        <w:rPr/>
        <w:t>上年末：零至</w:t>
      </w:r>
      <w:r>
        <w:rPr>
          <w:spacing w:val="-38"/>
        </w:rPr>
        <w:t> </w:t>
      </w:r>
      <w:r>
        <w:rPr>
          <w:rFonts w:ascii="宋体" w:hAnsi="宋体" w:cs="宋体" w:eastAsia="宋体" w:hint="default"/>
        </w:rPr>
        <w:t>2%)</w:t>
      </w:r>
      <w:r>
        <w:rPr/>
        <w:t>。采用的折现率</w:t>
      </w:r>
      <w:r>
        <w:rPr>
          <w:spacing w:val="-41"/>
        </w:rPr>
        <w:t> </w:t>
      </w:r>
      <w:r>
        <w:rPr>
          <w:rFonts w:ascii="宋体" w:hAnsi="宋体" w:cs="宋体" w:eastAsia="宋体" w:hint="default"/>
        </w:rPr>
        <w:t>15%(</w:t>
      </w:r>
      <w:r>
        <w:rPr/>
        <w:t>上年末：</w:t>
      </w:r>
      <w:r>
        <w:rPr>
          <w:rFonts w:ascii="宋体" w:hAnsi="宋体" w:cs="宋体" w:eastAsia="宋体" w:hint="default"/>
        </w:rPr>
        <w:t>15%)</w:t>
      </w:r>
      <w:r>
        <w:rPr/>
        <w:t>，依据出</w:t>
      </w:r>
      <w:r>
        <w:rPr>
          <w:w w:val="100"/>
        </w:rPr>
        <w:t> </w:t>
      </w:r>
      <w:r>
        <w:rPr/>
        <w:t>版业务特定风险而拟定。</w:t>
      </w:r>
    </w:p>
    <w:p>
      <w:pPr>
        <w:pStyle w:val="BodyText"/>
        <w:spacing w:line="355" w:lineRule="auto" w:before="30"/>
        <w:ind w:right="205" w:firstLine="424"/>
        <w:jc w:val="left"/>
      </w:pPr>
      <w:r>
        <w:rPr>
          <w:spacing w:val="2"/>
        </w:rPr>
        <w:t>管理层认为上述假设发生的任何合理变化均不会导致该资产组各自的账面价值合计超过其可</w:t>
      </w:r>
      <w:r>
        <w:rPr>
          <w:w w:val="100"/>
        </w:rPr>
        <w:t> </w:t>
      </w:r>
      <w:r>
        <w:rPr/>
        <w:t>收回金额。</w:t>
      </w:r>
    </w:p>
    <w:p>
      <w:pPr>
        <w:spacing w:line="240" w:lineRule="auto" w:before="13"/>
        <w:rPr>
          <w:rFonts w:ascii="宋体" w:hAnsi="宋体" w:cs="宋体" w:eastAsia="宋体" w:hint="default"/>
          <w:sz w:val="27"/>
          <w:szCs w:val="27"/>
        </w:rPr>
      </w:pPr>
    </w:p>
    <w:p>
      <w:pPr>
        <w:pStyle w:val="Heading2"/>
        <w:spacing w:line="240" w:lineRule="auto"/>
        <w:ind w:right="205"/>
        <w:jc w:val="left"/>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56"/>
        <w:ind w:left="645" w:right="3049" w:hanging="425"/>
        <w:jc w:val="left"/>
      </w:pPr>
      <w:r>
        <w:rPr/>
        <w:t>√适用</w:t>
      </w:r>
      <w:r>
        <w:rPr>
          <w:spacing w:val="-2"/>
        </w:rPr>
        <w:t> </w:t>
      </w:r>
      <w:r>
        <w:rPr/>
        <w:t>□不适用</w:t>
      </w:r>
      <w:r>
        <w:rPr>
          <w:spacing w:val="-103"/>
        </w:rPr>
        <w:t> </w:t>
      </w:r>
      <w:r>
        <w:rPr>
          <w:spacing w:val="-103"/>
        </w:rPr>
      </w:r>
      <w:r>
        <w:rPr>
          <w:spacing w:val="-2"/>
        </w:rPr>
        <w:t>据商誉减值测试结果，本公司今年未发生新增减值。</w:t>
      </w:r>
    </w:p>
    <w:p>
      <w:pPr>
        <w:spacing w:line="240" w:lineRule="auto" w:before="8"/>
        <w:rPr>
          <w:rFonts w:ascii="宋体" w:hAnsi="宋体" w:cs="宋体" w:eastAsia="宋体" w:hint="default"/>
          <w:sz w:val="20"/>
          <w:szCs w:val="20"/>
        </w:rPr>
      </w:pPr>
    </w:p>
    <w:p>
      <w:pPr>
        <w:pStyle w:val="BodyText"/>
        <w:spacing w:line="273" w:lineRule="exact"/>
        <w:ind w:right="205"/>
        <w:jc w:val="left"/>
      </w:pPr>
      <w:r>
        <w:rPr/>
        <w:t>其他说明</w:t>
      </w:r>
    </w:p>
    <w:p>
      <w:pPr>
        <w:pStyle w:val="BodyText"/>
        <w:spacing w:line="273" w:lineRule="exact"/>
        <w:ind w:right="20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0"/>
          <w:pgSz w:w="11910" w:h="16840"/>
          <w:pgMar w:footer="1195" w:header="882" w:top="1120" w:bottom="1380" w:left="1220" w:right="1220"/>
        </w:sectPr>
      </w:pPr>
    </w:p>
    <w:p>
      <w:pPr>
        <w:pStyle w:val="Heading2"/>
        <w:spacing w:line="240" w:lineRule="auto" w:before="36"/>
        <w:ind w:right="-19"/>
        <w:jc w:val="left"/>
        <w:rPr>
          <w:b w:val="0"/>
          <w:bCs w:val="0"/>
        </w:rPr>
      </w:pPr>
      <w:r>
        <w:rPr>
          <w:rFonts w:ascii="宋体" w:hAnsi="宋体" w:cs="宋体" w:eastAsia="宋体" w:hint="default"/>
        </w:rPr>
        <w:t>26</w:t>
      </w:r>
      <w:r>
        <w:rPr/>
        <w:t>、</w:t>
      </w:r>
      <w:r>
        <w:rPr>
          <w:spacing w:val="-23"/>
        </w:rPr>
        <w:t> </w:t>
      </w:r>
      <w:r>
        <w:rPr/>
        <w:t>长期待摊费用</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992" w:space="4724"/>
            <w:col w:w="2754"/>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740"/>
        <w:gridCol w:w="1582"/>
        <w:gridCol w:w="1582"/>
        <w:gridCol w:w="1582"/>
        <w:gridCol w:w="1030"/>
        <w:gridCol w:w="1700"/>
      </w:tblGrid>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0"/>
              <w:jc w:val="righ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其他减</w:t>
            </w:r>
          </w:p>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经营租入固定资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产改良支出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16,732,282.15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19,636,568.35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16,892,641.97</w:t>
            </w:r>
          </w:p>
        </w:tc>
        <w:tc>
          <w:tcPr>
            <w:tcW w:w="103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19,476,208.53</w:t>
            </w: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2,366,267.50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188,124.37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967,552.80</w:t>
            </w:r>
          </w:p>
        </w:tc>
        <w:tc>
          <w:tcPr>
            <w:tcW w:w="103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1,586,839.07</w:t>
            </w:r>
          </w:p>
        </w:tc>
      </w:tr>
      <w:tr>
        <w:trPr>
          <w:trHeight w:val="28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0"/>
              <w:jc w:val="righ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19,098,549.65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19,824,692.72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17,860,194.77</w:t>
            </w:r>
          </w:p>
        </w:tc>
        <w:tc>
          <w:tcPr>
            <w:tcW w:w="103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21,063,047.60</w:t>
            </w:r>
          </w:p>
        </w:tc>
      </w:tr>
    </w:tbl>
    <w:p>
      <w:pPr>
        <w:spacing w:after="0" w:line="241" w:lineRule="exact"/>
        <w:jc w:val="right"/>
        <w:rPr>
          <w:rFonts w:ascii="宋体" w:hAnsi="宋体" w:cs="宋体" w:eastAsia="宋体" w:hint="default"/>
          <w:sz w:val="21"/>
          <w:szCs w:val="21"/>
        </w:rPr>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51"/>
          <w:pgSz w:w="11910" w:h="16840"/>
          <w:pgMar w:footer="1195" w:header="882" w:top="1120" w:bottom="1380" w:left="1220" w:right="1200"/>
          <w:pgNumType w:start="141"/>
        </w:sectPr>
      </w:pPr>
    </w:p>
    <w:p>
      <w:pPr>
        <w:pStyle w:val="Heading2"/>
        <w:spacing w:line="290" w:lineRule="auto" w:before="36"/>
        <w:ind w:right="-17"/>
        <w:jc w:val="left"/>
        <w:rPr>
          <w:b w:val="0"/>
          <w:bCs w:val="0"/>
        </w:rPr>
      </w:pPr>
      <w:r>
        <w:rPr>
          <w:rFonts w:ascii="宋体" w:hAnsi="宋体" w:cs="宋体" w:eastAsia="宋体" w:hint="default"/>
        </w:rPr>
        <w:t>27</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4"/>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3891" w:space="2826"/>
            <w:col w:w="2773"/>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497"/>
        <w:gridCol w:w="1687"/>
        <w:gridCol w:w="1680"/>
        <w:gridCol w:w="1700"/>
        <w:gridCol w:w="1682"/>
      </w:tblGrid>
      <w:tr>
        <w:trPr>
          <w:trHeight w:val="295" w:hRule="exact"/>
        </w:trPr>
        <w:tc>
          <w:tcPr>
            <w:tcW w:w="249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97"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29,700,413.80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7,425,103.45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23,064,198.00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5,766,049.50</w:t>
            </w:r>
          </w:p>
        </w:tc>
      </w:tr>
      <w:tr>
        <w:trPr>
          <w:trHeight w:val="295"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16,998,739.52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4,249,684.88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17,964,024.40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4,491,006.10</w:t>
            </w:r>
          </w:p>
        </w:tc>
      </w:tr>
      <w:tr>
        <w:trPr>
          <w:trHeight w:val="295"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46,699,153.32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11,674,788.33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41,028,222.40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10,257,055.60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220" w:right="1200"/>
        </w:sectPr>
      </w:pPr>
    </w:p>
    <w:p>
      <w:pPr>
        <w:pStyle w:val="Heading2"/>
        <w:spacing w:line="240" w:lineRule="auto" w:before="36"/>
        <w:ind w:right="-16"/>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3178" w:space="3538"/>
            <w:col w:w="277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424"/>
        <w:gridCol w:w="1712"/>
        <w:gridCol w:w="1702"/>
        <w:gridCol w:w="1694"/>
        <w:gridCol w:w="1712"/>
      </w:tblGrid>
      <w:tr>
        <w:trPr>
          <w:trHeight w:val="295" w:hRule="exact"/>
        </w:trPr>
        <w:tc>
          <w:tcPr>
            <w:tcW w:w="2424" w:type="dxa"/>
            <w:vMerge w:val="restart"/>
            <w:tcBorders>
              <w:top w:val="single" w:sz="4" w:space="0" w:color="000000"/>
              <w:left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24" w:type="dxa"/>
            <w:vMerge/>
            <w:tcBorders>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36,830,474.16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9,207,618.54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40,234,758.64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10,058,689.66</w:t>
            </w:r>
          </w:p>
        </w:tc>
      </w:tr>
      <w:tr>
        <w:trPr>
          <w:trHeight w:val="557"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97,659,413.76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24,414,853.44</w:t>
            </w:r>
          </w:p>
        </w:tc>
      </w:tr>
      <w:tr>
        <w:trPr>
          <w:trHeight w:val="293"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搬迁补偿</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37,428,724.80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9,357,181.20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37,428,724.80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9,357,181.20</w:t>
            </w:r>
          </w:p>
        </w:tc>
      </w:tr>
      <w:tr>
        <w:trPr>
          <w:trHeight w:val="557"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544,770.96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136,192.74</w:t>
            </w:r>
          </w:p>
        </w:tc>
        <w:tc>
          <w:tcPr>
            <w:tcW w:w="1694"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53,822,750.16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13,455,687.54</w:t>
            </w:r>
          </w:p>
        </w:tc>
        <w:tc>
          <w:tcPr>
            <w:tcW w:w="1694"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128,626,720.08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32,156,680.02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175,322,897.20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43,830,724.30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220" w:right="1200"/>
        </w:sectPr>
      </w:pPr>
    </w:p>
    <w:p>
      <w:pPr>
        <w:pStyle w:val="Heading2"/>
        <w:spacing w:line="240" w:lineRule="auto" w:before="36"/>
        <w:ind w:right="-14"/>
        <w:jc w:val="left"/>
        <w:rPr>
          <w:b w:val="0"/>
          <w:bCs w:val="0"/>
        </w:rPr>
      </w:pPr>
      <w:r>
        <w:rPr>
          <w:rFonts w:ascii="宋体" w:hAnsi="宋体" w:cs="宋体" w:eastAsia="宋体" w:hint="default"/>
        </w:rPr>
        <w:t>(3).</w:t>
      </w:r>
      <w:r>
        <w:rPr/>
        <w:t>以抵销后净额列示的递延所得税资产或负债</w:t>
      </w:r>
      <w:r>
        <w:rPr>
          <w:b w:val="0"/>
          <w:bCs w:val="0"/>
        </w:rPr>
      </w:r>
    </w:p>
    <w:p>
      <w:pPr>
        <w:spacing w:line="290" w:lineRule="auto" w:before="58"/>
        <w:ind w:left="220" w:right="1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14"/>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4656" w:space="2060"/>
            <w:col w:w="277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50"/>
        <w:gridCol w:w="3149"/>
        <w:gridCol w:w="3145"/>
      </w:tblGrid>
      <w:tr>
        <w:trPr>
          <w:trHeight w:val="295"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3"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138,180,146.15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95,718,796.75</w:t>
            </w:r>
          </w:p>
        </w:tc>
      </w:tr>
      <w:tr>
        <w:trPr>
          <w:trHeight w:val="295"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261,953,962.25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365,361,371.55</w:t>
            </w:r>
          </w:p>
        </w:tc>
      </w:tr>
      <w:tr>
        <w:trPr>
          <w:trHeight w:val="295"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400,134,108.40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461,080,168.30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220" w:right="1200"/>
        </w:sectPr>
      </w:pPr>
    </w:p>
    <w:p>
      <w:pPr>
        <w:pStyle w:val="Heading2"/>
        <w:spacing w:line="240" w:lineRule="auto" w:before="36"/>
        <w:ind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5708" w:space="951"/>
            <w:col w:w="283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129"/>
        <w:gridCol w:w="2336"/>
        <w:gridCol w:w="2374"/>
        <w:gridCol w:w="2405"/>
      </w:tblGrid>
      <w:tr>
        <w:trPr>
          <w:trHeight w:val="29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45"/>
              <w:jc w:val="right"/>
              <w:rPr>
                <w:rFonts w:ascii="宋体" w:hAnsi="宋体" w:cs="宋体" w:eastAsia="宋体" w:hint="default"/>
                <w:sz w:val="21"/>
                <w:szCs w:val="21"/>
              </w:rPr>
            </w:pPr>
            <w:r>
              <w:rPr>
                <w:rFonts w:ascii="宋体" w:hAnsi="宋体" w:cs="宋体" w:eastAsia="宋体" w:hint="default"/>
                <w:sz w:val="21"/>
                <w:szCs w:val="21"/>
              </w:rPr>
              <w:t>年份</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42"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61"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w:t>
            </w:r>
          </w:p>
        </w:tc>
        <w:tc>
          <w:tcPr>
            <w:tcW w:w="2336"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71,455,722.52</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45,459,185.02</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72,221,359.17</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98,199,940.27</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116,214,195.66</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45,528,559.27</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60,238,737.55</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41,901,272.05</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45,231,356.65</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30,865,005.64</w:t>
            </w:r>
          </w:p>
        </w:tc>
        <w:tc>
          <w:tcPr>
            <w:tcW w:w="2374"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45"/>
              <w:jc w:val="right"/>
              <w:rPr>
                <w:rFonts w:ascii="宋体" w:hAnsi="宋体" w:cs="宋体" w:eastAsia="宋体" w:hint="default"/>
                <w:sz w:val="21"/>
                <w:szCs w:val="21"/>
              </w:rPr>
            </w:pPr>
            <w:r>
              <w:rPr>
                <w:rFonts w:ascii="宋体" w:hAnsi="宋体" w:cs="宋体" w:eastAsia="宋体" w:hint="default"/>
                <w:sz w:val="21"/>
                <w:szCs w:val="21"/>
              </w:rPr>
              <w:t>合计</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261,953,962.25</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365,361,371.55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right="123"/>
        <w:jc w:val="left"/>
      </w:pPr>
      <w:r>
        <w:rPr/>
        <w:t>其他说明：</w:t>
      </w:r>
    </w:p>
    <w:p>
      <w:pPr>
        <w:pStyle w:val="BodyText"/>
        <w:spacing w:line="274" w:lineRule="exact"/>
        <w:ind w:right="1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20" w:right="1200"/>
        </w:sectPr>
      </w:pPr>
    </w:p>
    <w:p>
      <w:pPr>
        <w:pStyle w:val="Heading2"/>
        <w:spacing w:line="240" w:lineRule="auto" w:before="36"/>
        <w:ind w:right="-19"/>
        <w:jc w:val="left"/>
        <w:rPr>
          <w:b w:val="0"/>
          <w:bCs w:val="0"/>
        </w:rPr>
      </w:pPr>
      <w:r>
        <w:rPr>
          <w:rFonts w:ascii="宋体" w:hAnsi="宋体" w:cs="宋体" w:eastAsia="宋体" w:hint="default"/>
        </w:rPr>
        <w:t>28</w:t>
      </w:r>
      <w:r>
        <w:rPr/>
        <w:t>、</w:t>
      </w:r>
      <w:r>
        <w:rPr>
          <w:spacing w:val="-23"/>
        </w:rPr>
        <w:t> </w:t>
      </w:r>
      <w:r>
        <w:rPr/>
        <w:t>其他非流动资产</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2203" w:space="4513"/>
            <w:col w:w="277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48"/>
        <w:gridCol w:w="1489"/>
        <w:gridCol w:w="713"/>
        <w:gridCol w:w="1512"/>
        <w:gridCol w:w="1510"/>
        <w:gridCol w:w="670"/>
        <w:gridCol w:w="1512"/>
      </w:tblGrid>
      <w:tr>
        <w:trPr>
          <w:trHeight w:val="242" w:hRule="exact"/>
        </w:trPr>
        <w:tc>
          <w:tcPr>
            <w:tcW w:w="184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1848" w:type="dxa"/>
            <w:vMerge/>
            <w:tcBorders>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4" w:lineRule="exact"/>
              <w:ind w:left="17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8"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合同取得成本</w:t>
            </w:r>
          </w:p>
        </w:tc>
        <w:tc>
          <w:tcPr>
            <w:tcW w:w="148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合同履约成本</w:t>
            </w:r>
          </w:p>
        </w:tc>
        <w:tc>
          <w:tcPr>
            <w:tcW w:w="148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应收退货成本</w:t>
            </w:r>
          </w:p>
        </w:tc>
        <w:tc>
          <w:tcPr>
            <w:tcW w:w="148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48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35,355,837.99</w:t>
            </w:r>
          </w:p>
        </w:tc>
        <w:tc>
          <w:tcPr>
            <w:tcW w:w="7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35,355,837.99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35,355,837.99</w:t>
            </w:r>
          </w:p>
        </w:tc>
        <w:tc>
          <w:tcPr>
            <w:tcW w:w="6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35,355,837.99</w:t>
            </w:r>
          </w:p>
        </w:tc>
      </w:tr>
      <w:tr>
        <w:trPr>
          <w:trHeight w:val="47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8"/>
              <w:jc w:val="right"/>
              <w:rPr>
                <w:rFonts w:ascii="宋体" w:hAnsi="宋体" w:cs="宋体" w:eastAsia="宋体" w:hint="default"/>
                <w:sz w:val="18"/>
                <w:szCs w:val="18"/>
              </w:rPr>
            </w:pPr>
            <w:r>
              <w:rPr>
                <w:rFonts w:ascii="宋体"/>
                <w:spacing w:val="-1"/>
                <w:sz w:val="18"/>
              </w:rPr>
              <w:t>36,718,628.58</w:t>
            </w:r>
          </w:p>
        </w:tc>
        <w:tc>
          <w:tcPr>
            <w:tcW w:w="7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6"/>
              <w:jc w:val="right"/>
              <w:rPr>
                <w:rFonts w:ascii="宋体" w:hAnsi="宋体" w:cs="宋体" w:eastAsia="宋体" w:hint="default"/>
                <w:sz w:val="18"/>
                <w:szCs w:val="18"/>
              </w:rPr>
            </w:pPr>
            <w:r>
              <w:rPr>
                <w:rFonts w:ascii="宋体"/>
                <w:spacing w:val="-1"/>
                <w:sz w:val="18"/>
              </w:rPr>
              <w:t>36,718,628.58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60,408,980.61</w:t>
            </w:r>
          </w:p>
        </w:tc>
        <w:tc>
          <w:tcPr>
            <w:tcW w:w="6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8"/>
              <w:jc w:val="right"/>
              <w:rPr>
                <w:rFonts w:ascii="宋体" w:hAnsi="宋体" w:cs="宋体" w:eastAsia="宋体" w:hint="default"/>
                <w:sz w:val="18"/>
                <w:szCs w:val="18"/>
              </w:rPr>
            </w:pPr>
            <w:r>
              <w:rPr>
                <w:rFonts w:ascii="宋体"/>
                <w:spacing w:val="-1"/>
                <w:sz w:val="18"/>
              </w:rPr>
              <w:t>60,408,980.61</w:t>
            </w:r>
          </w:p>
        </w:tc>
      </w:tr>
      <w:tr>
        <w:trPr>
          <w:trHeight w:val="242"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37,738,886.00</w:t>
            </w:r>
          </w:p>
        </w:tc>
        <w:tc>
          <w:tcPr>
            <w:tcW w:w="7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37,738,886.00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37,738,886.00</w:t>
            </w:r>
          </w:p>
        </w:tc>
        <w:tc>
          <w:tcPr>
            <w:tcW w:w="6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37,738,886.00</w:t>
            </w:r>
          </w:p>
        </w:tc>
      </w:tr>
      <w:tr>
        <w:trPr>
          <w:trHeight w:val="24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0"/>
              <w:jc w:val="right"/>
              <w:rPr>
                <w:rFonts w:ascii="宋体" w:hAnsi="宋体" w:cs="宋体" w:eastAsia="宋体" w:hint="default"/>
                <w:sz w:val="18"/>
                <w:szCs w:val="18"/>
              </w:rPr>
            </w:pPr>
            <w:r>
              <w:rPr>
                <w:rFonts w:ascii="宋体"/>
                <w:spacing w:val="-1"/>
                <w:sz w:val="18"/>
              </w:rPr>
              <w:t>109,813,352.57</w:t>
            </w:r>
          </w:p>
        </w:tc>
        <w:tc>
          <w:tcPr>
            <w:tcW w:w="7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109,813,352.57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7"/>
              <w:jc w:val="right"/>
              <w:rPr>
                <w:rFonts w:ascii="宋体" w:hAnsi="宋体" w:cs="宋体" w:eastAsia="宋体" w:hint="default"/>
                <w:sz w:val="18"/>
                <w:szCs w:val="18"/>
              </w:rPr>
            </w:pPr>
            <w:r>
              <w:rPr>
                <w:rFonts w:ascii="宋体"/>
                <w:spacing w:val="-1"/>
                <w:sz w:val="18"/>
              </w:rPr>
              <w:t>133,503,704.60</w:t>
            </w:r>
          </w:p>
        </w:tc>
        <w:tc>
          <w:tcPr>
            <w:tcW w:w="6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133,503,704.60</w:t>
            </w:r>
          </w:p>
        </w:tc>
      </w:tr>
    </w:tbl>
    <w:p>
      <w:pPr>
        <w:pStyle w:val="BodyText"/>
        <w:spacing w:line="239" w:lineRule="exact"/>
        <w:ind w:right="123"/>
        <w:jc w:val="left"/>
      </w:pPr>
      <w:r>
        <w:rPr/>
        <w:t>其他说明：</w:t>
      </w:r>
    </w:p>
    <w:p>
      <w:pPr>
        <w:pStyle w:val="BodyText"/>
        <w:spacing w:line="273" w:lineRule="exact"/>
        <w:ind w:right="123"/>
        <w:jc w:val="left"/>
      </w:pPr>
      <w:r>
        <w:rPr/>
        <w:t>注：待抵扣增值税进项税额为本集团预计在未来一年后抵扣的增值税进项税金额。</w:t>
      </w:r>
    </w:p>
    <w:p>
      <w:pPr>
        <w:spacing w:line="240" w:lineRule="auto" w:before="3"/>
        <w:rPr>
          <w:rFonts w:ascii="宋体" w:hAnsi="宋体" w:cs="宋体" w:eastAsia="宋体" w:hint="default"/>
          <w:sz w:val="25"/>
          <w:szCs w:val="25"/>
        </w:rPr>
      </w:pPr>
    </w:p>
    <w:p>
      <w:pPr>
        <w:pStyle w:val="Heading2"/>
        <w:spacing w:line="290" w:lineRule="auto"/>
        <w:ind w:right="7558"/>
        <w:jc w:val="left"/>
        <w:rPr>
          <w:b w:val="0"/>
          <w:bCs w:val="0"/>
        </w:rPr>
      </w:pPr>
      <w:r>
        <w:rPr>
          <w:rFonts w:ascii="宋体" w:hAnsi="宋体" w:cs="宋体" w:eastAsia="宋体" w:hint="default"/>
        </w:rPr>
        <w:t>29</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2"/>
        <w:ind w:right="123"/>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right="123"/>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6"/>
        <w:ind w:right="123"/>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right="123"/>
        <w:jc w:val="left"/>
      </w:pPr>
      <w:r>
        <w:rPr/>
        <w:t>其中重要的已逾期未偿还的短期借款情况如下：</w:t>
      </w:r>
    </w:p>
    <w:p>
      <w:pPr>
        <w:pStyle w:val="BodyText"/>
        <w:spacing w:line="272" w:lineRule="exact" w:before="27"/>
        <w:ind w:right="7671"/>
        <w:jc w:val="left"/>
      </w:pPr>
      <w:r>
        <w:rPr/>
        <w:t>□适用 √不适用</w:t>
      </w:r>
      <w:r>
        <w:rPr>
          <w:w w:val="100"/>
        </w:rPr>
        <w:t> </w:t>
      </w:r>
      <w:r>
        <w:rPr/>
        <w:t>其他说明</w:t>
      </w:r>
    </w:p>
    <w:p>
      <w:pPr>
        <w:pStyle w:val="BodyText"/>
        <w:spacing w:line="249" w:lineRule="exact"/>
        <w:ind w:right="1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123"/>
        <w:jc w:val="left"/>
        <w:rPr>
          <w:b w:val="0"/>
          <w:bCs w:val="0"/>
        </w:rPr>
      </w:pPr>
      <w:r>
        <w:rPr>
          <w:rFonts w:ascii="宋体" w:hAnsi="宋体" w:cs="宋体" w:eastAsia="宋体" w:hint="default"/>
        </w:rPr>
        <w:t>30</w:t>
      </w:r>
      <w:r>
        <w:rPr/>
        <w:t>、</w:t>
      </w:r>
      <w:r>
        <w:rPr>
          <w:spacing w:val="-23"/>
        </w:rPr>
        <w:t> </w:t>
      </w:r>
      <w:r>
        <w:rPr/>
        <w:t>交易性金融负债</w:t>
      </w:r>
      <w:r>
        <w:rPr>
          <w:b w:val="0"/>
          <w:bCs w:val="0"/>
        </w:rPr>
      </w:r>
    </w:p>
    <w:p>
      <w:pPr>
        <w:pStyle w:val="BodyText"/>
        <w:spacing w:line="240" w:lineRule="auto" w:before="56"/>
        <w:ind w:right="123"/>
        <w:jc w:val="left"/>
      </w:pPr>
      <w:r>
        <w:rPr/>
        <w:t>□适用 √不适用</w:t>
      </w:r>
    </w:p>
    <w:p>
      <w:pPr>
        <w:spacing w:after="0" w:line="240" w:lineRule="auto"/>
        <w:jc w:val="left"/>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36"/>
        <w:ind w:right="123"/>
        <w:jc w:val="left"/>
        <w:rPr>
          <w:b w:val="0"/>
          <w:bCs w:val="0"/>
        </w:rPr>
      </w:pPr>
      <w:r>
        <w:rPr>
          <w:rFonts w:ascii="宋体" w:hAnsi="宋体" w:cs="宋体" w:eastAsia="宋体" w:hint="default"/>
        </w:rPr>
        <w:t>31</w:t>
      </w:r>
      <w:r>
        <w:rPr/>
        <w:t>、</w:t>
      </w:r>
      <w:r>
        <w:rPr>
          <w:spacing w:val="-24"/>
        </w:rPr>
        <w:t> </w:t>
      </w:r>
      <w:r>
        <w:rPr/>
        <w:t>衍生金融负债</w:t>
      </w:r>
      <w:r>
        <w:rPr>
          <w:b w:val="0"/>
          <w:bCs w:val="0"/>
        </w:rPr>
      </w:r>
    </w:p>
    <w:p>
      <w:pPr>
        <w:pStyle w:val="BodyText"/>
        <w:spacing w:line="240" w:lineRule="auto" w:before="56"/>
        <w:ind w:right="123"/>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220" w:right="1200"/>
        </w:sectPr>
      </w:pPr>
    </w:p>
    <w:p>
      <w:pPr>
        <w:pStyle w:val="Heading2"/>
        <w:spacing w:line="290" w:lineRule="auto" w:before="36"/>
        <w:ind w:right="-19"/>
        <w:jc w:val="left"/>
        <w:rPr>
          <w:b w:val="0"/>
          <w:bCs w:val="0"/>
        </w:rPr>
      </w:pPr>
      <w:r>
        <w:rPr>
          <w:rFonts w:ascii="宋体" w:hAnsi="宋体" w:cs="宋体" w:eastAsia="宋体" w:hint="default"/>
        </w:rPr>
        <w:t>32</w:t>
      </w:r>
      <w:r>
        <w:rPr/>
        <w:t>、</w:t>
      </w:r>
      <w:r>
        <w:rPr>
          <w:spacing w:val="-22"/>
        </w:rPr>
        <w:t> </w:t>
      </w:r>
      <w:r>
        <w:rPr/>
        <w:t>应付票据及应付账款</w:t>
      </w:r>
      <w:r>
        <w:rPr>
          <w:w w:val="100"/>
        </w:rPr>
        <w:t> </w:t>
      </w:r>
      <w:r>
        <w:rPr/>
        <w:t>总表情况</w:t>
      </w:r>
      <w:r>
        <w:rPr>
          <w:b w:val="0"/>
          <w:bCs w:val="0"/>
        </w:rPr>
      </w:r>
    </w:p>
    <w:p>
      <w:pPr>
        <w:pStyle w:val="Heading2"/>
        <w:spacing w:line="240" w:lineRule="auto" w:before="14"/>
        <w:ind w:right="-19"/>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2626" w:space="4090"/>
            <w:col w:w="277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380"/>
        <w:gridCol w:w="2924"/>
        <w:gridCol w:w="2941"/>
      </w:tblGrid>
      <w:tr>
        <w:trPr>
          <w:trHeight w:val="283" w:hRule="exact"/>
        </w:trPr>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2"/>
              <w:jc w:val="right"/>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22,176,144.64</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60,855,873.00</w:t>
            </w:r>
          </w:p>
        </w:tc>
      </w:tr>
      <w:tr>
        <w:trPr>
          <w:trHeight w:val="283" w:hRule="exact"/>
        </w:trPr>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3,598,337,771.59</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3,083,435,509.23</w:t>
            </w:r>
          </w:p>
        </w:tc>
      </w:tr>
      <w:tr>
        <w:trPr>
          <w:trHeight w:val="283" w:hRule="exact"/>
        </w:trPr>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2"/>
              <w:jc w:val="right"/>
              <w:rPr>
                <w:rFonts w:ascii="宋体" w:hAnsi="宋体" w:cs="宋体" w:eastAsia="宋体" w:hint="default"/>
                <w:sz w:val="21"/>
                <w:szCs w:val="21"/>
              </w:rPr>
            </w:pPr>
            <w:r>
              <w:rPr>
                <w:rFonts w:ascii="宋体" w:hAnsi="宋体" w:cs="宋体" w:eastAsia="宋体" w:hint="default"/>
                <w:sz w:val="21"/>
                <w:szCs w:val="21"/>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3,620,513,916.23</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3,144,291,382.23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123"/>
        <w:jc w:val="left"/>
      </w:pPr>
      <w:r>
        <w:rPr/>
        <w:t>其他说明：</w:t>
      </w:r>
    </w:p>
    <w:p>
      <w:pPr>
        <w:pStyle w:val="BodyText"/>
        <w:spacing w:line="272" w:lineRule="exact"/>
        <w:ind w:right="123"/>
        <w:jc w:val="left"/>
      </w:pPr>
      <w:r>
        <w:rPr/>
        <w:t>√适用 □不适用</w:t>
      </w:r>
    </w:p>
    <w:p>
      <w:pPr>
        <w:pStyle w:val="BodyText"/>
        <w:spacing w:line="355" w:lineRule="auto"/>
        <w:ind w:right="228" w:firstLine="420"/>
        <w:jc w:val="left"/>
      </w:pPr>
      <w:r>
        <w:rPr/>
        <w:t>于本年末，本集团为开具上述银行承兑汇票的保证金存款为人民币 </w:t>
      </w:r>
      <w:r>
        <w:rPr>
          <w:rFonts w:ascii="宋体" w:hAnsi="宋体" w:cs="宋体" w:eastAsia="宋体" w:hint="default"/>
        </w:rPr>
        <w:t>7,355,024.39</w:t>
      </w:r>
      <w:r>
        <w:rPr>
          <w:rFonts w:ascii="宋体" w:hAnsi="宋体" w:cs="宋体" w:eastAsia="宋体" w:hint="default"/>
          <w:spacing w:val="-12"/>
        </w:rPr>
        <w:t> </w:t>
      </w:r>
      <w:r>
        <w:rPr/>
        <w:t>元。本集团</w:t>
      </w:r>
      <w:r>
        <w:rPr>
          <w:w w:val="100"/>
        </w:rPr>
        <w:t> </w:t>
      </w:r>
      <w:r>
        <w:rPr/>
        <w:t>的银行承兑汇票均将于三个月之内到期。</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1220" w:right="1200"/>
        </w:sectPr>
      </w:pPr>
    </w:p>
    <w:p>
      <w:pPr>
        <w:pStyle w:val="Heading2"/>
        <w:spacing w:line="290" w:lineRule="auto" w:before="36"/>
        <w:ind w:right="-14"/>
        <w:jc w:val="left"/>
        <w:rPr>
          <w:b w:val="0"/>
          <w:bCs w:val="0"/>
        </w:rPr>
      </w:pPr>
      <w:r>
        <w:rPr/>
        <w:t>应付票据</w:t>
      </w:r>
      <w:r>
        <w:rPr>
          <w:w w:val="100"/>
        </w:rPr>
        <w:t> </w:t>
      </w:r>
      <w:r>
        <w:rPr>
          <w:rFonts w:ascii="宋体" w:hAnsi="宋体" w:cs="宋体" w:eastAsia="宋体" w:hint="default"/>
        </w:rPr>
        <w:t>(2).</w:t>
      </w:r>
      <w:r>
        <w:rPr/>
        <w:t>应付票据列示</w:t>
      </w:r>
      <w:r>
        <w:rPr>
          <w:b w:val="0"/>
          <w:bCs w:val="0"/>
        </w:rPr>
      </w:r>
    </w:p>
    <w:p>
      <w:pPr>
        <w:pStyle w:val="BodyText"/>
        <w:spacing w:line="240" w:lineRule="auto" w:before="14"/>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1915" w:space="4801"/>
            <w:col w:w="2774"/>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05"/>
        <w:gridCol w:w="3474"/>
        <w:gridCol w:w="3375"/>
      </w:tblGrid>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4"/>
              <w:jc w:val="right"/>
              <w:rPr>
                <w:rFonts w:ascii="宋体" w:hAnsi="宋体" w:cs="宋体" w:eastAsia="宋体" w:hint="default"/>
                <w:sz w:val="21"/>
                <w:szCs w:val="21"/>
              </w:rPr>
            </w:pPr>
            <w:r>
              <w:rPr>
                <w:rFonts w:ascii="宋体" w:hAnsi="宋体" w:cs="宋体" w:eastAsia="宋体" w:hint="default"/>
                <w:sz w:val="21"/>
                <w:szCs w:val="21"/>
              </w:rPr>
              <w:t>种类</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2"/>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22,176,144.64</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60,855,873.00</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4"/>
              <w:jc w:val="right"/>
              <w:rPr>
                <w:rFonts w:ascii="宋体" w:hAnsi="宋体" w:cs="宋体" w:eastAsia="宋体" w:hint="default"/>
                <w:sz w:val="21"/>
                <w:szCs w:val="21"/>
              </w:rPr>
            </w:pPr>
            <w:r>
              <w:rPr>
                <w:rFonts w:ascii="宋体" w:hAnsi="宋体" w:cs="宋体" w:eastAsia="宋体" w:hint="default"/>
                <w:sz w:val="21"/>
                <w:szCs w:val="21"/>
              </w:rPr>
              <w:t>合计</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22,176,144.64</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60,855,873.00</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380" w:left="1220" w:right="1200"/>
        </w:sectPr>
      </w:pPr>
    </w:p>
    <w:p>
      <w:pPr>
        <w:pStyle w:val="BodyText"/>
        <w:spacing w:line="290" w:lineRule="auto" w:before="36"/>
        <w:ind w:right="-13"/>
        <w:jc w:val="left"/>
        <w:rPr>
          <w:rFonts w:ascii="宋体" w:hAnsi="宋体" w:cs="宋体" w:eastAsia="宋体" w:hint="default"/>
        </w:rPr>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spacing w:val="-3"/>
          <w:w w:val="100"/>
        </w:rPr>
        <w:t> </w:t>
      </w:r>
      <w:r>
        <w:rPr>
          <w:rFonts w:ascii="宋体" w:hAnsi="宋体" w:cs="宋体" w:eastAsia="宋体" w:hint="default"/>
          <w:b/>
          <w:bCs/>
        </w:rPr>
        <w:t>应付账款</w:t>
      </w:r>
      <w:r>
        <w:rPr>
          <w:rFonts w:ascii="宋体" w:hAnsi="宋体" w:cs="宋体" w:eastAsia="宋体" w:hint="default"/>
        </w:rPr>
      </w:r>
    </w:p>
    <w:p>
      <w:pPr>
        <w:pStyle w:val="Heading2"/>
        <w:spacing w:line="240" w:lineRule="auto" w:before="12"/>
        <w:ind w:right="-13"/>
        <w:jc w:val="left"/>
        <w:rPr>
          <w:b w:val="0"/>
          <w:bCs w:val="0"/>
        </w:rPr>
      </w:pPr>
      <w:r>
        <w:rPr>
          <w:rFonts w:ascii="宋体" w:hAnsi="宋体" w:cs="宋体" w:eastAsia="宋体" w:hint="default"/>
        </w:rPr>
        <w:t>(3).</w:t>
      </w:r>
      <w:r>
        <w:rPr/>
        <w:t>应付账款列示</w:t>
      </w:r>
      <w:r>
        <w:rPr>
          <w:b w:val="0"/>
          <w:bCs w:val="0"/>
        </w:rPr>
      </w:r>
    </w:p>
    <w:p>
      <w:pPr>
        <w:pStyle w:val="BodyText"/>
        <w:spacing w:line="240" w:lineRule="auto" w:before="59"/>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4474" w:space="2242"/>
            <w:col w:w="277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02"/>
        <w:gridCol w:w="2928"/>
        <w:gridCol w:w="3413"/>
      </w:tblGrid>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2,546,123,422.14</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1,994,936,298.10</w:t>
            </w:r>
          </w:p>
        </w:tc>
      </w:tr>
      <w:tr>
        <w:trPr>
          <w:trHeight w:val="28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714,272,450.41</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739,468,072.03</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212,033,704.35</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219,192,756.38</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125,908,194.69</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129,838,382.72</w:t>
            </w:r>
          </w:p>
        </w:tc>
      </w:tr>
      <w:tr>
        <w:trPr>
          <w:trHeight w:val="28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3,598,337,771.59</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3,083,435,509.23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ind w:right="123"/>
        <w:jc w:val="left"/>
        <w:rPr>
          <w:b w:val="0"/>
          <w:bCs w:val="0"/>
        </w:rPr>
      </w:pPr>
      <w:r>
        <w:rPr>
          <w:rFonts w:ascii="宋体" w:hAnsi="宋体" w:cs="宋体" w:eastAsia="宋体" w:hint="default"/>
        </w:rPr>
        <w:t>(4).</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9"/>
        <w:ind w:right="123"/>
        <w:jc w:val="left"/>
      </w:pPr>
      <w:r>
        <w:rPr/>
        <w:t>□适用 √不适用</w:t>
      </w:r>
    </w:p>
    <w:p>
      <w:pPr>
        <w:spacing w:after="0" w:line="240" w:lineRule="auto"/>
        <w:jc w:val="left"/>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right="205"/>
        <w:jc w:val="left"/>
      </w:pPr>
      <w:r>
        <w:rPr/>
        <w:t>其他说明</w:t>
      </w:r>
    </w:p>
    <w:p>
      <w:pPr>
        <w:pStyle w:val="BodyText"/>
        <w:spacing w:line="273" w:lineRule="exact"/>
        <w:ind w:right="20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33</w:t>
      </w:r>
      <w:r>
        <w:rPr/>
        <w:t>、</w:t>
      </w:r>
      <w:r>
        <w:rPr>
          <w:spacing w:val="-24"/>
        </w:rPr>
        <w:t> </w:t>
      </w:r>
      <w:r>
        <w:rPr/>
        <w:t>预收款项</w:t>
      </w:r>
      <w:r>
        <w:rPr>
          <w:b w:val="0"/>
          <w:bCs w:val="0"/>
        </w:rPr>
      </w:r>
    </w:p>
    <w:p>
      <w:pPr>
        <w:pStyle w:val="Heading2"/>
        <w:spacing w:line="240" w:lineRule="auto" w:before="58"/>
        <w:ind w:right="205"/>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right="20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72" w:lineRule="exact" w:before="86"/>
        <w:ind w:right="7651"/>
        <w:jc w:val="left"/>
      </w:pPr>
      <w:r>
        <w:rPr/>
        <w:t>□适用 √不适用</w:t>
      </w:r>
      <w:r>
        <w:rPr>
          <w:w w:val="100"/>
        </w:rPr>
        <w:t> </w:t>
      </w:r>
      <w:r>
        <w:rPr/>
        <w:t>其他说明</w:t>
      </w:r>
    </w:p>
    <w:p>
      <w:pPr>
        <w:pStyle w:val="BodyText"/>
        <w:spacing w:line="249" w:lineRule="exact"/>
        <w:ind w:right="205"/>
        <w:jc w:val="left"/>
      </w:pPr>
      <w:r>
        <w:rPr/>
        <w:t>□适用 √不适用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20" w:right="1220"/>
        </w:sectPr>
      </w:pPr>
    </w:p>
    <w:p>
      <w:pPr>
        <w:pStyle w:val="Heading2"/>
        <w:spacing w:line="290" w:lineRule="auto" w:before="36"/>
        <w:ind w:right="-16"/>
        <w:jc w:val="left"/>
        <w:rPr>
          <w:b w:val="0"/>
          <w:bCs w:val="0"/>
        </w:rPr>
      </w:pPr>
      <w:r>
        <w:rPr>
          <w:rFonts w:ascii="宋体" w:hAnsi="宋体" w:cs="宋体" w:eastAsia="宋体" w:hint="default"/>
        </w:rPr>
        <w:t>34</w:t>
      </w:r>
      <w:r>
        <w:rPr/>
        <w:t>、</w:t>
      </w:r>
      <w:r>
        <w:rPr>
          <w:spacing w:val="-25"/>
        </w:rPr>
        <w:t> </w:t>
      </w:r>
      <w:r>
        <w:rPr/>
        <w:t>合同负债</w:t>
      </w:r>
      <w:r>
        <w:rPr>
          <w:w w:val="100"/>
        </w:rPr>
        <w:t> </w:t>
      </w:r>
      <w:r>
        <w:rPr>
          <w:rFonts w:ascii="宋体" w:hAnsi="宋体" w:cs="宋体" w:eastAsia="宋体" w:hint="default"/>
        </w:rPr>
        <w:t>(1).</w:t>
      </w:r>
      <w:r>
        <w:rPr/>
        <w:t>合同负债情况</w:t>
      </w:r>
      <w:r>
        <w:rPr>
          <w:b w:val="0"/>
          <w:bCs w:val="0"/>
        </w:rPr>
      </w:r>
    </w:p>
    <w:p>
      <w:pPr>
        <w:pStyle w:val="BodyText"/>
        <w:spacing w:line="240" w:lineRule="auto" w:before="12"/>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913" w:space="4803"/>
            <w:col w:w="275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60"/>
        <w:gridCol w:w="3144"/>
        <w:gridCol w:w="3140"/>
      </w:tblGrid>
      <w:tr>
        <w:trPr>
          <w:trHeight w:val="28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62"/>
              <w:jc w:val="right"/>
              <w:rPr>
                <w:rFonts w:ascii="宋体" w:hAnsi="宋体" w:cs="宋体" w:eastAsia="宋体" w:hint="default"/>
                <w:sz w:val="21"/>
                <w:szCs w:val="21"/>
              </w:rPr>
            </w:pPr>
            <w:r>
              <w:rPr>
                <w:rFonts w:ascii="宋体" w:hAnsi="宋体" w:cs="宋体" w:eastAsia="宋体" w:hint="default"/>
                <w:sz w:val="21"/>
                <w:szCs w:val="21"/>
              </w:rPr>
              <w:t>项目</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预收商品款</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325,898,982.87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310,646,140.33</w:t>
            </w:r>
          </w:p>
        </w:tc>
      </w:tr>
      <w:tr>
        <w:trPr>
          <w:trHeight w:val="281"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会员卡积分</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12,782,898.02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10,797,781.88</w:t>
            </w:r>
          </w:p>
        </w:tc>
      </w:tr>
      <w:tr>
        <w:trPr>
          <w:trHeight w:val="28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合计</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338,681,880.89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321,443,922.21</w:t>
            </w:r>
          </w:p>
        </w:tc>
      </w:tr>
    </w:tbl>
    <w:p>
      <w:pPr>
        <w:pStyle w:val="BodyText"/>
        <w:spacing w:line="241" w:lineRule="exact"/>
        <w:ind w:right="0"/>
        <w:jc w:val="both"/>
      </w:pPr>
      <w:r>
        <w:rPr>
          <w:w w:val="100"/>
        </w:rPr>
        <w:t>注</w:t>
      </w:r>
      <w:r>
        <w:rPr>
          <w:spacing w:val="-144"/>
          <w:w w:val="100"/>
        </w:rPr>
        <w:t>：</w:t>
      </w:r>
      <w:r>
        <w:rPr>
          <w:w w:val="100"/>
        </w:rPr>
        <w:t>（</w:t>
      </w:r>
      <w:r>
        <w:rPr>
          <w:rFonts w:ascii="宋体" w:hAnsi="宋体" w:cs="宋体" w:eastAsia="宋体" w:hint="default"/>
          <w:spacing w:val="-1"/>
          <w:w w:val="100"/>
        </w:rPr>
        <w:t>1</w:t>
      </w:r>
      <w:r>
        <w:rPr>
          <w:spacing w:val="-75"/>
          <w:w w:val="100"/>
        </w:rPr>
        <w:t>）</w:t>
      </w:r>
      <w:r>
        <w:rPr>
          <w:w w:val="100"/>
        </w:rPr>
        <w:t>本</w:t>
      </w:r>
      <w:r>
        <w:rPr>
          <w:spacing w:val="-3"/>
          <w:w w:val="100"/>
        </w:rPr>
        <w:t>集</w:t>
      </w:r>
      <w:r>
        <w:rPr>
          <w:w w:val="100"/>
        </w:rPr>
        <w:t>团</w:t>
      </w:r>
      <w:r>
        <w:rPr>
          <w:spacing w:val="-3"/>
          <w:w w:val="100"/>
        </w:rPr>
        <w:t>本</w:t>
      </w:r>
      <w:r>
        <w:rPr>
          <w:w w:val="100"/>
        </w:rPr>
        <w:t>年</w:t>
      </w:r>
      <w:r>
        <w:rPr>
          <w:spacing w:val="-3"/>
          <w:w w:val="100"/>
        </w:rPr>
        <w:t>确</w:t>
      </w:r>
      <w:r>
        <w:rPr>
          <w:w w:val="100"/>
        </w:rPr>
        <w:t>认</w:t>
      </w:r>
      <w:r>
        <w:rPr>
          <w:spacing w:val="-3"/>
          <w:w w:val="100"/>
        </w:rPr>
        <w:t>的</w:t>
      </w:r>
      <w:r>
        <w:rPr>
          <w:w w:val="100"/>
        </w:rPr>
        <w:t>包括</w:t>
      </w:r>
      <w:r>
        <w:rPr>
          <w:spacing w:val="-3"/>
          <w:w w:val="100"/>
        </w:rPr>
        <w:t>在</w:t>
      </w:r>
      <w:r>
        <w:rPr>
          <w:w w:val="100"/>
        </w:rPr>
        <w:t>期</w:t>
      </w:r>
      <w:r>
        <w:rPr>
          <w:spacing w:val="-3"/>
          <w:w w:val="100"/>
        </w:rPr>
        <w:t>初</w:t>
      </w:r>
      <w:r>
        <w:rPr>
          <w:w w:val="100"/>
        </w:rPr>
        <w:t>合</w:t>
      </w:r>
      <w:r>
        <w:rPr>
          <w:spacing w:val="-3"/>
          <w:w w:val="100"/>
        </w:rPr>
        <w:t>同</w:t>
      </w:r>
      <w:r>
        <w:rPr>
          <w:w w:val="100"/>
        </w:rPr>
        <w:t>负</w:t>
      </w:r>
      <w:r>
        <w:rPr>
          <w:spacing w:val="-3"/>
          <w:w w:val="100"/>
        </w:rPr>
        <w:t>债</w:t>
      </w:r>
      <w:r>
        <w:rPr>
          <w:w w:val="100"/>
        </w:rPr>
        <w:t>账</w:t>
      </w:r>
      <w:r>
        <w:rPr>
          <w:spacing w:val="-3"/>
          <w:w w:val="100"/>
        </w:rPr>
        <w:t>面</w:t>
      </w:r>
      <w:r>
        <w:rPr>
          <w:w w:val="100"/>
        </w:rPr>
        <w:t>价值</w:t>
      </w:r>
      <w:r>
        <w:rPr>
          <w:spacing w:val="-3"/>
          <w:w w:val="100"/>
        </w:rPr>
        <w:t>中</w:t>
      </w:r>
      <w:r>
        <w:rPr>
          <w:w w:val="100"/>
        </w:rPr>
        <w:t>的</w:t>
      </w:r>
      <w:r>
        <w:rPr>
          <w:spacing w:val="-3"/>
          <w:w w:val="100"/>
        </w:rPr>
        <w:t>收</w:t>
      </w:r>
      <w:r>
        <w:rPr>
          <w:w w:val="100"/>
        </w:rPr>
        <w:t>入</w:t>
      </w:r>
      <w:r>
        <w:rPr>
          <w:spacing w:val="-3"/>
          <w:w w:val="100"/>
        </w:rPr>
        <w:t>金</w:t>
      </w:r>
      <w:r>
        <w:rPr>
          <w:w w:val="100"/>
        </w:rPr>
        <w:t>额</w:t>
      </w:r>
      <w:r>
        <w:rPr>
          <w:spacing w:val="-3"/>
          <w:w w:val="100"/>
        </w:rPr>
        <w:t>人民</w:t>
      </w:r>
      <w:r>
        <w:rPr>
          <w:w w:val="100"/>
        </w:rPr>
        <w:t>币</w:t>
      </w:r>
      <w:r>
        <w:rPr>
          <w:spacing w:val="-55"/>
        </w:rPr>
        <w:t> </w:t>
      </w:r>
      <w:r>
        <w:rPr>
          <w:rFonts w:ascii="宋体" w:hAnsi="宋体" w:cs="宋体" w:eastAsia="宋体" w:hint="default"/>
          <w:w w:val="100"/>
        </w:rPr>
        <w:t>270,5</w:t>
      </w:r>
      <w:r>
        <w:rPr>
          <w:rFonts w:ascii="宋体" w:hAnsi="宋体" w:cs="宋体" w:eastAsia="宋体" w:hint="default"/>
          <w:spacing w:val="-3"/>
          <w:w w:val="100"/>
        </w:rPr>
        <w:t>1</w:t>
      </w:r>
      <w:r>
        <w:rPr>
          <w:rFonts w:ascii="宋体" w:hAnsi="宋体" w:cs="宋体" w:eastAsia="宋体" w:hint="default"/>
          <w:w w:val="100"/>
        </w:rPr>
        <w:t>1,7</w:t>
      </w:r>
      <w:r>
        <w:rPr>
          <w:rFonts w:ascii="宋体" w:hAnsi="宋体" w:cs="宋体" w:eastAsia="宋体" w:hint="default"/>
          <w:spacing w:val="-3"/>
          <w:w w:val="100"/>
        </w:rPr>
        <w:t>0</w:t>
      </w:r>
      <w:r>
        <w:rPr>
          <w:rFonts w:ascii="宋体" w:hAnsi="宋体" w:cs="宋体" w:eastAsia="宋体" w:hint="default"/>
          <w:w w:val="100"/>
        </w:rPr>
        <w:t>8.</w:t>
      </w:r>
      <w:r>
        <w:rPr>
          <w:rFonts w:ascii="宋体" w:hAnsi="宋体" w:cs="宋体" w:eastAsia="宋体" w:hint="default"/>
          <w:spacing w:val="-3"/>
          <w:w w:val="100"/>
        </w:rPr>
        <w:t>9</w:t>
      </w:r>
      <w:r>
        <w:rPr>
          <w:rFonts w:ascii="宋体" w:hAnsi="宋体" w:cs="宋体" w:eastAsia="宋体" w:hint="default"/>
          <w:w w:val="100"/>
        </w:rPr>
        <w:t>0</w:t>
      </w:r>
      <w:r>
        <w:rPr>
          <w:rFonts w:ascii="宋体" w:hAnsi="宋体" w:cs="宋体" w:eastAsia="宋体" w:hint="default"/>
          <w:spacing w:val="-52"/>
        </w:rPr>
        <w:t> </w:t>
      </w:r>
      <w:r>
        <w:rPr>
          <w:spacing w:val="-3"/>
          <w:w w:val="100"/>
        </w:rPr>
        <w:t>元，</w:t>
      </w:r>
      <w:r>
        <w:rPr>
          <w:w w:val="100"/>
        </w:rPr>
      </w:r>
    </w:p>
    <w:p>
      <w:pPr>
        <w:pStyle w:val="BodyText"/>
        <w:spacing w:line="240" w:lineRule="auto" w:before="133"/>
        <w:ind w:right="0"/>
        <w:jc w:val="both"/>
      </w:pPr>
      <w:r>
        <w:rPr>
          <w:spacing w:val="2"/>
        </w:rPr>
        <w:t>包括预收商品款产生的合同负债人民币 </w:t>
      </w:r>
      <w:r>
        <w:rPr>
          <w:rFonts w:ascii="宋体" w:hAnsi="宋体" w:cs="宋体" w:eastAsia="宋体" w:hint="default"/>
        </w:rPr>
        <w:t>270,131,882.91</w:t>
      </w:r>
      <w:r>
        <w:rPr>
          <w:rFonts w:ascii="宋体" w:hAnsi="宋体" w:cs="宋体" w:eastAsia="宋体" w:hint="default"/>
          <w:spacing w:val="92"/>
        </w:rPr>
        <w:t> </w:t>
      </w:r>
      <w:r>
        <w:rPr>
          <w:spacing w:val="3"/>
        </w:rPr>
        <w:t>元，会员卡积分产生的合同负债人民币</w:t>
      </w:r>
    </w:p>
    <w:p>
      <w:pPr>
        <w:pStyle w:val="BodyText"/>
        <w:spacing w:line="240" w:lineRule="auto" w:before="135"/>
        <w:ind w:right="0"/>
        <w:jc w:val="both"/>
      </w:pPr>
      <w:r>
        <w:rPr>
          <w:rFonts w:ascii="宋体" w:hAnsi="宋体" w:cs="宋体" w:eastAsia="宋体" w:hint="default"/>
        </w:rPr>
        <w:t>379,825.99</w:t>
      </w:r>
      <w:r>
        <w:rPr>
          <w:rFonts w:ascii="宋体" w:hAnsi="宋体" w:cs="宋体" w:eastAsia="宋体" w:hint="default"/>
          <w:spacing w:val="-51"/>
        </w:rPr>
        <w:t> </w:t>
      </w:r>
      <w:r>
        <w:rPr>
          <w:spacing w:val="-3"/>
        </w:rPr>
        <w:t>元。</w:t>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right="211"/>
        <w:jc w:val="both"/>
      </w:pPr>
      <w:r>
        <w:rPr/>
        <w:t>（</w:t>
      </w:r>
      <w:r>
        <w:rPr>
          <w:rFonts w:ascii="宋体" w:hAnsi="宋体" w:cs="宋体" w:eastAsia="宋体" w:hint="default"/>
        </w:rPr>
        <w:t>2</w:t>
      </w:r>
      <w:r>
        <w:rPr/>
        <w:t>）本集团预收商品款主要为预收学校等客户的书款以及零售门店预售购书卡业务预收的款项，</w:t>
      </w:r>
      <w:r>
        <w:rPr>
          <w:spacing w:val="-9"/>
        </w:rPr>
        <w:t> </w:t>
      </w:r>
      <w:r>
        <w:rPr>
          <w:spacing w:val="-9"/>
        </w:rPr>
      </w:r>
      <w:r>
        <w:rPr>
          <w:spacing w:val="-2"/>
        </w:rPr>
        <w:t>本集团于收到交易价款时确认为合同负债。对于预收的书款，本集团于商品控制权转移给客户时确</w:t>
      </w:r>
      <w:r>
        <w:rPr>
          <w:spacing w:val="-30"/>
        </w:rPr>
        <w:t> </w:t>
      </w:r>
      <w:r>
        <w:rPr>
          <w:spacing w:val="-30"/>
        </w:rPr>
      </w:r>
      <w:r>
        <w:rPr/>
        <w:t>认收入。</w:t>
      </w:r>
    </w:p>
    <w:p>
      <w:pPr>
        <w:pStyle w:val="BodyText"/>
        <w:spacing w:line="357" w:lineRule="auto" w:before="34"/>
        <w:ind w:right="211" w:firstLine="420"/>
        <w:jc w:val="both"/>
      </w:pPr>
      <w:r>
        <w:rPr>
          <w:spacing w:val="-2"/>
        </w:rPr>
        <w:t>本集团零售门店对消费者实行会员积分卡回馈政策，对于消费积分达到一定分值的客户积分可</w:t>
      </w:r>
      <w:r>
        <w:rPr>
          <w:w w:val="100"/>
        </w:rPr>
        <w:t> </w:t>
      </w:r>
      <w:r>
        <w:rPr>
          <w:spacing w:val="-2"/>
        </w:rPr>
        <w:t>以在购物时折算为现金使用。本集团将销售对价按照相对单独售价在已售出商品和授予的积分之间</w:t>
      </w:r>
      <w:r>
        <w:rPr>
          <w:spacing w:val="-30"/>
        </w:rPr>
        <w:t> </w:t>
      </w:r>
      <w:r>
        <w:rPr>
          <w:spacing w:val="-30"/>
        </w:rPr>
      </w:r>
      <w:r>
        <w:rPr/>
        <w:t>进行分配，分配于奖励积分的销售对价作为合同负债，并在奖励积分被兑换时确认为收入。</w:t>
      </w:r>
    </w:p>
    <w:p>
      <w:pPr>
        <w:spacing w:line="240" w:lineRule="auto" w:before="11"/>
        <w:rPr>
          <w:rFonts w:ascii="宋体" w:hAnsi="宋体" w:cs="宋体" w:eastAsia="宋体" w:hint="default"/>
          <w:sz w:val="27"/>
          <w:szCs w:val="27"/>
        </w:rPr>
      </w:pPr>
    </w:p>
    <w:p>
      <w:pPr>
        <w:pStyle w:val="Heading2"/>
        <w:spacing w:line="240" w:lineRule="auto"/>
        <w:ind w:right="0"/>
        <w:jc w:val="both"/>
        <w:rPr>
          <w:b w:val="0"/>
          <w:bCs w:val="0"/>
        </w:rPr>
      </w:pPr>
      <w:r>
        <w:rPr>
          <w:rFonts w:ascii="宋体" w:hAnsi="宋体" w:cs="宋体" w:eastAsia="宋体" w:hint="default"/>
        </w:rPr>
        <w:t>(2).</w:t>
      </w:r>
      <w:r>
        <w:rPr/>
        <w:t>报告期内账面价值发生重大变动的金额和原因</w:t>
      </w:r>
      <w:r>
        <w:rPr>
          <w:b w:val="0"/>
          <w:bCs w:val="0"/>
        </w:rPr>
      </w:r>
    </w:p>
    <w:p>
      <w:pPr>
        <w:pStyle w:val="BodyText"/>
        <w:spacing w:line="240" w:lineRule="auto" w:before="56"/>
        <w:ind w:right="7651"/>
        <w:jc w:val="left"/>
      </w:pPr>
      <w:r>
        <w:rPr/>
        <w:t>□适用 √不适用</w:t>
      </w:r>
      <w:r>
        <w:rPr>
          <w:w w:val="100"/>
        </w:rPr>
        <w:t> </w:t>
      </w:r>
      <w:r>
        <w:rPr/>
        <w:t>其他说明：</w:t>
      </w:r>
    </w:p>
    <w:p>
      <w:pPr>
        <w:pStyle w:val="BodyText"/>
        <w:spacing w:line="271" w:lineRule="exact"/>
        <w:ind w:right="0"/>
        <w:jc w:val="both"/>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220" w:right="1220"/>
        </w:sectPr>
      </w:pPr>
    </w:p>
    <w:p>
      <w:pPr>
        <w:pStyle w:val="Heading2"/>
        <w:spacing w:line="290" w:lineRule="auto" w:before="36"/>
        <w:ind w:right="-15"/>
        <w:jc w:val="left"/>
        <w:rPr>
          <w:b w:val="0"/>
          <w:bCs w:val="0"/>
        </w:rPr>
      </w:pPr>
      <w:r>
        <w:rPr>
          <w:rFonts w:ascii="宋体" w:hAnsi="宋体" w:cs="宋体" w:eastAsia="宋体" w:hint="default"/>
        </w:rPr>
        <w:t>35</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2335" w:space="4381"/>
            <w:col w:w="275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247" w:type="dxa"/>
        <w:tblLayout w:type="fixed"/>
        <w:tblCellMar>
          <w:top w:w="0" w:type="dxa"/>
          <w:left w:w="0" w:type="dxa"/>
          <w:bottom w:w="0" w:type="dxa"/>
          <w:right w:w="0" w:type="dxa"/>
        </w:tblCellMar>
        <w:tblLook w:val="01E0"/>
      </w:tblPr>
      <w:tblGrid>
        <w:gridCol w:w="2696"/>
        <w:gridCol w:w="1700"/>
        <w:gridCol w:w="1988"/>
        <w:gridCol w:w="1985"/>
        <w:gridCol w:w="1699"/>
      </w:tblGrid>
      <w:tr>
        <w:trPr>
          <w:trHeight w:val="28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321,480,876.50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911,894,067.67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896,144,107.75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337,230,836.42</w:t>
            </w:r>
          </w:p>
        </w:tc>
      </w:tr>
      <w:tr>
        <w:trPr>
          <w:trHeight w:val="55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1,297,226.53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127,161,863.37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127,604,999.22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854,090.68</w:t>
            </w:r>
          </w:p>
        </w:tc>
      </w:tr>
      <w:tr>
        <w:trPr>
          <w:trHeight w:val="28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322,778,103.03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1,039,055,931.04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1,023,749,106.97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338,084,927.10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760" w:right="700"/>
        </w:sectPr>
      </w:pPr>
    </w:p>
    <w:p>
      <w:pPr>
        <w:pStyle w:val="Heading2"/>
        <w:spacing w:line="240" w:lineRule="auto" w:before="36"/>
        <w:ind w:left="680"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680"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32" w:val="left" w:leader="none"/>
        </w:tabs>
        <w:spacing w:line="240" w:lineRule="auto"/>
        <w:ind w:left="680"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760" w:right="700"/>
          <w:cols w:num="2" w:equalWidth="0">
            <w:col w:w="2373" w:space="4449"/>
            <w:col w:w="362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77"/>
        <w:gridCol w:w="1846"/>
        <w:gridCol w:w="1726"/>
        <w:gridCol w:w="1817"/>
        <w:gridCol w:w="1702"/>
      </w:tblGrid>
      <w:tr>
        <w:trPr>
          <w:trHeight w:val="28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3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266,486,095.62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763,845,081.03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755,789,897.13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274,541,279.52</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3,878.55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11,149,509.85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11,148,929.85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4,458.55</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534,794.18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47,344,314.55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47,552,240.60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326,868.13</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453,148.63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41,380,722.28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41,590,432.08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243,438.83</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40,662.15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1,999,845.49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1,989,974.68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50,532.96</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36,831.50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3,613,629.48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3,621,742.62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28,718.36</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其他保险</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4,151.90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350,117.30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350,091.22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4,177.98</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1,662,534.83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60,841,500.57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61,115,890.43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1,388,144.97</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52,585,657.60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26,377,820.45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18,221,873.68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60,741,604.37</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207,915.72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2,335,841.22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2,315,276.06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228,480.88</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321,480,876.50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911,894,067.67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896,144,107.75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337,230,836.42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760" w:right="700"/>
        </w:sectPr>
      </w:pPr>
    </w:p>
    <w:p>
      <w:pPr>
        <w:pStyle w:val="Heading2"/>
        <w:spacing w:line="240" w:lineRule="auto" w:before="36"/>
        <w:ind w:left="680" w:right="-15"/>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68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32" w:val="left" w:leader="none"/>
        </w:tabs>
        <w:spacing w:line="240" w:lineRule="auto"/>
        <w:ind w:left="680" w:right="0"/>
        <w:jc w:val="left"/>
      </w:pPr>
      <w:r>
        <w:rPr>
          <w:spacing w:val="-1"/>
        </w:rPr>
        <w:t>单位：元</w:t>
        <w:tab/>
      </w:r>
      <w:r>
        <w:rPr>
          <w:spacing w:val="-2"/>
        </w:rPr>
        <w:t>币种：人民币</w:t>
      </w:r>
    </w:p>
    <w:p>
      <w:pPr>
        <w:spacing w:after="0" w:line="240" w:lineRule="auto"/>
        <w:jc w:val="left"/>
        <w:sectPr>
          <w:type w:val="continuous"/>
          <w:pgSz w:w="11910" w:h="16840"/>
          <w:pgMar w:top="1060" w:bottom="1380" w:left="760" w:right="700"/>
          <w:cols w:num="2" w:equalWidth="0">
            <w:col w:w="2795" w:space="3921"/>
            <w:col w:w="3734"/>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2282"/>
        <w:gridCol w:w="1738"/>
        <w:gridCol w:w="1920"/>
        <w:gridCol w:w="1990"/>
        <w:gridCol w:w="1445"/>
      </w:tblGrid>
      <w:tr>
        <w:trPr>
          <w:trHeight w:val="286" w:hRule="exact"/>
        </w:trPr>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738"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914,381.20</w:t>
            </w:r>
          </w:p>
        </w:tc>
        <w:tc>
          <w:tcPr>
            <w:tcW w:w="192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98,393,200.95</w:t>
            </w:r>
          </w:p>
        </w:tc>
        <w:tc>
          <w:tcPr>
            <w:tcW w:w="199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98,592,372.06</w:t>
            </w:r>
          </w:p>
        </w:tc>
        <w:tc>
          <w:tcPr>
            <w:tcW w:w="1445"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715,210.09</w:t>
            </w:r>
          </w:p>
        </w:tc>
      </w:tr>
      <w:tr>
        <w:trPr>
          <w:trHeight w:val="288" w:hRule="exact"/>
        </w:trPr>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738"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64,577.78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3,125,631.89</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3,119,952.45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70,257.22</w:t>
            </w:r>
          </w:p>
        </w:tc>
      </w:tr>
      <w:tr>
        <w:trPr>
          <w:trHeight w:val="288" w:hRule="exact"/>
        </w:trPr>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738"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318,267.55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25,643,030.53</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25,892,674.71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68,623.37</w:t>
            </w:r>
          </w:p>
        </w:tc>
      </w:tr>
      <w:tr>
        <w:trPr>
          <w:trHeight w:val="288" w:hRule="exact"/>
        </w:trPr>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8"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1,297,226.53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127,161,863.37</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127,604,999.22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854,090.68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74" w:lineRule="exact" w:before="36"/>
        <w:ind w:left="680" w:right="0"/>
        <w:jc w:val="left"/>
      </w:pPr>
      <w:r>
        <w:rPr/>
        <w:t>其他说明：</w:t>
      </w:r>
    </w:p>
    <w:p>
      <w:pPr>
        <w:pStyle w:val="BodyText"/>
        <w:spacing w:line="274" w:lineRule="exact"/>
        <w:ind w:left="680"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760" w:right="700"/>
        </w:sectPr>
      </w:pPr>
    </w:p>
    <w:p>
      <w:pPr>
        <w:pStyle w:val="Heading2"/>
        <w:spacing w:line="240" w:lineRule="auto" w:before="36"/>
        <w:ind w:left="680" w:right="-18"/>
        <w:jc w:val="left"/>
        <w:rPr>
          <w:b w:val="0"/>
          <w:bCs w:val="0"/>
        </w:rPr>
      </w:pPr>
      <w:r>
        <w:rPr>
          <w:rFonts w:ascii="宋体" w:hAnsi="宋体" w:cs="宋体" w:eastAsia="宋体" w:hint="default"/>
        </w:rPr>
        <w:t>36</w:t>
      </w:r>
      <w:r>
        <w:rPr/>
        <w:t>、</w:t>
      </w:r>
      <w:r>
        <w:rPr>
          <w:spacing w:val="-24"/>
        </w:rPr>
        <w:t> </w:t>
      </w:r>
      <w:r>
        <w:rPr/>
        <w:t>应交税费</w:t>
      </w:r>
      <w:r>
        <w:rPr>
          <w:b w:val="0"/>
          <w:bCs w:val="0"/>
        </w:rPr>
      </w:r>
    </w:p>
    <w:p>
      <w:pPr>
        <w:pStyle w:val="BodyText"/>
        <w:spacing w:line="240" w:lineRule="auto" w:before="56"/>
        <w:ind w:left="68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32" w:val="left" w:leader="none"/>
        </w:tabs>
        <w:spacing w:line="240" w:lineRule="auto"/>
        <w:ind w:left="680" w:right="0"/>
        <w:jc w:val="left"/>
      </w:pPr>
      <w:r>
        <w:rPr>
          <w:spacing w:val="-1"/>
        </w:rPr>
        <w:t>单位：元</w:t>
        <w:tab/>
      </w:r>
      <w:r>
        <w:rPr>
          <w:spacing w:val="-2"/>
        </w:rPr>
        <w:t>币种：人民币</w:t>
      </w:r>
    </w:p>
    <w:p>
      <w:pPr>
        <w:spacing w:after="0" w:line="240" w:lineRule="auto"/>
        <w:jc w:val="left"/>
        <w:sectPr>
          <w:type w:val="continuous"/>
          <w:pgSz w:w="11910" w:h="16840"/>
          <w:pgMar w:top="1060" w:bottom="1380" w:left="760" w:right="700"/>
          <w:cols w:num="2" w:equalWidth="0">
            <w:col w:w="2258" w:space="4458"/>
            <w:col w:w="3734"/>
          </w:cols>
        </w:sectPr>
      </w:pPr>
    </w:p>
    <w:p>
      <w:pPr>
        <w:spacing w:line="240" w:lineRule="auto" w:before="4"/>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3046"/>
        <w:gridCol w:w="3020"/>
        <w:gridCol w:w="3025"/>
      </w:tblGrid>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19,323,294.47</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17,644,303.85</w:t>
            </w: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20" w:type="dxa"/>
            <w:tcBorders>
              <w:top w:val="single" w:sz="4" w:space="0" w:color="000000"/>
              <w:left w:val="single" w:sz="4" w:space="0" w:color="000000"/>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11,593.02</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3,774,290.71</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3,838,352.86</w:t>
            </w:r>
          </w:p>
        </w:tc>
      </w:tr>
      <w:tr>
        <w:trPr>
          <w:trHeight w:val="28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4,010,239.94</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2,110,173.84</w:t>
            </w: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620,659.25</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704,739.47</w:t>
            </w:r>
          </w:p>
        </w:tc>
      </w:tr>
    </w:tbl>
    <w:p>
      <w:pPr>
        <w:spacing w:after="0" w:line="241" w:lineRule="exact"/>
        <w:jc w:val="right"/>
        <w:rPr>
          <w:rFonts w:ascii="宋体" w:hAnsi="宋体" w:cs="宋体" w:eastAsia="宋体" w:hint="default"/>
          <w:sz w:val="21"/>
          <w:szCs w:val="21"/>
        </w:rPr>
        <w:sectPr>
          <w:type w:val="continuous"/>
          <w:pgSz w:w="11910" w:h="16840"/>
          <w:pgMar w:top="1060" w:bottom="1380" w:left="76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84" w:type="dxa"/>
        <w:tblLayout w:type="fixed"/>
        <w:tblCellMar>
          <w:top w:w="0" w:type="dxa"/>
          <w:left w:w="0" w:type="dxa"/>
          <w:bottom w:w="0" w:type="dxa"/>
          <w:right w:w="0" w:type="dxa"/>
        </w:tblCellMar>
        <w:tblLook w:val="01E0"/>
      </w:tblPr>
      <w:tblGrid>
        <w:gridCol w:w="3046"/>
        <w:gridCol w:w="3020"/>
        <w:gridCol w:w="3025"/>
      </w:tblGrid>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432,111.36</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498,872.93</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1,499,669.09</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2,541.43</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18,478,493.72</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18,067,481.10</w:t>
            </w: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48,138,758.54</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42,878,058.50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20" w:right="1220"/>
        </w:sectPr>
      </w:pPr>
    </w:p>
    <w:p>
      <w:pPr>
        <w:pStyle w:val="Heading2"/>
        <w:spacing w:line="290" w:lineRule="auto" w:before="36"/>
        <w:ind w:right="-2"/>
        <w:jc w:val="left"/>
        <w:rPr>
          <w:b w:val="0"/>
          <w:bCs w:val="0"/>
        </w:rPr>
      </w:pPr>
      <w:r>
        <w:rPr>
          <w:rFonts w:ascii="宋体" w:hAnsi="宋体" w:cs="宋体" w:eastAsia="宋体" w:hint="default"/>
        </w:rPr>
        <w:t>37</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798" w:space="4918"/>
            <w:col w:w="275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154"/>
        <w:gridCol w:w="3039"/>
        <w:gridCol w:w="3051"/>
      </w:tblGrid>
      <w:tr>
        <w:trPr>
          <w:trHeight w:val="281" w:hRule="exact"/>
        </w:trPr>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039"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202,228.29</w:t>
            </w:r>
          </w:p>
        </w:tc>
      </w:tr>
      <w:tr>
        <w:trPr>
          <w:trHeight w:val="283" w:hRule="exact"/>
        </w:trPr>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286,639,643.77</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264,167,715.75</w:t>
            </w:r>
          </w:p>
        </w:tc>
      </w:tr>
      <w:tr>
        <w:trPr>
          <w:trHeight w:val="283" w:hRule="exact"/>
        </w:trPr>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286,639,643.77</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264,369,944.04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73" w:lineRule="exact" w:before="36"/>
        <w:ind w:right="205"/>
        <w:jc w:val="left"/>
      </w:pPr>
      <w:r>
        <w:rPr/>
        <w:t>其他说明：</w:t>
      </w:r>
    </w:p>
    <w:p>
      <w:pPr>
        <w:pStyle w:val="BodyText"/>
        <w:spacing w:line="273" w:lineRule="exact"/>
        <w:ind w:right="205"/>
        <w:jc w:val="left"/>
      </w:pPr>
      <w:r>
        <w:rPr/>
        <w:t>□适用 √不适用</w:t>
      </w:r>
    </w:p>
    <w:p>
      <w:pPr>
        <w:spacing w:line="240" w:lineRule="auto" w:before="3"/>
        <w:rPr>
          <w:rFonts w:ascii="宋体" w:hAnsi="宋体" w:cs="宋体" w:eastAsia="宋体" w:hint="default"/>
          <w:sz w:val="25"/>
          <w:szCs w:val="25"/>
        </w:rPr>
      </w:pPr>
    </w:p>
    <w:p>
      <w:pPr>
        <w:pStyle w:val="Heading2"/>
        <w:spacing w:line="292" w:lineRule="auto"/>
        <w:ind w:right="7959"/>
        <w:jc w:val="left"/>
        <w:rPr>
          <w:b w:val="0"/>
          <w:bCs w:val="0"/>
        </w:rPr>
      </w:pPr>
      <w:r>
        <w:rPr/>
        <w:t>应付利息</w:t>
      </w:r>
      <w:r>
        <w:rPr>
          <w:w w:val="100"/>
        </w:rPr>
        <w:t> </w:t>
      </w:r>
      <w:r>
        <w:rPr>
          <w:rFonts w:ascii="宋体" w:hAnsi="宋体" w:cs="宋体" w:eastAsia="宋体" w:hint="default"/>
        </w:rPr>
        <w:t>(2).</w:t>
      </w:r>
      <w:r>
        <w:rPr/>
        <w:t>分类列示</w:t>
      </w:r>
      <w:r>
        <w:rPr>
          <w:b w:val="0"/>
          <w:bCs w:val="0"/>
        </w:rPr>
      </w:r>
    </w:p>
    <w:p>
      <w:pPr>
        <w:pStyle w:val="BodyText"/>
        <w:spacing w:line="240" w:lineRule="auto" w:before="10"/>
        <w:ind w:right="205"/>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90" w:lineRule="auto"/>
        <w:ind w:right="7959"/>
        <w:jc w:val="left"/>
        <w:rPr>
          <w:b w:val="0"/>
          <w:bCs w:val="0"/>
        </w:rPr>
      </w:pPr>
      <w:r>
        <w:rPr/>
        <w:t>应付股利</w:t>
      </w:r>
      <w:r>
        <w:rPr>
          <w:w w:val="100"/>
        </w:rPr>
        <w:t> </w:t>
      </w:r>
      <w:r>
        <w:rPr>
          <w:rFonts w:ascii="宋体" w:hAnsi="宋体" w:cs="宋体" w:eastAsia="宋体" w:hint="default"/>
        </w:rPr>
        <w:t>(3).</w:t>
      </w:r>
      <w:r>
        <w:rPr/>
        <w:t>分类列示</w:t>
      </w:r>
      <w:r>
        <w:rPr>
          <w:b w:val="0"/>
          <w:bCs w:val="0"/>
        </w:rPr>
      </w:r>
    </w:p>
    <w:p>
      <w:pPr>
        <w:pStyle w:val="BodyText"/>
        <w:spacing w:line="240" w:lineRule="auto" w:before="14"/>
        <w:ind w:right="205"/>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220" w:right="1220"/>
        </w:sectPr>
      </w:pPr>
    </w:p>
    <w:p>
      <w:pPr>
        <w:pStyle w:val="Heading2"/>
        <w:spacing w:line="240" w:lineRule="auto" w:before="36"/>
        <w:ind w:right="-17"/>
        <w:jc w:val="left"/>
        <w:rPr>
          <w:b w:val="0"/>
          <w:bCs w:val="0"/>
        </w:rPr>
      </w:pPr>
      <w:r>
        <w:rPr/>
        <w:t>其他应付款</w:t>
      </w:r>
      <w:r>
        <w:rPr>
          <w:b w:val="0"/>
          <w:bCs w:val="0"/>
        </w:rPr>
      </w:r>
    </w:p>
    <w:p>
      <w:pPr>
        <w:pStyle w:val="Heading2"/>
        <w:spacing w:line="240" w:lineRule="auto" w:before="59"/>
        <w:ind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3279" w:space="3437"/>
            <w:col w:w="275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86"/>
        <w:gridCol w:w="3063"/>
        <w:gridCol w:w="3195"/>
      </w:tblGrid>
      <w:tr>
        <w:trPr>
          <w:trHeight w:val="283"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应付关联方款项</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6,929,554.20</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1,424,969.89</w:t>
            </w:r>
          </w:p>
        </w:tc>
      </w:tr>
      <w:tr>
        <w:trPr>
          <w:trHeight w:val="283"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w:t>
            </w: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质保金</w:t>
            </w:r>
            <w:r>
              <w:rPr>
                <w:rFonts w:ascii="宋体" w:hAnsi="宋体" w:cs="宋体" w:eastAsia="宋体" w:hint="default"/>
                <w:sz w:val="21"/>
                <w:szCs w:val="21"/>
              </w:rPr>
              <w:t>/</w:t>
            </w:r>
            <w:r>
              <w:rPr>
                <w:rFonts w:ascii="宋体" w:hAnsi="宋体" w:cs="宋体" w:eastAsia="宋体" w:hint="default"/>
                <w:sz w:val="21"/>
                <w:szCs w:val="21"/>
              </w:rPr>
              <w:t>履约金</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67,959,185.69</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84,046,594.06</w:t>
            </w:r>
          </w:p>
        </w:tc>
      </w:tr>
      <w:tr>
        <w:trPr>
          <w:trHeight w:val="283"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工程及基建费用</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27,578,598.79</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22,661,563.29</w:t>
            </w:r>
          </w:p>
        </w:tc>
      </w:tr>
      <w:tr>
        <w:trPr>
          <w:trHeight w:val="281"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其他单位往来款</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62,825,482.23</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52,565,352.62</w:t>
            </w:r>
          </w:p>
        </w:tc>
      </w:tr>
      <w:tr>
        <w:trPr>
          <w:trHeight w:val="283"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121,346,822.86</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103,469,235.89</w:t>
            </w:r>
          </w:p>
        </w:tc>
      </w:tr>
      <w:tr>
        <w:trPr>
          <w:trHeight w:val="283"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286,639,643.77</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264,167,715.75</w:t>
            </w:r>
          </w:p>
        </w:tc>
      </w:tr>
    </w:tbl>
    <w:p>
      <w:pPr>
        <w:pStyle w:val="BodyText"/>
        <w:spacing w:line="241" w:lineRule="exact"/>
        <w:ind w:right="205"/>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年的其他应付款项主要为保证金及押金。</w:t>
      </w:r>
    </w:p>
    <w:p>
      <w:pPr>
        <w:spacing w:after="0" w:line="241" w:lineRule="exact"/>
        <w:jc w:val="left"/>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36"/>
        <w:ind w:right="20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right="7651"/>
        <w:jc w:val="left"/>
      </w:pPr>
      <w:r>
        <w:rPr/>
        <w:t>□适用 √不适用</w:t>
      </w:r>
      <w:r>
        <w:rPr>
          <w:w w:val="100"/>
        </w:rPr>
        <w:t> </w:t>
      </w:r>
      <w:r>
        <w:rPr/>
        <w:t>其他说明：</w:t>
      </w:r>
    </w:p>
    <w:p>
      <w:pPr>
        <w:pStyle w:val="BodyText"/>
        <w:spacing w:line="271" w:lineRule="exact"/>
        <w:ind w:right="20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38</w:t>
      </w:r>
      <w:r>
        <w:rPr/>
        <w:t>、</w:t>
      </w:r>
      <w:r>
        <w:rPr>
          <w:spacing w:val="-24"/>
        </w:rPr>
        <w:t> </w:t>
      </w:r>
      <w:r>
        <w:rPr/>
        <w:t>持有待售负债</w:t>
      </w:r>
      <w:r>
        <w:rPr>
          <w:b w:val="0"/>
          <w:bCs w:val="0"/>
        </w:rPr>
      </w:r>
    </w:p>
    <w:p>
      <w:pPr>
        <w:pStyle w:val="BodyText"/>
        <w:spacing w:line="240" w:lineRule="auto" w:before="58"/>
        <w:ind w:right="205"/>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39</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9"/>
        <w:ind w:right="205"/>
        <w:jc w:val="left"/>
      </w:pPr>
      <w:r>
        <w:rPr/>
        <w:t>□适用 √不适用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20" w:right="1220"/>
        </w:sectPr>
      </w:pPr>
    </w:p>
    <w:p>
      <w:pPr>
        <w:spacing w:line="290" w:lineRule="auto" w:before="36"/>
        <w:ind w:left="220" w:right="-19" w:firstLine="0"/>
        <w:jc w:val="left"/>
        <w:rPr>
          <w:rFonts w:ascii="宋体" w:hAnsi="宋体" w:cs="宋体" w:eastAsia="宋体" w:hint="default"/>
          <w:sz w:val="21"/>
          <w:szCs w:val="21"/>
        </w:rPr>
      </w:pPr>
      <w:r>
        <w:rPr>
          <w:rFonts w:ascii="宋体" w:hAnsi="宋体" w:cs="宋体" w:eastAsia="宋体" w:hint="default"/>
          <w:b/>
          <w:bCs/>
          <w:sz w:val="21"/>
          <w:szCs w:val="21"/>
        </w:rPr>
        <w:t>40</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62" w:val="left" w:leader="none"/>
        </w:tabs>
        <w:spacing w:line="227" w:lineRule="exact"/>
        <w:ind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992" w:space="4724"/>
            <w:col w:w="275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61"/>
        <w:gridCol w:w="3185"/>
        <w:gridCol w:w="3197"/>
      </w:tblGrid>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政府补助（注</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98,377,250.58</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92,171,925.10</w:t>
            </w:r>
          </w:p>
        </w:tc>
      </w:tr>
      <w:tr>
        <w:trPr>
          <w:trHeight w:val="281"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会员卡积分</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1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预计负债（注</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48,879,492.72</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54,838,606.35</w:t>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147,256,743.30</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147,010,531.45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3" w:lineRule="exact" w:before="36"/>
        <w:ind w:right="205"/>
        <w:jc w:val="left"/>
      </w:pPr>
      <w:r>
        <w:rPr/>
        <w:t>短期应付债券的增减变动：</w:t>
      </w:r>
    </w:p>
    <w:p>
      <w:pPr>
        <w:pStyle w:val="BodyText"/>
        <w:spacing w:line="290" w:lineRule="auto"/>
        <w:ind w:right="7651"/>
        <w:jc w:val="left"/>
      </w:pPr>
      <w:r>
        <w:rPr/>
        <w:t>□适用 √不适用</w:t>
      </w:r>
      <w:r>
        <w:rPr>
          <w:w w:val="100"/>
        </w:rPr>
        <w:t> </w:t>
      </w:r>
      <w:r>
        <w:rPr/>
        <w:t>其他说明：</w:t>
      </w:r>
    </w:p>
    <w:p>
      <w:pPr>
        <w:pStyle w:val="BodyText"/>
        <w:spacing w:line="240" w:lineRule="auto" w:before="12"/>
        <w:ind w:right="205"/>
        <w:jc w:val="left"/>
      </w:pPr>
      <w:r>
        <w:rPr/>
        <w:t>√适用 □不适用</w:t>
      </w:r>
    </w:p>
    <w:p>
      <w:pPr>
        <w:pStyle w:val="BodyText"/>
        <w:spacing w:line="355" w:lineRule="auto" w:before="58"/>
        <w:ind w:right="107"/>
        <w:jc w:val="left"/>
      </w:pPr>
      <w:r>
        <w:rPr/>
        <w:t>注</w:t>
      </w:r>
      <w:r>
        <w:rPr>
          <w:spacing w:val="-8"/>
        </w:rPr>
        <w:t> </w:t>
      </w:r>
      <w:r>
        <w:rPr>
          <w:rFonts w:ascii="宋体" w:hAnsi="宋体" w:cs="宋体" w:eastAsia="宋体" w:hint="default"/>
        </w:rPr>
        <w:t>1</w:t>
      </w:r>
      <w:r>
        <w:rPr/>
        <w:t>：对于某些题材的出版物发行，本集团下属出版单位会获得多种形式的政府补贴。当相关的出</w:t>
      </w:r>
      <w:r>
        <w:rPr>
          <w:w w:val="100"/>
        </w:rPr>
        <w:t> </w:t>
      </w:r>
      <w:r>
        <w:rPr/>
        <w:t>版物完工时，相应的政府补助计入其他收益中，对于已获取但相关发行业务尚未执行的政府补助，</w:t>
      </w:r>
      <w:r>
        <w:rPr>
          <w:spacing w:val="-8"/>
        </w:rPr>
        <w:t> </w:t>
      </w:r>
      <w:r>
        <w:rPr>
          <w:spacing w:val="-8"/>
        </w:rPr>
      </w:r>
      <w:r>
        <w:rPr/>
        <w:t>会在递延收益中列示。</w:t>
      </w:r>
    </w:p>
    <w:p>
      <w:pPr>
        <w:pStyle w:val="BodyText"/>
        <w:spacing w:line="240" w:lineRule="auto" w:before="32"/>
        <w:ind w:left="640" w:right="205"/>
        <w:jc w:val="left"/>
      </w:pPr>
      <w:r>
        <w:rPr/>
        <w:t>涉及政府补助的项目：</w:t>
      </w:r>
    </w:p>
    <w:p>
      <w:pPr>
        <w:pStyle w:val="BodyText"/>
        <w:spacing w:line="274" w:lineRule="exact"/>
        <w:ind w:left="0" w:right="213"/>
        <w:jc w:val="right"/>
      </w:pPr>
      <w:r>
        <w:rPr>
          <w:spacing w:val="-1"/>
        </w:rPr>
        <w:t>人民币元</w:t>
      </w:r>
    </w:p>
    <w:p>
      <w:pPr>
        <w:spacing w:line="240" w:lineRule="auto" w:before="4"/>
        <w:rPr>
          <w:rFonts w:ascii="宋体" w:hAnsi="宋体" w:cs="宋体" w:eastAsia="宋体" w:hint="default"/>
          <w:sz w:val="2"/>
          <w:szCs w:val="2"/>
        </w:rPr>
      </w:pPr>
    </w:p>
    <w:tbl>
      <w:tblPr>
        <w:tblW w:w="0" w:type="auto"/>
        <w:jc w:val="left"/>
        <w:tblInd w:w="215" w:type="dxa"/>
        <w:tblLayout w:type="fixed"/>
        <w:tblCellMar>
          <w:top w:w="0" w:type="dxa"/>
          <w:left w:w="0" w:type="dxa"/>
          <w:bottom w:w="0" w:type="dxa"/>
          <w:right w:w="0" w:type="dxa"/>
        </w:tblCellMar>
        <w:tblLook w:val="01E0"/>
      </w:tblPr>
      <w:tblGrid>
        <w:gridCol w:w="962"/>
        <w:gridCol w:w="1561"/>
        <w:gridCol w:w="1560"/>
        <w:gridCol w:w="1844"/>
        <w:gridCol w:w="1846"/>
        <w:gridCol w:w="1301"/>
      </w:tblGrid>
      <w:tr>
        <w:trPr>
          <w:trHeight w:val="425"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04" w:right="0"/>
              <w:jc w:val="left"/>
              <w:rPr>
                <w:rFonts w:ascii="宋体" w:hAnsi="宋体" w:cs="宋体" w:eastAsia="宋体" w:hint="default"/>
                <w:sz w:val="16"/>
                <w:szCs w:val="16"/>
              </w:rPr>
            </w:pPr>
            <w:r>
              <w:rPr>
                <w:rFonts w:ascii="宋体" w:hAnsi="宋体" w:cs="宋体" w:eastAsia="宋体" w:hint="default"/>
                <w:sz w:val="16"/>
                <w:szCs w:val="16"/>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6"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41" w:right="0"/>
              <w:jc w:val="left"/>
              <w:rPr>
                <w:rFonts w:ascii="宋体" w:hAnsi="宋体" w:cs="宋体" w:eastAsia="宋体" w:hint="default"/>
                <w:sz w:val="16"/>
                <w:szCs w:val="16"/>
              </w:rPr>
            </w:pPr>
            <w:r>
              <w:rPr>
                <w:rFonts w:ascii="宋体" w:hAnsi="宋体" w:cs="宋体" w:eastAsia="宋体" w:hint="default"/>
                <w:sz w:val="16"/>
                <w:szCs w:val="16"/>
              </w:rPr>
              <w:t>本年新增</w:t>
            </w:r>
          </w:p>
          <w:p>
            <w:pPr>
              <w:pStyle w:val="TableParagraph"/>
              <w:spacing w:line="209" w:lineRule="exact"/>
              <w:ind w:left="441" w:right="0"/>
              <w:jc w:val="left"/>
              <w:rPr>
                <w:rFonts w:ascii="宋体" w:hAnsi="宋体" w:cs="宋体" w:eastAsia="宋体" w:hint="default"/>
                <w:sz w:val="16"/>
                <w:szCs w:val="16"/>
              </w:rPr>
            </w:pPr>
            <w:r>
              <w:rPr>
                <w:rFonts w:ascii="宋体" w:hAnsi="宋体" w:cs="宋体" w:eastAsia="宋体" w:hint="default"/>
                <w:sz w:val="16"/>
                <w:szCs w:val="16"/>
              </w:rPr>
              <w:t>补助金额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58"/>
              <w:jc w:val="center"/>
              <w:rPr>
                <w:rFonts w:ascii="宋体" w:hAnsi="宋体" w:cs="宋体" w:eastAsia="宋体" w:hint="default"/>
                <w:sz w:val="16"/>
                <w:szCs w:val="16"/>
              </w:rPr>
            </w:pPr>
            <w:r>
              <w:rPr>
                <w:rFonts w:ascii="宋体" w:hAnsi="宋体" w:cs="宋体" w:eastAsia="宋体" w:hint="default"/>
                <w:sz w:val="16"/>
                <w:szCs w:val="16"/>
              </w:rPr>
              <w:t>本年计入其他</w:t>
            </w:r>
          </w:p>
          <w:p>
            <w:pPr>
              <w:pStyle w:val="TableParagraph"/>
              <w:spacing w:line="209" w:lineRule="exact"/>
              <w:ind w:right="60"/>
              <w:jc w:val="center"/>
              <w:rPr>
                <w:rFonts w:ascii="宋体" w:hAnsi="宋体" w:cs="宋体" w:eastAsia="宋体" w:hint="default"/>
                <w:sz w:val="16"/>
                <w:szCs w:val="16"/>
              </w:rPr>
            </w:pPr>
            <w:r>
              <w:rPr>
                <w:rFonts w:ascii="宋体" w:hAnsi="宋体" w:cs="宋体" w:eastAsia="宋体" w:hint="default"/>
                <w:sz w:val="16"/>
                <w:szCs w:val="16"/>
              </w:rPr>
              <w:t>收益金额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3"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32" w:right="0" w:hanging="41"/>
              <w:jc w:val="left"/>
              <w:rPr>
                <w:rFonts w:ascii="宋体" w:hAnsi="宋体" w:cs="宋体" w:eastAsia="宋体" w:hint="default"/>
                <w:sz w:val="16"/>
                <w:szCs w:val="16"/>
              </w:rPr>
            </w:pPr>
            <w:r>
              <w:rPr>
                <w:rFonts w:ascii="宋体" w:hAnsi="宋体" w:cs="宋体" w:eastAsia="宋体" w:hint="default"/>
                <w:sz w:val="16"/>
                <w:szCs w:val="16"/>
              </w:rPr>
              <w:t>与资产相关</w:t>
            </w:r>
            <w:r>
              <w:rPr>
                <w:rFonts w:ascii="宋体" w:hAnsi="宋体" w:cs="宋体" w:eastAsia="宋体" w:hint="default"/>
                <w:sz w:val="16"/>
                <w:szCs w:val="16"/>
              </w:rPr>
              <w:t>/</w:t>
            </w:r>
          </w:p>
          <w:p>
            <w:pPr>
              <w:pStyle w:val="TableParagraph"/>
              <w:spacing w:line="209" w:lineRule="exact"/>
              <w:ind w:left="232"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38"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26" w:right="0"/>
              <w:jc w:val="left"/>
              <w:rPr>
                <w:rFonts w:ascii="宋体" w:hAnsi="宋体" w:cs="宋体" w:eastAsia="宋体" w:hint="default"/>
                <w:sz w:val="16"/>
                <w:szCs w:val="16"/>
              </w:rPr>
            </w:pPr>
            <w:r>
              <w:rPr>
                <w:rFonts w:ascii="宋体" w:hAnsi="宋体" w:cs="宋体" w:eastAsia="宋体" w:hint="default"/>
                <w:sz w:val="16"/>
                <w:szCs w:val="16"/>
              </w:rPr>
              <w:t>图书补贴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spacing w:val="-2"/>
                <w:sz w:val="16"/>
              </w:rPr>
              <w:t>92,171,925.10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spacing w:val="-2"/>
                <w:sz w:val="16"/>
              </w:rPr>
              <w:t>33,030,529.49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3"/>
              <w:jc w:val="right"/>
              <w:rPr>
                <w:rFonts w:ascii="宋体" w:hAnsi="宋体" w:cs="宋体" w:eastAsia="宋体" w:hint="default"/>
                <w:sz w:val="16"/>
                <w:szCs w:val="16"/>
              </w:rPr>
            </w:pPr>
            <w:r>
              <w:rPr>
                <w:rFonts w:ascii="宋体"/>
                <w:spacing w:val="-2"/>
                <w:sz w:val="16"/>
              </w:rPr>
              <w:t>(26,825,204.01)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spacing w:val="-2"/>
                <w:sz w:val="16"/>
              </w:rPr>
              <w:t>98,377,250.58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247"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18"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4"/>
              <w:jc w:val="right"/>
              <w:rPr>
                <w:rFonts w:ascii="宋体" w:hAnsi="宋体" w:cs="宋体" w:eastAsia="宋体" w:hint="default"/>
                <w:sz w:val="16"/>
                <w:szCs w:val="16"/>
              </w:rPr>
            </w:pPr>
            <w:r>
              <w:rPr>
                <w:rFonts w:ascii="宋体"/>
                <w:spacing w:val="-2"/>
                <w:sz w:val="16"/>
              </w:rPr>
              <w:t>92,171,925.10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spacing w:val="-2"/>
                <w:sz w:val="16"/>
              </w:rPr>
              <w:t>33,030,529.49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2"/>
                <w:sz w:val="16"/>
              </w:rPr>
              <w:t>(26,825,204.01)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spacing w:val="-2"/>
                <w:sz w:val="16"/>
              </w:rPr>
              <w:t>98,377,250.58</w:t>
            </w:r>
          </w:p>
        </w:tc>
        <w:tc>
          <w:tcPr>
            <w:tcW w:w="1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5"/>
          <w:szCs w:val="25"/>
        </w:rPr>
      </w:pPr>
    </w:p>
    <w:p>
      <w:pPr>
        <w:pStyle w:val="BodyText"/>
        <w:spacing w:line="355" w:lineRule="auto" w:before="36"/>
        <w:ind w:right="211"/>
        <w:jc w:val="both"/>
      </w:pPr>
      <w:r>
        <w:rPr/>
        <w:t>注 </w:t>
      </w:r>
      <w:r>
        <w:rPr>
          <w:rFonts w:ascii="宋体" w:hAnsi="宋体" w:cs="宋体" w:eastAsia="宋体" w:hint="default"/>
          <w:spacing w:val="-6"/>
        </w:rPr>
        <w:t>2</w:t>
      </w:r>
      <w:r>
        <w:rPr>
          <w:spacing w:val="-6"/>
        </w:rPr>
        <w:t>：本集团预计负债为根据历史退货率估算的退货准备。根据新收入准则，对附退货条款的销售，</w:t>
      </w:r>
      <w:r>
        <w:rPr>
          <w:spacing w:val="-69"/>
        </w:rPr>
        <w:t> </w:t>
      </w:r>
      <w:r>
        <w:rPr>
          <w:spacing w:val="-69"/>
        </w:rPr>
      </w:r>
      <w:r>
        <w:rPr>
          <w:spacing w:val="-2"/>
        </w:rPr>
        <w:t>按照预期因销售退回将退还的金额确认负债，同时，按照预期将退回商品转让时的账面价值，扣除</w:t>
      </w:r>
      <w:r>
        <w:rPr>
          <w:spacing w:val="-32"/>
        </w:rPr>
        <w:t> </w:t>
      </w:r>
      <w:r>
        <w:rPr>
          <w:spacing w:val="-32"/>
        </w:rPr>
      </w:r>
      <w:r>
        <w:rPr/>
        <w:t>收回该商品预计发生的成本</w:t>
      </w:r>
      <w:r>
        <w:rPr>
          <w:rFonts w:ascii="宋体" w:hAnsi="宋体" w:cs="宋体" w:eastAsia="宋体" w:hint="default"/>
        </w:rPr>
        <w:t>((</w:t>
      </w:r>
      <w:r>
        <w:rPr/>
        <w:t>包括退回商品的价值减损</w:t>
      </w:r>
      <w:r>
        <w:rPr>
          <w:rFonts w:ascii="宋体" w:hAnsi="宋体" w:cs="宋体" w:eastAsia="宋体" w:hint="default"/>
        </w:rPr>
        <w:t>))</w:t>
      </w:r>
      <w:r>
        <w:rPr/>
        <w:t>后的余额，确认为一项资产。</w:t>
      </w:r>
    </w:p>
    <w:p>
      <w:pPr>
        <w:spacing w:after="0" w:line="355" w:lineRule="auto"/>
        <w:jc w:val="both"/>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36"/>
        <w:ind w:left="140" w:right="106"/>
        <w:jc w:val="left"/>
        <w:rPr>
          <w:b w:val="0"/>
          <w:bCs w:val="0"/>
        </w:rPr>
      </w:pPr>
      <w:r>
        <w:rPr>
          <w:rFonts w:ascii="宋体" w:hAnsi="宋体" w:cs="宋体" w:eastAsia="宋体" w:hint="default"/>
        </w:rPr>
        <w:t>41</w:t>
      </w:r>
      <w:r>
        <w:rPr/>
        <w:t>、</w:t>
      </w:r>
      <w:r>
        <w:rPr>
          <w:spacing w:val="-24"/>
        </w:rPr>
        <w:t> </w:t>
      </w:r>
      <w:r>
        <w:rPr/>
        <w:t>长期借款</w:t>
      </w:r>
      <w:r>
        <w:rPr>
          <w:b w:val="0"/>
          <w:bCs w:val="0"/>
        </w:rPr>
      </w:r>
    </w:p>
    <w:p>
      <w:pPr>
        <w:pStyle w:val="Heading2"/>
        <w:spacing w:line="240" w:lineRule="auto" w:before="56"/>
        <w:ind w:left="140" w:right="106"/>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8"/>
        <w:ind w:left="140" w:right="106"/>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left="140" w:right="106"/>
        <w:jc w:val="left"/>
      </w:pPr>
      <w:r>
        <w:rPr/>
        <w:t>其他说明，包括利率区间：</w:t>
      </w:r>
    </w:p>
    <w:p>
      <w:pPr>
        <w:pStyle w:val="BodyText"/>
        <w:spacing w:line="274" w:lineRule="exact"/>
        <w:ind w:left="140" w:right="106"/>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140" w:right="7778"/>
        <w:jc w:val="left"/>
        <w:rPr>
          <w:b w:val="0"/>
          <w:bCs w:val="0"/>
        </w:rPr>
      </w:pPr>
      <w:r>
        <w:rPr>
          <w:rFonts w:ascii="宋体" w:hAnsi="宋体" w:cs="宋体" w:eastAsia="宋体" w:hint="default"/>
        </w:rPr>
        <w:t>42</w:t>
      </w:r>
      <w:r>
        <w:rPr/>
        <w:t>、</w:t>
      </w:r>
      <w:r>
        <w:rPr>
          <w:spacing w:val="-24"/>
        </w:rPr>
        <w:t> </w:t>
      </w:r>
      <w:r>
        <w:rPr/>
        <w:t>应付债券</w:t>
      </w:r>
      <w:r>
        <w:rPr>
          <w:w w:val="100"/>
        </w:rPr>
        <w:t> </w:t>
      </w:r>
      <w:r>
        <w:rPr>
          <w:rFonts w:ascii="宋体" w:hAnsi="宋体" w:cs="宋体" w:eastAsia="宋体" w:hint="default"/>
        </w:rPr>
        <w:t>(1).</w:t>
      </w:r>
      <w:r>
        <w:rPr/>
        <w:t>应付债券</w:t>
      </w:r>
      <w:r>
        <w:rPr>
          <w:b w:val="0"/>
          <w:bCs w:val="0"/>
        </w:rPr>
      </w:r>
    </w:p>
    <w:p>
      <w:pPr>
        <w:pStyle w:val="Heading2"/>
        <w:spacing w:line="290" w:lineRule="auto" w:before="15"/>
        <w:ind w:left="140" w:right="1014"/>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b w:val="0"/>
          <w:bCs w:val="0"/>
          <w:spacing w:val="-3"/>
          <w:w w:val="100"/>
        </w:rPr>
      </w:r>
    </w:p>
    <w:p>
      <w:pPr>
        <w:spacing w:line="290" w:lineRule="auto" w:before="12"/>
        <w:ind w:left="140" w:right="46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pStyle w:val="BodyText"/>
        <w:tabs>
          <w:tab w:pos="982" w:val="left" w:leader="none"/>
        </w:tabs>
        <w:spacing w:line="240" w:lineRule="auto" w:before="12"/>
        <w:ind w:left="140" w:right="106"/>
        <w:jc w:val="left"/>
      </w:pPr>
      <w:r>
        <w:rPr/>
        <w:t>□适用</w:t>
        <w:tab/>
        <w:t>√不适用</w:t>
      </w:r>
    </w:p>
    <w:p>
      <w:pPr>
        <w:spacing w:line="240" w:lineRule="auto" w:before="11"/>
        <w:rPr>
          <w:rFonts w:ascii="宋体" w:hAnsi="宋体" w:cs="宋体" w:eastAsia="宋体" w:hint="default"/>
          <w:sz w:val="29"/>
          <w:szCs w:val="29"/>
        </w:rPr>
      </w:pPr>
    </w:p>
    <w:p>
      <w:pPr>
        <w:spacing w:line="290" w:lineRule="auto" w:before="0"/>
        <w:ind w:left="140" w:right="138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27" w:lineRule="exact"/>
        <w:ind w:left="140" w:right="106"/>
        <w:jc w:val="left"/>
      </w:pPr>
      <w:r>
        <w:rPr/>
        <w:t>□适用 √不适用</w:t>
      </w:r>
    </w:p>
    <w:p>
      <w:pPr>
        <w:spacing w:line="240" w:lineRule="auto" w:before="9"/>
        <w:rPr>
          <w:rFonts w:ascii="宋体" w:hAnsi="宋体" w:cs="宋体" w:eastAsia="宋体" w:hint="default"/>
          <w:sz w:val="20"/>
          <w:szCs w:val="20"/>
        </w:rPr>
      </w:pPr>
    </w:p>
    <w:p>
      <w:pPr>
        <w:pStyle w:val="BodyText"/>
        <w:spacing w:line="274" w:lineRule="exact"/>
        <w:ind w:left="140" w:right="106"/>
        <w:jc w:val="left"/>
      </w:pPr>
      <w:r>
        <w:rPr/>
        <w:t>期末发行在外的优先股、永续债等金融工具变动情况表</w:t>
      </w:r>
    </w:p>
    <w:p>
      <w:pPr>
        <w:pStyle w:val="BodyText"/>
        <w:spacing w:line="290" w:lineRule="auto"/>
        <w:ind w:left="140" w:right="4065"/>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40" w:lineRule="auto" w:before="14"/>
        <w:ind w:left="140" w:right="106"/>
        <w:jc w:val="left"/>
      </w:pPr>
      <w:r>
        <w:rPr/>
        <w:t>□适用 √不适用</w:t>
      </w:r>
    </w:p>
    <w:p>
      <w:pPr>
        <w:spacing w:line="240" w:lineRule="auto" w:before="11"/>
        <w:rPr>
          <w:rFonts w:ascii="宋体" w:hAnsi="宋体" w:cs="宋体" w:eastAsia="宋体" w:hint="default"/>
          <w:sz w:val="29"/>
          <w:szCs w:val="29"/>
        </w:rPr>
      </w:pPr>
    </w:p>
    <w:p>
      <w:pPr>
        <w:pStyle w:val="BodyText"/>
        <w:spacing w:line="240" w:lineRule="auto"/>
        <w:ind w:left="140" w:right="106"/>
        <w:jc w:val="left"/>
      </w:pPr>
      <w:r>
        <w:rPr/>
        <w:t>其他说明：</w:t>
      </w:r>
    </w:p>
    <w:p>
      <w:pPr>
        <w:pStyle w:val="BodyText"/>
        <w:spacing w:line="240" w:lineRule="auto" w:before="56"/>
        <w:ind w:left="140" w:right="106"/>
        <w:jc w:val="left"/>
      </w:pPr>
      <w:r>
        <w:rPr/>
        <w:t>□适用 √不适用</w:t>
      </w:r>
    </w:p>
    <w:p>
      <w:pPr>
        <w:spacing w:line="240" w:lineRule="auto" w:before="11"/>
        <w:rPr>
          <w:rFonts w:ascii="宋体" w:hAnsi="宋体" w:cs="宋体" w:eastAsia="宋体" w:hint="default"/>
          <w:sz w:val="29"/>
          <w:szCs w:val="29"/>
        </w:rPr>
      </w:pPr>
    </w:p>
    <w:p>
      <w:pPr>
        <w:pStyle w:val="Heading2"/>
        <w:spacing w:line="290" w:lineRule="auto"/>
        <w:ind w:left="140" w:right="7569"/>
        <w:jc w:val="left"/>
        <w:rPr>
          <w:b w:val="0"/>
          <w:bCs w:val="0"/>
        </w:rPr>
      </w:pPr>
      <w:r>
        <w:rPr>
          <w:rFonts w:ascii="宋体" w:hAnsi="宋体" w:cs="宋体" w:eastAsia="宋体" w:hint="default"/>
        </w:rPr>
        <w:t>43</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72" w:lineRule="exact" w:before="42"/>
        <w:ind w:left="140" w:right="7551"/>
        <w:jc w:val="left"/>
      </w:pPr>
      <w:r>
        <w:rPr/>
        <w:t>□适用 √不适用</w:t>
      </w:r>
      <w:r>
        <w:rPr>
          <w:w w:val="100"/>
        </w:rPr>
        <w:t> </w:t>
      </w:r>
      <w:r>
        <w:rPr/>
        <w:t>其他说明：</w:t>
      </w:r>
    </w:p>
    <w:p>
      <w:pPr>
        <w:pStyle w:val="BodyText"/>
        <w:spacing w:line="246" w:lineRule="exact"/>
        <w:ind w:left="140" w:right="106"/>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140" w:right="6173"/>
        <w:jc w:val="left"/>
        <w:rPr>
          <w:b w:val="0"/>
          <w:bCs w:val="0"/>
        </w:rPr>
      </w:pPr>
      <w:r>
        <w:rPr/>
        <w:t>长期应付款</w:t>
      </w:r>
      <w:r>
        <w:rPr>
          <w:w w:val="100"/>
        </w:rPr>
        <w:t> </w:t>
      </w:r>
      <w:r>
        <w:rPr>
          <w:rFonts w:ascii="宋体" w:hAnsi="宋体" w:cs="宋体" w:eastAsia="宋体" w:hint="default"/>
        </w:rPr>
        <w:t>(2).</w:t>
      </w:r>
      <w:r>
        <w:rPr/>
        <w:t>按款项性质列示长期应付款</w:t>
      </w:r>
      <w:r>
        <w:rPr>
          <w:b w:val="0"/>
          <w:bCs w:val="0"/>
        </w:rPr>
      </w:r>
    </w:p>
    <w:p>
      <w:pPr>
        <w:pStyle w:val="BodyText"/>
        <w:spacing w:line="240" w:lineRule="auto" w:before="12"/>
        <w:ind w:left="140" w:right="106"/>
        <w:jc w:val="left"/>
      </w:pPr>
      <w:r>
        <w:rPr/>
        <w:t>□适用 √不适用</w:t>
      </w:r>
    </w:p>
    <w:p>
      <w:pPr>
        <w:spacing w:after="0" w:line="240" w:lineRule="auto"/>
        <w:jc w:val="left"/>
        <w:sectPr>
          <w:pgSz w:w="11910" w:h="16840"/>
          <w:pgMar w:header="882" w:footer="1195" w:top="112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90" w:lineRule="auto" w:before="36"/>
        <w:ind w:left="400" w:right="6453"/>
        <w:jc w:val="left"/>
        <w:rPr>
          <w:b w:val="0"/>
          <w:bCs w:val="0"/>
        </w:rPr>
      </w:pPr>
      <w:r>
        <w:rPr/>
        <w:t>专项应付款</w:t>
      </w:r>
      <w:r>
        <w:rPr>
          <w:w w:val="100"/>
        </w:rPr>
        <w:t> </w:t>
      </w:r>
      <w:r>
        <w:rPr>
          <w:rFonts w:ascii="宋体" w:hAnsi="宋体" w:cs="宋体" w:eastAsia="宋体" w:hint="default"/>
        </w:rPr>
        <w:t>(3).</w:t>
      </w:r>
      <w:r>
        <w:rPr/>
        <w:t>按款项性质列示专项应付款</w:t>
      </w:r>
      <w:r>
        <w:rPr>
          <w:b w:val="0"/>
          <w:bCs w:val="0"/>
        </w:rPr>
      </w:r>
    </w:p>
    <w:p>
      <w:pPr>
        <w:pStyle w:val="BodyText"/>
        <w:spacing w:line="240" w:lineRule="auto" w:before="14"/>
        <w:ind w:left="400" w:right="6453"/>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left="400" w:right="6453"/>
        <w:jc w:val="left"/>
        <w:rPr>
          <w:b w:val="0"/>
          <w:bCs w:val="0"/>
        </w:rPr>
      </w:pPr>
      <w:r>
        <w:rPr>
          <w:rFonts w:ascii="宋体" w:hAnsi="宋体" w:cs="宋体" w:eastAsia="宋体" w:hint="default"/>
        </w:rPr>
        <w:t>44</w:t>
      </w:r>
      <w:r>
        <w:rPr/>
        <w:t>、</w:t>
      </w:r>
      <w:r>
        <w:rPr>
          <w:spacing w:val="-23"/>
        </w:rPr>
        <w:t> </w:t>
      </w:r>
      <w:r>
        <w:rPr/>
        <w:t>长期应付职工薪酬</w:t>
      </w:r>
      <w:r>
        <w:rPr>
          <w:b w:val="0"/>
          <w:bCs w:val="0"/>
        </w:rPr>
      </w:r>
    </w:p>
    <w:p>
      <w:pPr>
        <w:pStyle w:val="BodyText"/>
        <w:spacing w:line="240" w:lineRule="auto" w:before="58"/>
        <w:ind w:left="400" w:right="645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400" w:right="6453"/>
        <w:jc w:val="left"/>
        <w:rPr>
          <w:b w:val="0"/>
          <w:bCs w:val="0"/>
        </w:rPr>
      </w:pPr>
      <w:r>
        <w:rPr>
          <w:rFonts w:ascii="宋体" w:hAnsi="宋体" w:cs="宋体" w:eastAsia="宋体" w:hint="default"/>
        </w:rPr>
        <w:t>45</w:t>
      </w:r>
      <w:r>
        <w:rPr/>
        <w:t>、</w:t>
      </w:r>
      <w:r>
        <w:rPr>
          <w:spacing w:val="-24"/>
        </w:rPr>
        <w:t> </w:t>
      </w:r>
      <w:r>
        <w:rPr/>
        <w:t>预计负债</w:t>
      </w:r>
      <w:r>
        <w:rPr>
          <w:b w:val="0"/>
          <w:bCs w:val="0"/>
        </w:rPr>
      </w:r>
    </w:p>
    <w:p>
      <w:pPr>
        <w:pStyle w:val="BodyText"/>
        <w:spacing w:line="240" w:lineRule="auto" w:before="56"/>
        <w:ind w:left="400" w:right="6453"/>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40" w:right="1040"/>
        </w:sectPr>
      </w:pPr>
    </w:p>
    <w:p>
      <w:pPr>
        <w:spacing w:line="290" w:lineRule="auto" w:before="36"/>
        <w:ind w:left="400" w:right="315" w:firstLine="0"/>
        <w:jc w:val="left"/>
        <w:rPr>
          <w:rFonts w:ascii="宋体" w:hAnsi="宋体" w:cs="宋体" w:eastAsia="宋体" w:hint="default"/>
          <w:sz w:val="21"/>
          <w:szCs w:val="21"/>
        </w:rPr>
      </w:pP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242" w:val="left" w:leader="none"/>
        </w:tabs>
        <w:spacing w:line="227" w:lineRule="exact"/>
        <w:ind w:left="400"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452" w:val="left" w:leader="none"/>
        </w:tabs>
        <w:spacing w:line="240" w:lineRule="auto"/>
        <w:ind w:left="400" w:right="0"/>
        <w:jc w:val="left"/>
      </w:pPr>
      <w:r>
        <w:rPr>
          <w:spacing w:val="-1"/>
        </w:rPr>
        <w:t>单位：元</w:t>
        <w:tab/>
      </w:r>
      <w:r>
        <w:rPr>
          <w:spacing w:val="-2"/>
        </w:rPr>
        <w:t>币种：人民币</w:t>
      </w:r>
    </w:p>
    <w:p>
      <w:pPr>
        <w:spacing w:after="0" w:line="240" w:lineRule="auto"/>
        <w:jc w:val="left"/>
        <w:sectPr>
          <w:type w:val="continuous"/>
          <w:pgSz w:w="11910" w:h="16840"/>
          <w:pgMar w:top="1060" w:bottom="1380" w:left="1040" w:right="1040"/>
          <w:cols w:num="2" w:equalWidth="0">
            <w:col w:w="2083" w:space="4633"/>
            <w:col w:w="3114"/>
          </w:cols>
        </w:sectPr>
      </w:pPr>
    </w:p>
    <w:p>
      <w:pPr>
        <w:spacing w:line="240" w:lineRule="auto" w:before="4"/>
        <w:rPr>
          <w:rFonts w:ascii="宋体" w:hAnsi="宋体" w:cs="宋体" w:eastAsia="宋体" w:hint="default"/>
          <w:sz w:val="2"/>
          <w:szCs w:val="2"/>
        </w:rPr>
      </w:pPr>
    </w:p>
    <w:tbl>
      <w:tblPr>
        <w:tblW w:w="0" w:type="auto"/>
        <w:jc w:val="left"/>
        <w:tblInd w:w="282" w:type="dxa"/>
        <w:tblLayout w:type="fixed"/>
        <w:tblCellMar>
          <w:top w:w="0" w:type="dxa"/>
          <w:left w:w="0" w:type="dxa"/>
          <w:bottom w:w="0" w:type="dxa"/>
          <w:right w:w="0" w:type="dxa"/>
        </w:tblCellMar>
        <w:tblLook w:val="01E0"/>
      </w:tblPr>
      <w:tblGrid>
        <w:gridCol w:w="1126"/>
        <w:gridCol w:w="1882"/>
        <w:gridCol w:w="1596"/>
        <w:gridCol w:w="1738"/>
        <w:gridCol w:w="1738"/>
        <w:gridCol w:w="1174"/>
      </w:tblGrid>
      <w:tr>
        <w:trPr>
          <w:trHeight w:val="346"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86,227,572.50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1,394,545.29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center"/>
              <w:rPr>
                <w:rFonts w:ascii="宋体" w:hAnsi="宋体" w:cs="宋体" w:eastAsia="宋体" w:hint="default"/>
                <w:sz w:val="21"/>
                <w:szCs w:val="21"/>
              </w:rPr>
            </w:pPr>
            <w:r>
              <w:rPr>
                <w:rFonts w:ascii="宋体"/>
                <w:sz w:val="21"/>
              </w:rPr>
              <w:t>17,411,575.95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70,210,541.84</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86,227,572.50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1,394,545.29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center"/>
              <w:rPr>
                <w:rFonts w:ascii="宋体" w:hAnsi="宋体" w:cs="宋体" w:eastAsia="宋体" w:hint="default"/>
                <w:sz w:val="21"/>
                <w:szCs w:val="21"/>
              </w:rPr>
            </w:pPr>
            <w:r>
              <w:rPr>
                <w:rFonts w:ascii="宋体"/>
                <w:sz w:val="21"/>
              </w:rPr>
              <w:t>17,411,575.95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70,210,541.84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40" w:right="1040"/>
        </w:sectPr>
      </w:pPr>
    </w:p>
    <w:p>
      <w:pPr>
        <w:pStyle w:val="BodyText"/>
        <w:spacing w:line="240" w:lineRule="auto" w:before="36"/>
        <w:ind w:left="400" w:right="0"/>
        <w:jc w:val="left"/>
      </w:pPr>
      <w:r>
        <w:rPr>
          <w:spacing w:val="-2"/>
        </w:rPr>
        <w:t>涉及政府补助的项目：</w:t>
      </w:r>
    </w:p>
    <w:p>
      <w:pPr>
        <w:pStyle w:val="BodyText"/>
        <w:spacing w:line="240" w:lineRule="auto" w:before="56"/>
        <w:ind w:left="40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452" w:val="left" w:leader="none"/>
        </w:tabs>
        <w:spacing w:line="240" w:lineRule="auto" w:before="175"/>
        <w:ind w:left="400" w:right="0"/>
        <w:jc w:val="left"/>
      </w:pPr>
      <w:r>
        <w:rPr>
          <w:spacing w:val="-1"/>
        </w:rPr>
        <w:t>单位：元</w:t>
        <w:tab/>
      </w:r>
      <w:r>
        <w:rPr>
          <w:spacing w:val="-2"/>
        </w:rPr>
        <w:t>币种：人民币</w:t>
      </w:r>
    </w:p>
    <w:p>
      <w:pPr>
        <w:spacing w:after="0" w:line="240" w:lineRule="auto"/>
        <w:jc w:val="left"/>
        <w:sectPr>
          <w:type w:val="continuous"/>
          <w:pgSz w:w="11910" w:h="16840"/>
          <w:pgMar w:top="1060" w:bottom="1380" w:left="1040" w:right="1040"/>
          <w:cols w:num="2" w:equalWidth="0">
            <w:col w:w="2504" w:space="4212"/>
            <w:col w:w="3114"/>
          </w:cols>
        </w:sectPr>
      </w:pPr>
    </w:p>
    <w:p>
      <w:pPr>
        <w:spacing w:line="240" w:lineRule="auto" w:before="1"/>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709"/>
        <w:gridCol w:w="1419"/>
        <w:gridCol w:w="1375"/>
        <w:gridCol w:w="425"/>
        <w:gridCol w:w="1560"/>
        <w:gridCol w:w="427"/>
        <w:gridCol w:w="1417"/>
        <w:gridCol w:w="1274"/>
      </w:tblGrid>
      <w:tr>
        <w:trPr>
          <w:trHeight w:val="257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501" w:right="143"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期 计 入 营 业 外 收 入 金 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504" w:right="144" w:hanging="361"/>
              <w:jc w:val="left"/>
              <w:rPr>
                <w:rFonts w:ascii="宋体" w:hAnsi="宋体" w:cs="宋体" w:eastAsia="宋体" w:hint="default"/>
                <w:sz w:val="18"/>
                <w:szCs w:val="18"/>
              </w:rPr>
            </w:pPr>
            <w:r>
              <w:rPr>
                <w:rFonts w:ascii="宋体" w:hAnsi="宋体" w:cs="宋体" w:eastAsia="宋体" w:hint="default"/>
                <w:sz w:val="18"/>
                <w:szCs w:val="18"/>
              </w:rPr>
              <w:t>本期计入其他收 益金额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117" w:right="119"/>
              <w:jc w:val="both"/>
              <w:rPr>
                <w:rFonts w:ascii="宋体" w:hAnsi="宋体" w:cs="宋体" w:eastAsia="宋体" w:hint="default"/>
                <w:sz w:val="18"/>
                <w:szCs w:val="18"/>
              </w:rPr>
            </w:pPr>
            <w:r>
              <w:rPr>
                <w:rFonts w:ascii="宋体" w:hAnsi="宋体" w:cs="宋体" w:eastAsia="宋体" w:hint="default"/>
                <w:sz w:val="18"/>
                <w:szCs w:val="18"/>
              </w:rPr>
              <w:t>其 他 变 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82" w:right="137"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47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版权保护音视频云</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应用系统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1,364,902.86</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-148,898.49</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1,216,004.37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数字教育关键技术</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集成及应用示范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5,285,880.89</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-3,589,133.37</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1,696,747.52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“藏汉双语”全媒</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体中心建设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361,012.50</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-291,100.42</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69,912.08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西部文化物流配送</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基地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1,700,529.20</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-256,039.93</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1,444,489.27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both"/>
              <w:rPr>
                <w:rFonts w:ascii="宋体" w:hAnsi="宋体" w:cs="宋体" w:eastAsia="宋体" w:hint="default"/>
                <w:sz w:val="18"/>
                <w:szCs w:val="18"/>
              </w:rPr>
            </w:pPr>
            <w:r>
              <w:rPr>
                <w:rFonts w:ascii="宋体" w:hAnsi="宋体" w:cs="宋体" w:eastAsia="宋体" w:hint="default"/>
                <w:sz w:val="18"/>
                <w:szCs w:val="18"/>
              </w:rPr>
              <w:t>CNONIX</w:t>
            </w:r>
            <w:r>
              <w:rPr>
                <w:rFonts w:ascii="宋体" w:hAnsi="宋体" w:cs="宋体" w:eastAsia="宋体" w:hint="default"/>
                <w:spacing w:val="-46"/>
                <w:sz w:val="18"/>
                <w:szCs w:val="18"/>
              </w:rPr>
              <w:t> </w:t>
            </w:r>
            <w:r>
              <w:rPr>
                <w:rFonts w:ascii="宋体" w:hAnsi="宋体" w:cs="宋体" w:eastAsia="宋体" w:hint="default"/>
                <w:sz w:val="18"/>
                <w:szCs w:val="18"/>
              </w:rPr>
              <w:t>国家标准应</w:t>
            </w:r>
          </w:p>
          <w:p>
            <w:pPr>
              <w:pStyle w:val="TableParagraph"/>
              <w:spacing w:line="237" w:lineRule="auto"/>
              <w:ind w:left="107" w:right="146"/>
              <w:jc w:val="both"/>
              <w:rPr>
                <w:rFonts w:ascii="宋体" w:hAnsi="宋体" w:cs="宋体" w:eastAsia="宋体" w:hint="default"/>
                <w:sz w:val="18"/>
                <w:szCs w:val="18"/>
              </w:rPr>
            </w:pPr>
            <w:r>
              <w:rPr>
                <w:rFonts w:ascii="宋体" w:hAnsi="宋体" w:cs="宋体" w:eastAsia="宋体" w:hint="default"/>
                <w:sz w:val="18"/>
                <w:szCs w:val="18"/>
              </w:rPr>
              <w:t>用推广示范</w:t>
            </w:r>
            <w:r>
              <w:rPr>
                <w:rFonts w:ascii="宋体" w:hAnsi="宋体" w:cs="宋体" w:eastAsia="宋体" w:hint="default"/>
                <w:sz w:val="18"/>
                <w:szCs w:val="18"/>
              </w:rPr>
              <w:t>--</w:t>
            </w:r>
            <w:r>
              <w:rPr>
                <w:rFonts w:ascii="宋体" w:hAnsi="宋体" w:cs="宋体" w:eastAsia="宋体" w:hint="default"/>
                <w:sz w:val="18"/>
                <w:szCs w:val="18"/>
              </w:rPr>
              <w:t>基于 供应链协同电子商 务平台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2,930,265.33</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-1,133,749.79</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1,796,515.54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技改资金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6"/>
              <w:jc w:val="right"/>
              <w:rPr>
                <w:rFonts w:ascii="宋体" w:hAnsi="宋体" w:cs="宋体" w:eastAsia="宋体" w:hint="default"/>
                <w:sz w:val="18"/>
                <w:szCs w:val="18"/>
              </w:rPr>
            </w:pPr>
            <w:r>
              <w:rPr>
                <w:rFonts w:ascii="宋体"/>
                <w:spacing w:val="-1"/>
                <w:sz w:val="18"/>
              </w:rPr>
              <w:t>19,823,029.33</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-4,210,487.84</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6"/>
              <w:jc w:val="right"/>
              <w:rPr>
                <w:rFonts w:ascii="宋体" w:hAnsi="宋体" w:cs="宋体" w:eastAsia="宋体" w:hint="default"/>
                <w:sz w:val="18"/>
                <w:szCs w:val="18"/>
              </w:rPr>
            </w:pPr>
            <w:r>
              <w:rPr>
                <w:rFonts w:ascii="宋体"/>
                <w:spacing w:val="-1"/>
                <w:sz w:val="18"/>
              </w:rPr>
              <w:t>15,612,541.49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06" w:lineRule="exact"/>
        <w:jc w:val="left"/>
        <w:rPr>
          <w:rFonts w:ascii="宋体" w:hAnsi="宋体" w:cs="宋体" w:eastAsia="宋体" w:hint="default"/>
          <w:sz w:val="18"/>
          <w:szCs w:val="18"/>
        </w:rPr>
        <w:sectPr>
          <w:type w:val="continuous"/>
          <w:pgSz w:w="11910" w:h="16840"/>
          <w:pgMar w:top="1060" w:bottom="1380" w:left="104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224" w:type="dxa"/>
        <w:tblLayout w:type="fixed"/>
        <w:tblCellMar>
          <w:top w:w="0" w:type="dxa"/>
          <w:left w:w="0" w:type="dxa"/>
          <w:bottom w:w="0" w:type="dxa"/>
          <w:right w:w="0" w:type="dxa"/>
        </w:tblCellMar>
        <w:tblLook w:val="01E0"/>
      </w:tblPr>
      <w:tblGrid>
        <w:gridCol w:w="1709"/>
        <w:gridCol w:w="1419"/>
        <w:gridCol w:w="1375"/>
        <w:gridCol w:w="425"/>
        <w:gridCol w:w="1560"/>
        <w:gridCol w:w="427"/>
        <w:gridCol w:w="1417"/>
        <w:gridCol w:w="1274"/>
      </w:tblGrid>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富媒体数字资源在</w:t>
            </w:r>
          </w:p>
          <w:p>
            <w:pPr>
              <w:pStyle w:val="TableParagraph"/>
              <w:spacing w:line="232" w:lineRule="exact" w:before="23"/>
              <w:ind w:left="107" w:right="149"/>
              <w:jc w:val="left"/>
              <w:rPr>
                <w:rFonts w:ascii="宋体" w:hAnsi="宋体" w:cs="宋体" w:eastAsia="宋体" w:hint="default"/>
                <w:sz w:val="18"/>
                <w:szCs w:val="18"/>
              </w:rPr>
            </w:pPr>
            <w:r>
              <w:rPr>
                <w:rFonts w:ascii="宋体" w:hAnsi="宋体" w:cs="宋体" w:eastAsia="宋体" w:hint="default"/>
                <w:sz w:val="18"/>
                <w:szCs w:val="18"/>
              </w:rPr>
              <w:t>线编辑系统研发及 产业化项目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3,710,590.18</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-540,917.64</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3,169,672.54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智慧书城项目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5,518,894.93</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-1,251,864.33</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4,267,030.60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优课数字化教学应</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用系统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993,299.91</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-519,494.60</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473,805.31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文轩云数字校园开</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发与应用推广</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827,004.80</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-794,635.67</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32,369.13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轩客会格调书店文</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化品牌专项资金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4,000,000.00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-250,335.82</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3,749,664.18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书香天府、智慧新</w:t>
            </w:r>
          </w:p>
          <w:p>
            <w:pPr>
              <w:pStyle w:val="TableParagraph"/>
              <w:spacing w:line="232" w:lineRule="exact" w:before="24"/>
              <w:ind w:left="107" w:right="149"/>
              <w:jc w:val="left"/>
              <w:rPr>
                <w:rFonts w:ascii="宋体" w:hAnsi="宋体" w:cs="宋体" w:eastAsia="宋体" w:hint="default"/>
                <w:sz w:val="18"/>
                <w:szCs w:val="18"/>
              </w:rPr>
            </w:pPr>
            <w:r>
              <w:rPr>
                <w:rFonts w:ascii="宋体" w:hAnsi="宋体" w:cs="宋体" w:eastAsia="宋体" w:hint="default"/>
                <w:sz w:val="18"/>
                <w:szCs w:val="18"/>
              </w:rPr>
              <w:t>华实体书店网络建 设</w:t>
            </w:r>
            <w:r>
              <w:rPr>
                <w:rFonts w:ascii="宋体" w:hAnsi="宋体" w:cs="宋体" w:eastAsia="宋体" w:hint="default"/>
                <w:sz w:val="18"/>
                <w:szCs w:val="18"/>
              </w:rPr>
              <w:t>-</w:t>
            </w:r>
            <w:r>
              <w:rPr>
                <w:rFonts w:ascii="宋体" w:hAnsi="宋体" w:cs="宋体" w:eastAsia="宋体" w:hint="default"/>
                <w:sz w:val="18"/>
                <w:szCs w:val="18"/>
              </w:rPr>
              <w:t>财政</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3,000,000.00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-287,043.81</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2,712,956.19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新华文轩龙泉书店</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500,000.00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-207,996.21</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292,003.79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数字媒体教育服务</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体系建设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1,050,000.00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-241,603.28</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808,396.72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数字测评平台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2,991,332.99</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-326,327.24</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2,665,005.75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both"/>
              <w:rPr>
                <w:rFonts w:ascii="宋体" w:hAnsi="宋体" w:cs="宋体" w:eastAsia="宋体" w:hint="default"/>
                <w:sz w:val="18"/>
                <w:szCs w:val="18"/>
              </w:rPr>
            </w:pPr>
            <w:r>
              <w:rPr>
                <w:rFonts w:ascii="宋体" w:hAnsi="宋体" w:cs="宋体" w:eastAsia="宋体" w:hint="default"/>
                <w:sz w:val="18"/>
                <w:szCs w:val="18"/>
              </w:rPr>
              <w:t>基于大数据的按需</w:t>
            </w:r>
          </w:p>
          <w:p>
            <w:pPr>
              <w:pStyle w:val="TableParagraph"/>
              <w:spacing w:line="237" w:lineRule="auto"/>
              <w:ind w:left="107" w:right="149"/>
              <w:jc w:val="both"/>
              <w:rPr>
                <w:rFonts w:ascii="宋体" w:hAnsi="宋体" w:cs="宋体" w:eastAsia="宋体" w:hint="default"/>
                <w:sz w:val="18"/>
                <w:szCs w:val="18"/>
              </w:rPr>
            </w:pPr>
            <w:r>
              <w:rPr>
                <w:rFonts w:ascii="宋体" w:hAnsi="宋体" w:cs="宋体" w:eastAsia="宋体" w:hint="default"/>
                <w:sz w:val="18"/>
                <w:szCs w:val="18"/>
              </w:rPr>
              <w:t>出版数学分析模型 构建及关键技术研 究项目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5,000,000.00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-1,508,149.38</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3,491,850.62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both"/>
              <w:rPr>
                <w:rFonts w:ascii="宋体" w:hAnsi="宋体" w:cs="宋体" w:eastAsia="宋体" w:hint="default"/>
                <w:sz w:val="18"/>
                <w:szCs w:val="18"/>
              </w:rPr>
            </w:pPr>
            <w:r>
              <w:rPr>
                <w:rFonts w:ascii="宋体" w:hAnsi="宋体" w:cs="宋体" w:eastAsia="宋体" w:hint="default"/>
                <w:sz w:val="18"/>
                <w:szCs w:val="18"/>
              </w:rPr>
              <w:t>基于语义的内容资</w:t>
            </w:r>
          </w:p>
          <w:p>
            <w:pPr>
              <w:pStyle w:val="TableParagraph"/>
              <w:spacing w:line="232" w:lineRule="exact" w:before="24"/>
              <w:ind w:left="107" w:right="149"/>
              <w:jc w:val="both"/>
              <w:rPr>
                <w:rFonts w:ascii="宋体" w:hAnsi="宋体" w:cs="宋体" w:eastAsia="宋体" w:hint="default"/>
                <w:sz w:val="18"/>
                <w:szCs w:val="18"/>
              </w:rPr>
            </w:pPr>
            <w:r>
              <w:rPr>
                <w:rFonts w:ascii="宋体" w:hAnsi="宋体" w:cs="宋体" w:eastAsia="宋体" w:hint="default"/>
                <w:sz w:val="18"/>
                <w:szCs w:val="18"/>
              </w:rPr>
              <w:t>源关联技术及教育 复合应用系统研发 与应用示范项目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550,000.00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-74,807.21</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475,192.79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26,620,829.58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1,394,545.29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-1,778,990.92</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26,236,383.95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86,227,572.50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1,394,545.29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-17,411,575.95</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70,210,541.84</w:t>
            </w: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36"/>
        <w:ind w:left="520" w:right="0"/>
        <w:jc w:val="left"/>
      </w:pPr>
      <w:r>
        <w:rPr/>
        <w:t>其他说明：</w:t>
      </w:r>
    </w:p>
    <w:p>
      <w:pPr>
        <w:pStyle w:val="BodyText"/>
        <w:spacing w:line="240" w:lineRule="auto" w:before="58"/>
        <w:ind w:left="520" w:right="0"/>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ind w:left="520" w:right="0"/>
        <w:jc w:val="left"/>
        <w:rPr>
          <w:b w:val="0"/>
          <w:bCs w:val="0"/>
        </w:rPr>
      </w:pPr>
      <w:r>
        <w:rPr>
          <w:rFonts w:ascii="宋体" w:hAnsi="宋体" w:cs="宋体" w:eastAsia="宋体" w:hint="default"/>
        </w:rPr>
        <w:t>47</w:t>
      </w:r>
      <w:r>
        <w:rPr/>
        <w:t>、</w:t>
      </w:r>
      <w:r>
        <w:rPr>
          <w:spacing w:val="-23"/>
        </w:rPr>
        <w:t> </w:t>
      </w:r>
      <w:r>
        <w:rPr/>
        <w:t>其他非流动负债</w:t>
      </w:r>
      <w:r>
        <w:rPr>
          <w:b w:val="0"/>
          <w:bCs w:val="0"/>
        </w:rPr>
      </w:r>
    </w:p>
    <w:p>
      <w:pPr>
        <w:pStyle w:val="BodyText"/>
        <w:spacing w:line="240" w:lineRule="auto" w:before="56"/>
        <w:ind w:left="520"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2"/>
          <w:pgSz w:w="11910" w:h="16840"/>
          <w:pgMar w:footer="1195" w:header="882" w:top="1120" w:bottom="1380" w:left="920" w:right="900"/>
        </w:sectPr>
      </w:pPr>
    </w:p>
    <w:p>
      <w:pPr>
        <w:pStyle w:val="Heading2"/>
        <w:spacing w:line="240" w:lineRule="auto" w:before="36"/>
        <w:ind w:left="520" w:right="-18"/>
        <w:jc w:val="left"/>
        <w:rPr>
          <w:b w:val="0"/>
          <w:bCs w:val="0"/>
        </w:rPr>
      </w:pPr>
      <w:r>
        <w:rPr>
          <w:rFonts w:ascii="宋体" w:hAnsi="宋体" w:cs="宋体" w:eastAsia="宋体" w:hint="default"/>
        </w:rPr>
        <w:t>48</w:t>
      </w:r>
      <w:r>
        <w:rPr/>
        <w:t>、</w:t>
      </w:r>
      <w:r>
        <w:rPr>
          <w:spacing w:val="-25"/>
        </w:rPr>
        <w:t> </w:t>
      </w:r>
      <w:r>
        <w:rPr/>
        <w:t>股本</w:t>
      </w:r>
      <w:r>
        <w:rPr>
          <w:b w:val="0"/>
          <w:bCs w:val="0"/>
        </w:rPr>
      </w:r>
    </w:p>
    <w:p>
      <w:pPr>
        <w:pStyle w:val="BodyText"/>
        <w:spacing w:line="240" w:lineRule="auto" w:before="56"/>
        <w:ind w:left="5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72" w:val="left" w:leader="none"/>
        </w:tabs>
        <w:spacing w:line="240" w:lineRule="auto"/>
        <w:ind w:left="520" w:right="0"/>
        <w:jc w:val="left"/>
      </w:pPr>
      <w:r>
        <w:rPr>
          <w:spacing w:val="-1"/>
        </w:rPr>
        <w:t>单位：元</w:t>
        <w:tab/>
      </w:r>
      <w:r>
        <w:rPr>
          <w:spacing w:val="-2"/>
        </w:rPr>
        <w:t>币种：人民币</w:t>
      </w:r>
    </w:p>
    <w:p>
      <w:pPr>
        <w:spacing w:after="0" w:line="240" w:lineRule="auto"/>
        <w:jc w:val="left"/>
        <w:sectPr>
          <w:type w:val="continuous"/>
          <w:pgSz w:w="11910" w:h="16840"/>
          <w:pgMar w:top="1060" w:bottom="1380" w:left="920" w:right="900"/>
          <w:cols w:num="2" w:equalWidth="0">
            <w:col w:w="2098" w:space="4618"/>
            <w:col w:w="3374"/>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68"/>
        <w:gridCol w:w="2053"/>
        <w:gridCol w:w="734"/>
        <w:gridCol w:w="579"/>
        <w:gridCol w:w="898"/>
        <w:gridCol w:w="588"/>
        <w:gridCol w:w="637"/>
        <w:gridCol w:w="1903"/>
      </w:tblGrid>
      <w:tr>
        <w:trPr>
          <w:trHeight w:val="283" w:hRule="exact"/>
        </w:trPr>
        <w:tc>
          <w:tcPr>
            <w:tcW w:w="2468" w:type="dxa"/>
            <w:vMerge w:val="restart"/>
            <w:tcBorders>
              <w:top w:val="single" w:sz="4" w:space="0" w:color="000000"/>
              <w:left w:val="single" w:sz="4" w:space="0" w:color="000000"/>
              <w:right w:val="single" w:sz="4" w:space="0" w:color="000000"/>
            </w:tcBorders>
          </w:tcPr>
          <w:p>
            <w:pPr/>
          </w:p>
        </w:tc>
        <w:tc>
          <w:tcPr>
            <w:tcW w:w="20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90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468" w:type="dxa"/>
            <w:vMerge/>
            <w:tcBorders>
              <w:left w:val="single" w:sz="4" w:space="0" w:color="000000"/>
              <w:bottom w:val="single" w:sz="4" w:space="0" w:color="000000"/>
              <w:right w:val="single" w:sz="4" w:space="0" w:color="000000"/>
            </w:tcBorders>
          </w:tcPr>
          <w:p>
            <w:pPr/>
          </w:p>
        </w:tc>
        <w:tc>
          <w:tcPr>
            <w:tcW w:w="2053" w:type="dxa"/>
            <w:vMerge/>
            <w:tcBorders>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03" w:type="dxa"/>
            <w:vMerge/>
            <w:tcBorders>
              <w:left w:val="single" w:sz="4" w:space="0" w:color="000000"/>
              <w:bottom w:val="single" w:sz="4" w:space="0" w:color="000000"/>
              <w:right w:val="single" w:sz="4" w:space="0" w:color="000000"/>
            </w:tcBorders>
          </w:tcPr>
          <w:p>
            <w:pP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发起人股份</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692,468,091.00</w:t>
            </w:r>
          </w:p>
        </w:tc>
        <w:tc>
          <w:tcPr>
            <w:tcW w:w="734"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692,468,091.00</w:t>
            </w:r>
          </w:p>
        </w:tc>
      </w:tr>
      <w:tr>
        <w:trPr>
          <w:trHeight w:val="55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全国社会保障基金理事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会</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725,809.00</w:t>
            </w:r>
          </w:p>
        </w:tc>
        <w:tc>
          <w:tcPr>
            <w:tcW w:w="734"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725,809.00</w:t>
            </w:r>
          </w:p>
        </w:tc>
      </w:tr>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境外上市外资股</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441,937,100.00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441,937,100.00</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境内上市人民币普通股</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98,710,000.00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98,710,000.00</w:t>
            </w:r>
          </w:p>
        </w:tc>
      </w:tr>
      <w:tr>
        <w:trPr>
          <w:trHeight w:val="28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9"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1,233,841,000.00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1,233,841,000.00</w:t>
            </w:r>
          </w:p>
        </w:tc>
      </w:tr>
    </w:tbl>
    <w:p>
      <w:pPr>
        <w:spacing w:after="0" w:line="241" w:lineRule="exact"/>
        <w:jc w:val="right"/>
        <w:rPr>
          <w:rFonts w:ascii="宋体" w:hAnsi="宋体" w:cs="宋体" w:eastAsia="宋体" w:hint="default"/>
          <w:sz w:val="21"/>
          <w:szCs w:val="21"/>
        </w:rPr>
        <w:sectPr>
          <w:type w:val="continuous"/>
          <w:pgSz w:w="11910" w:h="16840"/>
          <w:pgMar w:top="1060" w:bottom="1380" w:left="9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90" w:lineRule="auto"/>
        <w:ind w:left="620" w:right="2253"/>
        <w:jc w:val="left"/>
        <w:rPr>
          <w:b w:val="0"/>
          <w:bCs w:val="0"/>
        </w:rPr>
      </w:pPr>
      <w:r>
        <w:rPr>
          <w:rFonts w:ascii="宋体" w:hAnsi="宋体" w:cs="宋体" w:eastAsia="宋体" w:hint="default"/>
        </w:rPr>
        <w:t>49</w:t>
      </w:r>
      <w:r>
        <w:rPr/>
        <w:t>、</w:t>
      </w:r>
      <w:r>
        <w:rPr>
          <w:spacing w:val="-25"/>
        </w:rPr>
        <w:t> </w:t>
      </w:r>
      <w:r>
        <w:rPr/>
        <w:t>其他权益工具</w:t>
      </w:r>
      <w:r>
        <w:rPr>
          <w:w w:val="100"/>
        </w:rPr>
        <w:t> </w:t>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12"/>
        <w:ind w:left="620" w:right="225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620" w:right="2253"/>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72" w:lineRule="exact" w:before="86"/>
        <w:ind w:left="620" w:right="2253"/>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49" w:lineRule="exact"/>
        <w:ind w:left="620" w:right="2253"/>
        <w:jc w:val="left"/>
      </w:pPr>
      <w:r>
        <w:rPr/>
        <w:t>□适用 √不适用</w:t>
      </w:r>
    </w:p>
    <w:p>
      <w:pPr>
        <w:spacing w:line="240" w:lineRule="auto" w:before="9"/>
        <w:rPr>
          <w:rFonts w:ascii="宋体" w:hAnsi="宋体" w:cs="宋体" w:eastAsia="宋体" w:hint="default"/>
          <w:sz w:val="20"/>
          <w:szCs w:val="20"/>
        </w:rPr>
      </w:pPr>
    </w:p>
    <w:p>
      <w:pPr>
        <w:pStyle w:val="BodyText"/>
        <w:spacing w:line="273" w:lineRule="exact"/>
        <w:ind w:left="620" w:right="2253"/>
        <w:jc w:val="left"/>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left="620" w:right="225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3"/>
          <w:pgSz w:w="11910" w:h="16840"/>
          <w:pgMar w:footer="1195" w:header="882" w:top="1120" w:bottom="1380" w:left="820" w:right="800"/>
          <w:pgNumType w:start="151"/>
        </w:sectPr>
      </w:pPr>
    </w:p>
    <w:p>
      <w:pPr>
        <w:pStyle w:val="Heading2"/>
        <w:spacing w:line="240" w:lineRule="auto" w:before="36"/>
        <w:ind w:left="620" w:right="-18"/>
        <w:jc w:val="left"/>
        <w:rPr>
          <w:b w:val="0"/>
          <w:bCs w:val="0"/>
        </w:rPr>
      </w:pPr>
      <w:r>
        <w:rPr>
          <w:rFonts w:ascii="宋体" w:hAnsi="宋体" w:cs="宋体" w:eastAsia="宋体" w:hint="default"/>
        </w:rPr>
        <w:t>50</w:t>
      </w:r>
      <w:r>
        <w:rPr/>
        <w:t>、</w:t>
      </w:r>
      <w:r>
        <w:rPr>
          <w:spacing w:val="-24"/>
        </w:rPr>
        <w:t> </w:t>
      </w:r>
      <w:r>
        <w:rPr/>
        <w:t>资本公积</w:t>
      </w:r>
      <w:r>
        <w:rPr>
          <w:b w:val="0"/>
          <w:bCs w:val="0"/>
        </w:rPr>
      </w:r>
    </w:p>
    <w:p>
      <w:pPr>
        <w:pStyle w:val="BodyText"/>
        <w:spacing w:line="240" w:lineRule="auto" w:before="56"/>
        <w:ind w:left="6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72" w:val="left" w:leader="none"/>
        </w:tabs>
        <w:spacing w:line="240" w:lineRule="auto"/>
        <w:ind w:left="620" w:right="0"/>
        <w:jc w:val="left"/>
      </w:pPr>
      <w:r>
        <w:rPr>
          <w:spacing w:val="-1"/>
        </w:rPr>
        <w:t>单位：元</w:t>
        <w:tab/>
      </w:r>
      <w:r>
        <w:rPr>
          <w:spacing w:val="-2"/>
        </w:rPr>
        <w:t>币种：人民币</w:t>
      </w:r>
    </w:p>
    <w:p>
      <w:pPr>
        <w:spacing w:after="0" w:line="240" w:lineRule="auto"/>
        <w:jc w:val="left"/>
        <w:sectPr>
          <w:type w:val="continuous"/>
          <w:pgSz w:w="11910" w:h="16840"/>
          <w:pgMar w:top="1060" w:bottom="1380" w:left="820" w:right="800"/>
          <w:cols w:num="2" w:equalWidth="0">
            <w:col w:w="2198" w:space="4518"/>
            <w:col w:w="3574"/>
          </w:cols>
        </w:sectPr>
      </w:pPr>
    </w:p>
    <w:p>
      <w:pPr>
        <w:spacing w:line="240" w:lineRule="auto" w:before="4"/>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2381"/>
        <w:gridCol w:w="2127"/>
        <w:gridCol w:w="1419"/>
        <w:gridCol w:w="1421"/>
        <w:gridCol w:w="1906"/>
      </w:tblGrid>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2,540,484,440.20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62,918.50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2,540,421,521.70</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32,103,244.62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32,103,244.62</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2,572,587,684.82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62,918.50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2,572,524,766.32</w:t>
            </w:r>
          </w:p>
        </w:tc>
      </w:tr>
    </w:tbl>
    <w:p>
      <w:pPr>
        <w:spacing w:line="240" w:lineRule="auto" w:before="7"/>
        <w:rPr>
          <w:rFonts w:ascii="宋体" w:hAnsi="宋体" w:cs="宋体" w:eastAsia="宋体" w:hint="default"/>
          <w:sz w:val="15"/>
          <w:szCs w:val="15"/>
        </w:rPr>
      </w:pPr>
    </w:p>
    <w:p>
      <w:pPr>
        <w:pStyle w:val="BodyText"/>
        <w:spacing w:line="273" w:lineRule="exact" w:before="36"/>
        <w:ind w:left="620" w:right="2253"/>
        <w:jc w:val="left"/>
      </w:pPr>
      <w:r>
        <w:rPr/>
        <w:t>其他说明，包括本期增减变动情况、变动原因说明：</w:t>
      </w:r>
    </w:p>
    <w:p>
      <w:pPr>
        <w:pStyle w:val="BodyText"/>
        <w:spacing w:line="355" w:lineRule="auto"/>
        <w:ind w:left="620" w:right="631" w:firstLine="631"/>
        <w:jc w:val="both"/>
      </w:pPr>
      <w:r>
        <w:rPr/>
        <w:t>文轩传媒原系本公司持股</w:t>
      </w:r>
      <w:r>
        <w:rPr>
          <w:spacing w:val="-50"/>
        </w:rPr>
        <w:t> </w:t>
      </w:r>
      <w:r>
        <w:rPr>
          <w:rFonts w:ascii="宋体" w:hAnsi="宋体" w:cs="宋体" w:eastAsia="宋体" w:hint="default"/>
          <w:spacing w:val="-4"/>
        </w:rPr>
        <w:t>70%</w:t>
      </w:r>
      <w:r>
        <w:rPr>
          <w:spacing w:val="-4"/>
        </w:rPr>
        <w:t>的子公司，另外</w:t>
      </w:r>
      <w:r>
        <w:rPr>
          <w:spacing w:val="-48"/>
        </w:rPr>
        <w:t> </w:t>
      </w:r>
      <w:r>
        <w:rPr>
          <w:rFonts w:ascii="宋体" w:hAnsi="宋体" w:cs="宋体" w:eastAsia="宋体" w:hint="default"/>
          <w:spacing w:val="-3"/>
        </w:rPr>
        <w:t>30%</w:t>
      </w:r>
      <w:r>
        <w:rPr>
          <w:spacing w:val="-3"/>
        </w:rPr>
        <w:t>的股权由四川青年报社持有。于</w:t>
      </w:r>
      <w:r>
        <w:rPr>
          <w:spacing w:val="-48"/>
        </w:rPr>
        <w:t> </w:t>
      </w:r>
      <w:r>
        <w:rPr>
          <w:rFonts w:ascii="宋体" w:hAnsi="宋体" w:cs="宋体" w:eastAsia="宋体" w:hint="default"/>
        </w:rPr>
        <w:t>2018</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w w:val="100"/>
        </w:rPr>
        <w:t> </w:t>
      </w:r>
      <w:r>
        <w:rPr>
          <w:spacing w:val="-3"/>
        </w:rPr>
        <w:t>月，四川青年报社进行减资，减资完成后文轩传媒成为本公司持股 </w:t>
      </w:r>
      <w:r>
        <w:rPr>
          <w:rFonts w:ascii="宋体" w:hAnsi="宋体" w:cs="宋体" w:eastAsia="宋体" w:hint="default"/>
          <w:spacing w:val="-3"/>
        </w:rPr>
        <w:t>100%</w:t>
      </w:r>
      <w:r>
        <w:rPr>
          <w:spacing w:val="-3"/>
        </w:rPr>
        <w:t>的子公司，该事项影响资本</w:t>
      </w:r>
      <w:r>
        <w:rPr>
          <w:spacing w:val="-89"/>
        </w:rPr>
        <w:t> </w:t>
      </w:r>
      <w:r>
        <w:rPr>
          <w:spacing w:val="-89"/>
        </w:rPr>
      </w:r>
      <w:r>
        <w:rPr/>
        <w:t>公积人民币</w:t>
      </w:r>
      <w:r>
        <w:rPr>
          <w:spacing w:val="-53"/>
        </w:rPr>
        <w:t> </w:t>
      </w:r>
      <w:r>
        <w:rPr>
          <w:rFonts w:ascii="宋体" w:hAnsi="宋体" w:cs="宋体" w:eastAsia="宋体" w:hint="default"/>
        </w:rPr>
        <w:t>62,918.50</w:t>
      </w:r>
      <w:r>
        <w:rPr>
          <w:rFonts w:ascii="宋体" w:hAnsi="宋体" w:cs="宋体" w:eastAsia="宋体" w:hint="default"/>
          <w:spacing w:val="-53"/>
        </w:rPr>
        <w:t> </w:t>
      </w:r>
      <w:r>
        <w:rPr>
          <w:spacing w:val="-3"/>
        </w:rPr>
        <w:t>元。</w:t>
      </w:r>
      <w:r>
        <w:rPr/>
      </w:r>
    </w:p>
    <w:p>
      <w:pPr>
        <w:spacing w:line="240" w:lineRule="auto" w:before="13"/>
        <w:rPr>
          <w:rFonts w:ascii="宋体" w:hAnsi="宋体" w:cs="宋体" w:eastAsia="宋体" w:hint="default"/>
          <w:sz w:val="27"/>
          <w:szCs w:val="27"/>
        </w:rPr>
      </w:pPr>
    </w:p>
    <w:p>
      <w:pPr>
        <w:pStyle w:val="Heading2"/>
        <w:spacing w:line="240" w:lineRule="auto"/>
        <w:ind w:left="620" w:right="2253"/>
        <w:jc w:val="left"/>
        <w:rPr>
          <w:b w:val="0"/>
          <w:bCs w:val="0"/>
        </w:rPr>
      </w:pPr>
      <w:r>
        <w:rPr>
          <w:rFonts w:ascii="宋体" w:hAnsi="宋体" w:cs="宋体" w:eastAsia="宋体" w:hint="default"/>
        </w:rPr>
        <w:t>51</w:t>
      </w:r>
      <w:r>
        <w:rPr/>
        <w:t>、</w:t>
      </w:r>
      <w:r>
        <w:rPr>
          <w:spacing w:val="-24"/>
        </w:rPr>
        <w:t> </w:t>
      </w:r>
      <w:r>
        <w:rPr/>
        <w:t>库存股</w:t>
      </w:r>
      <w:r>
        <w:rPr>
          <w:b w:val="0"/>
          <w:bCs w:val="0"/>
        </w:rPr>
      </w:r>
    </w:p>
    <w:p>
      <w:pPr>
        <w:pStyle w:val="BodyText"/>
        <w:spacing w:line="240" w:lineRule="auto" w:before="58"/>
        <w:ind w:left="620" w:right="2253"/>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820" w:right="800"/>
        </w:sectPr>
      </w:pPr>
    </w:p>
    <w:p>
      <w:pPr>
        <w:pStyle w:val="Heading2"/>
        <w:spacing w:line="240" w:lineRule="auto" w:before="36"/>
        <w:ind w:left="620" w:right="-19"/>
        <w:jc w:val="left"/>
        <w:rPr>
          <w:b w:val="0"/>
          <w:bCs w:val="0"/>
        </w:rPr>
      </w:pPr>
      <w:r>
        <w:rPr>
          <w:rFonts w:ascii="宋体" w:hAnsi="宋体" w:cs="宋体" w:eastAsia="宋体" w:hint="default"/>
        </w:rPr>
        <w:t>52</w:t>
      </w:r>
      <w:r>
        <w:rPr/>
        <w:t>、</w:t>
      </w:r>
      <w:r>
        <w:rPr>
          <w:spacing w:val="-23"/>
        </w:rPr>
        <w:t> </w:t>
      </w:r>
      <w:r>
        <w:rPr/>
        <w:t>其他综合收益</w:t>
      </w:r>
      <w:r>
        <w:rPr>
          <w:b w:val="0"/>
          <w:bCs w:val="0"/>
        </w:rPr>
      </w:r>
    </w:p>
    <w:p>
      <w:pPr>
        <w:pStyle w:val="BodyText"/>
        <w:spacing w:line="240" w:lineRule="auto" w:before="59"/>
        <w:ind w:left="6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672" w:val="left" w:leader="none"/>
        </w:tabs>
        <w:spacing w:line="240" w:lineRule="auto"/>
        <w:ind w:left="620" w:right="0"/>
        <w:jc w:val="left"/>
      </w:pPr>
      <w:r>
        <w:rPr>
          <w:spacing w:val="-1"/>
        </w:rPr>
        <w:t>单位：元</w:t>
        <w:tab/>
      </w:r>
      <w:r>
        <w:rPr>
          <w:spacing w:val="-2"/>
        </w:rPr>
        <w:t>币种：人民币</w:t>
      </w:r>
    </w:p>
    <w:p>
      <w:pPr>
        <w:spacing w:after="0" w:line="240" w:lineRule="auto"/>
        <w:jc w:val="left"/>
        <w:sectPr>
          <w:type w:val="continuous"/>
          <w:pgSz w:w="11910" w:h="16840"/>
          <w:pgMar w:top="1060" w:bottom="1380" w:left="820" w:right="800"/>
          <w:cols w:num="2" w:equalWidth="0">
            <w:col w:w="2392" w:space="4324"/>
            <w:col w:w="357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55"/>
        <w:gridCol w:w="1419"/>
        <w:gridCol w:w="1370"/>
        <w:gridCol w:w="680"/>
        <w:gridCol w:w="994"/>
        <w:gridCol w:w="1421"/>
        <w:gridCol w:w="430"/>
        <w:gridCol w:w="1380"/>
      </w:tblGrid>
      <w:tr>
        <w:trPr>
          <w:trHeight w:val="242" w:hRule="exact"/>
        </w:trPr>
        <w:tc>
          <w:tcPr>
            <w:tcW w:w="23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523" w:right="523"/>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48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503" w:right="504"/>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2112" w:hRule="exact"/>
        </w:trPr>
        <w:tc>
          <w:tcPr>
            <w:tcW w:w="235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410" w:right="137" w:hanging="269"/>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hanging="51"/>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77"/>
                <w:sz w:val="18"/>
                <w:szCs w:val="18"/>
              </w:rPr>
              <w:t>：</w:t>
            </w:r>
            <w:r>
              <w:rPr>
                <w:rFonts w:ascii="宋体" w:hAnsi="宋体" w:cs="宋体" w:eastAsia="宋体" w:hint="default"/>
                <w:sz w:val="18"/>
                <w:szCs w:val="18"/>
              </w:rPr>
              <w:t>前</w:t>
            </w:r>
          </w:p>
          <w:p>
            <w:pPr>
              <w:pStyle w:val="TableParagraph"/>
              <w:spacing w:line="237" w:lineRule="auto"/>
              <w:ind w:left="153" w:right="154"/>
              <w:jc w:val="both"/>
              <w:rPr>
                <w:rFonts w:ascii="宋体" w:hAnsi="宋体" w:cs="宋体" w:eastAsia="宋体" w:hint="default"/>
                <w:sz w:val="18"/>
                <w:szCs w:val="18"/>
              </w:rPr>
            </w:pPr>
            <w:r>
              <w:rPr>
                <w:rFonts w:ascii="宋体" w:hAnsi="宋体" w:cs="宋体" w:eastAsia="宋体" w:hint="default"/>
                <w:sz w:val="18"/>
                <w:szCs w:val="18"/>
              </w:rPr>
              <w:t>期计 入其 他综 合收 益当 期转 入损 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220" w:right="13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525" w:right="164"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税</w:t>
            </w:r>
          </w:p>
          <w:p>
            <w:pPr>
              <w:pStyle w:val="TableParagraph"/>
              <w:spacing w:line="237" w:lineRule="auto"/>
              <w:ind w:left="117" w:right="120"/>
              <w:jc w:val="both"/>
              <w:rPr>
                <w:rFonts w:ascii="宋体" w:hAnsi="宋体" w:cs="宋体" w:eastAsia="宋体" w:hint="default"/>
                <w:sz w:val="18"/>
                <w:szCs w:val="18"/>
              </w:rPr>
            </w:pPr>
            <w:r>
              <w:rPr>
                <w:rFonts w:ascii="宋体" w:hAnsi="宋体" w:cs="宋体" w:eastAsia="宋体" w:hint="default"/>
                <w:sz w:val="18"/>
                <w:szCs w:val="18"/>
              </w:rPr>
              <w:t>后 归 属 于 少 数 股 东</w:t>
            </w:r>
          </w:p>
        </w:tc>
        <w:tc>
          <w:tcPr>
            <w:tcW w:w="1380" w:type="dxa"/>
            <w:vMerge/>
            <w:tcBorders>
              <w:left w:val="single" w:sz="4" w:space="0" w:color="000000"/>
              <w:bottom w:val="single" w:sz="4" w:space="0" w:color="000000"/>
              <w:right w:val="single" w:sz="4" w:space="0" w:color="000000"/>
            </w:tcBorders>
          </w:tcPr>
          <w:p>
            <w:pPr/>
          </w:p>
        </w:tc>
      </w:tr>
      <w:tr>
        <w:trPr>
          <w:trHeight w:val="476"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55" w:right="0"/>
              <w:jc w:val="left"/>
              <w:rPr>
                <w:rFonts w:ascii="Arial Narrow" w:hAnsi="Arial Narrow" w:cs="Arial Narrow" w:eastAsia="Arial Narrow" w:hint="default"/>
                <w:sz w:val="18"/>
                <w:szCs w:val="18"/>
              </w:rPr>
            </w:pPr>
            <w:r>
              <w:rPr>
                <w:rFonts w:ascii="Arial Narrow"/>
                <w:sz w:val="18"/>
              </w:rPr>
              <w:t>1,410,270,634.16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84" w:right="0"/>
              <w:jc w:val="left"/>
              <w:rPr>
                <w:rFonts w:ascii="Arial Narrow" w:hAnsi="Arial Narrow" w:cs="Arial Narrow" w:eastAsia="Arial Narrow" w:hint="default"/>
                <w:sz w:val="18"/>
                <w:szCs w:val="18"/>
              </w:rPr>
            </w:pPr>
            <w:r>
              <w:rPr>
                <w:rFonts w:ascii="Arial Narrow"/>
                <w:sz w:val="18"/>
              </w:rPr>
              <w:t>-389,047,688.45</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Arial Narrow" w:hAnsi="Arial Narrow" w:cs="Arial Narrow" w:eastAsia="Arial Narrow" w:hint="default"/>
                <w:sz w:val="18"/>
                <w:szCs w:val="18"/>
              </w:rPr>
            </w:pPr>
            <w:r>
              <w:rPr>
                <w:rFonts w:ascii="Arial Narrow"/>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1" w:right="0"/>
              <w:jc w:val="left"/>
              <w:rPr>
                <w:rFonts w:ascii="Arial Narrow" w:hAnsi="Arial Narrow" w:cs="Arial Narrow" w:eastAsia="Arial Narrow" w:hint="default"/>
                <w:sz w:val="18"/>
                <w:szCs w:val="18"/>
              </w:rPr>
            </w:pPr>
            <w:r>
              <w:rPr>
                <w:rFonts w:ascii="Arial Narrow"/>
                <w:sz w:val="18"/>
              </w:rPr>
              <w:t>283,922.12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2" w:right="0"/>
              <w:jc w:val="left"/>
              <w:rPr>
                <w:rFonts w:ascii="Arial Narrow" w:hAnsi="Arial Narrow" w:cs="Arial Narrow" w:eastAsia="Arial Narrow" w:hint="default"/>
                <w:sz w:val="18"/>
                <w:szCs w:val="18"/>
              </w:rPr>
            </w:pPr>
            <w:r>
              <w:rPr>
                <w:rFonts w:ascii="Arial Narrow"/>
                <w:sz w:val="18"/>
              </w:rPr>
              <w:t>-388,763,766.33</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66" w:right="0"/>
              <w:jc w:val="left"/>
              <w:rPr>
                <w:rFonts w:ascii="Arial Narrow" w:hAnsi="Arial Narrow" w:cs="Arial Narrow" w:eastAsia="Arial Narrow" w:hint="default"/>
                <w:sz w:val="18"/>
                <w:szCs w:val="18"/>
              </w:rPr>
            </w:pPr>
            <w:r>
              <w:rPr>
                <w:rFonts w:ascii="Arial Narrow"/>
                <w:sz w:val="18"/>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17" w:right="0"/>
              <w:jc w:val="left"/>
              <w:rPr>
                <w:rFonts w:ascii="Arial Narrow" w:hAnsi="Arial Narrow" w:cs="Arial Narrow" w:eastAsia="Arial Narrow" w:hint="default"/>
                <w:sz w:val="18"/>
                <w:szCs w:val="18"/>
              </w:rPr>
            </w:pPr>
            <w:r>
              <w:rPr>
                <w:rFonts w:ascii="Arial Narrow"/>
                <w:sz w:val="18"/>
              </w:rPr>
              <w:t>1,021,506,867.83</w:t>
            </w:r>
          </w:p>
        </w:tc>
      </w:tr>
      <w:tr>
        <w:trPr>
          <w:trHeight w:val="245"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其中：重新计量设定受益计</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82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355"/>
        <w:gridCol w:w="1419"/>
        <w:gridCol w:w="1370"/>
        <w:gridCol w:w="680"/>
        <w:gridCol w:w="994"/>
        <w:gridCol w:w="1421"/>
        <w:gridCol w:w="430"/>
        <w:gridCol w:w="1380"/>
      </w:tblGrid>
      <w:tr>
        <w:trPr>
          <w:trHeight w:val="242"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权益法下不能转损益的其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其他权益工具投资公允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1,410,270,634.16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Arial Narrow" w:hAnsi="Arial Narrow" w:cs="Arial Narrow" w:eastAsia="Arial Narrow" w:hint="default"/>
                <w:sz w:val="18"/>
                <w:szCs w:val="18"/>
              </w:rPr>
            </w:pPr>
            <w:r>
              <w:rPr>
                <w:rFonts w:ascii="Arial Narrow"/>
                <w:spacing w:val="-1"/>
                <w:sz w:val="18"/>
              </w:rPr>
              <w:t>-389,047,688.45</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Arial Narrow" w:hAnsi="Arial Narrow" w:cs="Arial Narrow" w:eastAsia="Arial Narrow" w:hint="default"/>
                <w:sz w:val="18"/>
                <w:szCs w:val="18"/>
              </w:rPr>
            </w:pPr>
            <w:r>
              <w:rPr>
                <w:rFonts w:ascii="Arial Narrow"/>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6" w:right="0"/>
              <w:jc w:val="center"/>
              <w:rPr>
                <w:rFonts w:ascii="Arial Narrow" w:hAnsi="Arial Narrow" w:cs="Arial Narrow" w:eastAsia="Arial Narrow" w:hint="default"/>
                <w:sz w:val="18"/>
                <w:szCs w:val="18"/>
              </w:rPr>
            </w:pPr>
            <w:r>
              <w:rPr>
                <w:rFonts w:ascii="Arial Narrow"/>
                <w:sz w:val="18"/>
              </w:rPr>
              <w:t>283,922.12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-388,763,766.33</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Arial Narrow" w:hAnsi="Arial Narrow" w:cs="Arial Narrow" w:eastAsia="Arial Narrow" w:hint="default"/>
                <w:sz w:val="18"/>
                <w:szCs w:val="18"/>
              </w:rPr>
            </w:pPr>
            <w:r>
              <w:rPr>
                <w:rFonts w:ascii="Arial Narrow"/>
                <w:sz w:val="18"/>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 w:right="0"/>
              <w:jc w:val="center"/>
              <w:rPr>
                <w:rFonts w:ascii="Arial Narrow" w:hAnsi="Arial Narrow" w:cs="Arial Narrow" w:eastAsia="Arial Narrow" w:hint="default"/>
                <w:sz w:val="18"/>
                <w:szCs w:val="18"/>
              </w:rPr>
            </w:pPr>
            <w:r>
              <w:rPr>
                <w:rFonts w:ascii="Arial Narrow"/>
                <w:sz w:val="18"/>
              </w:rPr>
              <w:t>1,021,506,867.83</w:t>
            </w:r>
          </w:p>
        </w:tc>
      </w:tr>
      <w:tr>
        <w:trPr>
          <w:trHeight w:val="475"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3" w:right="0"/>
              <w:jc w:val="left"/>
              <w:rPr>
                <w:rFonts w:ascii="宋体" w:hAnsi="宋体" w:cs="宋体" w:eastAsia="宋体" w:hint="default"/>
                <w:sz w:val="18"/>
                <w:szCs w:val="18"/>
              </w:rPr>
            </w:pPr>
            <w:r>
              <w:rPr>
                <w:rFonts w:ascii="宋体" w:hAnsi="宋体" w:cs="宋体" w:eastAsia="宋体" w:hint="default"/>
                <w:sz w:val="18"/>
                <w:szCs w:val="18"/>
              </w:rPr>
              <w:t>企业自身信用风险公允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权益法下在被投资单位其</w:t>
            </w:r>
          </w:p>
          <w:p>
            <w:pPr>
              <w:pStyle w:val="TableParagraph"/>
              <w:spacing w:line="232" w:lineRule="exact" w:before="24"/>
              <w:ind w:left="103" w:right="261"/>
              <w:jc w:val="both"/>
              <w:rPr>
                <w:rFonts w:ascii="宋体" w:hAnsi="宋体" w:cs="宋体" w:eastAsia="宋体" w:hint="default"/>
                <w:sz w:val="18"/>
                <w:szCs w:val="18"/>
              </w:rPr>
            </w:pPr>
            <w:r>
              <w:rPr>
                <w:rFonts w:ascii="宋体" w:hAnsi="宋体" w:cs="宋体" w:eastAsia="宋体" w:hint="default"/>
                <w:sz w:val="18"/>
                <w:szCs w:val="18"/>
              </w:rPr>
              <w:t>他综合收益中享有的份额 自其他综合收益转入留存 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Arial Narrow" w:hAnsi="Arial Narrow" w:cs="Arial Narrow" w:eastAsia="Arial Narrow" w:hint="default"/>
                <w:sz w:val="18"/>
                <w:szCs w:val="18"/>
              </w:rPr>
            </w:pPr>
            <w:r>
              <w:rPr>
                <w:rFonts w:ascii="Arial Narrow"/>
                <w:sz w:val="18"/>
              </w:rPr>
              <w:t>-</w:t>
            </w: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35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其中：权益法下可转损益的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其他债权投资公允价值</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3" w:right="0"/>
              <w:jc w:val="left"/>
              <w:rPr>
                <w:rFonts w:ascii="宋体" w:hAnsi="宋体" w:cs="宋体" w:eastAsia="宋体" w:hint="default"/>
                <w:sz w:val="18"/>
                <w:szCs w:val="18"/>
              </w:rPr>
            </w:pPr>
            <w:r>
              <w:rPr>
                <w:rFonts w:ascii="宋体" w:hAnsi="宋体" w:cs="宋体" w:eastAsia="宋体" w:hint="default"/>
                <w:sz w:val="18"/>
                <w:szCs w:val="18"/>
              </w:rPr>
              <w:t>金融资产重分类计入其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他综合收益的金额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其他债权投资信用减值</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现金流量套期损益的有效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35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35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Arial Narrow" w:hAnsi="Arial Narrow" w:cs="Arial Narrow" w:eastAsia="Arial Narrow" w:hint="default"/>
                <w:sz w:val="18"/>
                <w:szCs w:val="18"/>
              </w:rPr>
            </w:pPr>
            <w:r>
              <w:rPr>
                <w:rFonts w:ascii="Arial Narrow"/>
                <w:spacing w:val="-1"/>
                <w:sz w:val="18"/>
              </w:rPr>
              <w:t>1,410,270,634.16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Narrow" w:hAnsi="Arial Narrow" w:cs="Arial Narrow" w:eastAsia="Arial Narrow" w:hint="default"/>
                <w:sz w:val="18"/>
                <w:szCs w:val="18"/>
              </w:rPr>
            </w:pPr>
            <w:r>
              <w:rPr>
                <w:rFonts w:ascii="Arial Narrow"/>
                <w:spacing w:val="-1"/>
                <w:sz w:val="18"/>
              </w:rPr>
              <w:t>-389,047,688.45</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Narrow" w:hAnsi="Arial Narrow" w:cs="Arial Narrow" w:eastAsia="Arial Narrow" w:hint="default"/>
                <w:sz w:val="18"/>
                <w:szCs w:val="18"/>
              </w:rPr>
            </w:pPr>
            <w:r>
              <w:rPr>
                <w:rFonts w:ascii="Arial Narrow"/>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 w:right="0"/>
              <w:jc w:val="center"/>
              <w:rPr>
                <w:rFonts w:ascii="Arial Narrow" w:hAnsi="Arial Narrow" w:cs="Arial Narrow" w:eastAsia="Arial Narrow" w:hint="default"/>
                <w:sz w:val="18"/>
                <w:szCs w:val="18"/>
              </w:rPr>
            </w:pPr>
            <w:r>
              <w:rPr>
                <w:rFonts w:ascii="Arial Narrow"/>
                <w:sz w:val="18"/>
              </w:rPr>
              <w:t>283,922.12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Arial Narrow" w:hAnsi="Arial Narrow" w:cs="Arial Narrow" w:eastAsia="Arial Narrow" w:hint="default"/>
                <w:sz w:val="18"/>
                <w:szCs w:val="18"/>
              </w:rPr>
            </w:pPr>
            <w:r>
              <w:rPr>
                <w:rFonts w:ascii="Arial Narrow"/>
                <w:spacing w:val="-1"/>
                <w:sz w:val="18"/>
              </w:rPr>
              <w:t>-388,763,766.33</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Narrow" w:hAnsi="Arial Narrow" w:cs="Arial Narrow" w:eastAsia="Arial Narrow" w:hint="default"/>
                <w:sz w:val="18"/>
                <w:szCs w:val="18"/>
              </w:rPr>
            </w:pPr>
            <w:r>
              <w:rPr>
                <w:rFonts w:ascii="Arial Narrow"/>
                <w:sz w:val="18"/>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 w:right="0"/>
              <w:jc w:val="center"/>
              <w:rPr>
                <w:rFonts w:ascii="Arial Narrow" w:hAnsi="Arial Narrow" w:cs="Arial Narrow" w:eastAsia="Arial Narrow" w:hint="default"/>
                <w:sz w:val="18"/>
                <w:szCs w:val="18"/>
              </w:rPr>
            </w:pPr>
            <w:r>
              <w:rPr>
                <w:rFonts w:ascii="Arial Narrow"/>
                <w:sz w:val="18"/>
              </w:rPr>
              <w:t>1,021,506,867.83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620" w:right="2253"/>
        <w:jc w:val="left"/>
        <w:rPr>
          <w:b w:val="0"/>
          <w:bCs w:val="0"/>
        </w:rPr>
      </w:pPr>
      <w:r>
        <w:rPr>
          <w:rFonts w:ascii="宋体" w:hAnsi="宋体" w:cs="宋体" w:eastAsia="宋体" w:hint="default"/>
        </w:rPr>
        <w:t>53</w:t>
      </w:r>
      <w:r>
        <w:rPr/>
        <w:t>、</w:t>
      </w:r>
      <w:r>
        <w:rPr>
          <w:spacing w:val="-24"/>
        </w:rPr>
        <w:t> </w:t>
      </w:r>
      <w:r>
        <w:rPr/>
        <w:t>专项储备</w:t>
      </w:r>
      <w:r>
        <w:rPr>
          <w:b w:val="0"/>
          <w:bCs w:val="0"/>
        </w:rPr>
      </w:r>
    </w:p>
    <w:p>
      <w:pPr>
        <w:pStyle w:val="BodyText"/>
        <w:spacing w:line="240" w:lineRule="auto" w:before="58"/>
        <w:ind w:left="620" w:right="2253"/>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820" w:right="800"/>
        </w:sectPr>
      </w:pPr>
    </w:p>
    <w:p>
      <w:pPr>
        <w:pStyle w:val="Heading2"/>
        <w:spacing w:line="240" w:lineRule="auto" w:before="36"/>
        <w:ind w:left="620" w:right="-18"/>
        <w:jc w:val="left"/>
        <w:rPr>
          <w:b w:val="0"/>
          <w:bCs w:val="0"/>
        </w:rPr>
      </w:pPr>
      <w:r>
        <w:rPr>
          <w:rFonts w:ascii="宋体" w:hAnsi="宋体" w:cs="宋体" w:eastAsia="宋体" w:hint="default"/>
        </w:rPr>
        <w:t>54</w:t>
      </w:r>
      <w:r>
        <w:rPr/>
        <w:t>、</w:t>
      </w:r>
      <w:r>
        <w:rPr>
          <w:spacing w:val="-24"/>
        </w:rPr>
        <w:t> </w:t>
      </w:r>
      <w:r>
        <w:rPr/>
        <w:t>盈余公积</w:t>
      </w:r>
      <w:r>
        <w:rPr>
          <w:b w:val="0"/>
          <w:bCs w:val="0"/>
        </w:rPr>
      </w:r>
    </w:p>
    <w:p>
      <w:pPr>
        <w:pStyle w:val="BodyText"/>
        <w:spacing w:line="240" w:lineRule="auto" w:before="58"/>
        <w:ind w:left="6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72" w:val="left" w:leader="none"/>
        </w:tabs>
        <w:spacing w:line="240" w:lineRule="auto"/>
        <w:ind w:left="620" w:right="0"/>
        <w:jc w:val="left"/>
      </w:pPr>
      <w:r>
        <w:rPr>
          <w:spacing w:val="-1"/>
        </w:rPr>
        <w:t>单位：元</w:t>
        <w:tab/>
      </w:r>
      <w:r>
        <w:rPr>
          <w:spacing w:val="-2"/>
        </w:rPr>
        <w:t>币种：人民币</w:t>
      </w:r>
    </w:p>
    <w:p>
      <w:pPr>
        <w:spacing w:after="0" w:line="240" w:lineRule="auto"/>
        <w:jc w:val="left"/>
        <w:sectPr>
          <w:type w:val="continuous"/>
          <w:pgSz w:w="11910" w:h="16840"/>
          <w:pgMar w:top="1060" w:bottom="1380" w:left="820" w:right="800"/>
          <w:cols w:num="2" w:equalWidth="0">
            <w:col w:w="2198" w:space="4518"/>
            <w:col w:w="3574"/>
          </w:cols>
        </w:sectPr>
      </w:pPr>
    </w:p>
    <w:p>
      <w:pPr>
        <w:spacing w:line="240" w:lineRule="auto" w:before="7"/>
        <w:rPr>
          <w:rFonts w:ascii="宋体" w:hAnsi="宋体" w:cs="宋体" w:eastAsia="宋体" w:hint="default"/>
          <w:sz w:val="2"/>
          <w:szCs w:val="2"/>
        </w:rPr>
      </w:pPr>
    </w:p>
    <w:tbl>
      <w:tblPr>
        <w:tblW w:w="0" w:type="auto"/>
        <w:jc w:val="left"/>
        <w:tblInd w:w="584" w:type="dxa"/>
        <w:tblLayout w:type="fixed"/>
        <w:tblCellMar>
          <w:top w:w="0" w:type="dxa"/>
          <w:left w:w="0" w:type="dxa"/>
          <w:bottom w:w="0" w:type="dxa"/>
          <w:right w:w="0" w:type="dxa"/>
        </w:tblCellMar>
        <w:tblLook w:val="01E0"/>
      </w:tblPr>
      <w:tblGrid>
        <w:gridCol w:w="1709"/>
        <w:gridCol w:w="1839"/>
        <w:gridCol w:w="1844"/>
        <w:gridCol w:w="1853"/>
        <w:gridCol w:w="1844"/>
      </w:tblGrid>
      <w:tr>
        <w:trPr>
          <w:trHeight w:val="28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1"/>
              <w:jc w:val="center"/>
              <w:rPr>
                <w:rFonts w:ascii="宋体" w:hAnsi="宋体" w:cs="宋体" w:eastAsia="宋体" w:hint="default"/>
                <w:sz w:val="21"/>
                <w:szCs w:val="21"/>
              </w:rPr>
            </w:pPr>
            <w:r>
              <w:rPr>
                <w:rFonts w:ascii="宋体"/>
                <w:sz w:val="21"/>
              </w:rPr>
              <w:t>625,743,635.42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 w:right="0"/>
              <w:jc w:val="center"/>
              <w:rPr>
                <w:rFonts w:ascii="宋体" w:hAnsi="宋体" w:cs="宋体" w:eastAsia="宋体" w:hint="default"/>
                <w:sz w:val="21"/>
                <w:szCs w:val="21"/>
              </w:rPr>
            </w:pPr>
            <w:r>
              <w:rPr>
                <w:rFonts w:ascii="宋体"/>
                <w:sz w:val="21"/>
              </w:rPr>
              <w:t>85,324,723.53</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1"/>
              <w:jc w:val="center"/>
              <w:rPr>
                <w:rFonts w:ascii="宋体" w:hAnsi="宋体" w:cs="宋体" w:eastAsia="宋体" w:hint="default"/>
                <w:sz w:val="21"/>
                <w:szCs w:val="21"/>
              </w:rPr>
            </w:pPr>
            <w:r>
              <w:rPr>
                <w:rFonts w:ascii="宋体"/>
                <w:sz w:val="21"/>
              </w:rPr>
              <w:t>711,068,358.95</w:t>
            </w:r>
          </w:p>
        </w:tc>
      </w:tr>
      <w:tr>
        <w:trPr>
          <w:trHeight w:val="2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center"/>
              <w:rPr>
                <w:rFonts w:ascii="宋体" w:hAnsi="宋体" w:cs="宋体" w:eastAsia="宋体" w:hint="default"/>
                <w:sz w:val="21"/>
                <w:szCs w:val="21"/>
              </w:rPr>
            </w:pPr>
            <w:r>
              <w:rPr>
                <w:rFonts w:ascii="宋体"/>
                <w:sz w:val="21"/>
              </w:rPr>
              <w:t>625,743,635.42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85,324,723.53</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sz w:val="21"/>
              </w:rPr>
              <w:t>711,068,358.95</w:t>
            </w:r>
          </w:p>
        </w:tc>
      </w:tr>
    </w:tbl>
    <w:p>
      <w:pPr>
        <w:spacing w:line="240" w:lineRule="auto" w:before="2"/>
        <w:rPr>
          <w:rFonts w:ascii="宋体" w:hAnsi="宋体" w:cs="宋体" w:eastAsia="宋体" w:hint="default"/>
          <w:sz w:val="20"/>
          <w:szCs w:val="20"/>
        </w:rPr>
      </w:pPr>
    </w:p>
    <w:p>
      <w:pPr>
        <w:pStyle w:val="BodyText"/>
        <w:spacing w:line="290" w:lineRule="auto" w:before="36"/>
        <w:ind w:left="1045" w:right="2253" w:hanging="425"/>
        <w:jc w:val="left"/>
      </w:pPr>
      <w:r>
        <w:rPr>
          <w:spacing w:val="-2"/>
        </w:rPr>
        <w:t>盈余公积说明，包括本期增减变动情况、变动原因说明：</w:t>
      </w:r>
      <w:r>
        <w:rPr>
          <w:spacing w:val="-55"/>
        </w:rPr>
        <w:t> </w:t>
      </w:r>
      <w:r>
        <w:rPr>
          <w:spacing w:val="-55"/>
        </w:rPr>
      </w:r>
      <w:r>
        <w:rPr/>
        <w:t>盈余公积金按母公司净利润的</w:t>
      </w:r>
      <w:r>
        <w:rPr>
          <w:rFonts w:ascii="宋体" w:hAnsi="宋体" w:cs="宋体" w:eastAsia="宋体" w:hint="default"/>
        </w:rPr>
        <w:t>10%</w:t>
      </w:r>
      <w:r>
        <w:rPr/>
        <w:t>提取。</w:t>
      </w:r>
    </w:p>
    <w:p>
      <w:pPr>
        <w:spacing w:after="0" w:line="290" w:lineRule="auto"/>
        <w:jc w:val="left"/>
        <w:sectPr>
          <w:type w:val="continuous"/>
          <w:pgSz w:w="11910" w:h="16840"/>
          <w:pgMar w:top="1060" w:bottom="1380" w:left="82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220" w:right="1200"/>
        </w:sectPr>
      </w:pPr>
    </w:p>
    <w:p>
      <w:pPr>
        <w:pStyle w:val="Heading2"/>
        <w:spacing w:line="240" w:lineRule="auto" w:before="36"/>
        <w:ind w:right="-2"/>
        <w:jc w:val="left"/>
        <w:rPr>
          <w:b w:val="0"/>
          <w:bCs w:val="0"/>
        </w:rPr>
      </w:pPr>
      <w:r>
        <w:rPr>
          <w:rFonts w:ascii="宋体" w:hAnsi="宋体" w:cs="宋体" w:eastAsia="宋体" w:hint="default"/>
        </w:rPr>
        <w:t>55</w:t>
      </w:r>
      <w:r>
        <w:rPr/>
        <w:t>、</w:t>
      </w:r>
      <w:r>
        <w:rPr>
          <w:spacing w:val="-24"/>
        </w:rPr>
        <w:t> </w:t>
      </w:r>
      <w:r>
        <w:rPr/>
        <w:t>未分配利润</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1798" w:space="4918"/>
            <w:col w:w="2774"/>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881"/>
        <w:gridCol w:w="2895"/>
        <w:gridCol w:w="2477"/>
      </w:tblGrid>
      <w:tr>
        <w:trPr>
          <w:trHeight w:val="283"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2,364,509,602.80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1,896,996,070.84</w:t>
            </w:r>
          </w:p>
        </w:tc>
      </w:tr>
      <w:tr>
        <w:trPr>
          <w:trHeight w:val="557"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pacing w:val="-4"/>
                <w:sz w:val="21"/>
                <w:szCs w:val="21"/>
              </w:rPr>
              <w:t>调整期初未分配利润合计数（调增</w:t>
            </w:r>
            <w:r>
              <w:rPr>
                <w:rFonts w:ascii="宋体" w:hAnsi="宋体" w:cs="宋体" w:eastAsia="宋体" w:hint="default"/>
                <w:spacing w:val="-4"/>
                <w:sz w:val="21"/>
                <w:szCs w:val="21"/>
              </w:rPr>
              <w:t>+</w:t>
            </w:r>
            <w:r>
              <w:rPr>
                <w:rFonts w:ascii="宋体" w:hAnsi="宋体" w:cs="宋体" w:eastAsia="宋体" w:hint="default"/>
                <w:spacing w:val="-4"/>
                <w:sz w:val="21"/>
                <w:szCs w:val="21"/>
              </w:rPr>
              <w:t>，调</w:t>
            </w:r>
            <w:r>
              <w:rPr>
                <w:rFonts w:ascii="宋体" w:hAnsi="宋体" w:cs="宋体" w:eastAsia="宋体" w:hint="default"/>
                <w:sz w:val="21"/>
                <w:szCs w:val="21"/>
              </w:rPr>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减－）</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100,405,157.91</w:t>
            </w:r>
          </w:p>
        </w:tc>
        <w:tc>
          <w:tcPr>
            <w:tcW w:w="24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2,464,914,760.71</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1,896,996,070.84</w:t>
            </w:r>
          </w:p>
        </w:tc>
      </w:tr>
      <w:tr>
        <w:trPr>
          <w:trHeight w:val="281"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932,184,804.06</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923,844,500.04</w:t>
            </w:r>
          </w:p>
        </w:tc>
      </w:tr>
      <w:tr>
        <w:trPr>
          <w:trHeight w:val="283"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85,324,723.53</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86,178,668.08</w:t>
            </w:r>
          </w:p>
        </w:tc>
      </w:tr>
      <w:tr>
        <w:trPr>
          <w:trHeight w:val="284"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370,152,300.00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370,152,300.00</w:t>
            </w:r>
          </w:p>
        </w:tc>
      </w:tr>
      <w:tr>
        <w:trPr>
          <w:trHeight w:val="281"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执行新金融工具准则的影响</w:t>
            </w:r>
          </w:p>
        </w:tc>
        <w:tc>
          <w:tcPr>
            <w:tcW w:w="2895" w:type="dxa"/>
            <w:tcBorders>
              <w:top w:val="single" w:sz="4" w:space="0" w:color="000000"/>
              <w:left w:val="single" w:sz="4" w:space="0" w:color="000000"/>
              <w:bottom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2,941,622,541.24</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2,364,509,602.80</w:t>
            </w:r>
          </w:p>
        </w:tc>
      </w:tr>
    </w:tbl>
    <w:p>
      <w:pPr>
        <w:spacing w:line="240" w:lineRule="auto" w:before="12"/>
        <w:rPr>
          <w:rFonts w:ascii="宋体" w:hAnsi="宋体" w:cs="宋体" w:eastAsia="宋体" w:hint="default"/>
          <w:sz w:val="19"/>
          <w:szCs w:val="19"/>
        </w:rPr>
      </w:pPr>
    </w:p>
    <w:p>
      <w:pPr>
        <w:pStyle w:val="BodyText"/>
        <w:spacing w:line="290" w:lineRule="auto" w:before="36"/>
        <w:ind w:right="234"/>
        <w:jc w:val="left"/>
      </w:pPr>
      <w:r>
        <w:rPr/>
        <w:t>调整期初未分配利润明细：</w:t>
      </w:r>
      <w:r>
        <w:rPr>
          <w:w w:val="100"/>
        </w:rPr>
        <w:t> </w:t>
      </w:r>
      <w:r>
        <w:rPr>
          <w:rFonts w:ascii="宋体" w:hAnsi="宋体" w:cs="宋体" w:eastAsia="宋体" w:hint="default"/>
          <w:spacing w:val="-9"/>
        </w:rPr>
        <w:t>1</w:t>
      </w:r>
      <w:r>
        <w:rPr>
          <w:spacing w:val="-9"/>
        </w:rPr>
        <w:t>、由于《企业会计准则》及其相关新规定进行追溯调整，影响期初未分配利润 </w:t>
      </w:r>
      <w:r>
        <w:rPr>
          <w:rFonts w:ascii="宋体" w:hAnsi="宋体" w:cs="宋体" w:eastAsia="宋体" w:hint="default"/>
        </w:rPr>
        <w:t>100,405,157.91</w:t>
      </w:r>
      <w:r>
        <w:rPr>
          <w:rFonts w:ascii="宋体" w:hAnsi="宋体" w:cs="宋体" w:eastAsia="宋体" w:hint="default"/>
          <w:spacing w:val="-3"/>
        </w:rPr>
        <w:t> </w:t>
      </w:r>
      <w:r>
        <w:rPr>
          <w:spacing w:val="-3"/>
        </w:rPr>
        <w:t>元。</w:t>
      </w:r>
      <w:r>
        <w:rPr/>
      </w:r>
    </w:p>
    <w:p>
      <w:pPr>
        <w:pStyle w:val="BodyText"/>
        <w:spacing w:line="240" w:lineRule="auto" w:before="89"/>
        <w:ind w:right="123"/>
        <w:jc w:val="left"/>
      </w:pPr>
      <w:r>
        <w:rPr/>
        <w:t>备注：对期初未分配利润的影响系因执行新金融工具准则所致。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220" w:right="1200"/>
        </w:sectPr>
      </w:pPr>
    </w:p>
    <w:p>
      <w:pPr>
        <w:pStyle w:val="Heading2"/>
        <w:spacing w:line="290" w:lineRule="auto" w:before="36"/>
        <w:ind w:right="-14"/>
        <w:jc w:val="left"/>
        <w:rPr>
          <w:b w:val="0"/>
          <w:bCs w:val="0"/>
        </w:rPr>
      </w:pPr>
      <w:r>
        <w:rPr>
          <w:rFonts w:ascii="宋体" w:hAnsi="宋体" w:cs="宋体" w:eastAsia="宋体" w:hint="default"/>
        </w:rPr>
        <w:t>56</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5"/>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2969" w:space="3747"/>
            <w:col w:w="2774"/>
          </w:cols>
        </w:sectPr>
      </w:pPr>
    </w:p>
    <w:p>
      <w:pPr>
        <w:spacing w:line="240" w:lineRule="auto" w:before="7"/>
        <w:rPr>
          <w:rFonts w:ascii="宋体" w:hAnsi="宋体" w:cs="宋体" w:eastAsia="宋体" w:hint="default"/>
          <w:sz w:val="2"/>
          <w:szCs w:val="2"/>
        </w:rPr>
      </w:pPr>
    </w:p>
    <w:tbl>
      <w:tblPr>
        <w:tblW w:w="0" w:type="auto"/>
        <w:jc w:val="left"/>
        <w:tblInd w:w="230" w:type="dxa"/>
        <w:tblLayout w:type="fixed"/>
        <w:tblCellMar>
          <w:top w:w="0" w:type="dxa"/>
          <w:left w:w="0" w:type="dxa"/>
          <w:bottom w:w="0" w:type="dxa"/>
          <w:right w:w="0" w:type="dxa"/>
        </w:tblCellMar>
        <w:tblLook w:val="01E0"/>
      </w:tblPr>
      <w:tblGrid>
        <w:gridCol w:w="1466"/>
        <w:gridCol w:w="1904"/>
        <w:gridCol w:w="1918"/>
        <w:gridCol w:w="1915"/>
        <w:gridCol w:w="1916"/>
      </w:tblGrid>
      <w:tr>
        <w:trPr>
          <w:trHeight w:val="281" w:hRule="exact"/>
        </w:trPr>
        <w:tc>
          <w:tcPr>
            <w:tcW w:w="146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66" w:type="dxa"/>
            <w:vMerge/>
            <w:tcBorders>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8,030,201,485.50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5,093,231,134.96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7,198,251,200.57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4,667,696,900.66</w:t>
            </w:r>
          </w:p>
        </w:tc>
      </w:tr>
      <w:tr>
        <w:trPr>
          <w:trHeight w:val="28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9"/>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156,381,481.23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21,796,885.89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147,631,757.09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19,282,011.47</w:t>
            </w:r>
          </w:p>
        </w:tc>
      </w:tr>
      <w:tr>
        <w:trPr>
          <w:trHeight w:val="28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3"/>
              <w:jc w:val="right"/>
              <w:rPr>
                <w:rFonts w:ascii="宋体" w:hAnsi="宋体" w:cs="宋体" w:eastAsia="宋体" w:hint="default"/>
                <w:sz w:val="21"/>
                <w:szCs w:val="21"/>
              </w:rPr>
            </w:pPr>
            <w:r>
              <w:rPr>
                <w:rFonts w:ascii="宋体" w:hAnsi="宋体" w:cs="宋体" w:eastAsia="宋体" w:hint="default"/>
                <w:sz w:val="21"/>
                <w:szCs w:val="21"/>
              </w:rPr>
              <w:t>合计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8,186,582,966.73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5,115,028,020.85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7,345,882,957.66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4,686,978,912.13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123"/>
        <w:jc w:val="left"/>
        <w:rPr>
          <w:b w:val="0"/>
          <w:bCs w:val="0"/>
        </w:rPr>
      </w:pPr>
      <w:r>
        <w:rPr>
          <w:rFonts w:ascii="宋体" w:hAnsi="宋体" w:cs="宋体" w:eastAsia="宋体" w:hint="default"/>
        </w:rPr>
        <w:t>(2).</w:t>
      </w:r>
      <w:r>
        <w:rPr/>
        <w:t>合同产生的收入的情况</w:t>
      </w:r>
      <w:r>
        <w:rPr>
          <w:b w:val="0"/>
          <w:bCs w:val="0"/>
        </w:rPr>
      </w:r>
    </w:p>
    <w:p>
      <w:pPr>
        <w:pStyle w:val="BodyText"/>
        <w:spacing w:line="240" w:lineRule="auto" w:before="56"/>
        <w:ind w:right="5740"/>
        <w:jc w:val="left"/>
      </w:pPr>
      <w:r>
        <w:rPr/>
        <w:t>□适用</w:t>
      </w:r>
      <w:r>
        <w:rPr>
          <w:spacing w:val="-2"/>
        </w:rPr>
        <w:t> </w:t>
      </w:r>
      <w:r>
        <w:rPr/>
        <w:t>√不适用</w:t>
      </w:r>
      <w:r>
        <w:rPr>
          <w:spacing w:val="-103"/>
        </w:rPr>
        <w:t> </w:t>
      </w:r>
      <w:r>
        <w:rPr>
          <w:spacing w:val="-103"/>
        </w:rPr>
      </w:r>
      <w:r>
        <w:rPr>
          <w:spacing w:val="-2"/>
        </w:rPr>
        <w:t>合同产生的收入说明：</w:t>
      </w:r>
    </w:p>
    <w:p>
      <w:pPr>
        <w:pStyle w:val="BodyText"/>
        <w:spacing w:line="271" w:lineRule="exact"/>
        <w:ind w:right="123"/>
        <w:jc w:val="left"/>
      </w:pPr>
      <w:r>
        <w:rPr/>
        <w:t>√适用 □不适用</w:t>
      </w:r>
    </w:p>
    <w:p>
      <w:pPr>
        <w:pStyle w:val="BodyText"/>
        <w:spacing w:line="355" w:lineRule="auto"/>
        <w:ind w:right="123" w:firstLine="420"/>
        <w:jc w:val="left"/>
      </w:pPr>
      <w:r>
        <w:rPr/>
        <w:t>主营业务收入分类请详见第四节 经营情况讨论与分析</w:t>
      </w:r>
      <w:r>
        <w:rPr>
          <w:spacing w:val="93"/>
        </w:rPr>
        <w:t> </w:t>
      </w:r>
      <w:r>
        <w:rPr/>
        <w:t>二、（一）</w:t>
      </w:r>
      <w:r>
        <w:rPr>
          <w:rFonts w:ascii="宋体" w:hAnsi="宋体" w:cs="宋体" w:eastAsia="宋体" w:hint="default"/>
        </w:rPr>
        <w:t>2</w:t>
      </w:r>
      <w:r>
        <w:rPr/>
        <w:t>、（</w:t>
      </w:r>
      <w:r>
        <w:rPr>
          <w:rFonts w:ascii="宋体" w:hAnsi="宋体" w:cs="宋体" w:eastAsia="宋体" w:hint="default"/>
        </w:rPr>
        <w:t>1</w:t>
      </w:r>
      <w:r>
        <w:rPr/>
        <w:t>）主营业务分行业、</w:t>
      </w:r>
      <w:r>
        <w:rPr>
          <w:w w:val="100"/>
        </w:rPr>
        <w:t> </w:t>
      </w:r>
      <w:r>
        <w:rPr/>
        <w:t>分产品、分地区情况。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2"/>
        <w:spacing w:line="240" w:lineRule="auto"/>
        <w:ind w:right="123"/>
        <w:jc w:val="left"/>
        <w:rPr>
          <w:b w:val="0"/>
          <w:bCs w:val="0"/>
        </w:rPr>
      </w:pPr>
      <w:r>
        <w:rPr>
          <w:rFonts w:ascii="宋体" w:hAnsi="宋体" w:cs="宋体" w:eastAsia="宋体" w:hint="default"/>
        </w:rPr>
        <w:t>(3).</w:t>
      </w:r>
      <w:r>
        <w:rPr/>
        <w:t>履约义务的说明</w:t>
      </w:r>
      <w:r>
        <w:rPr>
          <w:b w:val="0"/>
          <w:bCs w:val="0"/>
        </w:rPr>
      </w:r>
    </w:p>
    <w:p>
      <w:pPr>
        <w:pStyle w:val="BodyText"/>
        <w:spacing w:line="240" w:lineRule="auto" w:before="58"/>
        <w:ind w:right="1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123"/>
        <w:jc w:val="left"/>
        <w:rPr>
          <w:b w:val="0"/>
          <w:bCs w:val="0"/>
        </w:rPr>
      </w:pPr>
      <w:r>
        <w:rPr>
          <w:rFonts w:ascii="宋体" w:hAnsi="宋体" w:cs="宋体" w:eastAsia="宋体" w:hint="default"/>
        </w:rPr>
        <w:t>(4).</w:t>
      </w:r>
      <w:r>
        <w:rPr/>
        <w:t>分摊至剩余履约义务的说明</w:t>
      </w:r>
      <w:r>
        <w:rPr>
          <w:b w:val="0"/>
          <w:bCs w:val="0"/>
        </w:rPr>
      </w:r>
    </w:p>
    <w:p>
      <w:pPr>
        <w:pStyle w:val="BodyText"/>
        <w:spacing w:line="240" w:lineRule="auto" w:before="56"/>
        <w:ind w:right="123"/>
        <w:jc w:val="left"/>
      </w:pPr>
      <w:r>
        <w:rPr/>
        <w:t>□适用 √不适用</w:t>
      </w:r>
    </w:p>
    <w:p>
      <w:pPr>
        <w:spacing w:after="0" w:line="240" w:lineRule="auto"/>
        <w:jc w:val="left"/>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220" w:right="1200"/>
        </w:sectPr>
      </w:pPr>
    </w:p>
    <w:p>
      <w:pPr>
        <w:pStyle w:val="Heading2"/>
        <w:spacing w:line="240" w:lineRule="auto" w:before="36"/>
        <w:ind w:right="-4"/>
        <w:jc w:val="left"/>
        <w:rPr>
          <w:b w:val="0"/>
          <w:bCs w:val="0"/>
        </w:rPr>
      </w:pPr>
      <w:r>
        <w:rPr>
          <w:rFonts w:ascii="宋体" w:hAnsi="宋体" w:cs="宋体" w:eastAsia="宋体" w:hint="default"/>
        </w:rPr>
        <w:t>57</w:t>
      </w:r>
      <w:r>
        <w:rPr/>
        <w:t>、</w:t>
      </w:r>
      <w:r>
        <w:rPr>
          <w:spacing w:val="-24"/>
        </w:rPr>
        <w:t> </w:t>
      </w:r>
      <w:r>
        <w:rPr/>
        <w:t>税金及附加</w:t>
      </w:r>
      <w:r>
        <w:rPr>
          <w:b w:val="0"/>
          <w:bCs w:val="0"/>
        </w:rPr>
      </w:r>
    </w:p>
    <w:p>
      <w:pPr>
        <w:pStyle w:val="BodyText"/>
        <w:spacing w:line="240" w:lineRule="auto" w:before="56"/>
        <w:ind w:right="-18"/>
        <w:jc w:val="left"/>
      </w:pPr>
      <w:r>
        <w:rPr/>
        <w:t>√适用</w:t>
      </w:r>
      <w:r>
        <w:rPr>
          <w:spacing w:val="9"/>
        </w:rPr>
        <w:t> </w:t>
      </w:r>
      <w:r>
        <w:rPr>
          <w:spacing w:val="-3"/>
        </w:rPr>
        <w:t>□不适用</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1795" w:space="4921"/>
            <w:col w:w="2774"/>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72"/>
        <w:gridCol w:w="3142"/>
        <w:gridCol w:w="3140"/>
      </w:tblGrid>
      <w:tr>
        <w:trPr>
          <w:trHeight w:val="288" w:hRule="exact"/>
        </w:trPr>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2" w:type="dxa"/>
            <w:tcBorders>
              <w:top w:val="single" w:sz="6" w:space="0" w:color="000000"/>
              <w:left w:val="single" w:sz="6" w:space="0" w:color="000000"/>
              <w:bottom w:val="single" w:sz="6" w:space="0" w:color="000000"/>
              <w:right w:val="single" w:sz="6" w:space="0" w:color="000000"/>
            </w:tcBorders>
          </w:tcPr>
          <w:p>
            <w:pPr/>
          </w:p>
        </w:tc>
        <w:tc>
          <w:tcPr>
            <w:tcW w:w="314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2" w:type="dxa"/>
            <w:tcBorders>
              <w:top w:val="single" w:sz="6" w:space="0" w:color="000000"/>
              <w:left w:val="single" w:sz="6" w:space="0" w:color="000000"/>
              <w:bottom w:val="single" w:sz="6" w:space="0" w:color="000000"/>
              <w:right w:val="single" w:sz="6" w:space="0" w:color="000000"/>
            </w:tcBorders>
          </w:tcPr>
          <w:p>
            <w:pPr/>
          </w:p>
        </w:tc>
        <w:tc>
          <w:tcPr>
            <w:tcW w:w="314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4,522,883.04</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5,313,179.38</w:t>
            </w:r>
          </w:p>
        </w:tc>
      </w:tr>
      <w:tr>
        <w:trPr>
          <w:trHeight w:val="288" w:hRule="exact"/>
        </w:trPr>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3,241,006.84</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3,791,848.05</w:t>
            </w:r>
          </w:p>
        </w:tc>
      </w:tr>
      <w:tr>
        <w:trPr>
          <w:trHeight w:val="288" w:hRule="exact"/>
        </w:trPr>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142" w:type="dxa"/>
            <w:tcBorders>
              <w:top w:val="single" w:sz="6" w:space="0" w:color="000000"/>
              <w:left w:val="single" w:sz="6" w:space="0" w:color="000000"/>
              <w:bottom w:val="single" w:sz="6" w:space="0" w:color="000000"/>
              <w:right w:val="single" w:sz="6" w:space="0" w:color="000000"/>
            </w:tcBorders>
          </w:tcPr>
          <w:p>
            <w:pPr/>
          </w:p>
        </w:tc>
        <w:tc>
          <w:tcPr>
            <w:tcW w:w="314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16,436,332.66</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16,242,072.80</w:t>
            </w:r>
          </w:p>
        </w:tc>
      </w:tr>
      <w:tr>
        <w:trPr>
          <w:trHeight w:val="289" w:hRule="exact"/>
        </w:trPr>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3,935,507.12</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3,253,236.44</w:t>
            </w:r>
          </w:p>
        </w:tc>
      </w:tr>
      <w:tr>
        <w:trPr>
          <w:trHeight w:val="288" w:hRule="exact"/>
        </w:trPr>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335,803.90</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342,282.60</w:t>
            </w:r>
          </w:p>
        </w:tc>
      </w:tr>
      <w:tr>
        <w:trPr>
          <w:trHeight w:val="286" w:hRule="exact"/>
        </w:trPr>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2,427,842.83</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2,501,640.32</w:t>
            </w:r>
          </w:p>
        </w:tc>
      </w:tr>
      <w:tr>
        <w:trPr>
          <w:trHeight w:val="288" w:hRule="exact"/>
        </w:trPr>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6,083,207.75</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6,132,927.07</w:t>
            </w:r>
          </w:p>
        </w:tc>
      </w:tr>
      <w:tr>
        <w:trPr>
          <w:trHeight w:val="288" w:hRule="exact"/>
        </w:trPr>
        <w:tc>
          <w:tcPr>
            <w:tcW w:w="2972" w:type="dxa"/>
            <w:tcBorders>
              <w:top w:val="single" w:sz="6" w:space="0" w:color="000000"/>
              <w:left w:val="single" w:sz="6" w:space="0" w:color="000000"/>
              <w:bottom w:val="single" w:sz="6" w:space="0" w:color="000000"/>
              <w:right w:val="single" w:sz="6" w:space="0" w:color="000000"/>
            </w:tcBorders>
          </w:tcPr>
          <w:p>
            <w:pPr/>
          </w:p>
        </w:tc>
        <w:tc>
          <w:tcPr>
            <w:tcW w:w="3142" w:type="dxa"/>
            <w:tcBorders>
              <w:top w:val="single" w:sz="6" w:space="0" w:color="000000"/>
              <w:left w:val="single" w:sz="6" w:space="0" w:color="000000"/>
              <w:bottom w:val="single" w:sz="6" w:space="0" w:color="000000"/>
              <w:right w:val="single" w:sz="6" w:space="0" w:color="000000"/>
            </w:tcBorders>
          </w:tcPr>
          <w:p>
            <w:pPr/>
          </w:p>
        </w:tc>
        <w:tc>
          <w:tcPr>
            <w:tcW w:w="314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36,982,584.14</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37,577,186.66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220" w:right="1200"/>
        </w:sectPr>
      </w:pPr>
    </w:p>
    <w:p>
      <w:pPr>
        <w:pStyle w:val="Heading2"/>
        <w:spacing w:line="240" w:lineRule="auto" w:before="36"/>
        <w:ind w:right="-18"/>
        <w:jc w:val="left"/>
        <w:rPr>
          <w:b w:val="0"/>
          <w:bCs w:val="0"/>
        </w:rPr>
      </w:pPr>
      <w:r>
        <w:rPr>
          <w:rFonts w:ascii="宋体" w:hAnsi="宋体" w:cs="宋体" w:eastAsia="宋体" w:hint="default"/>
        </w:rPr>
        <w:t>58</w:t>
      </w:r>
      <w:r>
        <w:rPr/>
        <w:t>、</w:t>
      </w:r>
      <w:r>
        <w:rPr>
          <w:spacing w:val="-24"/>
        </w:rPr>
        <w:t> </w:t>
      </w:r>
      <w:r>
        <w:rPr/>
        <w:t>销售费用</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1798" w:space="4918"/>
            <w:col w:w="277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404"/>
        <w:gridCol w:w="2921"/>
        <w:gridCol w:w="2919"/>
      </w:tblGrid>
      <w:tr>
        <w:trPr>
          <w:trHeight w:val="28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工资及及其他人力成本</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393,188,474.66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342,080,752.79</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229,599,106.26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212,218,146.06</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业务会议费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43,689,098.09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40,491,419.39</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机动车费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23,750,139.71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32,249,027.31</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24,625,163.15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22,303,159.47</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宣传促销费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89,715,568.53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82,666,157.89</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发行手续费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39,829,692.76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24,297,382.93</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sz w:val="21"/>
                <w:szCs w:val="21"/>
              </w:rPr>
              <w:t>包装费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12,463,545.89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13,557,268.31</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153,812,194.24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122,653,060.68</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1,010,672,983.29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892,516,374.83</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220" w:right="1200"/>
        </w:sectPr>
      </w:pPr>
    </w:p>
    <w:p>
      <w:pPr>
        <w:pStyle w:val="Heading2"/>
        <w:spacing w:line="240" w:lineRule="auto" w:before="36"/>
        <w:ind w:right="-18"/>
        <w:jc w:val="left"/>
        <w:rPr>
          <w:b w:val="0"/>
          <w:bCs w:val="0"/>
        </w:rPr>
      </w:pPr>
      <w:r>
        <w:rPr>
          <w:rFonts w:ascii="宋体" w:hAnsi="宋体" w:cs="宋体" w:eastAsia="宋体" w:hint="default"/>
        </w:rPr>
        <w:t>59</w:t>
      </w:r>
      <w:r>
        <w:rPr/>
        <w:t>、</w:t>
      </w:r>
      <w:r>
        <w:rPr>
          <w:spacing w:val="-24"/>
        </w:rPr>
        <w:t> </w:t>
      </w:r>
      <w:r>
        <w:rPr/>
        <w:t>管理费用</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1798" w:space="4918"/>
            <w:col w:w="277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090"/>
        <w:gridCol w:w="2662"/>
        <w:gridCol w:w="2492"/>
      </w:tblGrid>
      <w:tr>
        <w:trPr>
          <w:trHeight w:val="283"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工资及其他人力成本</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575,793,642.70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527,669,106.52</w:t>
            </w:r>
          </w:p>
        </w:tc>
      </w:tr>
      <w:tr>
        <w:trPr>
          <w:trHeight w:val="281"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114,143,335.00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105,376,744.30</w:t>
            </w:r>
          </w:p>
        </w:tc>
      </w:tr>
      <w:tr>
        <w:trPr>
          <w:trHeight w:val="283"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121,601,442.21</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107,852,458.11</w:t>
            </w:r>
          </w:p>
        </w:tc>
      </w:tr>
      <w:tr>
        <w:trPr>
          <w:trHeight w:val="283"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折旧费及摊销费</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95,825,402.07</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106,292,508.31</w:t>
            </w:r>
          </w:p>
        </w:tc>
      </w:tr>
      <w:tr>
        <w:trPr>
          <w:trHeight w:val="281"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26,357,152.49</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21,498,296.16</w:t>
            </w:r>
          </w:p>
        </w:tc>
      </w:tr>
      <w:tr>
        <w:trPr>
          <w:trHeight w:val="283"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物业管理费</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32,725,409.10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28,820,703.37</w:t>
            </w:r>
          </w:p>
        </w:tc>
      </w:tr>
      <w:tr>
        <w:trPr>
          <w:trHeight w:val="283"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8,558,292.31</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9,960,268.97</w:t>
            </w:r>
          </w:p>
        </w:tc>
      </w:tr>
      <w:tr>
        <w:trPr>
          <w:trHeight w:val="281"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能源费</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19,367,466.73</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19,519,887.95</w:t>
            </w:r>
          </w:p>
        </w:tc>
      </w:tr>
    </w:tbl>
    <w:p>
      <w:pPr>
        <w:spacing w:after="0" w:line="241" w:lineRule="exact"/>
        <w:jc w:val="right"/>
        <w:rPr>
          <w:rFonts w:ascii="宋体" w:hAnsi="宋体" w:cs="宋体" w:eastAsia="宋体" w:hint="default"/>
          <w:sz w:val="21"/>
          <w:szCs w:val="21"/>
        </w:rPr>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090"/>
        <w:gridCol w:w="2662"/>
        <w:gridCol w:w="2492"/>
      </w:tblGrid>
      <w:tr>
        <w:trPr>
          <w:trHeight w:val="281"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8,304,490.64</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8,020,849.05</w:t>
            </w:r>
          </w:p>
        </w:tc>
      </w:tr>
      <w:tr>
        <w:trPr>
          <w:trHeight w:val="283"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24,624,051.60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15,883,396.32</w:t>
            </w:r>
          </w:p>
        </w:tc>
      </w:tr>
      <w:tr>
        <w:trPr>
          <w:trHeight w:val="283"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审计及其他非审计服务费</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3,245,283.02</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3,670,000.00</w:t>
            </w:r>
          </w:p>
        </w:tc>
      </w:tr>
      <w:tr>
        <w:trPr>
          <w:trHeight w:val="281"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84,796,085.53</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110,621,455.87</w:t>
            </w:r>
          </w:p>
        </w:tc>
      </w:tr>
      <w:tr>
        <w:trPr>
          <w:trHeight w:val="283"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1,115,342,053.40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1,065,185,674.93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05"/>
        <w:jc w:val="left"/>
        <w:rPr>
          <w:b w:val="0"/>
          <w:bCs w:val="0"/>
        </w:rPr>
      </w:pPr>
      <w:r>
        <w:rPr>
          <w:rFonts w:ascii="宋体" w:hAnsi="宋体" w:cs="宋体" w:eastAsia="宋体" w:hint="default"/>
        </w:rPr>
        <w:t>60</w:t>
      </w:r>
      <w:r>
        <w:rPr/>
        <w:t>、</w:t>
      </w:r>
      <w:r>
        <w:rPr>
          <w:spacing w:val="-24"/>
        </w:rPr>
        <w:t> </w:t>
      </w:r>
      <w:r>
        <w:rPr/>
        <w:t>研发费用</w:t>
      </w:r>
      <w:r>
        <w:rPr>
          <w:b w:val="0"/>
          <w:bCs w:val="0"/>
        </w:rPr>
      </w:r>
    </w:p>
    <w:p>
      <w:pPr>
        <w:pStyle w:val="BodyText"/>
        <w:spacing w:line="240" w:lineRule="auto" w:before="58"/>
        <w:ind w:right="20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20" w:right="1220"/>
        </w:sectPr>
      </w:pPr>
    </w:p>
    <w:p>
      <w:pPr>
        <w:pStyle w:val="Heading2"/>
        <w:spacing w:line="240" w:lineRule="auto" w:before="36"/>
        <w:ind w:right="-18"/>
        <w:jc w:val="left"/>
        <w:rPr>
          <w:b w:val="0"/>
          <w:bCs w:val="0"/>
        </w:rPr>
      </w:pPr>
      <w:r>
        <w:rPr>
          <w:rFonts w:ascii="宋体" w:hAnsi="宋体" w:cs="宋体" w:eastAsia="宋体" w:hint="default"/>
        </w:rPr>
        <w:t>61</w:t>
      </w:r>
      <w:r>
        <w:rPr/>
        <w:t>、</w:t>
      </w:r>
      <w:r>
        <w:rPr>
          <w:spacing w:val="-24"/>
        </w:rPr>
        <w:t> </w:t>
      </w:r>
      <w:r>
        <w:rPr/>
        <w:t>财务费用</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798" w:space="4918"/>
            <w:col w:w="275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090"/>
        <w:gridCol w:w="2662"/>
        <w:gridCol w:w="2492"/>
      </w:tblGrid>
      <w:tr>
        <w:trPr>
          <w:trHeight w:val="283"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7"/>
              <w:jc w:val="right"/>
              <w:rPr>
                <w:rFonts w:ascii="宋体" w:hAnsi="宋体" w:cs="宋体" w:eastAsia="宋体" w:hint="default"/>
                <w:sz w:val="21"/>
                <w:szCs w:val="21"/>
              </w:rPr>
            </w:pPr>
            <w:r>
              <w:rPr>
                <w:rFonts w:ascii="宋体" w:hAnsi="宋体" w:cs="宋体" w:eastAsia="宋体" w:hint="default"/>
                <w:sz w:val="21"/>
                <w:szCs w:val="21"/>
              </w:rPr>
              <w:t>项目</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516,412.05</w:t>
            </w: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-22,848,178.36</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-21,976,422.91</w:t>
            </w:r>
          </w:p>
        </w:tc>
      </w:tr>
      <w:tr>
        <w:trPr>
          <w:trHeight w:val="283"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长期应收款利息收入</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-13,150,248.29</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-6,216,780.55</w:t>
            </w:r>
          </w:p>
        </w:tc>
      </w:tr>
      <w:tr>
        <w:trPr>
          <w:trHeight w:val="281"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5,743,066.04</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4,795,450.04</w:t>
            </w:r>
          </w:p>
        </w:tc>
      </w:tr>
      <w:tr>
        <w:trPr>
          <w:trHeight w:val="283"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汇兑损益及其他</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5,328,224.53</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-962,537.65</w:t>
            </w:r>
          </w:p>
        </w:tc>
      </w:tr>
      <w:tr>
        <w:trPr>
          <w:trHeight w:val="283" w:hRule="exact"/>
        </w:trPr>
        <w:tc>
          <w:tcPr>
            <w:tcW w:w="4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7"/>
              <w:jc w:val="right"/>
              <w:rPr>
                <w:rFonts w:ascii="宋体" w:hAnsi="宋体" w:cs="宋体" w:eastAsia="宋体" w:hint="default"/>
                <w:sz w:val="21"/>
                <w:szCs w:val="21"/>
              </w:rPr>
            </w:pPr>
            <w:r>
              <w:rPr>
                <w:rFonts w:ascii="宋体" w:hAnsi="宋体" w:cs="宋体" w:eastAsia="宋体" w:hint="default"/>
                <w:sz w:val="21"/>
                <w:szCs w:val="21"/>
              </w:rPr>
              <w:t>合计</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-24,410,724.03</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-24,360,291.07</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220" w:right="1220"/>
        </w:sectPr>
      </w:pPr>
    </w:p>
    <w:p>
      <w:pPr>
        <w:pStyle w:val="Heading2"/>
        <w:spacing w:line="240" w:lineRule="auto" w:before="36"/>
        <w:ind w:right="-18"/>
        <w:jc w:val="left"/>
        <w:rPr>
          <w:b w:val="0"/>
          <w:bCs w:val="0"/>
        </w:rPr>
      </w:pPr>
      <w:r>
        <w:rPr>
          <w:rFonts w:ascii="宋体" w:hAnsi="宋体" w:cs="宋体" w:eastAsia="宋体" w:hint="default"/>
        </w:rPr>
        <w:t>62</w:t>
      </w:r>
      <w:r>
        <w:rPr/>
        <w:t>、</w:t>
      </w:r>
      <w:r>
        <w:rPr>
          <w:spacing w:val="-24"/>
        </w:rPr>
        <w:t> </w:t>
      </w:r>
      <w:r>
        <w:rPr/>
        <w:t>资产减值损失</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992" w:space="4724"/>
            <w:col w:w="275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473"/>
        <w:gridCol w:w="2628"/>
        <w:gridCol w:w="3142"/>
      </w:tblGrid>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628" w:type="dxa"/>
            <w:tcBorders>
              <w:top w:val="single" w:sz="4" w:space="0" w:color="000000"/>
              <w:left w:val="single" w:sz="4" w:space="0" w:color="000000"/>
              <w:bottom w:val="single" w:sz="4" w:space="0" w:color="000000"/>
              <w:right w:val="single" w:sz="4" w:space="0" w:color="000000"/>
            </w:tcBorders>
          </w:tcPr>
          <w:p>
            <w:pP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24,498,499.59</w:t>
            </w:r>
          </w:p>
        </w:tc>
      </w:tr>
      <w:tr>
        <w:trPr>
          <w:trHeight w:val="55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6"/>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货</w:t>
            </w:r>
            <w:r>
              <w:rPr>
                <w:rFonts w:ascii="宋体" w:hAnsi="宋体" w:cs="宋体" w:eastAsia="宋体" w:hint="default"/>
                <w:w w:val="100"/>
                <w:sz w:val="21"/>
                <w:szCs w:val="21"/>
              </w:rPr>
              <w:t>跌</w:t>
            </w:r>
            <w:r>
              <w:rPr>
                <w:rFonts w:ascii="宋体" w:hAnsi="宋体" w:cs="宋体" w:eastAsia="宋体" w:hint="default"/>
                <w:spacing w:val="-3"/>
                <w:w w:val="100"/>
                <w:sz w:val="21"/>
                <w:szCs w:val="21"/>
              </w:rPr>
              <w:t>价</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及</w:t>
            </w:r>
            <w:r>
              <w:rPr>
                <w:rFonts w:ascii="宋体" w:hAnsi="宋体" w:cs="宋体" w:eastAsia="宋体" w:hint="default"/>
                <w:spacing w:val="-3"/>
                <w:w w:val="100"/>
                <w:sz w:val="21"/>
                <w:szCs w:val="21"/>
              </w:rPr>
              <w:t>合</w:t>
            </w:r>
            <w:r>
              <w:rPr>
                <w:rFonts w:ascii="宋体" w:hAnsi="宋体" w:cs="宋体" w:eastAsia="宋体" w:hint="default"/>
                <w:w w:val="100"/>
                <w:sz w:val="21"/>
                <w:szCs w:val="21"/>
              </w:rPr>
              <w:t>同</w:t>
            </w:r>
            <w:r>
              <w:rPr>
                <w:rFonts w:ascii="宋体" w:hAnsi="宋体" w:cs="宋体" w:eastAsia="宋体" w:hint="default"/>
                <w:spacing w:val="-3"/>
                <w:w w:val="100"/>
                <w:sz w:val="21"/>
                <w:szCs w:val="21"/>
              </w:rPr>
              <w:t>履</w:t>
            </w:r>
            <w:r>
              <w:rPr>
                <w:rFonts w:ascii="宋体" w:hAnsi="宋体" w:cs="宋体" w:eastAsia="宋体" w:hint="default"/>
                <w:w w:val="100"/>
                <w:sz w:val="21"/>
                <w:szCs w:val="21"/>
              </w:rPr>
              <w:t>约成</w:t>
            </w:r>
            <w:r>
              <w:rPr>
                <w:rFonts w:ascii="宋体" w:hAnsi="宋体" w:cs="宋体" w:eastAsia="宋体" w:hint="default"/>
                <w:spacing w:val="-3"/>
                <w:w w:val="100"/>
                <w:sz w:val="21"/>
                <w:szCs w:val="21"/>
              </w:rPr>
              <w:t>本</w:t>
            </w:r>
            <w:r>
              <w:rPr>
                <w:rFonts w:ascii="宋体" w:hAnsi="宋体" w:cs="宋体" w:eastAsia="宋体" w:hint="default"/>
                <w:w w:val="100"/>
                <w:sz w:val="21"/>
                <w:szCs w:val="21"/>
              </w:rPr>
              <w:t>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值损失</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40,817,713.77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55,249,866.57</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628" w:type="dxa"/>
            <w:tcBorders>
              <w:top w:val="single" w:sz="4" w:space="0" w:color="000000"/>
              <w:left w:val="single" w:sz="4" w:space="0" w:color="000000"/>
              <w:bottom w:val="single" w:sz="4" w:space="0" w:color="000000"/>
              <w:right w:val="single" w:sz="4" w:space="0" w:color="000000"/>
            </w:tcBorders>
          </w:tcPr>
          <w:p>
            <w:pPr/>
          </w:p>
        </w:tc>
        <w:tc>
          <w:tcPr>
            <w:tcW w:w="31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628" w:type="dxa"/>
            <w:tcBorders>
              <w:top w:val="single" w:sz="4" w:space="0" w:color="000000"/>
              <w:left w:val="single" w:sz="4" w:space="0" w:color="000000"/>
              <w:bottom w:val="single" w:sz="4" w:space="0" w:color="000000"/>
              <w:right w:val="single" w:sz="4" w:space="0" w:color="000000"/>
            </w:tcBorders>
          </w:tcPr>
          <w:p>
            <w:pPr/>
          </w:p>
        </w:tc>
        <w:tc>
          <w:tcPr>
            <w:tcW w:w="31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16,529,000.00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628" w:type="dxa"/>
            <w:tcBorders>
              <w:top w:val="single" w:sz="4" w:space="0" w:color="000000"/>
              <w:left w:val="single" w:sz="4" w:space="0" w:color="000000"/>
              <w:bottom w:val="single" w:sz="4" w:space="0" w:color="000000"/>
              <w:right w:val="single" w:sz="4" w:space="0" w:color="000000"/>
            </w:tcBorders>
          </w:tcPr>
          <w:p>
            <w:pPr/>
          </w:p>
        </w:tc>
        <w:tc>
          <w:tcPr>
            <w:tcW w:w="31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1,004,713.59</w:t>
            </w:r>
          </w:p>
        </w:tc>
      </w:tr>
      <w:tr>
        <w:trPr>
          <w:trHeight w:val="28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628" w:type="dxa"/>
            <w:tcBorders>
              <w:top w:val="single" w:sz="4" w:space="0" w:color="000000"/>
              <w:left w:val="single" w:sz="4" w:space="0" w:color="000000"/>
              <w:bottom w:val="single" w:sz="4" w:space="0" w:color="000000"/>
              <w:right w:val="single" w:sz="4" w:space="0" w:color="000000"/>
            </w:tcBorders>
          </w:tcPr>
          <w:p>
            <w:pPr/>
          </w:p>
        </w:tc>
        <w:tc>
          <w:tcPr>
            <w:tcW w:w="31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628" w:type="dxa"/>
            <w:tcBorders>
              <w:top w:val="single" w:sz="4" w:space="0" w:color="000000"/>
              <w:left w:val="single" w:sz="4" w:space="0" w:color="000000"/>
              <w:bottom w:val="single" w:sz="4" w:space="0" w:color="000000"/>
              <w:right w:val="single" w:sz="4" w:space="0" w:color="000000"/>
            </w:tcBorders>
          </w:tcPr>
          <w:p>
            <w:pPr/>
          </w:p>
        </w:tc>
        <w:tc>
          <w:tcPr>
            <w:tcW w:w="31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628" w:type="dxa"/>
            <w:tcBorders>
              <w:top w:val="single" w:sz="4" w:space="0" w:color="000000"/>
              <w:left w:val="single" w:sz="4" w:space="0" w:color="000000"/>
              <w:bottom w:val="single" w:sz="4" w:space="0" w:color="000000"/>
              <w:right w:val="single" w:sz="4" w:space="0" w:color="000000"/>
            </w:tcBorders>
          </w:tcPr>
          <w:p>
            <w:pPr/>
          </w:p>
        </w:tc>
        <w:tc>
          <w:tcPr>
            <w:tcW w:w="31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628" w:type="dxa"/>
            <w:tcBorders>
              <w:top w:val="single" w:sz="4" w:space="0" w:color="000000"/>
              <w:left w:val="single" w:sz="4" w:space="0" w:color="000000"/>
              <w:bottom w:val="single" w:sz="4" w:space="0" w:color="000000"/>
              <w:right w:val="single" w:sz="4" w:space="0" w:color="000000"/>
            </w:tcBorders>
          </w:tcPr>
          <w:p>
            <w:pPr/>
          </w:p>
        </w:tc>
        <w:tc>
          <w:tcPr>
            <w:tcW w:w="31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628" w:type="dxa"/>
            <w:tcBorders>
              <w:top w:val="single" w:sz="4" w:space="0" w:color="000000"/>
              <w:left w:val="single" w:sz="4" w:space="0" w:color="000000"/>
              <w:bottom w:val="single" w:sz="4" w:space="0" w:color="000000"/>
              <w:right w:val="single" w:sz="4" w:space="0" w:color="000000"/>
            </w:tcBorders>
          </w:tcPr>
          <w:p>
            <w:pPr/>
          </w:p>
        </w:tc>
        <w:tc>
          <w:tcPr>
            <w:tcW w:w="31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628" w:type="dxa"/>
            <w:tcBorders>
              <w:top w:val="single" w:sz="4" w:space="0" w:color="000000"/>
              <w:left w:val="single" w:sz="4" w:space="0" w:color="000000"/>
              <w:bottom w:val="single" w:sz="4" w:space="0" w:color="000000"/>
              <w:right w:val="single" w:sz="4" w:space="0" w:color="000000"/>
            </w:tcBorders>
          </w:tcPr>
          <w:p>
            <w:pPr/>
          </w:p>
        </w:tc>
        <w:tc>
          <w:tcPr>
            <w:tcW w:w="31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628" w:type="dxa"/>
            <w:tcBorders>
              <w:top w:val="single" w:sz="4" w:space="0" w:color="000000"/>
              <w:left w:val="single" w:sz="4" w:space="0" w:color="000000"/>
              <w:bottom w:val="single" w:sz="4" w:space="0" w:color="000000"/>
              <w:right w:val="single" w:sz="4" w:space="0" w:color="000000"/>
            </w:tcBorders>
          </w:tcPr>
          <w:p>
            <w:pPr/>
          </w:p>
        </w:tc>
        <w:tc>
          <w:tcPr>
            <w:tcW w:w="31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57,346,713.77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80,753,079.75</w:t>
            </w:r>
          </w:p>
        </w:tc>
      </w:tr>
    </w:tbl>
    <w:p>
      <w:pPr>
        <w:spacing w:line="240" w:lineRule="auto" w:before="2"/>
        <w:rPr>
          <w:rFonts w:ascii="宋体" w:hAnsi="宋体" w:cs="宋体" w:eastAsia="宋体" w:hint="default"/>
          <w:sz w:val="20"/>
          <w:szCs w:val="20"/>
        </w:rPr>
      </w:pPr>
    </w:p>
    <w:p>
      <w:pPr>
        <w:pStyle w:val="BodyText"/>
        <w:spacing w:line="240" w:lineRule="auto" w:before="36"/>
        <w:ind w:right="205"/>
        <w:jc w:val="left"/>
      </w:pPr>
      <w:r>
        <w:rPr/>
        <w:t>其他说明：</w:t>
      </w:r>
    </w:p>
    <w:p>
      <w:pPr>
        <w:pStyle w:val="BodyText"/>
        <w:spacing w:line="357" w:lineRule="auto" w:before="56"/>
        <w:ind w:right="304" w:firstLine="424"/>
        <w:jc w:val="left"/>
      </w:pPr>
      <w:r>
        <w:rPr/>
        <w:t>根据新金融工具准则和财会</w:t>
      </w:r>
      <w:r>
        <w:rPr>
          <w:spacing w:val="-55"/>
        </w:rPr>
        <w:t> </w:t>
      </w:r>
      <w:r>
        <w:rPr>
          <w:rFonts w:ascii="宋体" w:hAnsi="宋体" w:cs="宋体" w:eastAsia="宋体" w:hint="default"/>
        </w:rPr>
        <w:t>15</w:t>
      </w:r>
      <w:r>
        <w:rPr>
          <w:rFonts w:ascii="宋体" w:hAnsi="宋体" w:cs="宋体" w:eastAsia="宋体" w:hint="default"/>
          <w:spacing w:val="-57"/>
        </w:rPr>
        <w:t> </w:t>
      </w:r>
      <w:r>
        <w:rPr/>
        <w:t>号文件的相关规定，公司本年度对应收款项计提的坏账准备调</w:t>
      </w:r>
      <w:r>
        <w:rPr>
          <w:w w:val="100"/>
        </w:rPr>
        <w:t> </w:t>
      </w:r>
      <w:r>
        <w:rPr/>
        <w:t>至“信用减值损失”下反映。</w:t>
      </w:r>
    </w:p>
    <w:p>
      <w:pPr>
        <w:spacing w:after="0" w:line="357" w:lineRule="auto"/>
        <w:jc w:val="left"/>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20" w:right="1220"/>
        </w:sectPr>
      </w:pPr>
    </w:p>
    <w:p>
      <w:pPr>
        <w:spacing w:line="240" w:lineRule="auto" w:before="1"/>
        <w:rPr>
          <w:rFonts w:ascii="宋体" w:hAnsi="宋体" w:cs="宋体" w:eastAsia="宋体" w:hint="default"/>
          <w:sz w:val="14"/>
          <w:szCs w:val="14"/>
        </w:rPr>
      </w:pPr>
    </w:p>
    <w:p>
      <w:pPr>
        <w:pStyle w:val="Heading2"/>
        <w:spacing w:line="240" w:lineRule="auto"/>
        <w:ind w:right="-19"/>
        <w:jc w:val="left"/>
        <w:rPr>
          <w:b w:val="0"/>
          <w:bCs w:val="0"/>
        </w:rPr>
      </w:pPr>
      <w:r>
        <w:rPr>
          <w:rFonts w:ascii="宋体" w:hAnsi="宋体" w:cs="宋体" w:eastAsia="宋体" w:hint="default"/>
        </w:rPr>
        <w:t>63</w:t>
      </w:r>
      <w:r>
        <w:rPr/>
        <w:t>、</w:t>
      </w:r>
      <w:r>
        <w:rPr>
          <w:spacing w:val="-23"/>
        </w:rPr>
        <w:t> </w:t>
      </w:r>
      <w:r>
        <w:rPr/>
        <w:t>信用减值损失</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992" w:space="4724"/>
            <w:col w:w="275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728"/>
        <w:gridCol w:w="2746"/>
        <w:gridCol w:w="2770"/>
      </w:tblGrid>
      <w:tr>
        <w:trPr>
          <w:trHeight w:val="283" w:hRule="exact"/>
        </w:trPr>
        <w:tc>
          <w:tcPr>
            <w:tcW w:w="372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72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应收票据及应收账款坏账损失</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81,269,285.69</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8" w:hRule="exact"/>
        </w:trPr>
        <w:tc>
          <w:tcPr>
            <w:tcW w:w="37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2,486,787.92</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6" w:hRule="exact"/>
        </w:trPr>
        <w:tc>
          <w:tcPr>
            <w:tcW w:w="372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4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83,756,073.61</w:t>
            </w:r>
          </w:p>
        </w:tc>
        <w:tc>
          <w:tcPr>
            <w:tcW w:w="277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220" w:right="1220"/>
        </w:sectPr>
      </w:pPr>
    </w:p>
    <w:p>
      <w:pPr>
        <w:pStyle w:val="Heading2"/>
        <w:spacing w:line="240" w:lineRule="auto" w:before="36"/>
        <w:ind w:right="-18"/>
        <w:jc w:val="left"/>
        <w:rPr>
          <w:b w:val="0"/>
          <w:bCs w:val="0"/>
        </w:rPr>
      </w:pPr>
      <w:r>
        <w:rPr>
          <w:rFonts w:ascii="宋体" w:hAnsi="宋体" w:cs="宋体" w:eastAsia="宋体" w:hint="default"/>
        </w:rPr>
        <w:t>64</w:t>
      </w:r>
      <w:r>
        <w:rPr/>
        <w:t>、</w:t>
      </w:r>
      <w:r>
        <w:rPr>
          <w:spacing w:val="-24"/>
        </w:rPr>
        <w:t> </w:t>
      </w:r>
      <w:r>
        <w:rPr/>
        <w:t>其他收益</w:t>
      </w:r>
      <w:r>
        <w:rPr>
          <w:b w:val="0"/>
          <w:bCs w:val="0"/>
        </w:rPr>
      </w:r>
    </w:p>
    <w:p>
      <w:pPr>
        <w:pStyle w:val="BodyText"/>
        <w:spacing w:line="240" w:lineRule="auto" w:before="59"/>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798" w:space="4918"/>
            <w:col w:w="275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图书出版补贴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26,825,204.01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14,170,235.94</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增值税先征后返收入</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10,537,649.87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29,900,529.02</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其他财政补贴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25,082,079.56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21,184,433.93</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62,444,933.44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65,255,198.89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220" w:right="1220"/>
        </w:sectPr>
      </w:pPr>
    </w:p>
    <w:p>
      <w:pPr>
        <w:pStyle w:val="Heading2"/>
        <w:spacing w:line="240" w:lineRule="auto" w:before="36"/>
        <w:ind w:right="-18"/>
        <w:jc w:val="left"/>
        <w:rPr>
          <w:b w:val="0"/>
          <w:bCs w:val="0"/>
        </w:rPr>
      </w:pPr>
      <w:r>
        <w:rPr>
          <w:rFonts w:ascii="宋体" w:hAnsi="宋体" w:cs="宋体" w:eastAsia="宋体" w:hint="default"/>
        </w:rPr>
        <w:t>65</w:t>
      </w:r>
      <w:r>
        <w:rPr/>
        <w:t>、</w:t>
      </w:r>
      <w:r>
        <w:rPr>
          <w:spacing w:val="-24"/>
        </w:rPr>
        <w:t> </w:t>
      </w:r>
      <w:r>
        <w:rPr/>
        <w:t>投资收益</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220" w:right="1220"/>
          <w:cols w:num="2" w:equalWidth="0">
            <w:col w:w="1798" w:space="4918"/>
            <w:col w:w="275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503"/>
        <w:gridCol w:w="2268"/>
        <w:gridCol w:w="2473"/>
      </w:tblGrid>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20,614,370.74</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10,286,556.13</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-20.32</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166,604,192.41</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49,459,881.88</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26,768,910.15</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62,859,297.62</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593,133.85</w:t>
            </w:r>
          </w:p>
        </w:tc>
      </w:tr>
      <w:tr>
        <w:trPr>
          <w:trHeight w:val="55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产生的利得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5,042,726.27</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其他权益工具投资持有期间取得的股利收入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43,591,488.02</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债权投资持有期间取得的利息收入</w:t>
            </w:r>
          </w:p>
        </w:tc>
        <w:tc>
          <w:tcPr>
            <w:tcW w:w="2268" w:type="dxa"/>
            <w:tcBorders>
              <w:top w:val="single" w:sz="4" w:space="0" w:color="000000"/>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其他债权投资持有期间取得的利息收入</w:t>
            </w:r>
          </w:p>
        </w:tc>
        <w:tc>
          <w:tcPr>
            <w:tcW w:w="2268" w:type="dxa"/>
            <w:tcBorders>
              <w:top w:val="single" w:sz="4" w:space="0" w:color="000000"/>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13,216,494.74</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126,882,215.06</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272,154,816.43</w:t>
            </w:r>
          </w:p>
        </w:tc>
      </w:tr>
    </w:tbl>
    <w:p>
      <w:pPr>
        <w:spacing w:after="0" w:line="241" w:lineRule="exact"/>
        <w:jc w:val="right"/>
        <w:rPr>
          <w:rFonts w:ascii="宋体" w:hAnsi="宋体" w:cs="宋体" w:eastAsia="宋体" w:hint="default"/>
          <w:sz w:val="21"/>
          <w:szCs w:val="21"/>
        </w:rPr>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36"/>
        <w:ind w:right="205"/>
        <w:jc w:val="left"/>
        <w:rPr>
          <w:b w:val="0"/>
          <w:bCs w:val="0"/>
        </w:rPr>
      </w:pPr>
      <w:r>
        <w:rPr>
          <w:rFonts w:ascii="宋体" w:hAnsi="宋体" w:cs="宋体" w:eastAsia="宋体" w:hint="default"/>
        </w:rPr>
        <w:t>66</w:t>
      </w:r>
      <w:r>
        <w:rPr/>
        <w:t>、</w:t>
      </w:r>
      <w:r>
        <w:rPr>
          <w:spacing w:val="-23"/>
        </w:rPr>
        <w:t> </w:t>
      </w:r>
      <w:r>
        <w:rPr/>
        <w:t>净敞口套期收益</w:t>
      </w:r>
      <w:r>
        <w:rPr>
          <w:b w:val="0"/>
          <w:bCs w:val="0"/>
        </w:rPr>
      </w:r>
    </w:p>
    <w:p>
      <w:pPr>
        <w:pStyle w:val="BodyText"/>
        <w:spacing w:line="240" w:lineRule="auto" w:before="56"/>
        <w:ind w:right="20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20" w:right="1220"/>
        </w:sectPr>
      </w:pPr>
    </w:p>
    <w:p>
      <w:pPr>
        <w:pStyle w:val="Heading2"/>
        <w:spacing w:line="240" w:lineRule="auto" w:before="36"/>
        <w:ind w:right="-18"/>
        <w:jc w:val="left"/>
        <w:rPr>
          <w:b w:val="0"/>
          <w:bCs w:val="0"/>
        </w:rPr>
      </w:pPr>
      <w:r>
        <w:rPr>
          <w:rFonts w:ascii="宋体" w:hAnsi="宋体" w:cs="宋体" w:eastAsia="宋体" w:hint="default"/>
        </w:rPr>
        <w:t>67</w:t>
      </w:r>
      <w:r>
        <w:rPr/>
        <w:t>、</w:t>
      </w:r>
      <w:r>
        <w:rPr>
          <w:spacing w:val="-23"/>
        </w:rPr>
        <w:t> </w:t>
      </w:r>
      <w:r>
        <w:rPr/>
        <w:t>公允价值变动收益</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2415" w:space="4302"/>
            <w:col w:w="2753"/>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887"/>
        <w:gridCol w:w="2172"/>
        <w:gridCol w:w="2185"/>
      </w:tblGrid>
      <w:tr>
        <w:trPr>
          <w:trHeight w:val="281" w:hRule="exact"/>
        </w:trPr>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-127,441.08</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10,279.16</w:t>
            </w:r>
          </w:p>
        </w:tc>
      </w:tr>
      <w:tr>
        <w:trPr>
          <w:trHeight w:val="283" w:hRule="exact"/>
        </w:trPr>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-38,053,591.53</w:t>
            </w: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-38,181,032.61</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10,279.16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220" w:right="1220"/>
        </w:sectPr>
      </w:pPr>
    </w:p>
    <w:p>
      <w:pPr>
        <w:pStyle w:val="Heading2"/>
        <w:spacing w:line="240" w:lineRule="auto" w:before="36"/>
        <w:ind w:right="-19"/>
        <w:jc w:val="left"/>
        <w:rPr>
          <w:b w:val="0"/>
          <w:bCs w:val="0"/>
        </w:rPr>
      </w:pPr>
      <w:r>
        <w:rPr>
          <w:rFonts w:ascii="宋体" w:hAnsi="宋体" w:cs="宋体" w:eastAsia="宋体" w:hint="default"/>
        </w:rPr>
        <w:t>68</w:t>
      </w:r>
      <w:r>
        <w:rPr/>
        <w:t>、</w:t>
      </w:r>
      <w:r>
        <w:rPr>
          <w:spacing w:val="-23"/>
        </w:rPr>
        <w:t> </w:t>
      </w:r>
      <w:r>
        <w:rPr/>
        <w:t>资产处置收益</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992" w:space="4724"/>
            <w:col w:w="275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370"/>
        <w:gridCol w:w="3029"/>
        <w:gridCol w:w="2650"/>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7"/>
              <w:jc w:val="right"/>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1,430,228.33</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208,309.60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2,629,544.76</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7"/>
              <w:jc w:val="right"/>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1,430,228.33</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2,837,854.36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220" w:right="1220"/>
        </w:sectPr>
      </w:pPr>
    </w:p>
    <w:p>
      <w:pPr>
        <w:spacing w:line="290" w:lineRule="auto" w:before="36"/>
        <w:ind w:left="220" w:right="104"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62" w:val="left" w:leader="none"/>
        </w:tabs>
        <w:spacing w:line="230" w:lineRule="exact"/>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903" w:space="4813"/>
            <w:col w:w="275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999"/>
        <w:gridCol w:w="1616"/>
        <w:gridCol w:w="1738"/>
        <w:gridCol w:w="1892"/>
      </w:tblGrid>
      <w:tr>
        <w:trPr>
          <w:trHeight w:val="554"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81"/>
              <w:jc w:val="right"/>
              <w:rPr>
                <w:rFonts w:ascii="宋体" w:hAnsi="宋体" w:cs="宋体" w:eastAsia="宋体" w:hint="default"/>
                <w:sz w:val="21"/>
                <w:szCs w:val="21"/>
              </w:rPr>
            </w:pPr>
            <w:r>
              <w:rPr>
                <w:rFonts w:ascii="宋体" w:hAnsi="宋体" w:cs="宋体" w:eastAsia="宋体" w:hint="default"/>
                <w:sz w:val="21"/>
                <w:szCs w:val="21"/>
              </w:rPr>
              <w:t>项目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性损益的金额</w:t>
            </w:r>
          </w:p>
        </w:tc>
      </w:tr>
      <w:tr>
        <w:trPr>
          <w:trHeight w:val="283"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10,614,766.98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sz w:val="21"/>
              </w:rPr>
              <w:t>8,691,686.24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10,614,766.98</w:t>
            </w:r>
          </w:p>
        </w:tc>
      </w:tr>
      <w:tr>
        <w:trPr>
          <w:trHeight w:val="281"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1"/>
              <w:jc w:val="right"/>
              <w:rPr>
                <w:rFonts w:ascii="宋体" w:hAnsi="宋体" w:cs="宋体" w:eastAsia="宋体" w:hint="default"/>
                <w:sz w:val="21"/>
                <w:szCs w:val="21"/>
              </w:rPr>
            </w:pPr>
            <w:r>
              <w:rPr>
                <w:rFonts w:ascii="宋体" w:hAnsi="宋体" w:cs="宋体" w:eastAsia="宋体" w:hint="default"/>
                <w:sz w:val="21"/>
                <w:szCs w:val="21"/>
              </w:rPr>
              <w:t>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10,614,766.98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sz w:val="21"/>
              </w:rPr>
              <w:t>8,691,686.24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10,614,766.98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4" w:lineRule="exact" w:before="36"/>
        <w:ind w:right="205"/>
        <w:jc w:val="left"/>
      </w:pPr>
      <w:r>
        <w:rPr/>
        <w:t>计入当期损益的政府补助</w:t>
      </w:r>
    </w:p>
    <w:p>
      <w:pPr>
        <w:pStyle w:val="BodyText"/>
        <w:spacing w:line="355" w:lineRule="auto"/>
        <w:ind w:right="7651"/>
        <w:jc w:val="left"/>
      </w:pPr>
      <w:r>
        <w:rPr/>
        <w:t>□适用 √不适用</w:t>
      </w:r>
      <w:r>
        <w:rPr>
          <w:w w:val="100"/>
        </w:rPr>
        <w:t> </w:t>
      </w:r>
      <w:r>
        <w:rPr/>
        <w:t>其他说明：</w:t>
      </w:r>
    </w:p>
    <w:p>
      <w:pPr>
        <w:pStyle w:val="BodyText"/>
        <w:spacing w:line="240" w:lineRule="auto" w:before="44"/>
        <w:ind w:right="205"/>
        <w:jc w:val="left"/>
      </w:pPr>
      <w:r>
        <w:rPr/>
        <w:t>□适用 √不适用</w:t>
      </w: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380" w:left="1220" w:right="1220"/>
        </w:sectPr>
      </w:pPr>
    </w:p>
    <w:p>
      <w:pPr>
        <w:pStyle w:val="Heading2"/>
        <w:spacing w:line="240" w:lineRule="auto" w:before="36"/>
        <w:ind w:right="-12"/>
        <w:jc w:val="left"/>
        <w:rPr>
          <w:b w:val="0"/>
          <w:bCs w:val="0"/>
        </w:rPr>
      </w:pPr>
      <w:r>
        <w:rPr>
          <w:rFonts w:ascii="宋体" w:hAnsi="宋体" w:cs="宋体" w:eastAsia="宋体" w:hint="default"/>
        </w:rPr>
        <w:t>70</w:t>
      </w:r>
      <w:r>
        <w:rPr/>
        <w:t>、</w:t>
      </w:r>
      <w:r>
        <w:rPr>
          <w:spacing w:val="-24"/>
        </w:rPr>
        <w:t> </w:t>
      </w:r>
      <w:r>
        <w:rPr/>
        <w:t>营业外支出</w:t>
      </w:r>
      <w:r>
        <w:rPr>
          <w:b w:val="0"/>
          <w:bCs w:val="0"/>
        </w:rPr>
      </w:r>
    </w:p>
    <w:p>
      <w:pPr>
        <w:pStyle w:val="BodyText"/>
        <w:tabs>
          <w:tab w:pos="1062" w:val="left" w:leader="none"/>
        </w:tabs>
        <w:spacing w:line="240" w:lineRule="auto" w:before="56"/>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1903" w:space="4813"/>
            <w:col w:w="275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61"/>
        <w:gridCol w:w="2172"/>
        <w:gridCol w:w="2172"/>
        <w:gridCol w:w="2038"/>
      </w:tblGrid>
      <w:tr>
        <w:trPr>
          <w:trHeight w:val="554"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4"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3" w:right="0"/>
              <w:jc w:val="left"/>
              <w:rPr>
                <w:rFonts w:ascii="宋体" w:hAnsi="宋体" w:cs="宋体" w:eastAsia="宋体" w:hint="default"/>
                <w:sz w:val="21"/>
                <w:szCs w:val="21"/>
              </w:rPr>
            </w:pPr>
            <w:r>
              <w:rPr>
                <w:rFonts w:ascii="宋体"/>
                <w:sz w:val="21"/>
              </w:rPr>
              <w:t>24,505,352.02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3" w:right="0"/>
              <w:jc w:val="left"/>
              <w:rPr>
                <w:rFonts w:ascii="宋体" w:hAnsi="宋体" w:cs="宋体" w:eastAsia="宋体" w:hint="default"/>
                <w:sz w:val="21"/>
                <w:szCs w:val="21"/>
              </w:rPr>
            </w:pPr>
            <w:r>
              <w:rPr>
                <w:rFonts w:ascii="宋体"/>
                <w:sz w:val="21"/>
              </w:rPr>
              <w:t>32,148,012.97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sz w:val="21"/>
              </w:rPr>
              <w:t>24,505,352.02</w:t>
            </w:r>
          </w:p>
        </w:tc>
      </w:tr>
    </w:tbl>
    <w:p>
      <w:pPr>
        <w:spacing w:after="0" w:line="241" w:lineRule="exact"/>
        <w:jc w:val="left"/>
        <w:rPr>
          <w:rFonts w:ascii="宋体" w:hAnsi="宋体" w:cs="宋体" w:eastAsia="宋体" w:hint="default"/>
          <w:sz w:val="21"/>
          <w:szCs w:val="21"/>
        </w:rPr>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861"/>
        <w:gridCol w:w="2172"/>
        <w:gridCol w:w="2172"/>
        <w:gridCol w:w="2038"/>
      </w:tblGrid>
      <w:tr>
        <w:trPr>
          <w:trHeight w:val="281"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罚没支出</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2,967.82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17,974.25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2,967.82</w:t>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1,034,830.25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1,154,736.75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1,034,830.25</w:t>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25,543,150.09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33,320,723.97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25,543,150.09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20" w:right="1200"/>
        </w:sectPr>
      </w:pPr>
    </w:p>
    <w:p>
      <w:pPr>
        <w:pStyle w:val="Heading2"/>
        <w:spacing w:line="290" w:lineRule="auto" w:before="36"/>
        <w:ind w:right="-14"/>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4"/>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1915" w:space="4801"/>
            <w:col w:w="277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86"/>
        <w:gridCol w:w="2991"/>
        <w:gridCol w:w="2977"/>
      </w:tblGrid>
      <w:tr>
        <w:trPr>
          <w:trHeight w:val="288"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0"/>
              <w:jc w:val="right"/>
              <w:rPr>
                <w:rFonts w:ascii="宋体" w:hAnsi="宋体" w:cs="宋体" w:eastAsia="宋体" w:hint="default"/>
                <w:sz w:val="21"/>
                <w:szCs w:val="21"/>
              </w:rPr>
            </w:pPr>
            <w:r>
              <w:rPr>
                <w:rFonts w:ascii="宋体" w:hAnsi="宋体" w:cs="宋体" w:eastAsia="宋体" w:hint="default"/>
                <w:sz w:val="21"/>
                <w:szCs w:val="21"/>
              </w:rPr>
              <w:t>项目</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2,012,008.52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3,837,124.49</w:t>
            </w:r>
          </w:p>
        </w:tc>
      </w:tr>
      <w:tr>
        <w:trPr>
          <w:trHeight w:val="281"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-12,807,854.89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-3,277,239.28</w:t>
            </w:r>
          </w:p>
        </w:tc>
      </w:tr>
      <w:tr>
        <w:trPr>
          <w:trHeight w:val="283"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0"/>
              <w:jc w:val="right"/>
              <w:rPr>
                <w:rFonts w:ascii="宋体" w:hAnsi="宋体" w:cs="宋体" w:eastAsia="宋体" w:hint="default"/>
                <w:sz w:val="21"/>
                <w:szCs w:val="21"/>
              </w:rPr>
            </w:pPr>
            <w:r>
              <w:rPr>
                <w:rFonts w:ascii="宋体" w:hAnsi="宋体" w:cs="宋体" w:eastAsia="宋体" w:hint="default"/>
                <w:sz w:val="21"/>
                <w:szCs w:val="21"/>
              </w:rPr>
              <w:t>合计</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-10,795,846.37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559,885.21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220" w:right="1200"/>
        </w:sectPr>
      </w:pPr>
    </w:p>
    <w:p>
      <w:pPr>
        <w:pStyle w:val="Heading2"/>
        <w:spacing w:line="240" w:lineRule="auto" w:before="36"/>
        <w:ind w:right="-15"/>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6"/>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3600" w:space="3116"/>
            <w:col w:w="2774"/>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6918"/>
        <w:gridCol w:w="2331"/>
      </w:tblGrid>
      <w:tr>
        <w:trPr>
          <w:trHeight w:val="283"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3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1"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33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915,920,620.39</w:t>
            </w:r>
          </w:p>
        </w:tc>
      </w:tr>
      <w:tr>
        <w:trPr>
          <w:trHeight w:val="288"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331"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228,980,155.10</w:t>
            </w:r>
          </w:p>
        </w:tc>
      </w:tr>
      <w:tr>
        <w:trPr>
          <w:trHeight w:val="288"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33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25,652,991.76</w:t>
            </w:r>
          </w:p>
        </w:tc>
      </w:tr>
      <w:tr>
        <w:trPr>
          <w:trHeight w:val="288"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33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-7,987,921.69</w:t>
            </w:r>
          </w:p>
        </w:tc>
      </w:tr>
      <w:tr>
        <w:trPr>
          <w:trHeight w:val="286"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33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10,615,337.35</w:t>
            </w:r>
          </w:p>
        </w:tc>
      </w:tr>
      <w:tr>
        <w:trPr>
          <w:trHeight w:val="290" w:hRule="exact"/>
        </w:trPr>
        <w:tc>
          <w:tcPr>
            <w:tcW w:w="6918"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各项减免税优惠</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-257,159,208.89</w:t>
            </w:r>
          </w:p>
        </w:tc>
      </w:tr>
      <w:tr>
        <w:trPr>
          <w:trHeight w:val="288" w:hRule="exact"/>
        </w:trPr>
        <w:tc>
          <w:tcPr>
            <w:tcW w:w="6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无需课税收入的纳税影响</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-10,897,200.00</w:t>
            </w:r>
          </w:p>
        </w:tc>
      </w:tr>
      <w:tr>
        <w:trPr>
          <w:trHeight w:val="286" w:hRule="exact"/>
        </w:trPr>
        <w:tc>
          <w:tcPr>
            <w:tcW w:w="691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33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-10,795,846.37</w:t>
            </w:r>
          </w:p>
        </w:tc>
      </w:tr>
    </w:tbl>
    <w:p>
      <w:pPr>
        <w:spacing w:line="240" w:lineRule="auto" w:before="2"/>
        <w:rPr>
          <w:rFonts w:ascii="宋体" w:hAnsi="宋体" w:cs="宋体" w:eastAsia="宋体" w:hint="default"/>
          <w:sz w:val="20"/>
          <w:szCs w:val="20"/>
        </w:rPr>
      </w:pPr>
    </w:p>
    <w:p>
      <w:pPr>
        <w:pStyle w:val="BodyText"/>
        <w:spacing w:line="240" w:lineRule="auto" w:before="36"/>
        <w:ind w:right="123"/>
        <w:jc w:val="left"/>
      </w:pPr>
      <w:r>
        <w:rPr/>
        <w:t>其他说明：</w:t>
      </w:r>
    </w:p>
    <w:p>
      <w:pPr>
        <w:pStyle w:val="BodyText"/>
        <w:spacing w:line="240" w:lineRule="auto" w:before="58"/>
        <w:ind w:right="123"/>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ind w:right="123"/>
        <w:jc w:val="left"/>
        <w:rPr>
          <w:b w:val="0"/>
          <w:bCs w:val="0"/>
        </w:rPr>
      </w:pPr>
      <w:r>
        <w:rPr>
          <w:rFonts w:ascii="宋体" w:hAnsi="宋体" w:cs="宋体" w:eastAsia="宋体" w:hint="default"/>
        </w:rPr>
        <w:t>72</w:t>
      </w:r>
      <w:r>
        <w:rPr/>
        <w:t>、</w:t>
      </w:r>
      <w:r>
        <w:rPr>
          <w:spacing w:val="-23"/>
        </w:rPr>
        <w:t> </w:t>
      </w:r>
      <w:r>
        <w:rPr/>
        <w:t>其他综合收益</w:t>
      </w:r>
      <w:r>
        <w:rPr>
          <w:b w:val="0"/>
          <w:bCs w:val="0"/>
        </w:rPr>
      </w:r>
    </w:p>
    <w:p>
      <w:pPr>
        <w:pStyle w:val="BodyText"/>
        <w:spacing w:line="240" w:lineRule="auto" w:before="56"/>
        <w:ind w:right="7671"/>
        <w:jc w:val="left"/>
        <w:rPr>
          <w:rFonts w:ascii="宋体" w:hAnsi="宋体" w:cs="宋体" w:eastAsia="宋体" w:hint="default"/>
        </w:rPr>
      </w:pPr>
      <w:r>
        <w:rPr/>
        <w:t>√适用 □不适用</w:t>
      </w:r>
      <w:r>
        <w:rPr>
          <w:w w:val="100"/>
        </w:rPr>
        <w:t> </w:t>
      </w:r>
      <w:r>
        <w:rPr/>
        <w:t>详见附注</w:t>
      </w:r>
      <w:r>
        <w:rPr>
          <w:spacing w:val="-50"/>
        </w:rPr>
        <w:t> </w:t>
      </w:r>
      <w:r>
        <w:rPr>
          <w:rFonts w:ascii="宋体" w:hAnsi="宋体" w:cs="宋体" w:eastAsia="宋体" w:hint="default"/>
          <w:spacing w:val="-3"/>
        </w:rPr>
        <w:t>52</w:t>
      </w:r>
      <w:r>
        <w:rPr>
          <w:rFonts w:ascii="宋体" w:hAnsi="宋体" w:cs="宋体" w:eastAsia="宋体" w:hint="default"/>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220" w:right="1200"/>
        </w:sectPr>
      </w:pPr>
    </w:p>
    <w:p>
      <w:pPr>
        <w:pStyle w:val="Heading2"/>
        <w:spacing w:line="290" w:lineRule="auto" w:before="36"/>
        <w:ind w:right="-15"/>
        <w:jc w:val="left"/>
        <w:rPr>
          <w:b w:val="0"/>
          <w:bCs w:val="0"/>
        </w:rPr>
      </w:pPr>
      <w:r>
        <w:rPr>
          <w:rFonts w:ascii="宋体" w:hAnsi="宋体" w:cs="宋体" w:eastAsia="宋体" w:hint="default"/>
        </w:rPr>
        <w:t>73</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14"/>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3812" w:space="2905"/>
            <w:col w:w="2773"/>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83"/>
        <w:gridCol w:w="2890"/>
        <w:gridCol w:w="2881"/>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22"/>
              <w:jc w:val="right"/>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29,750,728.73</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11,901,431.61</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40,552,455.82</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35,112,698.64</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收回往来款</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58,598,621.74</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10,287,746.07</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22"/>
              <w:jc w:val="right"/>
              <w:rPr>
                <w:rFonts w:ascii="宋体" w:hAnsi="宋体" w:cs="宋体" w:eastAsia="宋体" w:hint="default"/>
                <w:sz w:val="21"/>
                <w:szCs w:val="21"/>
              </w:rPr>
            </w:pPr>
            <w:r>
              <w:rPr>
                <w:rFonts w:ascii="宋体" w:hAnsi="宋体" w:cs="宋体" w:eastAsia="宋体" w:hint="default"/>
                <w:sz w:val="21"/>
                <w:szCs w:val="21"/>
              </w:rPr>
              <w:t>合计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128,901,806.29</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57,301,876.32</w:t>
            </w:r>
          </w:p>
        </w:tc>
      </w:tr>
    </w:tbl>
    <w:p>
      <w:pPr>
        <w:spacing w:after="0" w:line="241" w:lineRule="exact"/>
        <w:jc w:val="right"/>
        <w:rPr>
          <w:rFonts w:ascii="宋体" w:hAnsi="宋体" w:cs="宋体" w:eastAsia="宋体" w:hint="default"/>
          <w:sz w:val="21"/>
          <w:szCs w:val="21"/>
        </w:rPr>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20" w:right="1200"/>
        </w:sectPr>
      </w:pPr>
    </w:p>
    <w:p>
      <w:pPr>
        <w:spacing w:line="240" w:lineRule="auto" w:before="1"/>
        <w:rPr>
          <w:rFonts w:ascii="宋体" w:hAnsi="宋体" w:cs="宋体" w:eastAsia="宋体" w:hint="default"/>
          <w:sz w:val="14"/>
          <w:szCs w:val="14"/>
        </w:rPr>
      </w:pPr>
    </w:p>
    <w:p>
      <w:pPr>
        <w:pStyle w:val="Heading2"/>
        <w:spacing w:line="240" w:lineRule="auto"/>
        <w:ind w:right="-15"/>
        <w:jc w:val="left"/>
        <w:rPr>
          <w:b w:val="0"/>
          <w:bCs w:val="0"/>
        </w:rPr>
      </w:pPr>
      <w:r>
        <w:rPr>
          <w:rFonts w:ascii="宋体" w:hAnsi="宋体" w:cs="宋体" w:eastAsia="宋体" w:hint="default"/>
        </w:rPr>
        <w:t>(2).</w:t>
      </w:r>
      <w:r>
        <w:rPr/>
        <w:t>支付的其他与经营活动有关的现金</w:t>
      </w:r>
      <w:r>
        <w:rPr>
          <w:b w:val="0"/>
          <w:bCs w:val="0"/>
        </w:rPr>
      </w:r>
    </w:p>
    <w:p>
      <w:pPr>
        <w:pStyle w:val="BodyText"/>
        <w:tabs>
          <w:tab w:pos="1062" w:val="left" w:leader="none"/>
        </w:tabs>
        <w:spacing w:line="240" w:lineRule="auto" w:before="58"/>
        <w:ind w:right="-1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3812" w:space="2905"/>
            <w:col w:w="277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83"/>
        <w:gridCol w:w="2871"/>
        <w:gridCol w:w="2900"/>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617,484,508.63</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550,435,622.04</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w:t>
            </w:r>
            <w:r>
              <w:rPr>
                <w:rFonts w:ascii="宋体" w:hAnsi="宋体" w:cs="宋体" w:eastAsia="宋体" w:hint="default"/>
                <w:sz w:val="21"/>
                <w:szCs w:val="21"/>
              </w:rPr>
              <w:t>不含租赁费</w:t>
            </w:r>
            <w:r>
              <w:rPr>
                <w:rFonts w:ascii="宋体" w:hAnsi="宋体" w:cs="宋体" w:eastAsia="宋体" w:hint="default"/>
                <w:sz w:val="21"/>
                <w:szCs w:val="21"/>
              </w:rPr>
              <w:t>)</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343,033,523.52</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299,722,544.70</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115,402,547.41</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107,852,458.11</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26,361,761.12</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120,646,031.30</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1,102,282,340.68</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1,078,656,656.15</w:t>
            </w:r>
          </w:p>
        </w:tc>
      </w:tr>
    </w:tbl>
    <w:p>
      <w:pPr>
        <w:pStyle w:val="BodyText"/>
        <w:spacing w:line="290" w:lineRule="auto" w:before="26"/>
        <w:ind w:right="4049"/>
        <w:jc w:val="left"/>
      </w:pPr>
      <w:r>
        <w:rPr>
          <w:spacing w:val="-2"/>
        </w:rPr>
        <w:t>支付的其他与经营活动有关的现金说明：</w:t>
      </w:r>
      <w:r>
        <w:rPr>
          <w:spacing w:val="-69"/>
        </w:rPr>
        <w:t> </w:t>
      </w:r>
      <w:r>
        <w:rPr>
          <w:spacing w:val="-69"/>
        </w:rPr>
      </w:r>
      <w:r>
        <w:rPr/>
        <w:t>付现销售费用的主要构成如下：</w:t>
      </w:r>
    </w:p>
    <w:tbl>
      <w:tblPr>
        <w:tblW w:w="0" w:type="auto"/>
        <w:jc w:val="left"/>
        <w:tblInd w:w="210" w:type="dxa"/>
        <w:tblLayout w:type="fixed"/>
        <w:tblCellMar>
          <w:top w:w="0" w:type="dxa"/>
          <w:left w:w="0" w:type="dxa"/>
          <w:bottom w:w="0" w:type="dxa"/>
          <w:right w:w="0" w:type="dxa"/>
        </w:tblCellMar>
        <w:tblLook w:val="01E0"/>
      </w:tblPr>
      <w:tblGrid>
        <w:gridCol w:w="3409"/>
        <w:gridCol w:w="2787"/>
        <w:gridCol w:w="2883"/>
      </w:tblGrid>
      <w:tr>
        <w:trPr>
          <w:trHeight w:val="281"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90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1"/>
                <w:szCs w:val="21"/>
              </w:rPr>
            </w:pPr>
            <w:r>
              <w:rPr>
                <w:rFonts w:ascii="宋体"/>
                <w:spacing w:val="-1"/>
                <w:sz w:val="21"/>
              </w:rPr>
              <w:t>229,599,106.26</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1"/>
                <w:szCs w:val="21"/>
              </w:rPr>
            </w:pPr>
            <w:r>
              <w:rPr>
                <w:rFonts w:ascii="宋体"/>
                <w:spacing w:val="-1"/>
                <w:sz w:val="21"/>
              </w:rPr>
              <w:t>212,218,146.06</w:t>
            </w:r>
          </w:p>
        </w:tc>
      </w:tr>
      <w:tr>
        <w:trPr>
          <w:trHeight w:val="283"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宣传促销费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9"/>
              <w:jc w:val="right"/>
              <w:rPr>
                <w:rFonts w:ascii="宋体" w:hAnsi="宋体" w:cs="宋体" w:eastAsia="宋体" w:hint="default"/>
                <w:sz w:val="21"/>
                <w:szCs w:val="21"/>
              </w:rPr>
            </w:pPr>
            <w:r>
              <w:rPr>
                <w:rFonts w:ascii="宋体"/>
                <w:spacing w:val="-1"/>
                <w:sz w:val="21"/>
              </w:rPr>
              <w:t>89,715,568.53</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21"/>
                <w:szCs w:val="21"/>
              </w:rPr>
            </w:pPr>
            <w:r>
              <w:rPr>
                <w:rFonts w:ascii="宋体"/>
                <w:spacing w:val="-1"/>
                <w:sz w:val="21"/>
              </w:rPr>
              <w:t>82,666,157.89</w:t>
            </w:r>
          </w:p>
        </w:tc>
      </w:tr>
      <w:tr>
        <w:trPr>
          <w:trHeight w:val="281"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业务会议费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1"/>
                <w:szCs w:val="21"/>
              </w:rPr>
            </w:pPr>
            <w:r>
              <w:rPr>
                <w:rFonts w:ascii="宋体"/>
                <w:spacing w:val="-1"/>
                <w:sz w:val="21"/>
              </w:rPr>
              <w:t>43,689,098.09</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1"/>
                <w:szCs w:val="21"/>
              </w:rPr>
            </w:pPr>
            <w:r>
              <w:rPr>
                <w:rFonts w:ascii="宋体"/>
                <w:spacing w:val="-1"/>
                <w:sz w:val="21"/>
              </w:rPr>
              <w:t>40,491,419.39</w:t>
            </w:r>
          </w:p>
        </w:tc>
      </w:tr>
      <w:tr>
        <w:trPr>
          <w:trHeight w:val="283"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发行手续费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9"/>
              <w:jc w:val="right"/>
              <w:rPr>
                <w:rFonts w:ascii="宋体" w:hAnsi="宋体" w:cs="宋体" w:eastAsia="宋体" w:hint="default"/>
                <w:sz w:val="21"/>
                <w:szCs w:val="21"/>
              </w:rPr>
            </w:pPr>
            <w:r>
              <w:rPr>
                <w:rFonts w:ascii="宋体"/>
                <w:spacing w:val="-1"/>
                <w:sz w:val="21"/>
              </w:rPr>
              <w:t>39,829,692.76</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21"/>
                <w:szCs w:val="21"/>
              </w:rPr>
            </w:pPr>
            <w:r>
              <w:rPr>
                <w:rFonts w:ascii="宋体"/>
                <w:spacing w:val="-1"/>
                <w:sz w:val="21"/>
              </w:rPr>
              <w:t>24,297,382.93</w:t>
            </w:r>
          </w:p>
        </w:tc>
      </w:tr>
      <w:tr>
        <w:trPr>
          <w:trHeight w:val="281"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9"/>
              <w:jc w:val="right"/>
              <w:rPr>
                <w:rFonts w:ascii="宋体" w:hAnsi="宋体" w:cs="宋体" w:eastAsia="宋体" w:hint="default"/>
                <w:sz w:val="21"/>
                <w:szCs w:val="21"/>
              </w:rPr>
            </w:pPr>
            <w:r>
              <w:rPr>
                <w:rFonts w:ascii="宋体"/>
                <w:spacing w:val="-1"/>
                <w:sz w:val="21"/>
              </w:rPr>
              <w:t>24,625,163.15</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21"/>
                <w:szCs w:val="21"/>
              </w:rPr>
            </w:pPr>
            <w:r>
              <w:rPr>
                <w:rFonts w:ascii="宋体"/>
                <w:spacing w:val="-1"/>
                <w:sz w:val="21"/>
              </w:rPr>
              <w:t>22,303,159.47</w:t>
            </w:r>
          </w:p>
        </w:tc>
      </w:tr>
      <w:tr>
        <w:trPr>
          <w:trHeight w:val="283"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机动车费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9"/>
              <w:jc w:val="right"/>
              <w:rPr>
                <w:rFonts w:ascii="宋体" w:hAnsi="宋体" w:cs="宋体" w:eastAsia="宋体" w:hint="default"/>
                <w:sz w:val="21"/>
                <w:szCs w:val="21"/>
              </w:rPr>
            </w:pPr>
            <w:r>
              <w:rPr>
                <w:rFonts w:ascii="宋体"/>
                <w:spacing w:val="-1"/>
                <w:sz w:val="21"/>
              </w:rPr>
              <w:t>23,750,139.71</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21"/>
                <w:szCs w:val="21"/>
              </w:rPr>
            </w:pPr>
            <w:r>
              <w:rPr>
                <w:rFonts w:ascii="宋体"/>
                <w:spacing w:val="-1"/>
                <w:sz w:val="21"/>
              </w:rPr>
              <w:t>32,249,027.31</w:t>
            </w:r>
          </w:p>
        </w:tc>
      </w:tr>
    </w:tbl>
    <w:p>
      <w:pPr>
        <w:spacing w:line="240" w:lineRule="auto" w:before="9"/>
        <w:rPr>
          <w:rFonts w:ascii="宋体" w:hAnsi="宋体" w:cs="宋体" w:eastAsia="宋体" w:hint="default"/>
          <w:sz w:val="14"/>
          <w:szCs w:val="14"/>
        </w:rPr>
      </w:pPr>
    </w:p>
    <w:p>
      <w:pPr>
        <w:pStyle w:val="BodyText"/>
        <w:spacing w:line="240" w:lineRule="auto" w:before="36"/>
        <w:ind w:right="123"/>
        <w:jc w:val="left"/>
      </w:pPr>
      <w:r>
        <w:rPr/>
        <w:t>付现管理费用的主要构成如下：</w:t>
      </w:r>
    </w:p>
    <w:p>
      <w:pPr>
        <w:spacing w:line="240" w:lineRule="auto" w:before="4"/>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3409"/>
        <w:gridCol w:w="2693"/>
        <w:gridCol w:w="2977"/>
      </w:tblGrid>
      <w:tr>
        <w:trPr>
          <w:trHeight w:val="284"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115,402,547.41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107,852,458.11</w:t>
            </w:r>
          </w:p>
        </w:tc>
      </w:tr>
      <w:tr>
        <w:trPr>
          <w:trHeight w:val="281"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114,143,335.00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105,376,744.30</w:t>
            </w:r>
          </w:p>
        </w:tc>
      </w:tr>
      <w:tr>
        <w:trPr>
          <w:trHeight w:val="283"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32,725,409.10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28,820,703.37</w:t>
            </w:r>
          </w:p>
        </w:tc>
      </w:tr>
      <w:tr>
        <w:trPr>
          <w:trHeight w:val="281"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26,357,152.49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21,498,296.16</w:t>
            </w:r>
          </w:p>
        </w:tc>
      </w:tr>
      <w:tr>
        <w:trPr>
          <w:trHeight w:val="283"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24,624,051.60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15,883,396.32</w:t>
            </w:r>
          </w:p>
        </w:tc>
      </w:tr>
      <w:tr>
        <w:trPr>
          <w:trHeight w:val="283"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19,367,466.73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19,519,887.95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60" w:bottom="1380" w:left="1220" w:right="1200"/>
        </w:sectPr>
      </w:pPr>
    </w:p>
    <w:p>
      <w:pPr>
        <w:pStyle w:val="Heading2"/>
        <w:spacing w:line="240" w:lineRule="auto" w:before="36"/>
        <w:ind w:right="-15"/>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7"/>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72"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220" w:right="1200"/>
          <w:cols w:num="2" w:equalWidth="0">
            <w:col w:w="3812" w:space="3010"/>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83"/>
        <w:gridCol w:w="2979"/>
        <w:gridCol w:w="2792"/>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收回三个月以上定期存款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280,000,000.00</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30,212,625.38</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收回定期存款利息</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3,561,027.40</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w w:val="100"/>
                <w:sz w:val="21"/>
              </w:rPr>
              <w:t>-</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收回委托贷款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
              <w:jc w:val="right"/>
              <w:rPr>
                <w:rFonts w:ascii="宋体" w:hAnsi="宋体" w:cs="宋体" w:eastAsia="宋体" w:hint="default"/>
                <w:sz w:val="21"/>
                <w:szCs w:val="21"/>
              </w:rPr>
            </w:pPr>
            <w:r>
              <w:rPr>
                <w:rFonts w:ascii="宋体"/>
                <w:w w:val="100"/>
                <w:sz w:val="21"/>
              </w:rPr>
              <w:t>-</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120,000,000.00</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收到委托贷款利息</w:t>
            </w:r>
          </w:p>
        </w:tc>
        <w:tc>
          <w:tcPr>
            <w:tcW w:w="2979" w:type="dxa"/>
            <w:tcBorders>
              <w:top w:val="single" w:sz="4" w:space="0" w:color="000000"/>
              <w:left w:val="single" w:sz="4" w:space="0" w:color="000000"/>
              <w:bottom w:val="single" w:sz="4" w:space="0" w:color="000000"/>
              <w:right w:val="single" w:sz="4" w:space="0" w:color="000000"/>
            </w:tcBorders>
          </w:tcPr>
          <w:p>
            <w:pP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1,180,018.10</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283,561,027.40</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151,392,643.48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123"/>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8"/>
        <w:ind w:right="123"/>
        <w:jc w:val="left"/>
      </w:pPr>
      <w:r>
        <w:rPr/>
        <w:t>□适用 √不适用</w:t>
      </w:r>
    </w:p>
    <w:p>
      <w:pPr>
        <w:spacing w:after="0" w:line="240" w:lineRule="auto"/>
        <w:jc w:val="left"/>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54"/>
          <w:pgSz w:w="11910" w:h="16840"/>
          <w:pgMar w:footer="1195" w:header="882" w:top="1120" w:bottom="1380" w:left="1220" w:right="1200"/>
        </w:sectPr>
      </w:pPr>
    </w:p>
    <w:p>
      <w:pPr>
        <w:pStyle w:val="Heading2"/>
        <w:spacing w:line="240" w:lineRule="auto" w:before="36"/>
        <w:ind w:right="-15"/>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6"/>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3811" w:space="2905"/>
            <w:col w:w="2774"/>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83"/>
        <w:gridCol w:w="2868"/>
        <w:gridCol w:w="2789"/>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22"/>
              <w:jc w:val="right"/>
              <w:rPr>
                <w:rFonts w:ascii="宋体" w:hAnsi="宋体" w:cs="宋体" w:eastAsia="宋体" w:hint="default"/>
                <w:sz w:val="21"/>
                <w:szCs w:val="21"/>
              </w:rPr>
            </w:pPr>
            <w:r>
              <w:rPr>
                <w:rFonts w:ascii="宋体" w:hAnsi="宋体" w:cs="宋体" w:eastAsia="宋体" w:hint="default"/>
                <w:sz w:val="21"/>
                <w:szCs w:val="21"/>
              </w:rPr>
              <w:t>项目</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10,423,573.81</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22"/>
              <w:jc w:val="right"/>
              <w:rPr>
                <w:rFonts w:ascii="宋体" w:hAnsi="宋体" w:cs="宋体" w:eastAsia="宋体" w:hint="default"/>
                <w:sz w:val="21"/>
                <w:szCs w:val="21"/>
              </w:rPr>
            </w:pPr>
            <w:r>
              <w:rPr>
                <w:rFonts w:ascii="宋体" w:hAnsi="宋体" w:cs="宋体" w:eastAsia="宋体" w:hint="default"/>
                <w:sz w:val="21"/>
                <w:szCs w:val="21"/>
              </w:rPr>
              <w:t>合计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w w:val="100"/>
                <w:sz w:val="21"/>
              </w:rPr>
              <w:t>-</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10,423,573.81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220" w:right="1200"/>
        </w:sectPr>
      </w:pPr>
    </w:p>
    <w:p>
      <w:pPr>
        <w:pStyle w:val="Heading2"/>
        <w:spacing w:line="240" w:lineRule="auto" w:before="36"/>
        <w:ind w:right="-15"/>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8"/>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3812" w:space="2905"/>
            <w:col w:w="277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83"/>
        <w:gridCol w:w="2979"/>
        <w:gridCol w:w="2792"/>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收购文轩体育少数股东股权</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69,271,000.00</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支付文轩传媒少数股东减资款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1,780,947.00</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1,780,947.00</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69,271,000.00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220" w:right="1200"/>
        </w:sectPr>
      </w:pPr>
    </w:p>
    <w:p>
      <w:pPr>
        <w:pStyle w:val="Heading2"/>
        <w:spacing w:line="290" w:lineRule="auto" w:before="36"/>
        <w:ind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62" w:val="left" w:leader="none"/>
        </w:tabs>
        <w:spacing w:line="240" w:lineRule="auto" w:before="12"/>
        <w:ind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2626" w:space="4090"/>
            <w:col w:w="277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444"/>
        <w:gridCol w:w="1896"/>
        <w:gridCol w:w="1904"/>
      </w:tblGrid>
      <w:tr>
        <w:trPr>
          <w:trHeight w:val="284"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926,716,466.76</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916,480,370.70</w:t>
            </w: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141,102,787.38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80,753,079.75</w:t>
            </w:r>
          </w:p>
        </w:tc>
      </w:tr>
      <w:tr>
        <w:trPr>
          <w:trHeight w:val="281"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86,650,167.19</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89,439,285.91</w:t>
            </w: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19,664,512.32</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21,360,233.83</w:t>
            </w: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17,860,194.77</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18,110,557.23</w:t>
            </w:r>
          </w:p>
        </w:tc>
      </w:tr>
      <w:tr>
        <w:trPr>
          <w:trHeight w:val="554"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处置固定资产、无形资产和其他长期资产的损失（收益以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-1,430,228.33</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-208,309.60</w:t>
            </w: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896"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38,181,032.61</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-10,279.16</w:t>
            </w: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-14,424,020.16</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-13,760,088.56</w:t>
            </w:r>
          </w:p>
        </w:tc>
      </w:tr>
      <w:tr>
        <w:trPr>
          <w:trHeight w:val="281"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-126,882,215.06</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-272,154,816.43</w:t>
            </w: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-1,417,732.73</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-1,428,938.10</w:t>
            </w: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-11,390,122.16</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-1,848,301.18</w:t>
            </w:r>
          </w:p>
        </w:tc>
      </w:tr>
      <w:tr>
        <w:trPr>
          <w:trHeight w:val="281"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-197,917,018.81</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-383,785,190.49</w:t>
            </w: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-420,728,726.85</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-634,686,473.66</w:t>
            </w: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534,457,898.90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526,773,912.20</w:t>
            </w:r>
          </w:p>
        </w:tc>
      </w:tr>
      <w:tr>
        <w:trPr>
          <w:trHeight w:val="281"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3,007,276.14</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586,828.00</w:t>
            </w: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993,450,271.97</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345,621,870.44</w:t>
            </w: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896"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896"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896"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5444"/>
        <w:gridCol w:w="1896"/>
        <w:gridCol w:w="1904"/>
      </w:tblGrid>
      <w:tr>
        <w:trPr>
          <w:trHeight w:val="281"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2,576,699,731.25</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1,825,572,649.15</w:t>
            </w: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1,825,572,649.15</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1,634,167,257.70</w:t>
            </w: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896"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896"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751,127,082.10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191,405,391.45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123"/>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8"/>
        <w:ind w:right="123"/>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ind w:right="123"/>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6"/>
        <w:ind w:right="123"/>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5"/>
          <w:pgSz w:w="11910" w:h="16840"/>
          <w:pgMar w:footer="1195" w:header="882" w:top="1120" w:bottom="1380" w:left="1220" w:right="1200"/>
          <w:pgNumType w:start="161"/>
        </w:sectPr>
      </w:pPr>
    </w:p>
    <w:p>
      <w:pPr>
        <w:pStyle w:val="Heading2"/>
        <w:spacing w:line="240" w:lineRule="auto" w:before="36"/>
        <w:ind w:right="-14"/>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6"/>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2969" w:space="3747"/>
            <w:col w:w="277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928"/>
        <w:gridCol w:w="2268"/>
        <w:gridCol w:w="2048"/>
      </w:tblGrid>
      <w:tr>
        <w:trPr>
          <w:trHeight w:val="29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2,576,699,731.25</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1,825,572,649.15</w:t>
            </w:r>
          </w:p>
        </w:tc>
      </w:tr>
      <w:tr>
        <w:trPr>
          <w:trHeight w:val="29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3,311,719.53</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2,497,605.27</w:t>
            </w:r>
          </w:p>
        </w:tc>
      </w:tr>
      <w:tr>
        <w:trPr>
          <w:trHeight w:val="296"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2,573,388,011.72</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1,823,075,043.88</w:t>
            </w:r>
          </w:p>
        </w:tc>
      </w:tr>
      <w:tr>
        <w:trPr>
          <w:trHeight w:val="29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2,576,699,731.25</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1,825,572,649.15</w:t>
            </w:r>
          </w:p>
        </w:tc>
      </w:tr>
    </w:tbl>
    <w:p>
      <w:pPr>
        <w:spacing w:line="240" w:lineRule="auto" w:before="12"/>
        <w:rPr>
          <w:rFonts w:ascii="宋体" w:hAnsi="宋体" w:cs="宋体" w:eastAsia="宋体" w:hint="default"/>
          <w:sz w:val="19"/>
          <w:szCs w:val="19"/>
        </w:rPr>
      </w:pPr>
    </w:p>
    <w:p>
      <w:pPr>
        <w:pStyle w:val="BodyText"/>
        <w:spacing w:line="240" w:lineRule="auto" w:before="36"/>
        <w:ind w:right="123"/>
        <w:jc w:val="left"/>
      </w:pPr>
      <w:r>
        <w:rPr/>
        <w:t>其他说明：</w:t>
      </w:r>
    </w:p>
    <w:p>
      <w:pPr>
        <w:pStyle w:val="BodyText"/>
        <w:spacing w:line="240" w:lineRule="auto" w:before="58"/>
        <w:ind w:right="123"/>
        <w:jc w:val="left"/>
      </w:pPr>
      <w:r>
        <w:rPr/>
        <w:t>□适用 √不适用</w:t>
      </w:r>
    </w:p>
    <w:p>
      <w:pPr>
        <w:spacing w:line="240" w:lineRule="auto" w:before="11"/>
        <w:rPr>
          <w:rFonts w:ascii="宋体" w:hAnsi="宋体" w:cs="宋体" w:eastAsia="宋体" w:hint="default"/>
          <w:sz w:val="29"/>
          <w:szCs w:val="29"/>
        </w:rPr>
      </w:pPr>
    </w:p>
    <w:p>
      <w:pPr>
        <w:spacing w:line="290" w:lineRule="auto" w:before="0"/>
        <w:ind w:left="220" w:right="123"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9" w:lineRule="exact"/>
        <w:ind w:right="1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220" w:right="1200"/>
        </w:sectPr>
      </w:pPr>
    </w:p>
    <w:p>
      <w:pPr>
        <w:pStyle w:val="Heading2"/>
        <w:spacing w:line="240" w:lineRule="auto" w:before="36"/>
        <w:ind w:right="-18"/>
        <w:jc w:val="left"/>
        <w:rPr>
          <w:b w:val="0"/>
          <w:bCs w:val="0"/>
        </w:rPr>
      </w:pPr>
      <w:r>
        <w:rPr>
          <w:rFonts w:ascii="宋体" w:hAnsi="宋体" w:cs="宋体" w:eastAsia="宋体" w:hint="default"/>
        </w:rPr>
        <w:t>76</w:t>
      </w:r>
      <w:r>
        <w:rPr/>
        <w:t>、</w:t>
      </w:r>
      <w:r>
        <w:rPr>
          <w:spacing w:val="-26"/>
        </w:rPr>
        <w:t> </w:t>
      </w:r>
      <w:r>
        <w:rPr/>
        <w:t>所有权或使用权受到限制的资产</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00"/>
          <w:cols w:num="2" w:equalWidth="0">
            <w:col w:w="3677" w:space="3039"/>
            <w:col w:w="2774"/>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81"/>
        <w:gridCol w:w="3168"/>
        <w:gridCol w:w="2804"/>
      </w:tblGrid>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1"/>
              <w:jc w:val="right"/>
              <w:rPr>
                <w:rFonts w:ascii="宋体" w:hAnsi="宋体" w:cs="宋体" w:eastAsia="宋体" w:hint="default"/>
                <w:sz w:val="21"/>
                <w:szCs w:val="21"/>
              </w:rPr>
            </w:pPr>
            <w:r>
              <w:rPr>
                <w:rFonts w:ascii="宋体" w:hAnsi="宋体" w:cs="宋体" w:eastAsia="宋体" w:hint="default"/>
                <w:sz w:val="21"/>
                <w:szCs w:val="21"/>
              </w:rPr>
              <w:t>项目</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7"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68"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31,912,840.76</w:t>
            </w:r>
          </w:p>
        </w:tc>
        <w:tc>
          <w:tcPr>
            <w:tcW w:w="2804"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421"/>
              <w:jc w:val="right"/>
              <w:rPr>
                <w:rFonts w:ascii="宋体" w:hAnsi="宋体" w:cs="宋体" w:eastAsia="宋体" w:hint="default"/>
                <w:sz w:val="21"/>
                <w:szCs w:val="21"/>
              </w:rPr>
            </w:pPr>
            <w:r>
              <w:rPr>
                <w:rFonts w:ascii="宋体" w:hAnsi="宋体" w:cs="宋体" w:eastAsia="宋体" w:hint="default"/>
                <w:sz w:val="21"/>
                <w:szCs w:val="21"/>
              </w:rPr>
              <w:t>合计</w:t>
            </w:r>
          </w:p>
        </w:tc>
        <w:tc>
          <w:tcPr>
            <w:tcW w:w="3168"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31,912,840.76</w:t>
            </w:r>
          </w:p>
        </w:tc>
        <w:tc>
          <w:tcPr>
            <w:tcW w:w="280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right="123"/>
        <w:jc w:val="left"/>
      </w:pPr>
      <w:r>
        <w:rPr/>
        <w:t>其他说明：</w:t>
      </w:r>
    </w:p>
    <w:p>
      <w:pPr>
        <w:pStyle w:val="BodyText"/>
        <w:spacing w:line="357" w:lineRule="auto" w:before="56"/>
        <w:ind w:right="230" w:firstLine="424"/>
        <w:jc w:val="left"/>
      </w:pPr>
      <w:r>
        <w:rPr>
          <w:spacing w:val="-2"/>
        </w:rPr>
        <w:t>于本年末，本公司的所有权受到限制的货币资金中，为开具银行承兑汇票而存入银行的保证金</w:t>
      </w:r>
      <w:r>
        <w:rPr>
          <w:w w:val="100"/>
        </w:rPr>
        <w:t> </w:t>
      </w:r>
      <w:r>
        <w:rPr/>
        <w:t>人民币</w:t>
      </w:r>
      <w:r>
        <w:rPr>
          <w:spacing w:val="-30"/>
        </w:rPr>
        <w:t> </w:t>
      </w:r>
      <w:r>
        <w:rPr>
          <w:rFonts w:ascii="宋体" w:hAnsi="宋体" w:cs="宋体" w:eastAsia="宋体" w:hint="default"/>
        </w:rPr>
        <w:t>7,355,024.39</w:t>
      </w:r>
      <w:r>
        <w:rPr>
          <w:rFonts w:ascii="宋体" w:hAnsi="宋体" w:cs="宋体" w:eastAsia="宋体" w:hint="default"/>
          <w:spacing w:val="-30"/>
        </w:rPr>
        <w:t> </w:t>
      </w:r>
      <w:r>
        <w:rPr/>
        <w:t>元</w:t>
      </w:r>
      <w:r>
        <w:rPr>
          <w:rFonts w:ascii="宋体" w:hAnsi="宋体" w:cs="宋体" w:eastAsia="宋体" w:hint="default"/>
        </w:rPr>
        <w:t>(</w:t>
      </w:r>
      <w:r>
        <w:rPr/>
        <w:t>上年末：人民币</w:t>
      </w:r>
      <w:r>
        <w:rPr>
          <w:spacing w:val="-29"/>
        </w:rPr>
        <w:t> </w:t>
      </w:r>
      <w:r>
        <w:rPr>
          <w:rFonts w:ascii="宋体" w:hAnsi="宋体" w:cs="宋体" w:eastAsia="宋体" w:hint="default"/>
        </w:rPr>
        <w:t>18,634,761.90</w:t>
      </w:r>
      <w:r>
        <w:rPr>
          <w:rFonts w:ascii="宋体" w:hAnsi="宋体" w:cs="宋体" w:eastAsia="宋体" w:hint="default"/>
          <w:spacing w:val="-30"/>
        </w:rPr>
        <w:t> </w:t>
      </w:r>
      <w:r>
        <w:rPr/>
        <w:t>元</w:t>
      </w:r>
      <w:r>
        <w:rPr>
          <w:rFonts w:ascii="宋体" w:hAnsi="宋体" w:cs="宋体" w:eastAsia="宋体" w:hint="default"/>
        </w:rPr>
        <w:t>)</w:t>
      </w:r>
      <w:r>
        <w:rPr/>
        <w:t>，房改专项基金及住房维修基金人民</w:t>
      </w:r>
    </w:p>
    <w:p>
      <w:pPr>
        <w:spacing w:after="0" w:line="357" w:lineRule="auto"/>
        <w:jc w:val="left"/>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36"/>
        <w:ind w:right="107"/>
        <w:jc w:val="left"/>
      </w:pPr>
      <w:r>
        <w:rPr/>
        <w:t>币 </w:t>
      </w:r>
      <w:r>
        <w:rPr>
          <w:rFonts w:ascii="宋体" w:hAnsi="宋体" w:cs="宋体" w:eastAsia="宋体" w:hint="default"/>
        </w:rPr>
        <w:t>24,557,816.37 </w:t>
      </w:r>
      <w:r>
        <w:rPr>
          <w:spacing w:val="6"/>
        </w:rPr>
        <w:t>元</w:t>
      </w:r>
      <w:r>
        <w:rPr>
          <w:rFonts w:ascii="宋体" w:hAnsi="宋体" w:cs="宋体" w:eastAsia="宋体" w:hint="default"/>
          <w:spacing w:val="6"/>
        </w:rPr>
        <w:t>(</w:t>
      </w:r>
      <w:r>
        <w:rPr>
          <w:spacing w:val="6"/>
        </w:rPr>
        <w:t>上年末：人民币 </w:t>
      </w:r>
      <w:r>
        <w:rPr>
          <w:rFonts w:ascii="宋体" w:hAnsi="宋体" w:cs="宋体" w:eastAsia="宋体" w:hint="default"/>
        </w:rPr>
        <w:t>24,474,806.78 </w:t>
      </w:r>
      <w:r>
        <w:rPr>
          <w:rFonts w:ascii="宋体" w:hAnsi="宋体" w:cs="宋体" w:eastAsia="宋体" w:hint="default"/>
          <w:spacing w:val="11"/>
        </w:rPr>
        <w:t> </w:t>
      </w:r>
      <w:r>
        <w:rPr>
          <w:spacing w:val="7"/>
        </w:rPr>
        <w:t>元</w:t>
      </w:r>
      <w:r>
        <w:rPr>
          <w:rFonts w:ascii="宋体" w:hAnsi="宋体" w:cs="宋体" w:eastAsia="宋体" w:hint="default"/>
          <w:spacing w:val="7"/>
        </w:rPr>
        <w:t>)</w:t>
      </w:r>
      <w:r>
        <w:rPr>
          <w:spacing w:val="7"/>
        </w:rPr>
        <w:t>，其他保证金零元</w:t>
      </w:r>
      <w:r>
        <w:rPr>
          <w:rFonts w:ascii="宋体" w:hAnsi="宋体" w:cs="宋体" w:eastAsia="宋体" w:hint="default"/>
          <w:spacing w:val="7"/>
        </w:rPr>
        <w:t>(</w:t>
      </w:r>
      <w:r>
        <w:rPr>
          <w:spacing w:val="7"/>
        </w:rPr>
        <w:t>上年末：人民币</w:t>
      </w:r>
      <w:r>
        <w:rPr/>
      </w:r>
    </w:p>
    <w:p>
      <w:pPr>
        <w:pStyle w:val="BodyText"/>
        <w:spacing w:line="240" w:lineRule="auto" w:before="133"/>
        <w:ind w:right="205"/>
        <w:jc w:val="left"/>
      </w:pPr>
      <w:r>
        <w:rPr>
          <w:rFonts w:ascii="宋体" w:hAnsi="宋体" w:cs="宋体" w:eastAsia="宋体" w:hint="default"/>
        </w:rPr>
        <w:t>17,000,000.00</w:t>
      </w:r>
      <w:r>
        <w:rPr>
          <w:rFonts w:ascii="宋体" w:hAnsi="宋体" w:cs="宋体" w:eastAsia="宋体" w:hint="default"/>
          <w:spacing w:val="-54"/>
        </w:rPr>
        <w:t> </w:t>
      </w:r>
      <w:r>
        <w:rPr/>
        <w:t>元</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20" w:right="1220"/>
        </w:sectPr>
      </w:pPr>
    </w:p>
    <w:p>
      <w:pPr>
        <w:spacing w:line="240" w:lineRule="auto" w:before="9"/>
        <w:rPr>
          <w:rFonts w:ascii="宋体" w:hAnsi="宋体" w:cs="宋体" w:eastAsia="宋体" w:hint="default"/>
          <w:sz w:val="15"/>
          <w:szCs w:val="15"/>
        </w:rPr>
      </w:pPr>
    </w:p>
    <w:p>
      <w:pPr>
        <w:pStyle w:val="Heading2"/>
        <w:spacing w:line="290" w:lineRule="auto"/>
        <w:ind w:right="-19"/>
        <w:jc w:val="left"/>
        <w:rPr>
          <w:b w:val="0"/>
          <w:bCs w:val="0"/>
        </w:rPr>
      </w:pPr>
      <w:r>
        <w:rPr>
          <w:rFonts w:ascii="宋体" w:hAnsi="宋体" w:cs="宋体" w:eastAsia="宋体" w:hint="default"/>
        </w:rPr>
        <w:t>77</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4"/>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right="0"/>
        <w:jc w:val="left"/>
      </w:pPr>
      <w:r>
        <w:rPr/>
        <w:t>单位：元</w:t>
      </w:r>
    </w:p>
    <w:p>
      <w:pPr>
        <w:spacing w:after="0" w:line="240" w:lineRule="auto"/>
        <w:jc w:val="left"/>
        <w:sectPr>
          <w:type w:val="continuous"/>
          <w:pgSz w:w="11910" w:h="16840"/>
          <w:pgMar w:top="1060" w:bottom="1380" w:left="1220" w:right="1220"/>
          <w:cols w:num="2" w:equalWidth="0">
            <w:col w:w="2203" w:space="5985"/>
            <w:col w:w="1282"/>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60"/>
        <w:gridCol w:w="2093"/>
        <w:gridCol w:w="2100"/>
        <w:gridCol w:w="2091"/>
      </w:tblGrid>
      <w:tr>
        <w:trPr>
          <w:trHeight w:val="554"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0"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6"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93"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22,633.96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155,341.36</w:t>
            </w:r>
          </w:p>
        </w:tc>
      </w:tr>
      <w:tr>
        <w:trPr>
          <w:trHeight w:val="28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84.92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666.43</w:t>
            </w:r>
          </w:p>
        </w:tc>
      </w:tr>
      <w:tr>
        <w:trPr>
          <w:trHeight w:val="281"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20,756.55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0.88</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18,186.89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647" w:right="205" w:hanging="428"/>
        <w:jc w:val="left"/>
        <w:rPr>
          <w:b w:val="0"/>
          <w:bCs w:val="0"/>
        </w:rPr>
      </w:pPr>
      <w:r>
        <w:rPr>
          <w:rFonts w:ascii="宋体" w:hAnsi="宋体" w:cs="宋体" w:eastAsia="宋体" w:hint="default"/>
          <w:spacing w:val="-2"/>
        </w:rPr>
        <w:t>(2).</w:t>
      </w:r>
      <w:r>
        <w:rPr>
          <w:spacing w:val="-2"/>
        </w:rPr>
        <w:t>境外经营实体说明，包括对于重要的境外经营实体，应披露其境外主要经营地、记账本位币及</w:t>
      </w:r>
      <w:r>
        <w:rPr>
          <w:spacing w:val="-61"/>
        </w:rPr>
        <w:t> </w:t>
      </w:r>
      <w:r>
        <w:rPr>
          <w:spacing w:val="-61"/>
        </w:rPr>
      </w:r>
      <w:r>
        <w:rPr/>
        <w:t>选择依据，记账本位币发生变化的还应披露原因</w:t>
      </w:r>
      <w:r>
        <w:rPr>
          <w:b w:val="0"/>
          <w:bCs w:val="0"/>
        </w:rPr>
      </w:r>
    </w:p>
    <w:p>
      <w:pPr>
        <w:pStyle w:val="BodyText"/>
        <w:spacing w:line="240" w:lineRule="auto" w:before="56"/>
        <w:ind w:right="20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78</w:t>
      </w:r>
      <w:r>
        <w:rPr/>
        <w:t>、</w:t>
      </w:r>
      <w:r>
        <w:rPr>
          <w:spacing w:val="-25"/>
        </w:rPr>
        <w:t> </w:t>
      </w:r>
      <w:r>
        <w:rPr/>
        <w:t>套期</w:t>
      </w:r>
      <w:r>
        <w:rPr>
          <w:b w:val="0"/>
          <w:bCs w:val="0"/>
        </w:rPr>
      </w:r>
    </w:p>
    <w:p>
      <w:pPr>
        <w:pStyle w:val="BodyText"/>
        <w:spacing w:line="240" w:lineRule="auto" w:before="59"/>
        <w:ind w:right="205"/>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220" w:right="1220"/>
        </w:sectPr>
      </w:pPr>
    </w:p>
    <w:p>
      <w:pPr>
        <w:pStyle w:val="Heading2"/>
        <w:spacing w:line="290" w:lineRule="auto" w:before="36"/>
        <w:ind w:right="-13"/>
        <w:jc w:val="left"/>
        <w:rPr>
          <w:b w:val="0"/>
          <w:bCs w:val="0"/>
        </w:rPr>
      </w:pPr>
      <w:r>
        <w:rPr>
          <w:rFonts w:ascii="宋体" w:hAnsi="宋体" w:cs="宋体" w:eastAsia="宋体" w:hint="default"/>
        </w:rPr>
        <w:t>79</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1062" w:val="left" w:leader="none"/>
        </w:tabs>
        <w:spacing w:line="240" w:lineRule="auto" w:before="12"/>
        <w:ind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2338" w:space="4378"/>
            <w:col w:w="275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311"/>
        <w:gridCol w:w="2309"/>
        <w:gridCol w:w="2312"/>
        <w:gridCol w:w="2312"/>
      </w:tblGrid>
      <w:tr>
        <w:trPr>
          <w:trHeight w:val="283"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1"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图书补贴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33,030,529.49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26,825,204.01</w:t>
            </w:r>
          </w:p>
        </w:tc>
      </w:tr>
      <w:tr>
        <w:trPr>
          <w:trHeight w:val="283"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与资产相关补贴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1,394,545.29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17,411,575.95</w:t>
            </w:r>
          </w:p>
        </w:tc>
      </w:tr>
      <w:tr>
        <w:trPr>
          <w:trHeight w:val="283"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退税补贴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10,537,649.87</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10,537,649.87</w:t>
            </w:r>
          </w:p>
        </w:tc>
      </w:tr>
      <w:tr>
        <w:trPr>
          <w:trHeight w:val="281"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7,670,503.61</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7,670,503.61</w:t>
            </w:r>
          </w:p>
        </w:tc>
      </w:tr>
      <w:tr>
        <w:trPr>
          <w:trHeight w:val="283"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52,633,228.26</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62,444,933.44</w:t>
            </w:r>
          </w:p>
        </w:tc>
      </w:tr>
    </w:tbl>
    <w:p>
      <w:pPr>
        <w:spacing w:line="240" w:lineRule="auto" w:before="2"/>
        <w:rPr>
          <w:rFonts w:ascii="宋体" w:hAnsi="宋体" w:cs="宋体" w:eastAsia="宋体" w:hint="default"/>
          <w:sz w:val="20"/>
          <w:szCs w:val="20"/>
        </w:rPr>
      </w:pPr>
    </w:p>
    <w:p>
      <w:pPr>
        <w:pStyle w:val="Heading2"/>
        <w:spacing w:line="240" w:lineRule="auto" w:before="36"/>
        <w:ind w:right="205"/>
        <w:jc w:val="left"/>
        <w:rPr>
          <w:b w:val="0"/>
          <w:bCs w:val="0"/>
        </w:rPr>
      </w:pPr>
      <w:r>
        <w:rPr>
          <w:rFonts w:ascii="宋体" w:hAnsi="宋体" w:cs="宋体" w:eastAsia="宋体" w:hint="default"/>
        </w:rPr>
        <w:t>(2).</w:t>
      </w:r>
      <w:r>
        <w:rPr/>
        <w:t>政府补助退回情况</w:t>
      </w:r>
      <w:r>
        <w:rPr>
          <w:b w:val="0"/>
          <w:bCs w:val="0"/>
        </w:rPr>
      </w:r>
    </w:p>
    <w:p>
      <w:pPr>
        <w:pStyle w:val="BodyText"/>
        <w:spacing w:line="240" w:lineRule="auto" w:before="56"/>
        <w:ind w:right="20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80</w:t>
      </w:r>
      <w:r>
        <w:rPr/>
        <w:t>、</w:t>
      </w:r>
      <w:r>
        <w:rPr>
          <w:spacing w:val="-25"/>
        </w:rPr>
        <w:t> </w:t>
      </w:r>
      <w:r>
        <w:rPr/>
        <w:t>其他</w:t>
      </w:r>
      <w:r>
        <w:rPr>
          <w:b w:val="0"/>
          <w:bCs w:val="0"/>
        </w:rPr>
      </w:r>
    </w:p>
    <w:p>
      <w:pPr>
        <w:pStyle w:val="BodyText"/>
        <w:spacing w:line="240" w:lineRule="auto" w:before="58"/>
        <w:ind w:right="205"/>
        <w:jc w:val="left"/>
      </w:pPr>
      <w:r>
        <w:rPr/>
        <w:t>□适用 √不适用</w:t>
      </w:r>
    </w:p>
    <w:p>
      <w:pPr>
        <w:spacing w:line="240" w:lineRule="auto" w:before="0"/>
        <w:rPr>
          <w:rFonts w:ascii="宋体" w:hAnsi="宋体" w:cs="宋体" w:eastAsia="宋体" w:hint="default"/>
          <w:sz w:val="25"/>
          <w:szCs w:val="25"/>
        </w:rPr>
      </w:pPr>
    </w:p>
    <w:p>
      <w:pPr>
        <w:pStyle w:val="Heading2"/>
        <w:spacing w:line="240" w:lineRule="auto"/>
        <w:ind w:right="205"/>
        <w:jc w:val="left"/>
        <w:rPr>
          <w:b w:val="0"/>
          <w:bCs w:val="0"/>
        </w:rPr>
      </w:pPr>
      <w:r>
        <w:rPr/>
        <w:t>八、合并范围的变更</w:t>
      </w:r>
      <w:r>
        <w:rPr>
          <w:b w:val="0"/>
          <w:bCs w:val="0"/>
        </w:rPr>
      </w:r>
    </w:p>
    <w:p>
      <w:pPr>
        <w:pStyle w:val="Heading2"/>
        <w:spacing w:line="240" w:lineRule="auto" w:before="58"/>
        <w:ind w:right="205"/>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right="205"/>
        <w:jc w:val="left"/>
      </w:pPr>
      <w:r>
        <w:rPr/>
        <w:t>□适用 √不适用</w:t>
      </w:r>
    </w:p>
    <w:p>
      <w:pPr>
        <w:spacing w:after="0" w:line="240" w:lineRule="auto"/>
        <w:jc w:val="left"/>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ind w:right="205"/>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right="20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right="205"/>
        <w:jc w:val="left"/>
      </w:pPr>
      <w:r>
        <w:rPr/>
        <w:t>□适用 √不适用</w:t>
      </w:r>
    </w:p>
    <w:p>
      <w:pPr>
        <w:spacing w:line="240" w:lineRule="auto" w:before="3"/>
        <w:rPr>
          <w:rFonts w:ascii="宋体" w:hAnsi="宋体" w:cs="宋体" w:eastAsia="宋体" w:hint="default"/>
          <w:sz w:val="25"/>
          <w:szCs w:val="25"/>
        </w:rPr>
      </w:pPr>
    </w:p>
    <w:p>
      <w:pPr>
        <w:spacing w:line="290" w:lineRule="auto" w:before="0"/>
        <w:ind w:left="220" w:right="3049"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right="205"/>
        <w:jc w:val="left"/>
      </w:pPr>
      <w:r>
        <w:rPr/>
        <w:t>□适用 √不适用</w:t>
      </w:r>
    </w:p>
    <w:p>
      <w:pPr>
        <w:pStyle w:val="BodyText"/>
        <w:spacing w:line="273" w:lineRule="exact"/>
        <w:ind w:right="205"/>
        <w:jc w:val="left"/>
      </w:pPr>
      <w:r>
        <w:rPr/>
        <w:t>其他说明：</w:t>
      </w:r>
    </w:p>
    <w:p>
      <w:pPr>
        <w:pStyle w:val="BodyText"/>
        <w:spacing w:line="273" w:lineRule="exact"/>
        <w:ind w:right="205"/>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right="205"/>
        <w:jc w:val="left"/>
      </w:pPr>
      <w:r>
        <w:rPr/>
        <w:t>是否存在通过多次交易分步处置对子公司投资且在本期丧失控制权的情形</w:t>
      </w:r>
    </w:p>
    <w:p>
      <w:pPr>
        <w:pStyle w:val="BodyText"/>
        <w:spacing w:line="273" w:lineRule="exact"/>
        <w:ind w:right="205"/>
        <w:jc w:val="left"/>
      </w:pPr>
      <w:r>
        <w:rPr/>
        <w:t>□适用 √不适用</w:t>
      </w:r>
    </w:p>
    <w:p>
      <w:pPr>
        <w:spacing w:line="240" w:lineRule="auto" w:before="2"/>
        <w:rPr>
          <w:rFonts w:ascii="宋体" w:hAnsi="宋体" w:cs="宋体" w:eastAsia="宋体" w:hint="default"/>
          <w:sz w:val="24"/>
          <w:szCs w:val="24"/>
        </w:rPr>
      </w:pPr>
    </w:p>
    <w:p>
      <w:pPr>
        <w:spacing w:line="290" w:lineRule="auto" w:before="0"/>
        <w:ind w:left="220" w:right="20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8" w:lineRule="exact"/>
        <w:ind w:right="205"/>
        <w:jc w:val="left"/>
      </w:pPr>
      <w:r>
        <w:rPr/>
        <w:t>√适用 □不适用</w:t>
      </w:r>
    </w:p>
    <w:p>
      <w:pPr>
        <w:pStyle w:val="BodyText"/>
        <w:spacing w:line="273" w:lineRule="exact"/>
        <w:ind w:left="645" w:right="205"/>
        <w:jc w:val="left"/>
      </w:pPr>
      <w:r>
        <w:rPr/>
        <w:t>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月，本公司出资人民币</w:t>
      </w:r>
      <w:r>
        <w:rPr>
          <w:spacing w:val="-53"/>
        </w:rPr>
        <w:t> </w:t>
      </w:r>
      <w:r>
        <w:rPr>
          <w:rFonts w:ascii="宋体" w:hAnsi="宋体" w:cs="宋体" w:eastAsia="宋体" w:hint="default"/>
        </w:rPr>
        <w:t>5,000</w:t>
      </w:r>
      <w:r>
        <w:rPr>
          <w:rFonts w:ascii="宋体" w:hAnsi="宋体" w:cs="宋体" w:eastAsia="宋体" w:hint="default"/>
          <w:spacing w:val="-55"/>
        </w:rPr>
        <w:t> </w:t>
      </w:r>
      <w:r>
        <w:rPr/>
        <w:t>万元，新设立全资子公司轩客会。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ind w:right="205"/>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62" w:val="left" w:leader="none"/>
        </w:tabs>
        <w:spacing w:line="240" w:lineRule="auto" w:before="58"/>
        <w:ind w:right="205"/>
        <w:jc w:val="left"/>
      </w:pPr>
      <w:r>
        <w:rPr/>
        <w:t>□适用</w:t>
        <w:tab/>
        <w:t>√不适用</w:t>
      </w:r>
    </w:p>
    <w:p>
      <w:pPr>
        <w:spacing w:line="240" w:lineRule="auto" w:before="3"/>
        <w:rPr>
          <w:rFonts w:ascii="宋体" w:hAnsi="宋体" w:cs="宋体" w:eastAsia="宋体" w:hint="default"/>
          <w:sz w:val="25"/>
          <w:szCs w:val="25"/>
        </w:rPr>
      </w:pPr>
    </w:p>
    <w:p>
      <w:pPr>
        <w:pStyle w:val="Heading2"/>
        <w:spacing w:line="290" w:lineRule="auto"/>
        <w:ind w:right="6907"/>
        <w:jc w:val="left"/>
        <w:rPr>
          <w:b w:val="0"/>
          <w:bCs w:val="0"/>
        </w:rPr>
      </w:pPr>
      <w:r>
        <w:rPr/>
        <w:t>九、在其他主体中的权益</w:t>
      </w:r>
      <w:r>
        <w:rPr>
          <w:spacing w:val="-101"/>
        </w:rPr>
        <w:t> </w:t>
      </w:r>
      <w:r>
        <w:rPr>
          <w:spacing w:val="-101"/>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2"/>
        <w:ind w:right="205"/>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31"/>
        <w:gridCol w:w="1054"/>
        <w:gridCol w:w="869"/>
        <w:gridCol w:w="2604"/>
        <w:gridCol w:w="869"/>
        <w:gridCol w:w="725"/>
        <w:gridCol w:w="1880"/>
      </w:tblGrid>
      <w:tr>
        <w:trPr>
          <w:trHeight w:val="281" w:hRule="exact"/>
        </w:trPr>
        <w:tc>
          <w:tcPr>
            <w:tcW w:w="1231" w:type="dxa"/>
            <w:vMerge w:val="restart"/>
            <w:tcBorders>
              <w:top w:val="single" w:sz="4" w:space="0" w:color="000000"/>
              <w:left w:val="single" w:sz="4" w:space="0" w:color="000000"/>
              <w:right w:val="single" w:sz="4" w:space="0" w:color="000000"/>
            </w:tcBorders>
          </w:tcPr>
          <w:p>
            <w:pPr>
              <w:pStyle w:val="TableParagraph"/>
              <w:spacing w:line="272" w:lineRule="exact" w:before="1"/>
              <w:ind w:left="400" w:right="290"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054" w:type="dxa"/>
            <w:vMerge w:val="restart"/>
            <w:tcBorders>
              <w:top w:val="single" w:sz="4" w:space="0" w:color="000000"/>
              <w:left w:val="single" w:sz="4" w:space="0" w:color="000000"/>
              <w:right w:val="single" w:sz="4" w:space="0" w:color="000000"/>
            </w:tcBorders>
          </w:tcPr>
          <w:p>
            <w:pPr>
              <w:pStyle w:val="TableParagraph"/>
              <w:spacing w:line="272" w:lineRule="exact" w:before="1"/>
              <w:ind w:left="311" w:right="203"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10"/>
              <w:ind w:left="11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604" w:type="dxa"/>
            <w:vMerge w:val="restart"/>
            <w:tcBorders>
              <w:top w:val="single" w:sz="4" w:space="0" w:color="000000"/>
              <w:left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80" w:type="dxa"/>
            <w:vMerge w:val="restart"/>
            <w:tcBorders>
              <w:top w:val="single" w:sz="4" w:space="0" w:color="000000"/>
              <w:left w:val="single" w:sz="4" w:space="0" w:color="000000"/>
              <w:right w:val="single" w:sz="4" w:space="0" w:color="000000"/>
            </w:tcBorders>
          </w:tcPr>
          <w:p>
            <w:pPr>
              <w:pStyle w:val="TableParagraph"/>
              <w:spacing w:line="272" w:lineRule="exact" w:before="1"/>
              <w:ind w:left="725" w:right="720"/>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1231" w:type="dxa"/>
            <w:vMerge/>
            <w:tcBorders>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2604" w:type="dxa"/>
            <w:vMerge/>
            <w:tcBorders>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8"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80" w:type="dxa"/>
            <w:vMerge/>
            <w:tcBorders>
              <w:left w:val="single" w:sz="4" w:space="0" w:color="000000"/>
              <w:bottom w:val="single" w:sz="4" w:space="0" w:color="000000"/>
              <w:right w:val="single" w:sz="4" w:space="0" w:color="000000"/>
            </w:tcBorders>
          </w:tcPr>
          <w:p>
            <w:pP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人教时代</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音像制品制作及销售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文轩传媒</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图书、期刊销售等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教育科技</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软件开发、电子设备销售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文传物流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货物仓储、配送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北京商超</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图书、报纸、期刊销售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艺术投资</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项目投资及管理、艺术品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文轩在线</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网络销售各类产品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75</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华盛顿文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轩媒体</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版权贸易、对外合作出版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看熊猫</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期刊销售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薇薇广告</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文轩云图</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软件及配套硬件销售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文轩投资</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创业投资、企业投资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bl>
    <w:p>
      <w:pPr>
        <w:spacing w:after="0" w:line="241" w:lineRule="exact"/>
        <w:jc w:val="left"/>
        <w:rPr>
          <w:rFonts w:ascii="宋体" w:hAnsi="宋体" w:cs="宋体" w:eastAsia="宋体" w:hint="default"/>
          <w:sz w:val="21"/>
          <w:szCs w:val="21"/>
        </w:rPr>
        <w:sectPr>
          <w:pgSz w:w="11910" w:h="16840"/>
          <w:pgMar w:header="882" w:footer="1195" w:top="112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231"/>
        <w:gridCol w:w="1054"/>
        <w:gridCol w:w="869"/>
        <w:gridCol w:w="2604"/>
        <w:gridCol w:w="869"/>
        <w:gridCol w:w="725"/>
        <w:gridCol w:w="1880"/>
      </w:tblGrid>
      <w:tr>
        <w:trPr>
          <w:trHeight w:val="82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文轩国际</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组织策划文化艺术交流活</w:t>
            </w:r>
          </w:p>
          <w:p>
            <w:pPr>
              <w:pStyle w:val="TableParagraph"/>
              <w:spacing w:line="240" w:lineRule="auto"/>
              <w:ind w:left="103" w:right="175"/>
              <w:jc w:val="left"/>
              <w:rPr>
                <w:rFonts w:ascii="宋体" w:hAnsi="宋体" w:cs="宋体" w:eastAsia="宋体" w:hint="default"/>
                <w:sz w:val="21"/>
                <w:szCs w:val="21"/>
              </w:rPr>
            </w:pPr>
            <w:r>
              <w:rPr>
                <w:rFonts w:ascii="宋体" w:hAnsi="宋体" w:cs="宋体" w:eastAsia="宋体" w:hint="default"/>
                <w:spacing w:val="-2"/>
                <w:sz w:val="21"/>
                <w:szCs w:val="21"/>
              </w:rPr>
              <w:t>动、商务咨询、会议及展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览展示服务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文轩全媒</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组织文化艺术交流活动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文轩音乐</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商务服务及乐器销售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云</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计算机软件开发及系统服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华夏盛轩</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出版物销售等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轩客会</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图书批发和零售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新华在线</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互联网出版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同一控制合并</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北京蜀川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出版物销售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同一控制合并</w:t>
            </w:r>
          </w:p>
        </w:tc>
      </w:tr>
      <w:tr>
        <w:trPr>
          <w:trHeight w:val="55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传播</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广告代理和租赁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同一控制合并</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新华商</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纸浆、纸及纸制品销售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51</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文轩体育</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场馆管理服务、广告、自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有房屋租赁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人民社</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图书出版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出版印刷</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教材租型印供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教育社</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图书出版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少儿社</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图书、期刊出版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科技社</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图书出版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557"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大自然杂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志社</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图书出版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美术社</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图书出版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辞书社</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图书出版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文艺社</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图书出版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天地社</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图书出版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时代英语</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图书出版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巴蜀社</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图书出版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印刷物资</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提供印刷相关物资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数字社</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图书出版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82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读者报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《读者报》出版、广告、</w:t>
            </w:r>
          </w:p>
          <w:p>
            <w:pPr>
              <w:pStyle w:val="TableParagraph"/>
              <w:spacing w:line="240" w:lineRule="auto"/>
              <w:ind w:left="103" w:right="175"/>
              <w:jc w:val="left"/>
              <w:rPr>
                <w:rFonts w:ascii="宋体" w:hAnsi="宋体" w:cs="宋体" w:eastAsia="宋体" w:hint="default"/>
                <w:sz w:val="21"/>
                <w:szCs w:val="21"/>
              </w:rPr>
            </w:pPr>
            <w:r>
              <w:rPr>
                <w:rFonts w:ascii="宋体" w:hAnsi="宋体" w:cs="宋体" w:eastAsia="宋体" w:hint="default"/>
                <w:spacing w:val="-2"/>
                <w:sz w:val="21"/>
                <w:szCs w:val="21"/>
              </w:rPr>
              <w:t>商品批发与零售、软件和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信息技术服务业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画报社</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期刊出版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出版物印刷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20" w:right="1220"/>
        </w:sectPr>
      </w:pPr>
    </w:p>
    <w:p>
      <w:pPr>
        <w:pStyle w:val="Heading2"/>
        <w:spacing w:line="240" w:lineRule="auto" w:before="36"/>
        <w:ind w:right="-15"/>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6"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220" w:right="1220"/>
          <w:cols w:num="2" w:equalWidth="0">
            <w:col w:w="2547" w:space="4381"/>
            <w:col w:w="2542"/>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46"/>
        <w:gridCol w:w="1853"/>
        <w:gridCol w:w="1980"/>
        <w:gridCol w:w="1982"/>
        <w:gridCol w:w="1781"/>
      </w:tblGrid>
      <w:tr>
        <w:trPr>
          <w:trHeight w:val="554"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4"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1"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北京商超</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-4,516,868.14</w:t>
            </w:r>
          </w:p>
        </w:tc>
        <w:tc>
          <w:tcPr>
            <w:tcW w:w="1982"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-55,968,250.28</w:t>
            </w:r>
          </w:p>
        </w:tc>
      </w:tr>
      <w:tr>
        <w:trPr>
          <w:trHeight w:val="284"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文轩在线</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25.00%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871,944.68</w:t>
            </w:r>
          </w:p>
        </w:tc>
        <w:tc>
          <w:tcPr>
            <w:tcW w:w="1982"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-19,914,153.70</w:t>
            </w:r>
          </w:p>
        </w:tc>
      </w:tr>
    </w:tbl>
    <w:p>
      <w:pPr>
        <w:spacing w:after="0" w:line="244" w:lineRule="exact"/>
        <w:jc w:val="right"/>
        <w:rPr>
          <w:rFonts w:ascii="宋体" w:hAnsi="宋体" w:cs="宋体" w:eastAsia="宋体" w:hint="default"/>
          <w:sz w:val="21"/>
          <w:szCs w:val="21"/>
        </w:rPr>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74" w:lineRule="exact" w:before="36"/>
        <w:ind w:left="1060" w:right="1050"/>
        <w:jc w:val="left"/>
      </w:pPr>
      <w:r>
        <w:rPr/>
        <w:t>子公司少数股东的持股比例不同于表决权比例的说明：</w:t>
      </w:r>
    </w:p>
    <w:p>
      <w:pPr>
        <w:pStyle w:val="BodyText"/>
        <w:spacing w:line="274" w:lineRule="exact"/>
        <w:ind w:left="1060" w:right="105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1060" w:right="1050"/>
        <w:jc w:val="left"/>
      </w:pPr>
      <w:r>
        <w:rPr/>
        <w:t>其他说明：</w:t>
      </w:r>
    </w:p>
    <w:p>
      <w:pPr>
        <w:pStyle w:val="BodyText"/>
        <w:spacing w:line="273" w:lineRule="exact"/>
        <w:ind w:left="1060" w:right="105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380" w:right="380"/>
        </w:sectPr>
      </w:pPr>
    </w:p>
    <w:p>
      <w:pPr>
        <w:pStyle w:val="Heading2"/>
        <w:spacing w:line="240" w:lineRule="auto" w:before="36"/>
        <w:ind w:left="1060"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8"/>
        <w:ind w:left="106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6" w:val="left" w:leader="none"/>
        </w:tabs>
        <w:spacing w:line="240" w:lineRule="auto"/>
        <w:ind w:left="106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380" w:right="380"/>
          <w:cols w:num="2" w:equalWidth="0">
            <w:col w:w="4649" w:space="2278"/>
            <w:col w:w="4223"/>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684"/>
        <w:gridCol w:w="939"/>
        <w:gridCol w:w="811"/>
        <w:gridCol w:w="939"/>
        <w:gridCol w:w="938"/>
        <w:gridCol w:w="684"/>
        <w:gridCol w:w="941"/>
        <w:gridCol w:w="862"/>
        <w:gridCol w:w="809"/>
        <w:gridCol w:w="865"/>
        <w:gridCol w:w="864"/>
        <w:gridCol w:w="684"/>
        <w:gridCol w:w="900"/>
      </w:tblGrid>
      <w:tr>
        <w:trPr>
          <w:trHeight w:val="250" w:hRule="exact"/>
        </w:trPr>
        <w:tc>
          <w:tcPr>
            <w:tcW w:w="684" w:type="dxa"/>
            <w:vMerge w:val="restart"/>
            <w:tcBorders>
              <w:top w:val="single" w:sz="4" w:space="0" w:color="000000"/>
              <w:left w:val="single" w:sz="4" w:space="0" w:color="000000"/>
              <w:right w:val="single" w:sz="4" w:space="0" w:color="000000"/>
            </w:tcBorders>
          </w:tcPr>
          <w:p>
            <w:pPr>
              <w:pStyle w:val="TableParagraph"/>
              <w:spacing w:line="206" w:lineRule="exact" w:before="121"/>
              <w:ind w:left="184" w:right="84" w:hanging="80"/>
              <w:jc w:val="left"/>
              <w:rPr>
                <w:rFonts w:ascii="宋体" w:hAnsi="宋体" w:cs="宋体" w:eastAsia="宋体" w:hint="default"/>
                <w:sz w:val="16"/>
                <w:szCs w:val="16"/>
              </w:rPr>
            </w:pPr>
            <w:r>
              <w:rPr>
                <w:rFonts w:ascii="宋体" w:hAnsi="宋体" w:cs="宋体" w:eastAsia="宋体" w:hint="default"/>
                <w:sz w:val="16"/>
                <w:szCs w:val="16"/>
              </w:rPr>
              <w:t>子公司</w:t>
            </w:r>
            <w:r>
              <w:rPr>
                <w:rFonts w:ascii="宋体" w:hAnsi="宋体" w:cs="宋体" w:eastAsia="宋体" w:hint="default"/>
                <w:spacing w:val="-78"/>
                <w:sz w:val="16"/>
                <w:szCs w:val="16"/>
              </w:rPr>
              <w:t> </w:t>
            </w:r>
            <w:r>
              <w:rPr>
                <w:rFonts w:ascii="宋体" w:hAnsi="宋体" w:cs="宋体" w:eastAsia="宋体" w:hint="default"/>
                <w:sz w:val="16"/>
                <w:szCs w:val="16"/>
              </w:rPr>
              <w:t>名称</w:t>
            </w:r>
          </w:p>
        </w:tc>
        <w:tc>
          <w:tcPr>
            <w:tcW w:w="52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8"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4983" w:type="dxa"/>
            <w:gridSpan w:val="6"/>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8" w:right="0"/>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425" w:hRule="exact"/>
        </w:trPr>
        <w:tc>
          <w:tcPr>
            <w:tcW w:w="684" w:type="dxa"/>
            <w:vMerge/>
            <w:tcBorders>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6"/>
                <w:szCs w:val="16"/>
              </w:rPr>
            </w:pPr>
            <w:r>
              <w:rPr>
                <w:rFonts w:ascii="宋体" w:hAnsi="宋体" w:cs="宋体" w:eastAsia="宋体" w:hint="default"/>
                <w:sz w:val="16"/>
                <w:szCs w:val="16"/>
              </w:rPr>
              <w:t>流动资产</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7" w:right="0"/>
              <w:jc w:val="center"/>
              <w:rPr>
                <w:rFonts w:ascii="宋体" w:hAnsi="宋体" w:cs="宋体" w:eastAsia="宋体" w:hint="default"/>
                <w:sz w:val="16"/>
                <w:szCs w:val="16"/>
              </w:rPr>
            </w:pPr>
            <w:r>
              <w:rPr>
                <w:rFonts w:ascii="宋体" w:hAnsi="宋体" w:cs="宋体" w:eastAsia="宋体" w:hint="default"/>
                <w:sz w:val="16"/>
                <w:szCs w:val="16"/>
              </w:rPr>
              <w:t>非流动资</w:t>
            </w:r>
          </w:p>
          <w:p>
            <w:pPr>
              <w:pStyle w:val="TableParagraph"/>
              <w:spacing w:line="209" w:lineRule="exact"/>
              <w:ind w:left="55" w:right="0"/>
              <w:jc w:val="center"/>
              <w:rPr>
                <w:rFonts w:ascii="宋体" w:hAnsi="宋体" w:cs="宋体" w:eastAsia="宋体" w:hint="default"/>
                <w:sz w:val="16"/>
                <w:szCs w:val="16"/>
              </w:rPr>
            </w:pPr>
            <w:r>
              <w:rPr>
                <w:rFonts w:ascii="宋体" w:hAnsi="宋体" w:cs="宋体" w:eastAsia="宋体" w:hint="default"/>
                <w:w w:val="100"/>
                <w:sz w:val="16"/>
                <w:szCs w:val="16"/>
              </w:rPr>
              <w:t>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0"/>
              <w:jc w:val="right"/>
              <w:rPr>
                <w:rFonts w:ascii="宋体" w:hAnsi="宋体" w:cs="宋体" w:eastAsia="宋体" w:hint="default"/>
                <w:sz w:val="16"/>
                <w:szCs w:val="16"/>
              </w:rPr>
            </w:pPr>
            <w:r>
              <w:rPr>
                <w:rFonts w:ascii="宋体" w:hAnsi="宋体" w:cs="宋体" w:eastAsia="宋体" w:hint="default"/>
                <w:sz w:val="16"/>
                <w:szCs w:val="16"/>
              </w:rPr>
              <w:t>资产合计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6"/>
                <w:szCs w:val="16"/>
              </w:rPr>
            </w:pPr>
            <w:r>
              <w:rPr>
                <w:rFonts w:ascii="宋体" w:hAnsi="宋体" w:cs="宋体" w:eastAsia="宋体" w:hint="default"/>
                <w:sz w:val="16"/>
                <w:szCs w:val="16"/>
              </w:rPr>
              <w:t>流动负债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03" w:right="0" w:hanging="80"/>
              <w:jc w:val="left"/>
              <w:rPr>
                <w:rFonts w:ascii="宋体" w:hAnsi="宋体" w:cs="宋体" w:eastAsia="宋体" w:hint="default"/>
                <w:sz w:val="16"/>
                <w:szCs w:val="16"/>
              </w:rPr>
            </w:pPr>
            <w:r>
              <w:rPr>
                <w:rFonts w:ascii="宋体" w:hAnsi="宋体" w:cs="宋体" w:eastAsia="宋体" w:hint="default"/>
                <w:sz w:val="16"/>
                <w:szCs w:val="16"/>
              </w:rPr>
              <w:t>非流动</w:t>
            </w:r>
          </w:p>
          <w:p>
            <w:pPr>
              <w:pStyle w:val="TableParagraph"/>
              <w:spacing w:line="209" w:lineRule="exact"/>
              <w:ind w:left="203" w:right="0"/>
              <w:jc w:val="left"/>
              <w:rPr>
                <w:rFonts w:ascii="宋体" w:hAnsi="宋体" w:cs="宋体" w:eastAsia="宋体" w:hint="default"/>
                <w:sz w:val="16"/>
                <w:szCs w:val="16"/>
              </w:rPr>
            </w:pPr>
            <w:r>
              <w:rPr>
                <w:rFonts w:ascii="宋体" w:hAnsi="宋体" w:cs="宋体" w:eastAsia="宋体" w:hint="default"/>
                <w:sz w:val="16"/>
                <w:szCs w:val="16"/>
              </w:rPr>
              <w:t>负债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负债合计</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hAnsi="宋体" w:cs="宋体" w:eastAsia="宋体" w:hint="default"/>
                <w:sz w:val="16"/>
                <w:szCs w:val="16"/>
              </w:rPr>
              <w:t>流动资产</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9" w:right="0"/>
              <w:jc w:val="center"/>
              <w:rPr>
                <w:rFonts w:ascii="宋体" w:hAnsi="宋体" w:cs="宋体" w:eastAsia="宋体" w:hint="default"/>
                <w:sz w:val="16"/>
                <w:szCs w:val="16"/>
              </w:rPr>
            </w:pPr>
            <w:r>
              <w:rPr>
                <w:rFonts w:ascii="宋体" w:hAnsi="宋体" w:cs="宋体" w:eastAsia="宋体" w:hint="default"/>
                <w:sz w:val="16"/>
                <w:szCs w:val="16"/>
              </w:rPr>
              <w:t>非流动资</w:t>
            </w:r>
          </w:p>
          <w:p>
            <w:pPr>
              <w:pStyle w:val="TableParagraph"/>
              <w:spacing w:line="209" w:lineRule="exact"/>
              <w:ind w:left="57" w:right="0"/>
              <w:jc w:val="center"/>
              <w:rPr>
                <w:rFonts w:ascii="宋体" w:hAnsi="宋体" w:cs="宋体" w:eastAsia="宋体" w:hint="default"/>
                <w:sz w:val="16"/>
                <w:szCs w:val="16"/>
              </w:rPr>
            </w:pPr>
            <w:r>
              <w:rPr>
                <w:rFonts w:ascii="宋体" w:hAnsi="宋体" w:cs="宋体" w:eastAsia="宋体" w:hint="default"/>
                <w:w w:val="100"/>
                <w:sz w:val="16"/>
                <w:szCs w:val="16"/>
              </w:rPr>
              <w:t>产</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宋体" w:hAnsi="宋体" w:cs="宋体" w:eastAsia="宋体" w:hint="default"/>
                <w:sz w:val="16"/>
                <w:szCs w:val="16"/>
              </w:rPr>
            </w:pPr>
            <w:r>
              <w:rPr>
                <w:rFonts w:ascii="宋体" w:hAnsi="宋体" w:cs="宋体" w:eastAsia="宋体" w:hint="default"/>
                <w:sz w:val="16"/>
                <w:szCs w:val="16"/>
              </w:rPr>
              <w:t>资产合计</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04" w:right="0" w:hanging="80"/>
              <w:jc w:val="left"/>
              <w:rPr>
                <w:rFonts w:ascii="宋体" w:hAnsi="宋体" w:cs="宋体" w:eastAsia="宋体" w:hint="default"/>
                <w:sz w:val="16"/>
                <w:szCs w:val="16"/>
              </w:rPr>
            </w:pPr>
            <w:r>
              <w:rPr>
                <w:rFonts w:ascii="宋体" w:hAnsi="宋体" w:cs="宋体" w:eastAsia="宋体" w:hint="default"/>
                <w:sz w:val="16"/>
                <w:szCs w:val="16"/>
              </w:rPr>
              <w:t>非流动</w:t>
            </w:r>
          </w:p>
          <w:p>
            <w:pPr>
              <w:pStyle w:val="TableParagraph"/>
              <w:spacing w:line="209" w:lineRule="exact"/>
              <w:ind w:left="204" w:right="0"/>
              <w:jc w:val="left"/>
              <w:rPr>
                <w:rFonts w:ascii="宋体" w:hAnsi="宋体" w:cs="宋体" w:eastAsia="宋体" w:hint="default"/>
                <w:sz w:val="16"/>
                <w:szCs w:val="16"/>
              </w:rPr>
            </w:pPr>
            <w:r>
              <w:rPr>
                <w:rFonts w:ascii="宋体" w:hAnsi="宋体" w:cs="宋体" w:eastAsia="宋体" w:hint="default"/>
                <w:sz w:val="16"/>
                <w:szCs w:val="16"/>
              </w:rPr>
              <w:t>负债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6"/>
                <w:szCs w:val="16"/>
              </w:rPr>
            </w:pPr>
            <w:r>
              <w:rPr>
                <w:rFonts w:ascii="宋体" w:hAnsi="宋体" w:cs="宋体" w:eastAsia="宋体" w:hint="default"/>
                <w:sz w:val="16"/>
                <w:szCs w:val="16"/>
              </w:rPr>
              <w:t>负债合计</w:t>
            </w:r>
          </w:p>
        </w:tc>
      </w:tr>
      <w:tr>
        <w:trPr>
          <w:trHeight w:val="15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24"/>
              <w:jc w:val="center"/>
              <w:rPr>
                <w:rFonts w:ascii="宋体" w:hAnsi="宋体" w:cs="宋体" w:eastAsia="宋体" w:hint="default"/>
                <w:sz w:val="11"/>
                <w:szCs w:val="11"/>
              </w:rPr>
            </w:pPr>
            <w:r>
              <w:rPr>
                <w:rFonts w:ascii="宋体" w:hAnsi="宋体" w:cs="宋体" w:eastAsia="宋体" w:hint="default"/>
                <w:sz w:val="11"/>
                <w:szCs w:val="11"/>
              </w:rPr>
              <w:t>北京商超</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6" w:right="0"/>
              <w:jc w:val="center"/>
              <w:rPr>
                <w:rFonts w:ascii="Arial Narrow" w:hAnsi="Arial Narrow" w:cs="Arial Narrow" w:eastAsia="Arial Narrow" w:hint="default"/>
                <w:sz w:val="11"/>
                <w:szCs w:val="11"/>
              </w:rPr>
            </w:pPr>
            <w:r>
              <w:rPr>
                <w:rFonts w:ascii="Arial Narrow"/>
                <w:sz w:val="11"/>
              </w:rPr>
              <w:t>139,896,495.59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 w:right="0"/>
              <w:jc w:val="center"/>
              <w:rPr>
                <w:rFonts w:ascii="Arial Narrow" w:hAnsi="Arial Narrow" w:cs="Arial Narrow" w:eastAsia="Arial Narrow" w:hint="default"/>
                <w:sz w:val="11"/>
                <w:szCs w:val="11"/>
              </w:rPr>
            </w:pPr>
            <w:r>
              <w:rPr>
                <w:rFonts w:ascii="Arial Narrow"/>
                <w:sz w:val="11"/>
              </w:rPr>
              <w:t>11,471,455.58</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Arial Narrow" w:hAnsi="Arial Narrow" w:cs="Arial Narrow" w:eastAsia="Arial Narrow" w:hint="default"/>
                <w:sz w:val="11"/>
                <w:szCs w:val="11"/>
              </w:rPr>
            </w:pPr>
            <w:r>
              <w:rPr>
                <w:rFonts w:ascii="Arial Narrow"/>
                <w:spacing w:val="-1"/>
                <w:sz w:val="11"/>
              </w:rPr>
              <w:t>151,367,951.17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5" w:right="0"/>
              <w:jc w:val="center"/>
              <w:rPr>
                <w:rFonts w:ascii="Arial Narrow" w:hAnsi="Arial Narrow" w:cs="Arial Narrow" w:eastAsia="Arial Narrow" w:hint="default"/>
                <w:sz w:val="11"/>
                <w:szCs w:val="11"/>
              </w:rPr>
            </w:pPr>
            <w:r>
              <w:rPr>
                <w:rFonts w:ascii="Arial Narrow"/>
                <w:sz w:val="11"/>
              </w:rPr>
              <w:t>212,819,482.35</w:t>
            </w:r>
          </w:p>
        </w:tc>
        <w:tc>
          <w:tcPr>
            <w:tcW w:w="68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7" w:right="0"/>
              <w:jc w:val="center"/>
              <w:rPr>
                <w:rFonts w:ascii="Arial Narrow" w:hAnsi="Arial Narrow" w:cs="Arial Narrow" w:eastAsia="Arial Narrow" w:hint="default"/>
                <w:sz w:val="11"/>
                <w:szCs w:val="11"/>
              </w:rPr>
            </w:pPr>
            <w:r>
              <w:rPr>
                <w:rFonts w:ascii="Arial Narrow"/>
                <w:sz w:val="11"/>
              </w:rPr>
              <w:t>212,819,482.35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Arial Narrow" w:hAnsi="Arial Narrow" w:cs="Arial Narrow" w:eastAsia="Arial Narrow" w:hint="default"/>
                <w:sz w:val="11"/>
                <w:szCs w:val="11"/>
              </w:rPr>
            </w:pPr>
            <w:r>
              <w:rPr>
                <w:rFonts w:ascii="Arial Narrow"/>
                <w:spacing w:val="-1"/>
                <w:sz w:val="11"/>
              </w:rPr>
              <w:t>142,526,596.98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Arial Narrow" w:hAnsi="Arial Narrow" w:cs="Arial Narrow" w:eastAsia="Arial Narrow" w:hint="default"/>
                <w:sz w:val="11"/>
                <w:szCs w:val="11"/>
              </w:rPr>
            </w:pPr>
            <w:r>
              <w:rPr>
                <w:rFonts w:ascii="Arial Narrow"/>
                <w:spacing w:val="-1"/>
                <w:sz w:val="11"/>
              </w:rPr>
              <w:t>14,691,052.80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4"/>
              <w:jc w:val="right"/>
              <w:rPr>
                <w:rFonts w:ascii="Arial Narrow" w:hAnsi="Arial Narrow" w:cs="Arial Narrow" w:eastAsia="Arial Narrow" w:hint="default"/>
                <w:sz w:val="11"/>
                <w:szCs w:val="11"/>
              </w:rPr>
            </w:pPr>
            <w:r>
              <w:rPr>
                <w:rFonts w:ascii="Arial Narrow"/>
                <w:spacing w:val="-1"/>
                <w:sz w:val="11"/>
              </w:rPr>
              <w:t>157,217,649.78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24" w:right="0"/>
              <w:jc w:val="left"/>
              <w:rPr>
                <w:rFonts w:ascii="Arial Narrow" w:hAnsi="Arial Narrow" w:cs="Arial Narrow" w:eastAsia="Arial Narrow" w:hint="default"/>
                <w:sz w:val="11"/>
                <w:szCs w:val="11"/>
              </w:rPr>
            </w:pPr>
            <w:r>
              <w:rPr>
                <w:rFonts w:ascii="Arial Narrow"/>
                <w:sz w:val="11"/>
              </w:rPr>
              <w:t>209,451,082.71</w:t>
            </w:r>
          </w:p>
        </w:tc>
        <w:tc>
          <w:tcPr>
            <w:tcW w:w="68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7" w:right="0"/>
              <w:jc w:val="center"/>
              <w:rPr>
                <w:rFonts w:ascii="Arial Narrow" w:hAnsi="Arial Narrow" w:cs="Arial Narrow" w:eastAsia="Arial Narrow" w:hint="default"/>
                <w:sz w:val="11"/>
                <w:szCs w:val="11"/>
              </w:rPr>
            </w:pPr>
            <w:r>
              <w:rPr>
                <w:rFonts w:ascii="Arial Narrow"/>
                <w:sz w:val="11"/>
              </w:rPr>
              <w:t>209,451,082.71</w:t>
            </w:r>
          </w:p>
        </w:tc>
      </w:tr>
      <w:tr>
        <w:trPr>
          <w:trHeight w:val="15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24"/>
              <w:jc w:val="center"/>
              <w:rPr>
                <w:rFonts w:ascii="宋体" w:hAnsi="宋体" w:cs="宋体" w:eastAsia="宋体" w:hint="default"/>
                <w:sz w:val="11"/>
                <w:szCs w:val="11"/>
              </w:rPr>
            </w:pPr>
            <w:r>
              <w:rPr>
                <w:rFonts w:ascii="宋体" w:hAnsi="宋体" w:cs="宋体" w:eastAsia="宋体" w:hint="default"/>
                <w:sz w:val="11"/>
                <w:szCs w:val="11"/>
              </w:rPr>
              <w:t>文轩在线</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 w:right="0"/>
              <w:jc w:val="center"/>
              <w:rPr>
                <w:rFonts w:ascii="Arial Narrow" w:hAnsi="Arial Narrow" w:cs="Arial Narrow" w:eastAsia="Arial Narrow" w:hint="default"/>
                <w:sz w:val="11"/>
                <w:szCs w:val="11"/>
              </w:rPr>
            </w:pPr>
            <w:r>
              <w:rPr>
                <w:rFonts w:ascii="Arial Narrow"/>
                <w:sz w:val="11"/>
              </w:rPr>
              <w:t>1,401,150,849.38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4" w:right="0"/>
              <w:jc w:val="center"/>
              <w:rPr>
                <w:rFonts w:ascii="Arial Narrow" w:hAnsi="Arial Narrow" w:cs="Arial Narrow" w:eastAsia="Arial Narrow" w:hint="default"/>
                <w:sz w:val="11"/>
                <w:szCs w:val="11"/>
              </w:rPr>
            </w:pPr>
            <w:r>
              <w:rPr>
                <w:rFonts w:ascii="Arial Narrow"/>
                <w:sz w:val="11"/>
              </w:rPr>
              <w:t>47,585,386.61</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4"/>
              <w:jc w:val="right"/>
              <w:rPr>
                <w:rFonts w:ascii="Arial Narrow" w:hAnsi="Arial Narrow" w:cs="Arial Narrow" w:eastAsia="Arial Narrow" w:hint="default"/>
                <w:sz w:val="11"/>
                <w:szCs w:val="11"/>
              </w:rPr>
            </w:pPr>
            <w:r>
              <w:rPr>
                <w:rFonts w:ascii="Arial Narrow"/>
                <w:spacing w:val="-1"/>
                <w:sz w:val="11"/>
              </w:rPr>
              <w:t>1,448,736,235.99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6" w:right="0"/>
              <w:jc w:val="center"/>
              <w:rPr>
                <w:rFonts w:ascii="Arial Narrow" w:hAnsi="Arial Narrow" w:cs="Arial Narrow" w:eastAsia="Arial Narrow" w:hint="default"/>
                <w:sz w:val="11"/>
                <w:szCs w:val="11"/>
              </w:rPr>
            </w:pPr>
            <w:r>
              <w:rPr>
                <w:rFonts w:ascii="Arial Narrow"/>
                <w:sz w:val="11"/>
              </w:rPr>
              <w:t>1,527,763,850.80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19" w:right="0"/>
              <w:jc w:val="left"/>
              <w:rPr>
                <w:rFonts w:ascii="Arial Narrow" w:hAnsi="Arial Narrow" w:cs="Arial Narrow" w:eastAsia="Arial Narrow" w:hint="default"/>
                <w:sz w:val="11"/>
                <w:szCs w:val="11"/>
              </w:rPr>
            </w:pPr>
            <w:r>
              <w:rPr>
                <w:rFonts w:ascii="Arial Narrow"/>
                <w:sz w:val="11"/>
              </w:rPr>
              <w:t>629,000.00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8" w:right="0"/>
              <w:jc w:val="center"/>
              <w:rPr>
                <w:rFonts w:ascii="Arial Narrow" w:hAnsi="Arial Narrow" w:cs="Arial Narrow" w:eastAsia="Arial Narrow" w:hint="default"/>
                <w:sz w:val="11"/>
                <w:szCs w:val="11"/>
              </w:rPr>
            </w:pPr>
            <w:r>
              <w:rPr>
                <w:rFonts w:ascii="Arial Narrow"/>
                <w:sz w:val="11"/>
              </w:rPr>
              <w:t>1,528,392,850.80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Arial Narrow" w:hAnsi="Arial Narrow" w:cs="Arial Narrow" w:eastAsia="Arial Narrow" w:hint="default"/>
                <w:sz w:val="11"/>
                <w:szCs w:val="11"/>
              </w:rPr>
            </w:pPr>
            <w:r>
              <w:rPr>
                <w:rFonts w:ascii="Arial Narrow"/>
                <w:spacing w:val="-1"/>
                <w:sz w:val="11"/>
              </w:rPr>
              <w:t>358,281,419.34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Arial Narrow" w:hAnsi="Arial Narrow" w:cs="Arial Narrow" w:eastAsia="Arial Narrow" w:hint="default"/>
                <w:sz w:val="11"/>
                <w:szCs w:val="11"/>
              </w:rPr>
            </w:pPr>
            <w:r>
              <w:rPr>
                <w:rFonts w:ascii="Arial Narrow"/>
                <w:spacing w:val="-1"/>
                <w:sz w:val="11"/>
              </w:rPr>
              <w:t>50,148,254.20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4"/>
              <w:jc w:val="right"/>
              <w:rPr>
                <w:rFonts w:ascii="Arial Narrow" w:hAnsi="Arial Narrow" w:cs="Arial Narrow" w:eastAsia="Arial Narrow" w:hint="default"/>
                <w:sz w:val="11"/>
                <w:szCs w:val="11"/>
              </w:rPr>
            </w:pPr>
            <w:r>
              <w:rPr>
                <w:rFonts w:ascii="Arial Narrow"/>
                <w:spacing w:val="-1"/>
                <w:sz w:val="11"/>
              </w:rPr>
              <w:t>408,429,673.54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4" w:right="0"/>
              <w:jc w:val="left"/>
              <w:rPr>
                <w:rFonts w:ascii="Arial Narrow" w:hAnsi="Arial Narrow" w:cs="Arial Narrow" w:eastAsia="Arial Narrow" w:hint="default"/>
                <w:sz w:val="11"/>
                <w:szCs w:val="11"/>
              </w:rPr>
            </w:pPr>
            <w:r>
              <w:rPr>
                <w:rFonts w:ascii="Arial Narrow"/>
                <w:sz w:val="11"/>
              </w:rPr>
              <w:t>490,945,067.06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0" w:right="0"/>
              <w:jc w:val="left"/>
              <w:rPr>
                <w:rFonts w:ascii="Arial Narrow" w:hAnsi="Arial Narrow" w:cs="Arial Narrow" w:eastAsia="Arial Narrow" w:hint="default"/>
                <w:sz w:val="11"/>
                <w:szCs w:val="11"/>
              </w:rPr>
            </w:pPr>
            <w:r>
              <w:rPr>
                <w:rFonts w:ascii="Arial Narrow"/>
                <w:sz w:val="11"/>
              </w:rPr>
              <w:t>629,000.00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7" w:right="0"/>
              <w:jc w:val="center"/>
              <w:rPr>
                <w:rFonts w:ascii="Arial Narrow" w:hAnsi="Arial Narrow" w:cs="Arial Narrow" w:eastAsia="Arial Narrow" w:hint="default"/>
                <w:sz w:val="11"/>
                <w:szCs w:val="11"/>
              </w:rPr>
            </w:pPr>
            <w:r>
              <w:rPr>
                <w:rFonts w:ascii="Arial Narrow"/>
                <w:sz w:val="11"/>
              </w:rPr>
              <w:t>491,574,067.06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424" w:type="dxa"/>
        <w:tblLayout w:type="fixed"/>
        <w:tblCellMar>
          <w:top w:w="0" w:type="dxa"/>
          <w:left w:w="0" w:type="dxa"/>
          <w:bottom w:w="0" w:type="dxa"/>
          <w:right w:w="0" w:type="dxa"/>
        </w:tblCellMar>
        <w:tblLook w:val="01E0"/>
      </w:tblPr>
      <w:tblGrid>
        <w:gridCol w:w="1100"/>
        <w:gridCol w:w="1262"/>
        <w:gridCol w:w="1049"/>
        <w:gridCol w:w="1046"/>
        <w:gridCol w:w="1126"/>
        <w:gridCol w:w="1262"/>
        <w:gridCol w:w="1123"/>
        <w:gridCol w:w="1121"/>
        <w:gridCol w:w="1200"/>
      </w:tblGrid>
      <w:tr>
        <w:trPr>
          <w:trHeight w:val="250" w:hRule="exact"/>
        </w:trPr>
        <w:tc>
          <w:tcPr>
            <w:tcW w:w="11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53" w:right="0"/>
              <w:jc w:val="left"/>
              <w:rPr>
                <w:rFonts w:ascii="宋体" w:hAnsi="宋体" w:cs="宋体" w:eastAsia="宋体" w:hint="default"/>
                <w:sz w:val="16"/>
                <w:szCs w:val="16"/>
              </w:rPr>
            </w:pPr>
            <w:r>
              <w:rPr>
                <w:rFonts w:ascii="宋体" w:hAnsi="宋体" w:cs="宋体" w:eastAsia="宋体" w:hint="default"/>
                <w:sz w:val="16"/>
                <w:szCs w:val="16"/>
              </w:rPr>
              <w:t>子公司名称</w:t>
            </w:r>
          </w:p>
        </w:tc>
        <w:tc>
          <w:tcPr>
            <w:tcW w:w="4484" w:type="dxa"/>
            <w:gridSpan w:val="4"/>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3" w:right="0"/>
              <w:jc w:val="center"/>
              <w:rPr>
                <w:rFonts w:ascii="宋体" w:hAnsi="宋体" w:cs="宋体" w:eastAsia="宋体" w:hint="default"/>
                <w:sz w:val="16"/>
                <w:szCs w:val="16"/>
              </w:rPr>
            </w:pPr>
            <w:r>
              <w:rPr>
                <w:rFonts w:ascii="宋体" w:hAnsi="宋体" w:cs="宋体" w:eastAsia="宋体" w:hint="default"/>
                <w:sz w:val="16"/>
                <w:szCs w:val="16"/>
              </w:rPr>
              <w:t>本期发生额</w:t>
            </w:r>
          </w:p>
        </w:tc>
        <w:tc>
          <w:tcPr>
            <w:tcW w:w="4707" w:type="dxa"/>
            <w:gridSpan w:val="4"/>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1" w:right="0"/>
              <w:jc w:val="center"/>
              <w:rPr>
                <w:rFonts w:ascii="宋体" w:hAnsi="宋体" w:cs="宋体" w:eastAsia="宋体" w:hint="default"/>
                <w:sz w:val="16"/>
                <w:szCs w:val="16"/>
              </w:rPr>
            </w:pPr>
            <w:r>
              <w:rPr>
                <w:rFonts w:ascii="宋体" w:hAnsi="宋体" w:cs="宋体" w:eastAsia="宋体" w:hint="default"/>
                <w:sz w:val="16"/>
                <w:szCs w:val="16"/>
              </w:rPr>
              <w:t>上期发生额</w:t>
            </w:r>
          </w:p>
        </w:tc>
      </w:tr>
      <w:tr>
        <w:trPr>
          <w:trHeight w:val="487" w:hRule="exact"/>
        </w:trPr>
        <w:tc>
          <w:tcPr>
            <w:tcW w:w="1100"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4"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6"/>
                <w:szCs w:val="16"/>
              </w:rPr>
            </w:pPr>
            <w:r>
              <w:rPr>
                <w:rFonts w:ascii="宋体" w:hAnsi="宋体" w:cs="宋体" w:eastAsia="宋体" w:hint="default"/>
                <w:sz w:val="16"/>
                <w:szCs w:val="16"/>
              </w:rPr>
              <w:t>净利润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综合收益总</w:t>
            </w:r>
          </w:p>
          <w:p>
            <w:pPr>
              <w:pStyle w:val="TableParagraph"/>
              <w:spacing w:line="240" w:lineRule="auto" w:before="30"/>
              <w:ind w:right="0"/>
              <w:jc w:val="center"/>
              <w:rPr>
                <w:rFonts w:ascii="宋体" w:hAnsi="宋体" w:cs="宋体" w:eastAsia="宋体" w:hint="default"/>
                <w:sz w:val="16"/>
                <w:szCs w:val="16"/>
              </w:rPr>
            </w:pPr>
            <w:r>
              <w:rPr>
                <w:rFonts w:ascii="宋体" w:hAnsi="宋体" w:cs="宋体" w:eastAsia="宋体" w:hint="default"/>
                <w:w w:val="100"/>
                <w:sz w:val="16"/>
                <w:szCs w:val="16"/>
              </w:rPr>
              <w:t>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经营活动现</w:t>
            </w:r>
          </w:p>
          <w:p>
            <w:pPr>
              <w:pStyle w:val="TableParagraph"/>
              <w:spacing w:line="240" w:lineRule="auto" w:before="30"/>
              <w:ind w:right="0"/>
              <w:jc w:val="center"/>
              <w:rPr>
                <w:rFonts w:ascii="宋体" w:hAnsi="宋体" w:cs="宋体" w:eastAsia="宋体" w:hint="default"/>
                <w:sz w:val="16"/>
                <w:szCs w:val="16"/>
              </w:rPr>
            </w:pPr>
            <w:r>
              <w:rPr>
                <w:rFonts w:ascii="宋体" w:hAnsi="宋体" w:cs="宋体" w:eastAsia="宋体" w:hint="default"/>
                <w:sz w:val="16"/>
                <w:szCs w:val="16"/>
              </w:rPr>
              <w:t>金流量</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4"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16"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 w:right="0"/>
              <w:jc w:val="center"/>
              <w:rPr>
                <w:rFonts w:ascii="宋体" w:hAnsi="宋体" w:cs="宋体" w:eastAsia="宋体" w:hint="default"/>
                <w:sz w:val="16"/>
                <w:szCs w:val="16"/>
              </w:rPr>
            </w:pPr>
            <w:r>
              <w:rPr>
                <w:rFonts w:ascii="宋体" w:hAnsi="宋体" w:cs="宋体" w:eastAsia="宋体" w:hint="default"/>
                <w:sz w:val="16"/>
                <w:szCs w:val="16"/>
              </w:rPr>
              <w:t>综合收益总</w:t>
            </w:r>
          </w:p>
          <w:p>
            <w:pPr>
              <w:pStyle w:val="TableParagraph"/>
              <w:spacing w:line="240" w:lineRule="auto" w:before="30"/>
              <w:ind w:right="0"/>
              <w:jc w:val="center"/>
              <w:rPr>
                <w:rFonts w:ascii="宋体" w:hAnsi="宋体" w:cs="宋体" w:eastAsia="宋体" w:hint="default"/>
                <w:sz w:val="16"/>
                <w:szCs w:val="16"/>
              </w:rPr>
            </w:pPr>
            <w:r>
              <w:rPr>
                <w:rFonts w:ascii="宋体" w:hAnsi="宋体" w:cs="宋体" w:eastAsia="宋体" w:hint="default"/>
                <w:w w:val="100"/>
                <w:sz w:val="16"/>
                <w:szCs w:val="16"/>
              </w:rPr>
              <w:t>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 w:right="0"/>
              <w:jc w:val="center"/>
              <w:rPr>
                <w:rFonts w:ascii="宋体" w:hAnsi="宋体" w:cs="宋体" w:eastAsia="宋体" w:hint="default"/>
                <w:sz w:val="16"/>
                <w:szCs w:val="16"/>
              </w:rPr>
            </w:pPr>
            <w:r>
              <w:rPr>
                <w:rFonts w:ascii="宋体" w:hAnsi="宋体" w:cs="宋体" w:eastAsia="宋体" w:hint="default"/>
                <w:sz w:val="16"/>
                <w:szCs w:val="16"/>
              </w:rPr>
              <w:t>经营活动现金</w:t>
            </w:r>
          </w:p>
          <w:p>
            <w:pPr>
              <w:pStyle w:val="TableParagraph"/>
              <w:spacing w:line="240" w:lineRule="auto" w:before="30"/>
              <w:ind w:right="0"/>
              <w:jc w:val="center"/>
              <w:rPr>
                <w:rFonts w:ascii="宋体" w:hAnsi="宋体" w:cs="宋体" w:eastAsia="宋体" w:hint="default"/>
                <w:sz w:val="16"/>
                <w:szCs w:val="16"/>
              </w:rPr>
            </w:pPr>
            <w:r>
              <w:rPr>
                <w:rFonts w:ascii="宋体" w:hAnsi="宋体" w:cs="宋体" w:eastAsia="宋体" w:hint="default"/>
                <w:sz w:val="16"/>
                <w:szCs w:val="16"/>
              </w:rPr>
              <w:t>流量</w:t>
            </w:r>
          </w:p>
        </w:tc>
      </w:tr>
      <w:tr>
        <w:trPr>
          <w:trHeight w:val="25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北京商超</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Narrow" w:hAnsi="Arial Narrow" w:cs="Arial Narrow" w:eastAsia="Arial Narrow" w:hint="default"/>
                <w:sz w:val="16"/>
                <w:szCs w:val="16"/>
              </w:rPr>
            </w:pPr>
            <w:r>
              <w:rPr>
                <w:rFonts w:ascii="Arial Narrow"/>
                <w:spacing w:val="-1"/>
                <w:sz w:val="16"/>
              </w:rPr>
              <w:t>148,790,238.83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 w:right="0"/>
              <w:jc w:val="center"/>
              <w:rPr>
                <w:rFonts w:ascii="Arial Narrow" w:hAnsi="Arial Narrow" w:cs="Arial Narrow" w:eastAsia="Arial Narrow" w:hint="default"/>
                <w:sz w:val="16"/>
                <w:szCs w:val="16"/>
              </w:rPr>
            </w:pPr>
            <w:r>
              <w:rPr>
                <w:rFonts w:ascii="Arial Narrow"/>
                <w:sz w:val="16"/>
              </w:rPr>
              <w:t>-9,218,098.25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4" w:right="0"/>
              <w:jc w:val="left"/>
              <w:rPr>
                <w:rFonts w:ascii="Arial Narrow" w:hAnsi="Arial Narrow" w:cs="Arial Narrow" w:eastAsia="Arial Narrow" w:hint="default"/>
                <w:sz w:val="16"/>
                <w:szCs w:val="16"/>
              </w:rPr>
            </w:pPr>
            <w:r>
              <w:rPr>
                <w:rFonts w:ascii="Arial Narrow"/>
                <w:sz w:val="16"/>
              </w:rPr>
              <w:t>-9,218,098.25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Arial Narrow" w:hAnsi="Arial Narrow" w:cs="Arial Narrow" w:eastAsia="Arial Narrow" w:hint="default"/>
                <w:sz w:val="16"/>
                <w:szCs w:val="16"/>
              </w:rPr>
            </w:pPr>
            <w:r>
              <w:rPr>
                <w:rFonts w:ascii="Arial Narrow"/>
                <w:spacing w:val="-1"/>
                <w:sz w:val="16"/>
              </w:rPr>
              <w:t>308,675.03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Narrow" w:hAnsi="Arial Narrow" w:cs="Arial Narrow" w:eastAsia="Arial Narrow" w:hint="default"/>
                <w:sz w:val="16"/>
                <w:szCs w:val="16"/>
              </w:rPr>
            </w:pPr>
            <w:r>
              <w:rPr>
                <w:rFonts w:ascii="Arial Narrow"/>
                <w:spacing w:val="-1"/>
                <w:sz w:val="16"/>
              </w:rPr>
              <w:t>169,369,393.98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Narrow" w:hAnsi="Arial Narrow" w:cs="Arial Narrow" w:eastAsia="Arial Narrow" w:hint="default"/>
                <w:sz w:val="16"/>
                <w:szCs w:val="16"/>
              </w:rPr>
            </w:pPr>
            <w:r>
              <w:rPr>
                <w:rFonts w:ascii="Arial Narrow"/>
                <w:spacing w:val="-1"/>
                <w:sz w:val="16"/>
              </w:rPr>
              <w:t>-9,246,529.14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7"/>
              <w:jc w:val="right"/>
              <w:rPr>
                <w:rFonts w:ascii="Arial Narrow" w:hAnsi="Arial Narrow" w:cs="Arial Narrow" w:eastAsia="Arial Narrow" w:hint="default"/>
                <w:sz w:val="16"/>
                <w:szCs w:val="16"/>
              </w:rPr>
            </w:pPr>
            <w:r>
              <w:rPr>
                <w:rFonts w:ascii="Arial Narrow"/>
                <w:spacing w:val="-1"/>
                <w:sz w:val="16"/>
              </w:rPr>
              <w:t>-9,246,529.14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Narrow" w:hAnsi="Arial Narrow" w:cs="Arial Narrow" w:eastAsia="Arial Narrow" w:hint="default"/>
                <w:sz w:val="16"/>
                <w:szCs w:val="16"/>
              </w:rPr>
            </w:pPr>
            <w:r>
              <w:rPr>
                <w:rFonts w:ascii="Arial Narrow"/>
                <w:spacing w:val="-1"/>
                <w:sz w:val="16"/>
              </w:rPr>
              <w:t>-2,666,392.61</w:t>
            </w:r>
          </w:p>
        </w:tc>
      </w:tr>
      <w:tr>
        <w:trPr>
          <w:trHeight w:val="247"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文轩在线</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Narrow" w:hAnsi="Arial Narrow" w:cs="Arial Narrow" w:eastAsia="Arial Narrow" w:hint="default"/>
                <w:sz w:val="16"/>
                <w:szCs w:val="16"/>
              </w:rPr>
            </w:pPr>
            <w:r>
              <w:rPr>
                <w:rFonts w:ascii="Arial Narrow"/>
                <w:spacing w:val="-1"/>
                <w:sz w:val="16"/>
              </w:rPr>
              <w:t>1,626,346,146.77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3" w:right="0"/>
              <w:jc w:val="center"/>
              <w:rPr>
                <w:rFonts w:ascii="Arial Narrow" w:hAnsi="Arial Narrow" w:cs="Arial Narrow" w:eastAsia="Arial Narrow" w:hint="default"/>
                <w:sz w:val="16"/>
                <w:szCs w:val="16"/>
              </w:rPr>
            </w:pPr>
            <w:r>
              <w:rPr>
                <w:rFonts w:ascii="Arial Narrow"/>
                <w:sz w:val="16"/>
              </w:rPr>
              <w:t>3,487,778.71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8" w:right="0"/>
              <w:jc w:val="left"/>
              <w:rPr>
                <w:rFonts w:ascii="Arial Narrow" w:hAnsi="Arial Narrow" w:cs="Arial Narrow" w:eastAsia="Arial Narrow" w:hint="default"/>
                <w:sz w:val="16"/>
                <w:szCs w:val="16"/>
              </w:rPr>
            </w:pPr>
            <w:r>
              <w:rPr>
                <w:rFonts w:ascii="Arial Narrow"/>
                <w:sz w:val="16"/>
              </w:rPr>
              <w:t>3,487,778.71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Arial Narrow" w:hAnsi="Arial Narrow" w:cs="Arial Narrow" w:eastAsia="Arial Narrow" w:hint="default"/>
                <w:sz w:val="16"/>
                <w:szCs w:val="16"/>
              </w:rPr>
            </w:pPr>
            <w:r>
              <w:rPr>
                <w:rFonts w:ascii="Arial Narrow"/>
                <w:spacing w:val="-1"/>
                <w:sz w:val="16"/>
              </w:rPr>
              <w:t>-49,485,660.35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Narrow" w:hAnsi="Arial Narrow" w:cs="Arial Narrow" w:eastAsia="Arial Narrow" w:hint="default"/>
                <w:sz w:val="16"/>
                <w:szCs w:val="16"/>
              </w:rPr>
            </w:pPr>
            <w:r>
              <w:rPr>
                <w:rFonts w:ascii="Arial Narrow"/>
                <w:spacing w:val="-1"/>
                <w:sz w:val="16"/>
              </w:rPr>
              <w:t>1,182,365,468.47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Narrow" w:hAnsi="Arial Narrow" w:cs="Arial Narrow" w:eastAsia="Arial Narrow" w:hint="default"/>
                <w:sz w:val="16"/>
                <w:szCs w:val="16"/>
              </w:rPr>
            </w:pPr>
            <w:r>
              <w:rPr>
                <w:rFonts w:ascii="Arial Narrow"/>
                <w:spacing w:val="-1"/>
                <w:sz w:val="16"/>
              </w:rPr>
              <w:t>-14,072,014.05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7"/>
              <w:jc w:val="right"/>
              <w:rPr>
                <w:rFonts w:ascii="Arial Narrow" w:hAnsi="Arial Narrow" w:cs="Arial Narrow" w:eastAsia="Arial Narrow" w:hint="default"/>
                <w:sz w:val="16"/>
                <w:szCs w:val="16"/>
              </w:rPr>
            </w:pPr>
            <w:r>
              <w:rPr>
                <w:rFonts w:ascii="Arial Narrow"/>
                <w:spacing w:val="-1"/>
                <w:sz w:val="16"/>
              </w:rPr>
              <w:t>-14,072,014.05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Narrow" w:hAnsi="Arial Narrow" w:cs="Arial Narrow" w:eastAsia="Arial Narrow" w:hint="default"/>
                <w:sz w:val="16"/>
                <w:szCs w:val="16"/>
              </w:rPr>
            </w:pPr>
            <w:r>
              <w:rPr>
                <w:rFonts w:ascii="Arial Narrow"/>
                <w:spacing w:val="-1"/>
                <w:sz w:val="16"/>
              </w:rPr>
              <w:t>-110,461,860.22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1060" w:right="1050"/>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8"/>
        <w:ind w:left="1060" w:right="105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060" w:right="1050"/>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tabs>
          <w:tab w:pos="1902" w:val="left" w:leader="none"/>
        </w:tabs>
        <w:spacing w:line="240" w:lineRule="auto" w:before="56"/>
        <w:ind w:left="1060" w:right="1050"/>
        <w:jc w:val="left"/>
      </w:pPr>
      <w:r>
        <w:rPr/>
        <w:t>□适用</w:t>
        <w:tab/>
        <w:t>√不适用</w:t>
      </w:r>
    </w:p>
    <w:p>
      <w:pPr>
        <w:spacing w:line="240" w:lineRule="auto" w:before="8"/>
        <w:rPr>
          <w:rFonts w:ascii="宋体" w:hAnsi="宋体" w:cs="宋体" w:eastAsia="宋体" w:hint="default"/>
          <w:sz w:val="20"/>
          <w:szCs w:val="20"/>
        </w:rPr>
      </w:pPr>
    </w:p>
    <w:p>
      <w:pPr>
        <w:pStyle w:val="BodyText"/>
        <w:spacing w:line="274" w:lineRule="exact"/>
        <w:ind w:left="1060" w:right="1050"/>
        <w:jc w:val="left"/>
      </w:pPr>
      <w:r>
        <w:rPr/>
        <w:t>其他说明：</w:t>
      </w:r>
    </w:p>
    <w:p>
      <w:pPr>
        <w:pStyle w:val="BodyText"/>
        <w:spacing w:line="274" w:lineRule="exact"/>
        <w:ind w:left="1060" w:right="105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060" w:right="105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2" w:lineRule="auto" w:before="56"/>
        <w:ind w:left="1060" w:right="563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tabs>
          <w:tab w:pos="1902" w:val="left" w:leader="none"/>
        </w:tabs>
        <w:spacing w:line="274" w:lineRule="exact" w:before="10"/>
        <w:ind w:left="1060" w:right="1050"/>
        <w:jc w:val="left"/>
      </w:pPr>
      <w:r>
        <w:rPr/>
        <w:t>√适用</w:t>
        <w:tab/>
        <w:t>□不适用</w:t>
      </w:r>
    </w:p>
    <w:p>
      <w:pPr>
        <w:pStyle w:val="BodyText"/>
        <w:spacing w:line="355" w:lineRule="auto"/>
        <w:ind w:left="1060" w:right="1050" w:firstLine="424"/>
        <w:jc w:val="left"/>
      </w:pPr>
      <w:r>
        <w:rPr/>
        <w:t>文轩传媒原系本公司持股</w:t>
      </w:r>
      <w:r>
        <w:rPr>
          <w:spacing w:val="-26"/>
        </w:rPr>
        <w:t> </w:t>
      </w:r>
      <w:r>
        <w:rPr>
          <w:rFonts w:ascii="宋体" w:hAnsi="宋体" w:cs="宋体" w:eastAsia="宋体" w:hint="default"/>
        </w:rPr>
        <w:t>70%</w:t>
      </w:r>
      <w:r>
        <w:rPr/>
        <w:t>的子公司，另外</w:t>
      </w:r>
      <w:r>
        <w:rPr>
          <w:spacing w:val="-24"/>
        </w:rPr>
        <w:t> </w:t>
      </w:r>
      <w:r>
        <w:rPr>
          <w:rFonts w:ascii="宋体" w:hAnsi="宋体" w:cs="宋体" w:eastAsia="宋体" w:hint="default"/>
        </w:rPr>
        <w:t>30%</w:t>
      </w:r>
      <w:r>
        <w:rPr/>
        <w:t>的股权由四川青年报社持有。于</w:t>
      </w:r>
      <w:r>
        <w:rPr>
          <w:spacing w:val="-23"/>
        </w:rPr>
        <w:t> </w:t>
      </w:r>
      <w:r>
        <w:rPr>
          <w:rFonts w:ascii="宋体" w:hAnsi="宋体" w:cs="宋体" w:eastAsia="宋体" w:hint="default"/>
        </w:rPr>
        <w:t>2018</w:t>
      </w:r>
      <w:r>
        <w:rPr>
          <w:rFonts w:ascii="宋体" w:hAnsi="宋体" w:cs="宋体" w:eastAsia="宋体" w:hint="default"/>
          <w:spacing w:val="-24"/>
        </w:rPr>
        <w:t> </w:t>
      </w:r>
      <w:r>
        <w:rPr/>
        <w:t>年</w:t>
      </w:r>
      <w:r>
        <w:rPr>
          <w:spacing w:val="-26"/>
        </w:rPr>
        <w:t> </w:t>
      </w:r>
      <w:r>
        <w:rPr>
          <w:rFonts w:ascii="宋体" w:hAnsi="宋体" w:cs="宋体" w:eastAsia="宋体" w:hint="default"/>
        </w:rPr>
        <w:t>12</w:t>
      </w:r>
      <w:r>
        <w:rPr>
          <w:rFonts w:ascii="宋体" w:hAnsi="宋体" w:cs="宋体" w:eastAsia="宋体" w:hint="default"/>
          <w:w w:val="100"/>
        </w:rPr>
        <w:t> </w:t>
      </w:r>
      <w:r>
        <w:rPr>
          <w:spacing w:val="-2"/>
        </w:rPr>
        <w:t>月，四川青年报社完成减资，减资完成后文轩传媒成为本公司持股</w:t>
      </w:r>
      <w:r>
        <w:rPr>
          <w:spacing w:val="17"/>
        </w:rPr>
        <w:t> </w:t>
      </w:r>
      <w:r>
        <w:rPr>
          <w:rFonts w:ascii="宋体" w:hAnsi="宋体" w:cs="宋体" w:eastAsia="宋体" w:hint="default"/>
          <w:spacing w:val="-2"/>
        </w:rPr>
        <w:t>100%</w:t>
      </w:r>
      <w:r>
        <w:rPr>
          <w:spacing w:val="-2"/>
        </w:rPr>
        <w:t>的子公司。</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380" w:right="380"/>
        </w:sectPr>
      </w:pPr>
    </w:p>
    <w:p>
      <w:pPr>
        <w:pStyle w:val="Heading2"/>
        <w:spacing w:line="240" w:lineRule="auto" w:before="36"/>
        <w:ind w:left="1060" w:right="0"/>
        <w:jc w:val="left"/>
        <w:rPr>
          <w:b w:val="0"/>
          <w:bCs w:val="0"/>
        </w:rPr>
      </w:pPr>
      <w:r>
        <w:rPr>
          <w:rFonts w:ascii="宋体" w:hAnsi="宋体" w:cs="宋体" w:eastAsia="宋体" w:hint="default"/>
          <w:spacing w:val="-1"/>
        </w:rPr>
        <w:t>(2).</w:t>
      </w:r>
      <w:r>
        <w:rPr>
          <w:spacing w:val="-1"/>
        </w:rPr>
        <w:t>交易对于少数股东权益及归属于母公司所有者权益的影响</w:t>
      </w:r>
      <w:r>
        <w:rPr>
          <w:b w:val="0"/>
          <w:bCs w:val="0"/>
          <w:spacing w:val="-1"/>
        </w:rPr>
      </w:r>
    </w:p>
    <w:p>
      <w:pPr>
        <w:pStyle w:val="BodyText"/>
        <w:tabs>
          <w:tab w:pos="1902" w:val="left" w:leader="none"/>
        </w:tabs>
        <w:spacing w:line="240" w:lineRule="auto" w:before="56"/>
        <w:ind w:left="106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2006" w:val="left" w:leader="none"/>
        </w:tabs>
        <w:spacing w:line="240" w:lineRule="auto"/>
        <w:ind w:left="106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380" w:right="380"/>
          <w:cols w:num="2" w:equalWidth="0">
            <w:col w:w="6756" w:space="171"/>
            <w:col w:w="4223"/>
          </w:cols>
        </w:sectPr>
      </w:pPr>
    </w:p>
    <w:p>
      <w:pPr>
        <w:spacing w:line="240" w:lineRule="auto" w:before="7"/>
        <w:rPr>
          <w:rFonts w:ascii="宋体" w:hAnsi="宋体" w:cs="宋体" w:eastAsia="宋体" w:hint="default"/>
          <w:sz w:val="2"/>
          <w:szCs w:val="2"/>
        </w:rPr>
      </w:pPr>
    </w:p>
    <w:tbl>
      <w:tblPr>
        <w:tblW w:w="0" w:type="auto"/>
        <w:jc w:val="left"/>
        <w:tblInd w:w="947" w:type="dxa"/>
        <w:tblLayout w:type="fixed"/>
        <w:tblCellMar>
          <w:top w:w="0" w:type="dxa"/>
          <w:left w:w="0" w:type="dxa"/>
          <w:bottom w:w="0" w:type="dxa"/>
          <w:right w:w="0" w:type="dxa"/>
        </w:tblCellMar>
        <w:tblLook w:val="01E0"/>
      </w:tblPr>
      <w:tblGrid>
        <w:gridCol w:w="5612"/>
        <w:gridCol w:w="3632"/>
      </w:tblGrid>
      <w:tr>
        <w:trPr>
          <w:trHeight w:val="283" w:hRule="exact"/>
        </w:trPr>
        <w:tc>
          <w:tcPr>
            <w:tcW w:w="5612"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hAnsi="宋体" w:cs="宋体" w:eastAsia="宋体" w:hint="default"/>
                <w:sz w:val="21"/>
                <w:szCs w:val="21"/>
              </w:rPr>
              <w:t>文轩传媒公司</w:t>
            </w:r>
          </w:p>
        </w:tc>
      </w:tr>
      <w:tr>
        <w:trPr>
          <w:trHeight w:val="281"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36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6" w:right="0"/>
              <w:jc w:val="left"/>
              <w:rPr>
                <w:rFonts w:ascii="宋体" w:hAnsi="宋体" w:cs="宋体" w:eastAsia="宋体" w:hint="default"/>
                <w:sz w:val="21"/>
                <w:szCs w:val="21"/>
              </w:rPr>
            </w:pPr>
            <w:r>
              <w:rPr>
                <w:rFonts w:ascii="宋体"/>
                <w:sz w:val="21"/>
              </w:rPr>
              <w:t>3,478,830.00</w:t>
            </w:r>
          </w:p>
        </w:tc>
      </w:tr>
    </w:tbl>
    <w:p>
      <w:pPr>
        <w:spacing w:after="0" w:line="241" w:lineRule="exact"/>
        <w:jc w:val="left"/>
        <w:rPr>
          <w:rFonts w:ascii="宋体" w:hAnsi="宋体" w:cs="宋体" w:eastAsia="宋体" w:hint="default"/>
          <w:sz w:val="21"/>
          <w:szCs w:val="21"/>
        </w:rPr>
        <w:sectPr>
          <w:type w:val="continuous"/>
          <w:pgSz w:w="11910" w:h="16840"/>
          <w:pgMar w:top="1060" w:bottom="1380" w:left="380" w:right="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5612"/>
        <w:gridCol w:w="3632"/>
      </w:tblGrid>
      <w:tr>
        <w:trPr>
          <w:trHeight w:val="281"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3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3,478,830.00</w:t>
            </w:r>
          </w:p>
        </w:tc>
      </w:tr>
      <w:tr>
        <w:trPr>
          <w:trHeight w:val="283"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处置的股权比例计算的子公司净资产份额</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3,415,911.50</w:t>
            </w:r>
          </w:p>
        </w:tc>
      </w:tr>
      <w:tr>
        <w:trPr>
          <w:trHeight w:val="281"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62,918.5</w:t>
            </w:r>
          </w:p>
        </w:tc>
      </w:tr>
      <w:tr>
        <w:trPr>
          <w:trHeight w:val="283"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62,918.5</w:t>
            </w:r>
          </w:p>
        </w:tc>
      </w:tr>
    </w:tbl>
    <w:p>
      <w:pPr>
        <w:spacing w:line="240" w:lineRule="auto" w:before="7"/>
        <w:rPr>
          <w:rFonts w:ascii="宋体" w:hAnsi="宋体" w:cs="宋体" w:eastAsia="宋体" w:hint="default"/>
          <w:sz w:val="15"/>
          <w:szCs w:val="15"/>
        </w:rPr>
      </w:pPr>
    </w:p>
    <w:p>
      <w:pPr>
        <w:pStyle w:val="BodyText"/>
        <w:spacing w:line="273" w:lineRule="exact" w:before="36"/>
        <w:ind w:right="123"/>
        <w:jc w:val="left"/>
      </w:pPr>
      <w:r>
        <w:rPr/>
        <w:t>其他说明</w:t>
      </w:r>
    </w:p>
    <w:p>
      <w:pPr>
        <w:pStyle w:val="BodyText"/>
        <w:spacing w:line="273" w:lineRule="exact"/>
        <w:ind w:right="1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20" w:right="1200"/>
        </w:sectPr>
      </w:pPr>
    </w:p>
    <w:p>
      <w:pPr>
        <w:pStyle w:val="Heading2"/>
        <w:spacing w:line="240" w:lineRule="auto" w:before="36"/>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tabs>
          <w:tab w:pos="1165" w:val="left" w:leader="none"/>
        </w:tabs>
        <w:spacing w:line="290" w:lineRule="auto" w:before="59"/>
        <w:ind w:left="220" w:right="415"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1165" w:val="left" w:leader="none"/>
        </w:tabs>
        <w:spacing w:line="240" w:lineRule="auto" w:before="12"/>
        <w:ind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166"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220" w:right="1200"/>
          <w:cols w:num="2" w:equalWidth="0">
            <w:col w:w="3593" w:space="3334"/>
            <w:col w:w="2563"/>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956"/>
        <w:gridCol w:w="989"/>
        <w:gridCol w:w="929"/>
        <w:gridCol w:w="2045"/>
        <w:gridCol w:w="710"/>
        <w:gridCol w:w="766"/>
        <w:gridCol w:w="1849"/>
      </w:tblGrid>
      <w:tr>
        <w:trPr>
          <w:trHeight w:val="463" w:hRule="exact"/>
        </w:trPr>
        <w:tc>
          <w:tcPr>
            <w:tcW w:w="1956" w:type="dxa"/>
            <w:vMerge w:val="restart"/>
            <w:tcBorders>
              <w:top w:val="single" w:sz="4" w:space="0" w:color="000000"/>
              <w:left w:val="single" w:sz="4" w:space="0" w:color="000000"/>
              <w:right w:val="single" w:sz="4" w:space="0" w:color="000000"/>
            </w:tcBorders>
          </w:tcPr>
          <w:p>
            <w:pPr>
              <w:pStyle w:val="TableParagraph"/>
              <w:spacing w:line="240" w:lineRule="auto" w:before="102"/>
              <w:ind w:left="657" w:right="129" w:hanging="526"/>
              <w:jc w:val="left"/>
              <w:rPr>
                <w:rFonts w:ascii="宋体" w:hAnsi="宋体" w:cs="宋体" w:eastAsia="宋体" w:hint="default"/>
                <w:sz w:val="21"/>
                <w:szCs w:val="21"/>
              </w:rPr>
            </w:pPr>
            <w:r>
              <w:rPr>
                <w:rFonts w:ascii="宋体" w:hAnsi="宋体" w:cs="宋体" w:eastAsia="宋体" w:hint="default"/>
                <w:sz w:val="21"/>
                <w:szCs w:val="21"/>
              </w:rPr>
              <w:t>合营企业或联营企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102"/>
              <w:ind w:left="278" w:right="171"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04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55"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49" w:type="dxa"/>
            <w:vMerge w:val="restart"/>
            <w:tcBorders>
              <w:top w:val="single" w:sz="4" w:space="0" w:color="000000"/>
              <w:left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94" w:right="180"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956"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2045"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7"/>
              <w:jc w:val="right"/>
              <w:rPr>
                <w:rFonts w:ascii="宋体" w:hAnsi="宋体" w:cs="宋体" w:eastAsia="宋体" w:hint="default"/>
                <w:sz w:val="21"/>
                <w:szCs w:val="21"/>
              </w:rPr>
            </w:pPr>
            <w:r>
              <w:rPr>
                <w:rFonts w:ascii="宋体" w:hAnsi="宋体" w:cs="宋体" w:eastAsia="宋体" w:hint="default"/>
                <w:sz w:val="21"/>
                <w:szCs w:val="21"/>
              </w:rPr>
              <w:t>直接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6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49" w:type="dxa"/>
            <w:vMerge/>
            <w:tcBorders>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海南出版社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海口</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海口</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c>
          <w:tcPr>
            <w:tcW w:w="766"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人民东方</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图书、期刊、报纸及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电子出版物批发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766"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明博教育科技股份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互联网教育出版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20.4</w:t>
            </w:r>
          </w:p>
        </w:tc>
        <w:tc>
          <w:tcPr>
            <w:tcW w:w="766"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5"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重庆云汉网络传媒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出版物网络批发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c>
          <w:tcPr>
            <w:tcW w:w="766"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四川文轩宝湾供应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链有限公司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物流运输</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w:t>
            </w:r>
          </w:p>
        </w:tc>
        <w:tc>
          <w:tcPr>
            <w:tcW w:w="766"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240" w:lineRule="exact"/>
        <w:ind w:right="123"/>
        <w:jc w:val="left"/>
      </w:pPr>
      <w:r>
        <w:rPr/>
        <w:t>在合营企业或联营企业的持股比例不同于表决权比例的说明：</w:t>
      </w:r>
    </w:p>
    <w:p>
      <w:pPr>
        <w:pStyle w:val="BodyText"/>
        <w:spacing w:line="355" w:lineRule="auto"/>
        <w:ind w:right="123" w:firstLine="424"/>
        <w:jc w:val="left"/>
      </w:pPr>
      <w:r>
        <w:rPr/>
        <w:t>根据重庆云汉网络传媒有限责任公司章程约定，本公司的子公司文轩在线在股东会享有</w:t>
      </w:r>
      <w:r>
        <w:rPr>
          <w:spacing w:val="-12"/>
        </w:rPr>
        <w:t> </w:t>
      </w:r>
      <w:r>
        <w:rPr>
          <w:rFonts w:ascii="宋体" w:hAnsi="宋体" w:cs="宋体" w:eastAsia="宋体" w:hint="default"/>
        </w:rPr>
        <w:t>51%</w:t>
      </w:r>
      <w:r>
        <w:rPr/>
        <w:t>的</w:t>
      </w:r>
      <w:r>
        <w:rPr>
          <w:w w:val="100"/>
        </w:rPr>
        <w:t> </w:t>
      </w:r>
      <w:r>
        <w:rPr/>
        <w:t>表决权，并且股东会对年度财务预算方案、决算方案、利润分配和弥补亏损作出决议时，须经代表</w:t>
      </w:r>
      <w:r>
        <w:rPr>
          <w:w w:val="100"/>
        </w:rPr>
        <w:t> </w:t>
      </w:r>
      <w:r>
        <w:rPr>
          <w:spacing w:val="-4"/>
        </w:rPr>
        <w:t>三分之二以上表决权的股东通过，文轩在线及另外三方股东均不能单独或共同对其实施控制，因此，</w:t>
      </w:r>
      <w:r>
        <w:rPr>
          <w:spacing w:val="-45"/>
        </w:rPr>
        <w:t> </w:t>
      </w:r>
      <w:r>
        <w:rPr>
          <w:spacing w:val="-45"/>
        </w:rPr>
      </w:r>
      <w:r>
        <w:rPr/>
        <w:t>重庆云汉网络传媒有限责任公司为本公司的联营企业。</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72" w:lineRule="exact"/>
        <w:ind w:right="752"/>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220" w:right="1200"/>
        </w:sectPr>
      </w:pPr>
    </w:p>
    <w:p>
      <w:pPr>
        <w:pStyle w:val="Heading2"/>
        <w:spacing w:line="240" w:lineRule="auto" w:before="36"/>
        <w:ind w:right="-1"/>
        <w:jc w:val="left"/>
        <w:rPr>
          <w:b w:val="0"/>
          <w:bCs w:val="0"/>
        </w:rPr>
      </w:pPr>
      <w:r>
        <w:rPr>
          <w:rFonts w:ascii="宋体" w:hAnsi="宋体" w:cs="宋体" w:eastAsia="宋体" w:hint="default"/>
          <w:spacing w:val="-1"/>
        </w:rPr>
        <w:t>(2).</w:t>
      </w:r>
      <w:r>
        <w:rPr>
          <w:spacing w:val="-1"/>
        </w:rPr>
        <w:t>重要合营企业的主要财务信息</w:t>
      </w:r>
      <w:r>
        <w:rPr>
          <w:b w:val="0"/>
          <w:bCs w:val="0"/>
          <w:spacing w:val="-1"/>
        </w:rPr>
      </w:r>
    </w:p>
    <w:p>
      <w:pPr>
        <w:pStyle w:val="BodyText"/>
        <w:tabs>
          <w:tab w:pos="1062" w:val="left" w:leader="none"/>
        </w:tabs>
        <w:spacing w:line="240" w:lineRule="auto" w:before="58"/>
        <w:ind w:right="-1"/>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6"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220" w:right="1200"/>
          <w:cols w:num="2" w:equalWidth="0">
            <w:col w:w="3387" w:space="3541"/>
            <w:col w:w="2562"/>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33"/>
        <w:gridCol w:w="1685"/>
        <w:gridCol w:w="1496"/>
        <w:gridCol w:w="1685"/>
        <w:gridCol w:w="1445"/>
      </w:tblGrid>
      <w:tr>
        <w:trPr>
          <w:trHeight w:val="283" w:hRule="exact"/>
        </w:trPr>
        <w:tc>
          <w:tcPr>
            <w:tcW w:w="2933" w:type="dxa"/>
            <w:vMerge w:val="restart"/>
            <w:tcBorders>
              <w:top w:val="single" w:sz="4" w:space="0" w:color="000000"/>
              <w:left w:val="single" w:sz="4" w:space="0" w:color="000000"/>
              <w:right w:val="single" w:sz="6" w:space="0" w:color="000000"/>
            </w:tcBorders>
          </w:tcPr>
          <w:p>
            <w:pPr/>
          </w:p>
        </w:tc>
        <w:tc>
          <w:tcPr>
            <w:tcW w:w="318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13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上期发生额</w:t>
            </w:r>
          </w:p>
        </w:tc>
      </w:tr>
      <w:tr>
        <w:trPr>
          <w:trHeight w:val="288" w:hRule="exact"/>
        </w:trPr>
        <w:tc>
          <w:tcPr>
            <w:tcW w:w="2933" w:type="dxa"/>
            <w:vMerge/>
            <w:tcBorders>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09" w:right="0"/>
              <w:jc w:val="left"/>
              <w:rPr>
                <w:rFonts w:ascii="宋体" w:hAnsi="宋体" w:cs="宋体" w:eastAsia="宋体" w:hint="default"/>
                <w:sz w:val="21"/>
                <w:szCs w:val="21"/>
              </w:rPr>
            </w:pPr>
            <w:r>
              <w:rPr>
                <w:rFonts w:ascii="宋体" w:hAnsi="宋体" w:cs="宋体" w:eastAsia="宋体" w:hint="default"/>
                <w:sz w:val="21"/>
                <w:szCs w:val="21"/>
              </w:rPr>
              <w:t>海南出版社</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8" w:right="0"/>
              <w:jc w:val="left"/>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0"/>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海南出版社</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0"/>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370,752,403.01</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159,022,014.28</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3"/>
                <w:sz w:val="21"/>
                <w:szCs w:val="21"/>
              </w:rPr>
              <w:t>其中：现金和现金等价物</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35,812,005.50</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26,717,240.75</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8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65,206,688.56</w:t>
            </w:r>
          </w:p>
        </w:tc>
        <w:tc>
          <w:tcPr>
            <w:tcW w:w="1496" w:type="dxa"/>
            <w:tcBorders>
              <w:top w:val="single" w:sz="6" w:space="0" w:color="000000"/>
              <w:left w:val="single" w:sz="6" w:space="0" w:color="000000"/>
              <w:bottom w:val="single" w:sz="4"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172,574,248.26</w:t>
            </w:r>
          </w:p>
        </w:tc>
        <w:tc>
          <w:tcPr>
            <w:tcW w:w="144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787" w:type="dxa"/>
        <w:tblLayout w:type="fixed"/>
        <w:tblCellMar>
          <w:top w:w="0" w:type="dxa"/>
          <w:left w:w="0" w:type="dxa"/>
          <w:bottom w:w="0" w:type="dxa"/>
          <w:right w:w="0" w:type="dxa"/>
        </w:tblCellMar>
        <w:tblLook w:val="01E0"/>
      </w:tblPr>
      <w:tblGrid>
        <w:gridCol w:w="2933"/>
        <w:gridCol w:w="1685"/>
        <w:gridCol w:w="1496"/>
        <w:gridCol w:w="1685"/>
        <w:gridCol w:w="1445"/>
      </w:tblGrid>
      <w:tr>
        <w:trPr>
          <w:trHeight w:val="286"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435,959,091.57</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331,596,262.54</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180,650,371.95</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110,281,572.05</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18,620,000.00</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17,496,226.00</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199,270,371.95</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127,777,798.05</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1,704,864.30</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2,043,686.24</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234,983,855.32</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201,774,778.25</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3"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117,491,927.66</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100,887,389.12</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30,735,530.98</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30,735,530.98</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30,735,530.98</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30,735,530.98</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685"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148,227,458.64</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131,622,920.10</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3"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685"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3"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155,123,350.97</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139,353,106.89</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-73,558.98</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-66,117.19</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110,409.96</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192,783.47</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32,870,255.13</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17,906,102.93</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685"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85"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32,870,255.13</w:t>
            </w: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17,906,102.93</w:t>
            </w: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93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685" w:type="dxa"/>
            <w:tcBorders>
              <w:top w:val="single" w:sz="6" w:space="0" w:color="000000"/>
              <w:left w:val="single" w:sz="6" w:space="0" w:color="000000"/>
              <w:bottom w:val="single" w:sz="4" w:space="0" w:color="000000"/>
              <w:right w:val="single" w:sz="6" w:space="0" w:color="000000"/>
            </w:tcBorders>
          </w:tcPr>
          <w:p>
            <w:pPr/>
          </w:p>
        </w:tc>
        <w:tc>
          <w:tcPr>
            <w:tcW w:w="1496" w:type="dxa"/>
            <w:tcBorders>
              <w:top w:val="single" w:sz="6" w:space="0" w:color="000000"/>
              <w:left w:val="single" w:sz="6" w:space="0" w:color="000000"/>
              <w:bottom w:val="single" w:sz="4" w:space="0" w:color="000000"/>
              <w:right w:val="single" w:sz="6" w:space="0" w:color="000000"/>
            </w:tcBorders>
          </w:tcPr>
          <w:p>
            <w:pPr/>
          </w:p>
        </w:tc>
        <w:tc>
          <w:tcPr>
            <w:tcW w:w="1685" w:type="dxa"/>
            <w:tcBorders>
              <w:top w:val="single" w:sz="6" w:space="0" w:color="000000"/>
              <w:left w:val="single" w:sz="6" w:space="0" w:color="000000"/>
              <w:bottom w:val="single" w:sz="4" w:space="0" w:color="000000"/>
              <w:right w:val="single" w:sz="6" w:space="0" w:color="000000"/>
            </w:tcBorders>
          </w:tcPr>
          <w:p>
            <w:pPr/>
          </w:p>
        </w:tc>
        <w:tc>
          <w:tcPr>
            <w:tcW w:w="1445"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540" w:right="540"/>
        </w:sectPr>
      </w:pPr>
    </w:p>
    <w:p>
      <w:pPr>
        <w:pStyle w:val="Heading2"/>
        <w:spacing w:line="240" w:lineRule="auto" w:before="36"/>
        <w:ind w:left="900" w:right="-1"/>
        <w:jc w:val="left"/>
        <w:rPr>
          <w:b w:val="0"/>
          <w:bCs w:val="0"/>
        </w:rPr>
      </w:pPr>
      <w:r>
        <w:rPr>
          <w:rFonts w:ascii="宋体" w:hAnsi="宋体" w:cs="宋体" w:eastAsia="宋体" w:hint="default"/>
          <w:spacing w:val="-1"/>
        </w:rPr>
        <w:t>(3).</w:t>
      </w:r>
      <w:r>
        <w:rPr>
          <w:spacing w:val="-1"/>
        </w:rPr>
        <w:t>重要联营企业的主要财务信息</w:t>
      </w:r>
      <w:r>
        <w:rPr>
          <w:b w:val="0"/>
          <w:bCs w:val="0"/>
          <w:spacing w:val="-1"/>
        </w:rPr>
      </w:r>
    </w:p>
    <w:p>
      <w:pPr>
        <w:pStyle w:val="BodyText"/>
        <w:tabs>
          <w:tab w:pos="1742" w:val="left" w:leader="none"/>
        </w:tabs>
        <w:spacing w:line="240" w:lineRule="auto" w:before="58"/>
        <w:ind w:left="900" w:right="-1"/>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52" w:val="left" w:leader="none"/>
        </w:tabs>
        <w:spacing w:line="240" w:lineRule="auto"/>
        <w:ind w:left="900" w:right="0"/>
        <w:jc w:val="left"/>
      </w:pPr>
      <w:r>
        <w:rPr>
          <w:spacing w:val="-1"/>
        </w:rPr>
        <w:t>单位：元</w:t>
        <w:tab/>
      </w:r>
      <w:r>
        <w:rPr>
          <w:spacing w:val="-2"/>
        </w:rPr>
        <w:t>币种：人民币</w:t>
      </w:r>
    </w:p>
    <w:p>
      <w:pPr>
        <w:spacing w:after="0" w:line="240" w:lineRule="auto"/>
        <w:jc w:val="left"/>
        <w:sectPr>
          <w:type w:val="continuous"/>
          <w:pgSz w:w="11910" w:h="16840"/>
          <w:pgMar w:top="1060" w:bottom="1380" w:left="540" w:right="540"/>
          <w:cols w:num="2" w:equalWidth="0">
            <w:col w:w="4067" w:space="2649"/>
            <w:col w:w="4114"/>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666"/>
        <w:gridCol w:w="1231"/>
        <w:gridCol w:w="1129"/>
        <w:gridCol w:w="1056"/>
        <w:gridCol w:w="1131"/>
        <w:gridCol w:w="1056"/>
        <w:gridCol w:w="1129"/>
        <w:gridCol w:w="1056"/>
        <w:gridCol w:w="1130"/>
      </w:tblGrid>
      <w:tr>
        <w:trPr>
          <w:trHeight w:val="218" w:hRule="exact"/>
        </w:trPr>
        <w:tc>
          <w:tcPr>
            <w:tcW w:w="1666" w:type="dxa"/>
            <w:vMerge w:val="restart"/>
            <w:tcBorders>
              <w:top w:val="single" w:sz="4" w:space="0" w:color="000000"/>
              <w:left w:val="single" w:sz="4" w:space="0" w:color="000000"/>
              <w:right w:val="single" w:sz="6" w:space="0" w:color="000000"/>
            </w:tcBorders>
          </w:tcPr>
          <w:p>
            <w:pPr/>
          </w:p>
        </w:tc>
        <w:tc>
          <w:tcPr>
            <w:tcW w:w="4547" w:type="dxa"/>
            <w:gridSpan w:val="4"/>
            <w:tcBorders>
              <w:top w:val="single" w:sz="4" w:space="0" w:color="000000"/>
              <w:left w:val="single" w:sz="6" w:space="0" w:color="000000"/>
              <w:bottom w:val="single" w:sz="6" w:space="0" w:color="000000"/>
              <w:right w:val="single" w:sz="6" w:space="0" w:color="000000"/>
            </w:tcBorders>
          </w:tcPr>
          <w:p>
            <w:pPr>
              <w:pStyle w:val="TableParagraph"/>
              <w:spacing w:line="194" w:lineRule="exact"/>
              <w:ind w:left="1486" w:right="0"/>
              <w:jc w:val="left"/>
              <w:rPr>
                <w:rFonts w:ascii="宋体" w:hAnsi="宋体" w:cs="宋体" w:eastAsia="宋体" w:hint="default"/>
                <w:sz w:val="16"/>
                <w:szCs w:val="16"/>
              </w:rPr>
            </w:pPr>
            <w:r>
              <w:rPr>
                <w:rFonts w:ascii="宋体" w:hAnsi="宋体" w:cs="宋体" w:eastAsia="宋体" w:hint="default"/>
                <w:sz w:val="16"/>
                <w:szCs w:val="16"/>
              </w:rPr>
              <w:t>期末余额</w:t>
            </w:r>
            <w:r>
              <w:rPr>
                <w:rFonts w:ascii="Arial Narrow" w:hAnsi="Arial Narrow" w:cs="Arial Narrow" w:eastAsia="Arial Narrow" w:hint="default"/>
                <w:sz w:val="16"/>
                <w:szCs w:val="16"/>
              </w:rPr>
              <w:t>/ </w:t>
            </w:r>
            <w:r>
              <w:rPr>
                <w:rFonts w:ascii="Arial Narrow" w:hAnsi="Arial Narrow" w:cs="Arial Narrow" w:eastAsia="Arial Narrow" w:hint="default"/>
                <w:spacing w:val="9"/>
                <w:sz w:val="16"/>
                <w:szCs w:val="16"/>
              </w:rPr>
              <w:t> </w:t>
            </w:r>
            <w:r>
              <w:rPr>
                <w:rFonts w:ascii="宋体" w:hAnsi="宋体" w:cs="宋体" w:eastAsia="宋体" w:hint="default"/>
                <w:sz w:val="16"/>
                <w:szCs w:val="16"/>
              </w:rPr>
              <w:t>本期发生额</w:t>
            </w:r>
          </w:p>
        </w:tc>
        <w:tc>
          <w:tcPr>
            <w:tcW w:w="4371" w:type="dxa"/>
            <w:gridSpan w:val="4"/>
            <w:tcBorders>
              <w:top w:val="single" w:sz="4" w:space="0" w:color="000000"/>
              <w:left w:val="single" w:sz="6" w:space="0" w:color="000000"/>
              <w:bottom w:val="single" w:sz="6" w:space="0" w:color="000000"/>
              <w:right w:val="single" w:sz="6" w:space="0" w:color="000000"/>
            </w:tcBorders>
          </w:tcPr>
          <w:p>
            <w:pPr>
              <w:pStyle w:val="TableParagraph"/>
              <w:spacing w:line="194" w:lineRule="exact"/>
              <w:ind w:left="1399" w:right="0"/>
              <w:jc w:val="left"/>
              <w:rPr>
                <w:rFonts w:ascii="宋体" w:hAnsi="宋体" w:cs="宋体" w:eastAsia="宋体" w:hint="default"/>
                <w:sz w:val="16"/>
                <w:szCs w:val="16"/>
              </w:rPr>
            </w:pPr>
            <w:r>
              <w:rPr>
                <w:rFonts w:ascii="宋体" w:hAnsi="宋体" w:cs="宋体" w:eastAsia="宋体" w:hint="default"/>
                <w:sz w:val="16"/>
                <w:szCs w:val="16"/>
              </w:rPr>
              <w:t>期初余额</w:t>
            </w:r>
            <w:r>
              <w:rPr>
                <w:rFonts w:ascii="Arial Narrow" w:hAnsi="Arial Narrow" w:cs="Arial Narrow" w:eastAsia="Arial Narrow" w:hint="default"/>
                <w:sz w:val="16"/>
                <w:szCs w:val="16"/>
              </w:rPr>
              <w:t>/ </w:t>
            </w:r>
            <w:r>
              <w:rPr>
                <w:rFonts w:ascii="Arial Narrow" w:hAnsi="Arial Narrow" w:cs="Arial Narrow" w:eastAsia="Arial Narrow" w:hint="default"/>
                <w:spacing w:val="9"/>
                <w:sz w:val="16"/>
                <w:szCs w:val="16"/>
              </w:rPr>
              <w:t> </w:t>
            </w:r>
            <w:r>
              <w:rPr>
                <w:rFonts w:ascii="宋体" w:hAnsi="宋体" w:cs="宋体" w:eastAsia="宋体" w:hint="default"/>
                <w:sz w:val="16"/>
                <w:szCs w:val="16"/>
              </w:rPr>
              <w:t>上期发生额</w:t>
            </w:r>
          </w:p>
        </w:tc>
      </w:tr>
      <w:tr>
        <w:trPr>
          <w:trHeight w:val="638" w:hRule="exact"/>
        </w:trPr>
        <w:tc>
          <w:tcPr>
            <w:tcW w:w="1666" w:type="dxa"/>
            <w:vMerge/>
            <w:tcBorders>
              <w:left w:val="single" w:sz="4"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5" w:right="0" w:firstLine="79"/>
              <w:jc w:val="left"/>
              <w:rPr>
                <w:rFonts w:ascii="宋体" w:hAnsi="宋体" w:cs="宋体" w:eastAsia="宋体" w:hint="default"/>
                <w:sz w:val="16"/>
                <w:szCs w:val="16"/>
              </w:rPr>
            </w:pPr>
            <w:r>
              <w:rPr>
                <w:rFonts w:ascii="宋体" w:hAnsi="宋体" w:cs="宋体" w:eastAsia="宋体" w:hint="default"/>
                <w:sz w:val="16"/>
                <w:szCs w:val="16"/>
              </w:rPr>
              <w:t>人民东方</w:t>
            </w:r>
            <w:r>
              <w:rPr>
                <w:rFonts w:ascii="Arial Narrow" w:hAnsi="Arial Narrow" w:cs="Arial Narrow" w:eastAsia="Arial Narrow" w:hint="default"/>
                <w:sz w:val="16"/>
                <w:szCs w:val="16"/>
              </w:rPr>
              <w:t>(</w:t>
            </w:r>
            <w:r>
              <w:rPr>
                <w:rFonts w:ascii="宋体" w:hAnsi="宋体" w:cs="宋体" w:eastAsia="宋体" w:hint="default"/>
                <w:sz w:val="16"/>
                <w:szCs w:val="16"/>
              </w:rPr>
              <w:t>北</w:t>
            </w:r>
          </w:p>
          <w:p>
            <w:pPr>
              <w:pStyle w:val="TableParagraph"/>
              <w:spacing w:line="208" w:lineRule="exact" w:before="13"/>
              <w:ind w:left="525" w:right="103" w:hanging="420"/>
              <w:jc w:val="left"/>
              <w:rPr>
                <w:rFonts w:ascii="宋体" w:hAnsi="宋体" w:cs="宋体" w:eastAsia="宋体" w:hint="default"/>
                <w:sz w:val="16"/>
                <w:szCs w:val="16"/>
              </w:rPr>
            </w:pPr>
            <w:r>
              <w:rPr>
                <w:rFonts w:ascii="宋体" w:hAnsi="宋体" w:cs="宋体" w:eastAsia="宋体" w:hint="default"/>
                <w:sz w:val="16"/>
                <w:szCs w:val="16"/>
              </w:rPr>
              <w:t>京</w:t>
            </w:r>
            <w:r>
              <w:rPr>
                <w:rFonts w:ascii="Arial Narrow" w:hAnsi="Arial Narrow" w:cs="Arial Narrow" w:eastAsia="Arial Narrow" w:hint="default"/>
                <w:sz w:val="16"/>
                <w:szCs w:val="16"/>
              </w:rPr>
              <w:t>)</w:t>
            </w:r>
            <w:r>
              <w:rPr>
                <w:rFonts w:ascii="宋体" w:hAnsi="宋体" w:cs="宋体" w:eastAsia="宋体" w:hint="default"/>
                <w:sz w:val="16"/>
                <w:szCs w:val="16"/>
              </w:rPr>
              <w:t>书业有限公</w:t>
            </w:r>
            <w:r>
              <w:rPr>
                <w:rFonts w:ascii="宋体" w:hAnsi="宋体" w:cs="宋体" w:eastAsia="宋体" w:hint="default"/>
                <w:w w:val="100"/>
                <w:sz w:val="16"/>
                <w:szCs w:val="16"/>
              </w:rPr>
              <w:t> </w:t>
            </w:r>
            <w:r>
              <w:rPr>
                <w:rFonts w:ascii="宋体" w:hAnsi="宋体" w:cs="宋体" w:eastAsia="宋体" w:hint="default"/>
                <w:sz w:val="16"/>
                <w:szCs w:val="16"/>
              </w:rPr>
              <w:t>司</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56" w:right="0"/>
              <w:jc w:val="left"/>
              <w:rPr>
                <w:rFonts w:ascii="宋体" w:hAnsi="宋体" w:cs="宋体" w:eastAsia="宋体" w:hint="default"/>
                <w:sz w:val="16"/>
                <w:szCs w:val="16"/>
              </w:rPr>
            </w:pPr>
            <w:r>
              <w:rPr>
                <w:rFonts w:ascii="宋体" w:hAnsi="宋体" w:cs="宋体" w:eastAsia="宋体" w:hint="default"/>
                <w:sz w:val="16"/>
                <w:szCs w:val="16"/>
              </w:rPr>
              <w:t>明博教育科</w:t>
            </w:r>
          </w:p>
          <w:p>
            <w:pPr>
              <w:pStyle w:val="TableParagraph"/>
              <w:spacing w:line="240" w:lineRule="auto"/>
              <w:ind w:left="396" w:right="154" w:hanging="241"/>
              <w:jc w:val="left"/>
              <w:rPr>
                <w:rFonts w:ascii="宋体" w:hAnsi="宋体" w:cs="宋体" w:eastAsia="宋体" w:hint="default"/>
                <w:sz w:val="16"/>
                <w:szCs w:val="16"/>
              </w:rPr>
            </w:pPr>
            <w:r>
              <w:rPr>
                <w:rFonts w:ascii="宋体" w:hAnsi="宋体" w:cs="宋体" w:eastAsia="宋体" w:hint="default"/>
                <w:sz w:val="16"/>
                <w:szCs w:val="16"/>
              </w:rPr>
              <w:t>技股份有限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19" w:right="0"/>
              <w:jc w:val="left"/>
              <w:rPr>
                <w:rFonts w:ascii="宋体" w:hAnsi="宋体" w:cs="宋体" w:eastAsia="宋体" w:hint="default"/>
                <w:sz w:val="16"/>
                <w:szCs w:val="16"/>
              </w:rPr>
            </w:pPr>
            <w:r>
              <w:rPr>
                <w:rFonts w:ascii="宋体" w:hAnsi="宋体" w:cs="宋体" w:eastAsia="宋体" w:hint="default"/>
                <w:sz w:val="16"/>
                <w:szCs w:val="16"/>
              </w:rPr>
              <w:t>重庆云汉网</w:t>
            </w:r>
          </w:p>
          <w:p>
            <w:pPr>
              <w:pStyle w:val="TableParagraph"/>
              <w:spacing w:line="240" w:lineRule="auto"/>
              <w:ind w:left="199" w:right="118" w:hanging="80"/>
              <w:jc w:val="left"/>
              <w:rPr>
                <w:rFonts w:ascii="宋体" w:hAnsi="宋体" w:cs="宋体" w:eastAsia="宋体" w:hint="default"/>
                <w:sz w:val="16"/>
                <w:szCs w:val="16"/>
              </w:rPr>
            </w:pPr>
            <w:r>
              <w:rPr>
                <w:rFonts w:ascii="宋体" w:hAnsi="宋体" w:cs="宋体" w:eastAsia="宋体" w:hint="default"/>
                <w:sz w:val="16"/>
                <w:szCs w:val="16"/>
              </w:rPr>
              <w:t>络传媒有限</w:t>
            </w:r>
            <w:r>
              <w:rPr>
                <w:rFonts w:ascii="宋体" w:hAnsi="宋体" w:cs="宋体" w:eastAsia="宋体" w:hint="default"/>
                <w:w w:val="100"/>
                <w:sz w:val="16"/>
                <w:szCs w:val="16"/>
              </w:rPr>
              <w:t> </w:t>
            </w:r>
            <w:r>
              <w:rPr>
                <w:rFonts w:ascii="宋体" w:hAnsi="宋体" w:cs="宋体" w:eastAsia="宋体" w:hint="default"/>
                <w:sz w:val="16"/>
                <w:szCs w:val="16"/>
              </w:rPr>
              <w:t>责任公司</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55" w:right="0"/>
              <w:jc w:val="left"/>
              <w:rPr>
                <w:rFonts w:ascii="宋体" w:hAnsi="宋体" w:cs="宋体" w:eastAsia="宋体" w:hint="default"/>
                <w:sz w:val="16"/>
                <w:szCs w:val="16"/>
              </w:rPr>
            </w:pPr>
            <w:r>
              <w:rPr>
                <w:rFonts w:ascii="宋体" w:hAnsi="宋体" w:cs="宋体" w:eastAsia="宋体" w:hint="default"/>
                <w:sz w:val="16"/>
                <w:szCs w:val="16"/>
              </w:rPr>
              <w:t>四川文轩宝</w:t>
            </w:r>
          </w:p>
          <w:p>
            <w:pPr>
              <w:pStyle w:val="TableParagraph"/>
              <w:spacing w:line="240" w:lineRule="auto"/>
              <w:ind w:left="316" w:right="156" w:hanging="161"/>
              <w:jc w:val="left"/>
              <w:rPr>
                <w:rFonts w:ascii="宋体" w:hAnsi="宋体" w:cs="宋体" w:eastAsia="宋体" w:hint="default"/>
                <w:sz w:val="16"/>
                <w:szCs w:val="16"/>
              </w:rPr>
            </w:pPr>
            <w:r>
              <w:rPr>
                <w:rFonts w:ascii="宋体" w:hAnsi="宋体" w:cs="宋体" w:eastAsia="宋体" w:hint="default"/>
                <w:sz w:val="16"/>
                <w:szCs w:val="16"/>
              </w:rPr>
              <w:t>湾供应链有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56" w:right="0" w:firstLine="43"/>
              <w:jc w:val="left"/>
              <w:rPr>
                <w:rFonts w:ascii="宋体" w:hAnsi="宋体" w:cs="宋体" w:eastAsia="宋体" w:hint="default"/>
                <w:sz w:val="16"/>
                <w:szCs w:val="16"/>
              </w:rPr>
            </w:pPr>
            <w:r>
              <w:rPr>
                <w:rFonts w:ascii="宋体" w:hAnsi="宋体" w:cs="宋体" w:eastAsia="宋体" w:hint="default"/>
                <w:sz w:val="16"/>
                <w:szCs w:val="16"/>
              </w:rPr>
              <w:t>人民东方</w:t>
            </w:r>
          </w:p>
          <w:p>
            <w:pPr>
              <w:pStyle w:val="TableParagraph"/>
              <w:spacing w:line="208" w:lineRule="exact" w:before="19"/>
              <w:ind w:left="199" w:right="155" w:hanging="44"/>
              <w:jc w:val="left"/>
              <w:rPr>
                <w:rFonts w:ascii="宋体" w:hAnsi="宋体" w:cs="宋体" w:eastAsia="宋体" w:hint="default"/>
                <w:sz w:val="16"/>
                <w:szCs w:val="16"/>
              </w:rPr>
            </w:pPr>
            <w:r>
              <w:rPr>
                <w:rFonts w:ascii="Arial Narrow" w:hAnsi="Arial Narrow" w:cs="Arial Narrow" w:eastAsia="Arial Narrow" w:hint="default"/>
                <w:sz w:val="16"/>
                <w:szCs w:val="16"/>
              </w:rPr>
              <w:t>(</w:t>
            </w:r>
            <w:r>
              <w:rPr>
                <w:rFonts w:ascii="宋体" w:hAnsi="宋体" w:cs="宋体" w:eastAsia="宋体" w:hint="default"/>
                <w:sz w:val="16"/>
                <w:szCs w:val="16"/>
              </w:rPr>
              <w:t>北京</w:t>
            </w:r>
            <w:r>
              <w:rPr>
                <w:rFonts w:ascii="Arial Narrow" w:hAnsi="Arial Narrow" w:cs="Arial Narrow" w:eastAsia="Arial Narrow" w:hint="default"/>
                <w:sz w:val="16"/>
                <w:szCs w:val="16"/>
              </w:rPr>
              <w:t>)</w:t>
            </w:r>
            <w:r>
              <w:rPr>
                <w:rFonts w:ascii="宋体" w:hAnsi="宋体" w:cs="宋体" w:eastAsia="宋体" w:hint="default"/>
                <w:sz w:val="16"/>
                <w:szCs w:val="16"/>
              </w:rPr>
              <w:t>书业</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55" w:right="0"/>
              <w:jc w:val="left"/>
              <w:rPr>
                <w:rFonts w:ascii="宋体" w:hAnsi="宋体" w:cs="宋体" w:eastAsia="宋体" w:hint="default"/>
                <w:sz w:val="16"/>
                <w:szCs w:val="16"/>
              </w:rPr>
            </w:pPr>
            <w:r>
              <w:rPr>
                <w:rFonts w:ascii="宋体" w:hAnsi="宋体" w:cs="宋体" w:eastAsia="宋体" w:hint="default"/>
                <w:sz w:val="16"/>
                <w:szCs w:val="16"/>
              </w:rPr>
              <w:t>明博教育科</w:t>
            </w:r>
          </w:p>
          <w:p>
            <w:pPr>
              <w:pStyle w:val="TableParagraph"/>
              <w:spacing w:line="240" w:lineRule="auto"/>
              <w:ind w:left="395" w:right="154" w:hanging="240"/>
              <w:jc w:val="left"/>
              <w:rPr>
                <w:rFonts w:ascii="宋体" w:hAnsi="宋体" w:cs="宋体" w:eastAsia="宋体" w:hint="default"/>
                <w:sz w:val="16"/>
                <w:szCs w:val="16"/>
              </w:rPr>
            </w:pPr>
            <w:r>
              <w:rPr>
                <w:rFonts w:ascii="宋体" w:hAnsi="宋体" w:cs="宋体" w:eastAsia="宋体" w:hint="default"/>
                <w:sz w:val="16"/>
                <w:szCs w:val="16"/>
              </w:rPr>
              <w:t>技股份有限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19" w:right="0"/>
              <w:jc w:val="left"/>
              <w:rPr>
                <w:rFonts w:ascii="宋体" w:hAnsi="宋体" w:cs="宋体" w:eastAsia="宋体" w:hint="default"/>
                <w:sz w:val="16"/>
                <w:szCs w:val="16"/>
              </w:rPr>
            </w:pPr>
            <w:r>
              <w:rPr>
                <w:rFonts w:ascii="宋体" w:hAnsi="宋体" w:cs="宋体" w:eastAsia="宋体" w:hint="default"/>
                <w:sz w:val="16"/>
                <w:szCs w:val="16"/>
              </w:rPr>
              <w:t>四川文轩宝</w:t>
            </w:r>
          </w:p>
          <w:p>
            <w:pPr>
              <w:pStyle w:val="TableParagraph"/>
              <w:spacing w:line="240" w:lineRule="auto"/>
              <w:ind w:left="280" w:right="118" w:hanging="161"/>
              <w:jc w:val="left"/>
              <w:rPr>
                <w:rFonts w:ascii="宋体" w:hAnsi="宋体" w:cs="宋体" w:eastAsia="宋体" w:hint="default"/>
                <w:sz w:val="16"/>
                <w:szCs w:val="16"/>
              </w:rPr>
            </w:pPr>
            <w:r>
              <w:rPr>
                <w:rFonts w:ascii="宋体" w:hAnsi="宋体" w:cs="宋体" w:eastAsia="宋体" w:hint="default"/>
                <w:sz w:val="16"/>
                <w:szCs w:val="16"/>
              </w:rPr>
              <w:t>湾供应链有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56" w:right="0"/>
              <w:jc w:val="left"/>
              <w:rPr>
                <w:rFonts w:ascii="宋体" w:hAnsi="宋体" w:cs="宋体" w:eastAsia="宋体" w:hint="default"/>
                <w:sz w:val="16"/>
                <w:szCs w:val="16"/>
              </w:rPr>
            </w:pPr>
            <w:r>
              <w:rPr>
                <w:rFonts w:ascii="宋体" w:hAnsi="宋体" w:cs="宋体" w:eastAsia="宋体" w:hint="default"/>
                <w:sz w:val="16"/>
                <w:szCs w:val="16"/>
              </w:rPr>
              <w:t>四川文轩宝</w:t>
            </w:r>
          </w:p>
          <w:p>
            <w:pPr>
              <w:pStyle w:val="TableParagraph"/>
              <w:spacing w:line="240" w:lineRule="auto"/>
              <w:ind w:left="316" w:right="156" w:hanging="161"/>
              <w:jc w:val="left"/>
              <w:rPr>
                <w:rFonts w:ascii="宋体" w:hAnsi="宋体" w:cs="宋体" w:eastAsia="宋体" w:hint="default"/>
                <w:sz w:val="16"/>
                <w:szCs w:val="16"/>
              </w:rPr>
            </w:pPr>
            <w:r>
              <w:rPr>
                <w:rFonts w:ascii="宋体" w:hAnsi="宋体" w:cs="宋体" w:eastAsia="宋体" w:hint="default"/>
                <w:sz w:val="16"/>
                <w:szCs w:val="16"/>
              </w:rPr>
              <w:t>湾供应链有</w:t>
            </w:r>
            <w:r>
              <w:rPr>
                <w:rFonts w:ascii="宋体" w:hAnsi="宋体" w:cs="宋体" w:eastAsia="宋体" w:hint="default"/>
                <w:w w:val="100"/>
                <w:sz w:val="16"/>
                <w:szCs w:val="16"/>
              </w:rPr>
              <w:t> </w:t>
            </w:r>
            <w:r>
              <w:rPr>
                <w:rFonts w:ascii="宋体" w:hAnsi="宋体" w:cs="宋体" w:eastAsia="宋体" w:hint="default"/>
                <w:sz w:val="16"/>
                <w:szCs w:val="16"/>
              </w:rPr>
              <w:t>限公司</w:t>
            </w:r>
          </w:p>
        </w:tc>
      </w:tr>
      <w:tr>
        <w:trPr>
          <w:trHeight w:val="223"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103,843,732.68</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0"/>
              <w:jc w:val="center"/>
              <w:rPr>
                <w:rFonts w:ascii="Arial Narrow" w:hAnsi="Arial Narrow" w:cs="Arial Narrow" w:eastAsia="Arial Narrow" w:hint="default"/>
                <w:sz w:val="16"/>
                <w:szCs w:val="16"/>
              </w:rPr>
            </w:pPr>
            <w:r>
              <w:rPr>
                <w:rFonts w:ascii="Arial Narrow"/>
                <w:sz w:val="16"/>
              </w:rPr>
              <w:t>134,504,113.82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7"/>
              <w:jc w:val="right"/>
              <w:rPr>
                <w:rFonts w:ascii="Arial Narrow" w:hAnsi="Arial Narrow" w:cs="Arial Narrow" w:eastAsia="Arial Narrow" w:hint="default"/>
                <w:sz w:val="16"/>
                <w:szCs w:val="16"/>
              </w:rPr>
            </w:pPr>
            <w:r>
              <w:rPr>
                <w:rFonts w:ascii="Arial Narrow"/>
                <w:spacing w:val="-1"/>
                <w:sz w:val="16"/>
              </w:rPr>
              <w:t>609,632.65</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83,521,529.51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0"/>
              <w:jc w:val="center"/>
              <w:rPr>
                <w:rFonts w:ascii="Arial Narrow" w:hAnsi="Arial Narrow" w:cs="Arial Narrow" w:eastAsia="Arial Narrow" w:hint="default"/>
                <w:sz w:val="16"/>
                <w:szCs w:val="16"/>
              </w:rPr>
            </w:pPr>
            <w:r>
              <w:rPr>
                <w:rFonts w:ascii="Arial Narrow"/>
                <w:sz w:val="16"/>
              </w:rPr>
              <w:t>80,576,300.70</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Arial Narrow" w:hAnsi="Arial Narrow" w:cs="Arial Narrow" w:eastAsia="Arial Narrow" w:hint="default"/>
                <w:sz w:val="16"/>
                <w:szCs w:val="16"/>
              </w:rPr>
            </w:pPr>
            <w:r>
              <w:rPr>
                <w:rFonts w:ascii="Arial Narrow"/>
                <w:spacing w:val="-1"/>
                <w:sz w:val="16"/>
              </w:rPr>
              <w:t>123,439,751.08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Arial Narrow" w:hAnsi="Arial Narrow" w:cs="Arial Narrow" w:eastAsia="Arial Narrow" w:hint="default"/>
                <w:sz w:val="16"/>
                <w:szCs w:val="16"/>
              </w:rPr>
            </w:pPr>
            <w:r>
              <w:rPr>
                <w:rFonts w:ascii="Arial Narrow"/>
                <w:spacing w:val="-1"/>
                <w:sz w:val="16"/>
              </w:rPr>
              <w:t>18,977,147.01</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70" w:right="0"/>
              <w:jc w:val="center"/>
              <w:rPr>
                <w:rFonts w:ascii="Arial Narrow" w:hAnsi="Arial Narrow" w:cs="Arial Narrow" w:eastAsia="Arial Narrow" w:hint="default"/>
                <w:sz w:val="16"/>
                <w:szCs w:val="16"/>
              </w:rPr>
            </w:pPr>
            <w:r>
              <w:rPr>
                <w:rFonts w:ascii="Arial Narrow"/>
                <w:sz w:val="16"/>
              </w:rPr>
              <w:t>67,528,616.30</w:t>
            </w:r>
          </w:p>
        </w:tc>
      </w:tr>
      <w:tr>
        <w:trPr>
          <w:trHeight w:val="221"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5,338,301.76</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72" w:right="0"/>
              <w:jc w:val="center"/>
              <w:rPr>
                <w:rFonts w:ascii="Arial Narrow" w:hAnsi="Arial Narrow" w:cs="Arial Narrow" w:eastAsia="Arial Narrow" w:hint="default"/>
                <w:sz w:val="16"/>
                <w:szCs w:val="16"/>
              </w:rPr>
            </w:pPr>
            <w:r>
              <w:rPr>
                <w:rFonts w:ascii="Arial Narrow"/>
                <w:sz w:val="16"/>
              </w:rPr>
              <w:t>91,609,360.11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Arial Narrow" w:hAnsi="Arial Narrow" w:cs="Arial Narrow" w:eastAsia="Arial Narrow" w:hint="default"/>
                <w:sz w:val="16"/>
                <w:szCs w:val="16"/>
              </w:rPr>
            </w:pPr>
            <w:r>
              <w:rPr>
                <w:rFonts w:ascii="Arial Narrow"/>
                <w:spacing w:val="-1"/>
                <w:sz w:val="16"/>
              </w:rPr>
              <w:t>75,632,532.13</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44,021,819.52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75" w:right="0"/>
              <w:jc w:val="center"/>
              <w:rPr>
                <w:rFonts w:ascii="Arial Narrow" w:hAnsi="Arial Narrow" w:cs="Arial Narrow" w:eastAsia="Arial Narrow" w:hint="default"/>
                <w:sz w:val="16"/>
                <w:szCs w:val="16"/>
              </w:rPr>
            </w:pPr>
            <w:r>
              <w:rPr>
                <w:rFonts w:ascii="Arial Narrow"/>
                <w:sz w:val="16"/>
              </w:rPr>
              <w:t>5,948,661.03</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Arial Narrow" w:hAnsi="Arial Narrow" w:cs="Arial Narrow" w:eastAsia="Arial Narrow" w:hint="default"/>
                <w:sz w:val="16"/>
                <w:szCs w:val="16"/>
              </w:rPr>
            </w:pPr>
            <w:r>
              <w:rPr>
                <w:rFonts w:ascii="Arial Narrow"/>
                <w:spacing w:val="-1"/>
                <w:sz w:val="16"/>
              </w:rPr>
              <w:t>70,132,240.85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Arial Narrow" w:hAnsi="Arial Narrow" w:cs="Arial Narrow" w:eastAsia="Arial Narrow" w:hint="default"/>
                <w:sz w:val="16"/>
                <w:szCs w:val="16"/>
              </w:rPr>
            </w:pPr>
            <w:r>
              <w:rPr>
                <w:rFonts w:ascii="Arial Narrow"/>
                <w:spacing w:val="-1"/>
                <w:sz w:val="16"/>
              </w:rPr>
              <w:t>66,711,578.40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70" w:right="0"/>
              <w:jc w:val="center"/>
              <w:rPr>
                <w:rFonts w:ascii="Arial Narrow" w:hAnsi="Arial Narrow" w:cs="Arial Narrow" w:eastAsia="Arial Narrow" w:hint="default"/>
                <w:sz w:val="16"/>
                <w:szCs w:val="16"/>
              </w:rPr>
            </w:pPr>
            <w:r>
              <w:rPr>
                <w:rFonts w:ascii="Arial Narrow"/>
                <w:sz w:val="16"/>
              </w:rPr>
              <w:t>38,993,845.79</w:t>
            </w:r>
          </w:p>
        </w:tc>
      </w:tr>
      <w:tr>
        <w:trPr>
          <w:trHeight w:val="223"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资产合计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100"/>
              <w:jc w:val="right"/>
              <w:rPr>
                <w:rFonts w:ascii="Arial Narrow" w:hAnsi="Arial Narrow" w:cs="Arial Narrow" w:eastAsia="Arial Narrow" w:hint="default"/>
                <w:sz w:val="16"/>
                <w:szCs w:val="16"/>
              </w:rPr>
            </w:pPr>
            <w:r>
              <w:rPr>
                <w:rFonts w:ascii="Arial Narrow"/>
                <w:spacing w:val="-1"/>
                <w:sz w:val="16"/>
              </w:rPr>
              <w:t>109,182,034.44</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0"/>
              <w:jc w:val="center"/>
              <w:rPr>
                <w:rFonts w:ascii="Arial Narrow" w:hAnsi="Arial Narrow" w:cs="Arial Narrow" w:eastAsia="Arial Narrow" w:hint="default"/>
                <w:sz w:val="16"/>
                <w:szCs w:val="16"/>
              </w:rPr>
            </w:pPr>
            <w:r>
              <w:rPr>
                <w:rFonts w:ascii="Arial Narrow"/>
                <w:sz w:val="16"/>
              </w:rPr>
              <w:t>226,113,473.93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8"/>
              <w:jc w:val="right"/>
              <w:rPr>
                <w:rFonts w:ascii="Arial Narrow" w:hAnsi="Arial Narrow" w:cs="Arial Narrow" w:eastAsia="Arial Narrow" w:hint="default"/>
                <w:sz w:val="16"/>
                <w:szCs w:val="16"/>
              </w:rPr>
            </w:pPr>
            <w:r>
              <w:rPr>
                <w:rFonts w:ascii="Arial Narrow"/>
                <w:spacing w:val="-1"/>
                <w:sz w:val="16"/>
              </w:rPr>
              <w:t>76,242,164.78</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100"/>
              <w:jc w:val="right"/>
              <w:rPr>
                <w:rFonts w:ascii="Arial Narrow" w:hAnsi="Arial Narrow" w:cs="Arial Narrow" w:eastAsia="Arial Narrow" w:hint="default"/>
                <w:sz w:val="16"/>
                <w:szCs w:val="16"/>
              </w:rPr>
            </w:pPr>
            <w:r>
              <w:rPr>
                <w:rFonts w:ascii="Arial Narrow"/>
                <w:spacing w:val="-1"/>
                <w:sz w:val="16"/>
              </w:rPr>
              <w:t>127,543,349.03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0"/>
              <w:jc w:val="center"/>
              <w:rPr>
                <w:rFonts w:ascii="Arial Narrow" w:hAnsi="Arial Narrow" w:cs="Arial Narrow" w:eastAsia="Arial Narrow" w:hint="default"/>
                <w:sz w:val="16"/>
                <w:szCs w:val="16"/>
              </w:rPr>
            </w:pPr>
            <w:r>
              <w:rPr>
                <w:rFonts w:ascii="Arial Narrow"/>
                <w:sz w:val="16"/>
              </w:rPr>
              <w:t>86,524,961.73</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8"/>
              <w:jc w:val="right"/>
              <w:rPr>
                <w:rFonts w:ascii="Arial Narrow" w:hAnsi="Arial Narrow" w:cs="Arial Narrow" w:eastAsia="Arial Narrow" w:hint="default"/>
                <w:sz w:val="16"/>
                <w:szCs w:val="16"/>
              </w:rPr>
            </w:pPr>
            <w:r>
              <w:rPr>
                <w:rFonts w:ascii="Arial Narrow"/>
                <w:spacing w:val="-1"/>
                <w:sz w:val="16"/>
              </w:rPr>
              <w:t>193,571,991.93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8"/>
              <w:jc w:val="right"/>
              <w:rPr>
                <w:rFonts w:ascii="Arial Narrow" w:hAnsi="Arial Narrow" w:cs="Arial Narrow" w:eastAsia="Arial Narrow" w:hint="default"/>
                <w:sz w:val="16"/>
                <w:szCs w:val="16"/>
              </w:rPr>
            </w:pPr>
            <w:r>
              <w:rPr>
                <w:rFonts w:ascii="Arial Narrow"/>
                <w:spacing w:val="-1"/>
                <w:sz w:val="16"/>
              </w:rPr>
              <w:t>85,688,725.41</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1"/>
              <w:jc w:val="center"/>
              <w:rPr>
                <w:rFonts w:ascii="Arial Narrow" w:hAnsi="Arial Narrow" w:cs="Arial Narrow" w:eastAsia="Arial Narrow" w:hint="default"/>
                <w:sz w:val="16"/>
                <w:szCs w:val="16"/>
              </w:rPr>
            </w:pPr>
            <w:r>
              <w:rPr>
                <w:rFonts w:ascii="Arial Narrow"/>
                <w:sz w:val="16"/>
              </w:rPr>
              <w:t>106,522,462.09</w:t>
            </w:r>
          </w:p>
        </w:tc>
      </w:tr>
      <w:tr>
        <w:trPr>
          <w:trHeight w:val="199" w:hRule="exact"/>
        </w:trPr>
        <w:tc>
          <w:tcPr>
            <w:tcW w:w="1666" w:type="dxa"/>
            <w:tcBorders>
              <w:top w:val="single" w:sz="6" w:space="0" w:color="000000"/>
              <w:left w:val="single" w:sz="4"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54,568,009.06</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72" w:right="0"/>
              <w:jc w:val="center"/>
              <w:rPr>
                <w:rFonts w:ascii="Arial Narrow" w:hAnsi="Arial Narrow" w:cs="Arial Narrow" w:eastAsia="Arial Narrow" w:hint="default"/>
                <w:sz w:val="16"/>
                <w:szCs w:val="16"/>
              </w:rPr>
            </w:pPr>
            <w:r>
              <w:rPr>
                <w:rFonts w:ascii="Arial Narrow"/>
                <w:sz w:val="16"/>
              </w:rPr>
              <w:t>36,585,960.76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7"/>
              <w:jc w:val="right"/>
              <w:rPr>
                <w:rFonts w:ascii="Arial Narrow" w:hAnsi="Arial Narrow" w:cs="Arial Narrow" w:eastAsia="Arial Narrow" w:hint="default"/>
                <w:sz w:val="16"/>
                <w:szCs w:val="16"/>
              </w:rPr>
            </w:pPr>
            <w:r>
              <w:rPr>
                <w:rFonts w:ascii="Arial Narrow"/>
                <w:spacing w:val="-1"/>
                <w:sz w:val="16"/>
              </w:rPr>
              <w:t>1,500,396.78</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26,916,900.15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0"/>
              <w:jc w:val="center"/>
              <w:rPr>
                <w:rFonts w:ascii="Arial Narrow" w:hAnsi="Arial Narrow" w:cs="Arial Narrow" w:eastAsia="Arial Narrow" w:hint="default"/>
                <w:sz w:val="16"/>
                <w:szCs w:val="16"/>
              </w:rPr>
            </w:pPr>
            <w:r>
              <w:rPr>
                <w:rFonts w:ascii="Arial Narrow"/>
                <w:sz w:val="16"/>
              </w:rPr>
              <w:t>33,423,210.24</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Arial Narrow" w:hAnsi="Arial Narrow" w:cs="Arial Narrow" w:eastAsia="Arial Narrow" w:hint="default"/>
                <w:sz w:val="16"/>
                <w:szCs w:val="16"/>
              </w:rPr>
            </w:pPr>
            <w:r>
              <w:rPr>
                <w:rFonts w:ascii="Arial Narrow"/>
                <w:spacing w:val="-1"/>
                <w:sz w:val="16"/>
              </w:rPr>
              <w:t>28,310,035.96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7"/>
              <w:jc w:val="right"/>
              <w:rPr>
                <w:rFonts w:ascii="Arial Narrow" w:hAnsi="Arial Narrow" w:cs="Arial Narrow" w:eastAsia="Arial Narrow" w:hint="default"/>
                <w:sz w:val="16"/>
                <w:szCs w:val="16"/>
              </w:rPr>
            </w:pPr>
            <w:r>
              <w:rPr>
                <w:rFonts w:ascii="Arial Narrow"/>
                <w:spacing w:val="-1"/>
                <w:sz w:val="16"/>
              </w:rPr>
              <w:t>7,224,350.16</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144" w:right="0"/>
              <w:jc w:val="center"/>
              <w:rPr>
                <w:rFonts w:ascii="Arial Narrow" w:hAnsi="Arial Narrow" w:cs="Arial Narrow" w:eastAsia="Arial Narrow" w:hint="default"/>
                <w:sz w:val="16"/>
                <w:szCs w:val="16"/>
              </w:rPr>
            </w:pPr>
            <w:r>
              <w:rPr>
                <w:rFonts w:ascii="Arial Narrow"/>
                <w:sz w:val="16"/>
              </w:rPr>
              <w:t>6,489,698.20</w:t>
            </w:r>
          </w:p>
        </w:tc>
      </w:tr>
      <w:tr>
        <w:trPr>
          <w:trHeight w:val="221"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147" w:right="0"/>
              <w:jc w:val="center"/>
              <w:rPr>
                <w:rFonts w:ascii="Arial Narrow" w:hAnsi="Arial Narrow" w:cs="Arial Narrow" w:eastAsia="Arial Narrow" w:hint="default"/>
                <w:sz w:val="16"/>
                <w:szCs w:val="16"/>
              </w:rPr>
            </w:pPr>
            <w:r>
              <w:rPr>
                <w:rFonts w:ascii="Arial Narrow"/>
                <w:sz w:val="16"/>
              </w:rPr>
              <w:t>8,180,033.95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Arial Narrow" w:hAnsi="Arial Narrow" w:cs="Arial Narrow" w:eastAsia="Arial Narrow" w:hint="default"/>
                <w:sz w:val="16"/>
                <w:szCs w:val="16"/>
              </w:rPr>
            </w:pPr>
            <w:r>
              <w:rPr>
                <w:rFonts w:ascii="Arial Narrow"/>
                <w:spacing w:val="-1"/>
                <w:sz w:val="16"/>
              </w:rPr>
              <w:t>20,000,000.00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481,592.76</w:t>
            </w:r>
          </w:p>
        </w:tc>
        <w:tc>
          <w:tcPr>
            <w:tcW w:w="1056"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Arial Narrow" w:hAnsi="Arial Narrow" w:cs="Arial Narrow" w:eastAsia="Arial Narrow" w:hint="default"/>
                <w:sz w:val="16"/>
                <w:szCs w:val="16"/>
              </w:rPr>
            </w:pPr>
            <w:r>
              <w:rPr>
                <w:rFonts w:ascii="Arial Narrow"/>
                <w:spacing w:val="-1"/>
                <w:sz w:val="16"/>
              </w:rPr>
              <w:t>8,361,141.60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Arial Narrow" w:hAnsi="Arial Narrow" w:cs="Arial Narrow" w:eastAsia="Arial Narrow" w:hint="default"/>
                <w:sz w:val="16"/>
                <w:szCs w:val="16"/>
              </w:rPr>
            </w:pPr>
            <w:r>
              <w:rPr>
                <w:rFonts w:ascii="Arial Narrow"/>
                <w:spacing w:val="-1"/>
                <w:sz w:val="16"/>
              </w:rPr>
              <w:t>20,000,000.00</w:t>
            </w:r>
          </w:p>
        </w:tc>
        <w:tc>
          <w:tcPr>
            <w:tcW w:w="1130"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负债合计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100"/>
              <w:jc w:val="right"/>
              <w:rPr>
                <w:rFonts w:ascii="Arial Narrow" w:hAnsi="Arial Narrow" w:cs="Arial Narrow" w:eastAsia="Arial Narrow" w:hint="default"/>
                <w:sz w:val="16"/>
                <w:szCs w:val="16"/>
              </w:rPr>
            </w:pPr>
            <w:r>
              <w:rPr>
                <w:rFonts w:ascii="Arial Narrow"/>
                <w:spacing w:val="-1"/>
                <w:sz w:val="16"/>
              </w:rPr>
              <w:t>54,568,009.06</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72" w:right="0"/>
              <w:jc w:val="center"/>
              <w:rPr>
                <w:rFonts w:ascii="Arial Narrow" w:hAnsi="Arial Narrow" w:cs="Arial Narrow" w:eastAsia="Arial Narrow" w:hint="default"/>
                <w:sz w:val="16"/>
                <w:szCs w:val="16"/>
              </w:rPr>
            </w:pPr>
            <w:r>
              <w:rPr>
                <w:rFonts w:ascii="Arial Narrow"/>
                <w:sz w:val="16"/>
              </w:rPr>
              <w:t>44,765,994.71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8"/>
              <w:jc w:val="right"/>
              <w:rPr>
                <w:rFonts w:ascii="Arial Narrow" w:hAnsi="Arial Narrow" w:cs="Arial Narrow" w:eastAsia="Arial Narrow" w:hint="default"/>
                <w:sz w:val="16"/>
                <w:szCs w:val="16"/>
              </w:rPr>
            </w:pPr>
            <w:r>
              <w:rPr>
                <w:rFonts w:ascii="Arial Narrow"/>
                <w:spacing w:val="-1"/>
                <w:sz w:val="16"/>
              </w:rPr>
              <w:t>21,500,396.78</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100"/>
              <w:jc w:val="right"/>
              <w:rPr>
                <w:rFonts w:ascii="Arial Narrow" w:hAnsi="Arial Narrow" w:cs="Arial Narrow" w:eastAsia="Arial Narrow" w:hint="default"/>
                <w:sz w:val="16"/>
                <w:szCs w:val="16"/>
              </w:rPr>
            </w:pPr>
            <w:r>
              <w:rPr>
                <w:rFonts w:ascii="Arial Narrow"/>
                <w:spacing w:val="-1"/>
                <w:sz w:val="16"/>
              </w:rPr>
              <w:t>27,398,492.91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0"/>
              <w:jc w:val="center"/>
              <w:rPr>
                <w:rFonts w:ascii="Arial Narrow" w:hAnsi="Arial Narrow" w:cs="Arial Narrow" w:eastAsia="Arial Narrow" w:hint="default"/>
                <w:sz w:val="16"/>
                <w:szCs w:val="16"/>
              </w:rPr>
            </w:pPr>
            <w:r>
              <w:rPr>
                <w:rFonts w:ascii="Arial Narrow"/>
                <w:sz w:val="16"/>
              </w:rPr>
              <w:t>33,423,210.24</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8"/>
              <w:jc w:val="right"/>
              <w:rPr>
                <w:rFonts w:ascii="Arial Narrow" w:hAnsi="Arial Narrow" w:cs="Arial Narrow" w:eastAsia="Arial Narrow" w:hint="default"/>
                <w:sz w:val="16"/>
                <w:szCs w:val="16"/>
              </w:rPr>
            </w:pPr>
            <w:r>
              <w:rPr>
                <w:rFonts w:ascii="Arial Narrow"/>
                <w:spacing w:val="-1"/>
                <w:sz w:val="16"/>
              </w:rPr>
              <w:t>36,671,177.56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8"/>
              <w:jc w:val="right"/>
              <w:rPr>
                <w:rFonts w:ascii="Arial Narrow" w:hAnsi="Arial Narrow" w:cs="Arial Narrow" w:eastAsia="Arial Narrow" w:hint="default"/>
                <w:sz w:val="16"/>
                <w:szCs w:val="16"/>
              </w:rPr>
            </w:pPr>
            <w:r>
              <w:rPr>
                <w:rFonts w:ascii="Arial Narrow"/>
                <w:spacing w:val="-1"/>
                <w:sz w:val="16"/>
              </w:rPr>
              <w:t>27,224,350.16</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44" w:right="0"/>
              <w:jc w:val="center"/>
              <w:rPr>
                <w:rFonts w:ascii="Arial Narrow" w:hAnsi="Arial Narrow" w:cs="Arial Narrow" w:eastAsia="Arial Narrow" w:hint="default"/>
                <w:sz w:val="16"/>
                <w:szCs w:val="16"/>
              </w:rPr>
            </w:pPr>
            <w:r>
              <w:rPr>
                <w:rFonts w:ascii="Arial Narrow"/>
                <w:sz w:val="16"/>
              </w:rPr>
              <w:t>6,489,698.20</w:t>
            </w:r>
          </w:p>
        </w:tc>
      </w:tr>
      <w:tr>
        <w:trPr>
          <w:trHeight w:val="200" w:hRule="exact"/>
        </w:trPr>
        <w:tc>
          <w:tcPr>
            <w:tcW w:w="1666" w:type="dxa"/>
            <w:tcBorders>
              <w:top w:val="single" w:sz="6" w:space="0" w:color="000000"/>
              <w:left w:val="single" w:sz="4"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231" w:type="dxa"/>
            <w:tcBorders>
              <w:top w:val="single" w:sz="6" w:space="0" w:color="000000"/>
              <w:left w:val="single" w:sz="6" w:space="0" w:color="000000"/>
              <w:bottom w:val="single" w:sz="4" w:space="0" w:color="000000"/>
              <w:right w:val="single" w:sz="6" w:space="0" w:color="000000"/>
            </w:tcBorders>
          </w:tcPr>
          <w:p>
            <w:pPr/>
          </w:p>
        </w:tc>
        <w:tc>
          <w:tcPr>
            <w:tcW w:w="1129" w:type="dxa"/>
            <w:tcBorders>
              <w:top w:val="single" w:sz="6" w:space="0" w:color="000000"/>
              <w:left w:val="single" w:sz="6" w:space="0" w:color="000000"/>
              <w:bottom w:val="single" w:sz="4" w:space="0" w:color="000000"/>
              <w:right w:val="single" w:sz="6" w:space="0" w:color="000000"/>
            </w:tcBorders>
          </w:tcPr>
          <w:p>
            <w:pPr/>
          </w:p>
        </w:tc>
        <w:tc>
          <w:tcPr>
            <w:tcW w:w="1056" w:type="dxa"/>
            <w:tcBorders>
              <w:top w:val="single" w:sz="6" w:space="0" w:color="000000"/>
              <w:left w:val="single" w:sz="6" w:space="0" w:color="000000"/>
              <w:bottom w:val="single" w:sz="4" w:space="0" w:color="000000"/>
              <w:right w:val="single" w:sz="6" w:space="0" w:color="000000"/>
            </w:tcBorders>
          </w:tcPr>
          <w:p>
            <w:pPr/>
          </w:p>
        </w:tc>
        <w:tc>
          <w:tcPr>
            <w:tcW w:w="1131" w:type="dxa"/>
            <w:tcBorders>
              <w:top w:val="single" w:sz="6" w:space="0" w:color="000000"/>
              <w:left w:val="single" w:sz="6" w:space="0" w:color="000000"/>
              <w:bottom w:val="single" w:sz="4"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536,802.55</w:t>
            </w:r>
          </w:p>
        </w:tc>
        <w:tc>
          <w:tcPr>
            <w:tcW w:w="1056"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60" w:bottom="1380" w:left="540" w:right="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666"/>
        <w:gridCol w:w="1231"/>
        <w:gridCol w:w="1129"/>
        <w:gridCol w:w="1056"/>
        <w:gridCol w:w="1131"/>
        <w:gridCol w:w="1056"/>
        <w:gridCol w:w="1129"/>
        <w:gridCol w:w="1056"/>
        <w:gridCol w:w="1130"/>
      </w:tblGrid>
      <w:tr>
        <w:trPr>
          <w:trHeight w:val="430"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归属于母公司股东权</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益</w:t>
            </w:r>
          </w:p>
        </w:tc>
        <w:tc>
          <w:tcPr>
            <w:tcW w:w="1231" w:type="dxa"/>
            <w:tcBorders>
              <w:top w:val="single" w:sz="4" w:space="0" w:color="000000"/>
              <w:left w:val="single" w:sz="6" w:space="0" w:color="000000"/>
              <w:bottom w:val="single" w:sz="6" w:space="0" w:color="000000"/>
              <w:right w:val="single" w:sz="6" w:space="0" w:color="000000"/>
            </w:tcBorders>
          </w:tcPr>
          <w:p>
            <w:pPr>
              <w:pStyle w:val="TableParagraph"/>
              <w:spacing w:line="182" w:lineRule="exact"/>
              <w:ind w:right="100"/>
              <w:jc w:val="right"/>
              <w:rPr>
                <w:rFonts w:ascii="Arial Narrow" w:hAnsi="Arial Narrow" w:cs="Arial Narrow" w:eastAsia="Arial Narrow" w:hint="default"/>
                <w:sz w:val="16"/>
                <w:szCs w:val="16"/>
              </w:rPr>
            </w:pPr>
            <w:r>
              <w:rPr>
                <w:rFonts w:ascii="Arial Narrow"/>
                <w:spacing w:val="-1"/>
                <w:sz w:val="16"/>
              </w:rPr>
              <w:t>54,614,025.38</w:t>
            </w:r>
          </w:p>
        </w:tc>
        <w:tc>
          <w:tcPr>
            <w:tcW w:w="1129" w:type="dxa"/>
            <w:tcBorders>
              <w:top w:val="single" w:sz="4" w:space="0" w:color="000000"/>
              <w:left w:val="single" w:sz="6" w:space="0" w:color="000000"/>
              <w:bottom w:val="single" w:sz="6" w:space="0" w:color="000000"/>
              <w:right w:val="single" w:sz="6" w:space="0" w:color="000000"/>
            </w:tcBorders>
          </w:tcPr>
          <w:p>
            <w:pPr>
              <w:pStyle w:val="TableParagraph"/>
              <w:spacing w:line="182" w:lineRule="exact"/>
              <w:ind w:right="0"/>
              <w:jc w:val="center"/>
              <w:rPr>
                <w:rFonts w:ascii="Arial Narrow" w:hAnsi="Arial Narrow" w:cs="Arial Narrow" w:eastAsia="Arial Narrow" w:hint="default"/>
                <w:sz w:val="16"/>
                <w:szCs w:val="16"/>
              </w:rPr>
            </w:pPr>
            <w:r>
              <w:rPr>
                <w:rFonts w:ascii="Arial Narrow"/>
                <w:sz w:val="16"/>
              </w:rPr>
              <w:t>181,347,479.22</w:t>
            </w:r>
          </w:p>
        </w:tc>
        <w:tc>
          <w:tcPr>
            <w:tcW w:w="1056" w:type="dxa"/>
            <w:tcBorders>
              <w:top w:val="single" w:sz="4" w:space="0" w:color="000000"/>
              <w:left w:val="single" w:sz="6" w:space="0" w:color="000000"/>
              <w:bottom w:val="single" w:sz="6" w:space="0" w:color="000000"/>
              <w:right w:val="single" w:sz="6" w:space="0" w:color="000000"/>
            </w:tcBorders>
          </w:tcPr>
          <w:p>
            <w:pPr>
              <w:pStyle w:val="TableParagraph"/>
              <w:spacing w:line="182" w:lineRule="exact"/>
              <w:ind w:left="100" w:right="0"/>
              <w:jc w:val="left"/>
              <w:rPr>
                <w:rFonts w:ascii="Arial Narrow" w:hAnsi="Arial Narrow" w:cs="Arial Narrow" w:eastAsia="Arial Narrow" w:hint="default"/>
                <w:sz w:val="16"/>
                <w:szCs w:val="16"/>
              </w:rPr>
            </w:pPr>
            <w:r>
              <w:rPr>
                <w:rFonts w:ascii="Arial Narrow"/>
                <w:sz w:val="16"/>
              </w:rPr>
              <w:t>54,741,768.00</w:t>
            </w:r>
          </w:p>
        </w:tc>
        <w:tc>
          <w:tcPr>
            <w:tcW w:w="1131" w:type="dxa"/>
            <w:tcBorders>
              <w:top w:val="single" w:sz="4" w:space="0" w:color="000000"/>
              <w:left w:val="single" w:sz="6" w:space="0" w:color="000000"/>
              <w:bottom w:val="single" w:sz="6" w:space="0" w:color="000000"/>
              <w:right w:val="single" w:sz="6" w:space="0" w:color="000000"/>
            </w:tcBorders>
          </w:tcPr>
          <w:p>
            <w:pPr>
              <w:pStyle w:val="TableParagraph"/>
              <w:spacing w:line="182" w:lineRule="exact"/>
              <w:ind w:right="100"/>
              <w:jc w:val="right"/>
              <w:rPr>
                <w:rFonts w:ascii="Arial Narrow" w:hAnsi="Arial Narrow" w:cs="Arial Narrow" w:eastAsia="Arial Narrow" w:hint="default"/>
                <w:sz w:val="16"/>
                <w:szCs w:val="16"/>
              </w:rPr>
            </w:pPr>
            <w:r>
              <w:rPr>
                <w:rFonts w:ascii="Arial Narrow"/>
                <w:spacing w:val="-1"/>
                <w:sz w:val="16"/>
              </w:rPr>
              <w:t>99,608,053.57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0"/>
              <w:jc w:val="center"/>
              <w:rPr>
                <w:rFonts w:ascii="Arial Narrow" w:hAnsi="Arial Narrow" w:cs="Arial Narrow" w:eastAsia="Arial Narrow" w:hint="default"/>
                <w:sz w:val="16"/>
                <w:szCs w:val="16"/>
              </w:rPr>
            </w:pPr>
            <w:r>
              <w:rPr>
                <w:rFonts w:ascii="Arial Narrow"/>
                <w:sz w:val="16"/>
              </w:rPr>
              <w:t>53,101,751.49</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0"/>
              <w:jc w:val="center"/>
              <w:rPr>
                <w:rFonts w:ascii="Arial Narrow" w:hAnsi="Arial Narrow" w:cs="Arial Narrow" w:eastAsia="Arial Narrow" w:hint="default"/>
                <w:sz w:val="16"/>
                <w:szCs w:val="16"/>
              </w:rPr>
            </w:pPr>
            <w:r>
              <w:rPr>
                <w:rFonts w:ascii="Arial Narrow"/>
                <w:sz w:val="16"/>
              </w:rPr>
              <w:t>156,900,814.37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Arial Narrow" w:hAnsi="Arial Narrow" w:cs="Arial Narrow" w:eastAsia="Arial Narrow" w:hint="default"/>
                <w:sz w:val="16"/>
                <w:szCs w:val="16"/>
              </w:rPr>
            </w:pPr>
            <w:r>
              <w:rPr>
                <w:rFonts w:ascii="Arial Narrow"/>
                <w:spacing w:val="-1"/>
                <w:sz w:val="16"/>
              </w:rPr>
              <w:t>58,464,375.25</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100,032,763.89</w:t>
            </w:r>
          </w:p>
        </w:tc>
      </w:tr>
      <w:tr>
        <w:trPr>
          <w:trHeight w:val="199" w:hRule="exact"/>
        </w:trPr>
        <w:tc>
          <w:tcPr>
            <w:tcW w:w="1666" w:type="dxa"/>
            <w:tcBorders>
              <w:top w:val="single" w:sz="6" w:space="0" w:color="000000"/>
              <w:left w:val="single" w:sz="4"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按持股比例计算的净</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资产份额</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10,922,805.08</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72" w:right="0"/>
              <w:jc w:val="center"/>
              <w:rPr>
                <w:rFonts w:ascii="Arial Narrow" w:hAnsi="Arial Narrow" w:cs="Arial Narrow" w:eastAsia="Arial Narrow" w:hint="default"/>
                <w:sz w:val="16"/>
                <w:szCs w:val="16"/>
              </w:rPr>
            </w:pPr>
            <w:r>
              <w:rPr>
                <w:rFonts w:ascii="Arial Narrow"/>
                <w:sz w:val="16"/>
              </w:rPr>
              <w:t>36,994,885.76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100" w:right="0"/>
              <w:jc w:val="left"/>
              <w:rPr>
                <w:rFonts w:ascii="Arial Narrow" w:hAnsi="Arial Narrow" w:cs="Arial Narrow" w:eastAsia="Arial Narrow" w:hint="default"/>
                <w:sz w:val="16"/>
                <w:szCs w:val="16"/>
              </w:rPr>
            </w:pPr>
            <w:r>
              <w:rPr>
                <w:rFonts w:ascii="Arial Narrow"/>
                <w:sz w:val="16"/>
              </w:rPr>
              <w:t>27,370,884.00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44,823,624.11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0"/>
              <w:jc w:val="center"/>
              <w:rPr>
                <w:rFonts w:ascii="Arial Narrow" w:hAnsi="Arial Narrow" w:cs="Arial Narrow" w:eastAsia="Arial Narrow" w:hint="default"/>
                <w:sz w:val="16"/>
                <w:szCs w:val="16"/>
              </w:rPr>
            </w:pPr>
            <w:r>
              <w:rPr>
                <w:rFonts w:ascii="Arial Narrow"/>
                <w:sz w:val="16"/>
              </w:rPr>
              <w:t>10,620,350.30</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72" w:right="0"/>
              <w:jc w:val="center"/>
              <w:rPr>
                <w:rFonts w:ascii="Arial Narrow" w:hAnsi="Arial Narrow" w:cs="Arial Narrow" w:eastAsia="Arial Narrow" w:hint="default"/>
                <w:sz w:val="16"/>
                <w:szCs w:val="16"/>
              </w:rPr>
            </w:pPr>
            <w:r>
              <w:rPr>
                <w:rFonts w:ascii="Arial Narrow"/>
                <w:sz w:val="16"/>
              </w:rPr>
              <w:t>32,007,766.13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Arial Narrow" w:hAnsi="Arial Narrow" w:cs="Arial Narrow" w:eastAsia="Arial Narrow" w:hint="default"/>
                <w:sz w:val="16"/>
                <w:szCs w:val="16"/>
              </w:rPr>
            </w:pPr>
            <w:r>
              <w:rPr>
                <w:rFonts w:ascii="Arial Narrow"/>
                <w:spacing w:val="-1"/>
                <w:sz w:val="16"/>
              </w:rPr>
              <w:t>29,232,187.61</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45,014,743.75</w:t>
            </w:r>
          </w:p>
        </w:tc>
      </w:tr>
      <w:tr>
        <w:trPr>
          <w:trHeight w:val="223"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调整事项</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100" w:right="0"/>
              <w:jc w:val="left"/>
              <w:rPr>
                <w:rFonts w:ascii="Arial Narrow" w:hAnsi="Arial Narrow" w:cs="Arial Narrow" w:eastAsia="Arial Narrow" w:hint="default"/>
                <w:sz w:val="16"/>
                <w:szCs w:val="16"/>
              </w:rPr>
            </w:pPr>
            <w:r>
              <w:rPr>
                <w:rFonts w:ascii="Arial Narrow"/>
                <w:sz w:val="16"/>
              </w:rPr>
              <w:t>16,528,595.01</w:t>
            </w:r>
          </w:p>
        </w:tc>
        <w:tc>
          <w:tcPr>
            <w:tcW w:w="1131"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Arial Narrow" w:hAnsi="Arial Narrow" w:cs="Arial Narrow" w:eastAsia="Arial Narrow" w:hint="default"/>
                <w:sz w:val="16"/>
                <w:szCs w:val="16"/>
              </w:rPr>
            </w:pPr>
            <w:r>
              <w:rPr>
                <w:rFonts w:ascii="Arial Narrow"/>
                <w:spacing w:val="-1"/>
                <w:sz w:val="16"/>
              </w:rPr>
              <w:t>16,528,595.01</w:t>
            </w:r>
          </w:p>
        </w:tc>
        <w:tc>
          <w:tcPr>
            <w:tcW w:w="1130" w:type="dxa"/>
            <w:tcBorders>
              <w:top w:val="single" w:sz="6" w:space="0" w:color="000000"/>
              <w:left w:val="single" w:sz="6" w:space="0" w:color="000000"/>
              <w:bottom w:val="single" w:sz="6" w:space="0" w:color="000000"/>
              <w:right w:val="single" w:sz="6" w:space="0" w:color="000000"/>
            </w:tcBorders>
          </w:tcPr>
          <w:p>
            <w:pPr/>
          </w:p>
        </w:tc>
      </w:tr>
      <w:tr>
        <w:trPr>
          <w:trHeight w:val="221"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94" w:lineRule="exact"/>
              <w:ind w:left="103" w:right="0"/>
              <w:jc w:val="left"/>
              <w:rPr>
                <w:rFonts w:ascii="宋体" w:hAnsi="宋体" w:cs="宋体" w:eastAsia="宋体" w:hint="default"/>
                <w:sz w:val="16"/>
                <w:szCs w:val="16"/>
              </w:rPr>
            </w:pPr>
            <w:r>
              <w:rPr>
                <w:rFonts w:ascii="Arial Narrow" w:hAnsi="Arial Narrow" w:cs="Arial Narrow" w:eastAsia="Arial Narrow" w:hint="default"/>
                <w:sz w:val="16"/>
                <w:szCs w:val="16"/>
              </w:rPr>
              <w:t>--</w:t>
            </w:r>
            <w:r>
              <w:rPr>
                <w:rFonts w:ascii="宋体" w:hAnsi="宋体" w:cs="宋体" w:eastAsia="宋体" w:hint="default"/>
                <w:sz w:val="16"/>
                <w:szCs w:val="16"/>
              </w:rPr>
              <w:t>商誉</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100" w:right="0"/>
              <w:jc w:val="left"/>
              <w:rPr>
                <w:rFonts w:ascii="Arial Narrow" w:hAnsi="Arial Narrow" w:cs="Arial Narrow" w:eastAsia="Arial Narrow" w:hint="default"/>
                <w:sz w:val="16"/>
                <w:szCs w:val="16"/>
              </w:rPr>
            </w:pPr>
            <w:r>
              <w:rPr>
                <w:rFonts w:ascii="Arial Narrow"/>
                <w:sz w:val="16"/>
              </w:rPr>
              <w:t>16,528,595.01</w:t>
            </w:r>
          </w:p>
        </w:tc>
        <w:tc>
          <w:tcPr>
            <w:tcW w:w="1131"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Arial Narrow" w:hAnsi="Arial Narrow" w:cs="Arial Narrow" w:eastAsia="Arial Narrow" w:hint="default"/>
                <w:sz w:val="16"/>
                <w:szCs w:val="16"/>
              </w:rPr>
            </w:pPr>
            <w:r>
              <w:rPr>
                <w:rFonts w:ascii="Arial Narrow"/>
                <w:spacing w:val="-1"/>
                <w:sz w:val="16"/>
              </w:rPr>
              <w:t>16,528,595.01</w:t>
            </w:r>
          </w:p>
        </w:tc>
        <w:tc>
          <w:tcPr>
            <w:tcW w:w="1130"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9" w:lineRule="exact"/>
              <w:ind w:left="103" w:right="0"/>
              <w:jc w:val="left"/>
              <w:rPr>
                <w:rFonts w:ascii="宋体" w:hAnsi="宋体" w:cs="宋体" w:eastAsia="宋体" w:hint="default"/>
                <w:sz w:val="16"/>
                <w:szCs w:val="16"/>
              </w:rPr>
            </w:pPr>
            <w:r>
              <w:rPr>
                <w:rFonts w:ascii="Arial Narrow" w:hAnsi="Arial Narrow" w:cs="Arial Narrow" w:eastAsia="Arial Narrow" w:hint="default"/>
                <w:sz w:val="16"/>
                <w:szCs w:val="16"/>
              </w:rPr>
              <w:t>--</w:t>
            </w:r>
            <w:r>
              <w:rPr>
                <w:rFonts w:ascii="宋体" w:hAnsi="宋体" w:cs="宋体" w:eastAsia="宋体" w:hint="default"/>
                <w:sz w:val="16"/>
                <w:szCs w:val="16"/>
              </w:rPr>
              <w:t>内部交易未实现利</w:t>
            </w:r>
          </w:p>
          <w:p>
            <w:pPr>
              <w:pStyle w:val="TableParagraph"/>
              <w:spacing w:line="204"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润</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97" w:lineRule="exact"/>
              <w:ind w:left="103" w:right="0"/>
              <w:jc w:val="left"/>
              <w:rPr>
                <w:rFonts w:ascii="宋体" w:hAnsi="宋体" w:cs="宋体" w:eastAsia="宋体" w:hint="default"/>
                <w:sz w:val="16"/>
                <w:szCs w:val="16"/>
              </w:rPr>
            </w:pPr>
            <w:r>
              <w:rPr>
                <w:rFonts w:ascii="Arial Narrow" w:hAnsi="Arial Narrow" w:cs="Arial Narrow" w:eastAsia="Arial Narrow" w:hint="default"/>
                <w:sz w:val="16"/>
                <w:szCs w:val="16"/>
              </w:rPr>
              <w:t>--</w:t>
            </w:r>
            <w:r>
              <w:rPr>
                <w:rFonts w:ascii="宋体" w:hAnsi="宋体" w:cs="宋体" w:eastAsia="宋体" w:hint="default"/>
                <w:sz w:val="16"/>
                <w:szCs w:val="16"/>
              </w:rPr>
              <w:t>其他</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对联营企业权益投资</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的账面价值</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10,922,805.08</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72" w:right="0"/>
              <w:jc w:val="center"/>
              <w:rPr>
                <w:rFonts w:ascii="Arial Narrow" w:hAnsi="Arial Narrow" w:cs="Arial Narrow" w:eastAsia="Arial Narrow" w:hint="default"/>
                <w:sz w:val="16"/>
                <w:szCs w:val="16"/>
              </w:rPr>
            </w:pPr>
            <w:r>
              <w:rPr>
                <w:rFonts w:ascii="Arial Narrow"/>
                <w:sz w:val="16"/>
              </w:rPr>
              <w:t>36,994,885.76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100" w:right="0"/>
              <w:jc w:val="left"/>
              <w:rPr>
                <w:rFonts w:ascii="Arial Narrow" w:hAnsi="Arial Narrow" w:cs="Arial Narrow" w:eastAsia="Arial Narrow" w:hint="default"/>
                <w:sz w:val="16"/>
                <w:szCs w:val="16"/>
              </w:rPr>
            </w:pPr>
            <w:r>
              <w:rPr>
                <w:rFonts w:ascii="Arial Narrow"/>
                <w:sz w:val="16"/>
              </w:rPr>
              <w:t>27,370,479.01</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44,823,624.11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0"/>
              <w:jc w:val="center"/>
              <w:rPr>
                <w:rFonts w:ascii="Arial Narrow" w:hAnsi="Arial Narrow" w:cs="Arial Narrow" w:eastAsia="Arial Narrow" w:hint="default"/>
                <w:sz w:val="16"/>
                <w:szCs w:val="16"/>
              </w:rPr>
            </w:pPr>
            <w:r>
              <w:rPr>
                <w:rFonts w:ascii="Arial Narrow"/>
                <w:sz w:val="16"/>
              </w:rPr>
              <w:t>10,620,350.30</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72" w:right="0"/>
              <w:jc w:val="center"/>
              <w:rPr>
                <w:rFonts w:ascii="Arial Narrow" w:hAnsi="Arial Narrow" w:cs="Arial Narrow" w:eastAsia="Arial Narrow" w:hint="default"/>
                <w:sz w:val="16"/>
                <w:szCs w:val="16"/>
              </w:rPr>
            </w:pPr>
            <w:r>
              <w:rPr>
                <w:rFonts w:ascii="Arial Narrow"/>
                <w:sz w:val="16"/>
              </w:rPr>
              <w:t>32,007,766.13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8"/>
              <w:jc w:val="right"/>
              <w:rPr>
                <w:rFonts w:ascii="Arial Narrow" w:hAnsi="Arial Narrow" w:cs="Arial Narrow" w:eastAsia="Arial Narrow" w:hint="default"/>
                <w:sz w:val="16"/>
                <w:szCs w:val="16"/>
              </w:rPr>
            </w:pPr>
            <w:r>
              <w:rPr>
                <w:rFonts w:ascii="Arial Narrow"/>
                <w:spacing w:val="-1"/>
                <w:sz w:val="16"/>
              </w:rPr>
              <w:t>45,760,782.62</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45,014,743.75</w:t>
            </w:r>
          </w:p>
        </w:tc>
      </w:tr>
      <w:tr>
        <w:trPr>
          <w:trHeight w:val="639"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存在公开报价的联营</w:t>
            </w:r>
          </w:p>
          <w:p>
            <w:pPr>
              <w:pStyle w:val="TableParagraph"/>
              <w:spacing w:line="208" w:lineRule="exact" w:before="19"/>
              <w:ind w:left="103" w:right="106"/>
              <w:jc w:val="left"/>
              <w:rPr>
                <w:rFonts w:ascii="宋体" w:hAnsi="宋体" w:cs="宋体" w:eastAsia="宋体" w:hint="default"/>
                <w:sz w:val="16"/>
                <w:szCs w:val="16"/>
              </w:rPr>
            </w:pPr>
            <w:r>
              <w:rPr>
                <w:rFonts w:ascii="宋体" w:hAnsi="宋体" w:cs="宋体" w:eastAsia="宋体" w:hint="default"/>
                <w:sz w:val="16"/>
                <w:szCs w:val="16"/>
              </w:rPr>
              <w:t>企业权益投资的公允</w:t>
            </w:r>
            <w:r>
              <w:rPr>
                <w:rFonts w:ascii="宋体" w:hAnsi="宋体" w:cs="宋体" w:eastAsia="宋体" w:hint="default"/>
                <w:w w:val="100"/>
                <w:sz w:val="16"/>
                <w:szCs w:val="16"/>
              </w:rPr>
              <w:t> </w:t>
            </w:r>
            <w:r>
              <w:rPr>
                <w:rFonts w:ascii="宋体" w:hAnsi="宋体" w:cs="宋体" w:eastAsia="宋体" w:hint="default"/>
                <w:sz w:val="16"/>
                <w:szCs w:val="16"/>
              </w:rPr>
              <w:t>价值</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r>
      <w:tr>
        <w:trPr>
          <w:trHeight w:val="199" w:hRule="exact"/>
        </w:trPr>
        <w:tc>
          <w:tcPr>
            <w:tcW w:w="1666" w:type="dxa"/>
            <w:tcBorders>
              <w:top w:val="single" w:sz="6" w:space="0" w:color="000000"/>
              <w:left w:val="single" w:sz="4"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r>
      <w:tr>
        <w:trPr>
          <w:trHeight w:val="221"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78,158,279.42</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0"/>
              <w:jc w:val="center"/>
              <w:rPr>
                <w:rFonts w:ascii="Arial Narrow" w:hAnsi="Arial Narrow" w:cs="Arial Narrow" w:eastAsia="Arial Narrow" w:hint="default"/>
                <w:sz w:val="16"/>
                <w:szCs w:val="16"/>
              </w:rPr>
            </w:pPr>
            <w:r>
              <w:rPr>
                <w:rFonts w:ascii="Arial Narrow"/>
                <w:sz w:val="16"/>
              </w:rPr>
              <w:t>145,422,094.60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175" w:right="0"/>
              <w:jc w:val="left"/>
              <w:rPr>
                <w:rFonts w:ascii="Arial Narrow" w:hAnsi="Arial Narrow" w:cs="Arial Narrow" w:eastAsia="Arial Narrow" w:hint="default"/>
                <w:sz w:val="16"/>
                <w:szCs w:val="16"/>
              </w:rPr>
            </w:pPr>
            <w:r>
              <w:rPr>
                <w:rFonts w:ascii="Arial Narrow"/>
                <w:sz w:val="16"/>
              </w:rPr>
              <w:t>1,778,302.22</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100,849,564.27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0"/>
              <w:jc w:val="center"/>
              <w:rPr>
                <w:rFonts w:ascii="Arial Narrow" w:hAnsi="Arial Narrow" w:cs="Arial Narrow" w:eastAsia="Arial Narrow" w:hint="default"/>
                <w:sz w:val="16"/>
                <w:szCs w:val="16"/>
              </w:rPr>
            </w:pPr>
            <w:r>
              <w:rPr>
                <w:rFonts w:ascii="Arial Narrow"/>
                <w:sz w:val="16"/>
              </w:rPr>
              <w:t>61,792,606.30</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72" w:right="0"/>
              <w:jc w:val="center"/>
              <w:rPr>
                <w:rFonts w:ascii="Arial Narrow" w:hAnsi="Arial Narrow" w:cs="Arial Narrow" w:eastAsia="Arial Narrow" w:hint="default"/>
                <w:sz w:val="16"/>
                <w:szCs w:val="16"/>
              </w:rPr>
            </w:pPr>
            <w:r>
              <w:rPr>
                <w:rFonts w:ascii="Arial Narrow"/>
                <w:sz w:val="16"/>
              </w:rPr>
              <w:t>64,740,452.77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97"/>
              <w:jc w:val="right"/>
              <w:rPr>
                <w:rFonts w:ascii="Arial Narrow" w:hAnsi="Arial Narrow" w:cs="Arial Narrow" w:eastAsia="Arial Narrow" w:hint="default"/>
                <w:sz w:val="16"/>
                <w:szCs w:val="16"/>
              </w:rPr>
            </w:pPr>
            <w:r>
              <w:rPr>
                <w:rFonts w:ascii="Arial Narrow"/>
                <w:spacing w:val="-1"/>
                <w:sz w:val="16"/>
              </w:rPr>
              <w:t>3,145,902.60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12,948,025.77</w:t>
            </w:r>
          </w:p>
        </w:tc>
      </w:tr>
      <w:tr>
        <w:trPr>
          <w:trHeight w:val="223"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100"/>
              <w:jc w:val="right"/>
              <w:rPr>
                <w:rFonts w:ascii="Arial Narrow" w:hAnsi="Arial Narrow" w:cs="Arial Narrow" w:eastAsia="Arial Narrow" w:hint="default"/>
                <w:sz w:val="16"/>
                <w:szCs w:val="16"/>
              </w:rPr>
            </w:pPr>
            <w:r>
              <w:rPr>
                <w:rFonts w:ascii="Arial Narrow"/>
                <w:spacing w:val="-1"/>
                <w:sz w:val="16"/>
              </w:rPr>
              <w:t>13,512,273.89</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72" w:right="0"/>
              <w:jc w:val="center"/>
              <w:rPr>
                <w:rFonts w:ascii="Arial Narrow" w:hAnsi="Arial Narrow" w:cs="Arial Narrow" w:eastAsia="Arial Narrow" w:hint="default"/>
                <w:sz w:val="16"/>
                <w:szCs w:val="16"/>
              </w:rPr>
            </w:pPr>
            <w:r>
              <w:rPr>
                <w:rFonts w:ascii="Arial Narrow"/>
                <w:sz w:val="16"/>
              </w:rPr>
              <w:t>24,446,664.85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31" w:right="0"/>
              <w:jc w:val="left"/>
              <w:rPr>
                <w:rFonts w:ascii="Arial Narrow" w:hAnsi="Arial Narrow" w:cs="Arial Narrow" w:eastAsia="Arial Narrow" w:hint="default"/>
                <w:sz w:val="16"/>
                <w:szCs w:val="16"/>
              </w:rPr>
            </w:pPr>
            <w:r>
              <w:rPr>
                <w:rFonts w:ascii="Arial Narrow"/>
                <w:sz w:val="16"/>
              </w:rPr>
              <w:t>-3,722,607.22</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100"/>
              <w:jc w:val="right"/>
              <w:rPr>
                <w:rFonts w:ascii="Arial Narrow" w:hAnsi="Arial Narrow" w:cs="Arial Narrow" w:eastAsia="Arial Narrow" w:hint="default"/>
                <w:sz w:val="16"/>
                <w:szCs w:val="16"/>
              </w:rPr>
            </w:pPr>
            <w:r>
              <w:rPr>
                <w:rFonts w:ascii="Arial Narrow"/>
                <w:spacing w:val="-1"/>
                <w:sz w:val="16"/>
              </w:rPr>
              <w:t>-437,906.77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0"/>
              <w:jc w:val="center"/>
              <w:rPr>
                <w:rFonts w:ascii="Arial Narrow" w:hAnsi="Arial Narrow" w:cs="Arial Narrow" w:eastAsia="Arial Narrow" w:hint="default"/>
                <w:sz w:val="16"/>
                <w:szCs w:val="16"/>
              </w:rPr>
            </w:pPr>
            <w:r>
              <w:rPr>
                <w:rFonts w:ascii="Arial Narrow"/>
                <w:sz w:val="16"/>
              </w:rPr>
              <w:t>15,200,023.46</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72" w:right="0"/>
              <w:jc w:val="center"/>
              <w:rPr>
                <w:rFonts w:ascii="Arial Narrow" w:hAnsi="Arial Narrow" w:cs="Arial Narrow" w:eastAsia="Arial Narrow" w:hint="default"/>
                <w:sz w:val="16"/>
                <w:szCs w:val="16"/>
              </w:rPr>
            </w:pPr>
            <w:r>
              <w:rPr>
                <w:rFonts w:ascii="Arial Narrow"/>
                <w:sz w:val="16"/>
              </w:rPr>
              <w:t>15,197,039.97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7"/>
              <w:jc w:val="right"/>
              <w:rPr>
                <w:rFonts w:ascii="Arial Narrow" w:hAnsi="Arial Narrow" w:cs="Arial Narrow" w:eastAsia="Arial Narrow" w:hint="default"/>
                <w:sz w:val="16"/>
                <w:szCs w:val="16"/>
              </w:rPr>
            </w:pPr>
            <w:r>
              <w:rPr>
                <w:rFonts w:ascii="Arial Narrow"/>
                <w:spacing w:val="-1"/>
                <w:sz w:val="16"/>
              </w:rPr>
              <w:t>-721,409.13</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100"/>
              <w:jc w:val="right"/>
              <w:rPr>
                <w:rFonts w:ascii="Arial Narrow" w:hAnsi="Arial Narrow" w:cs="Arial Narrow" w:eastAsia="Arial Narrow" w:hint="default"/>
                <w:sz w:val="16"/>
                <w:szCs w:val="16"/>
              </w:rPr>
            </w:pPr>
            <w:r>
              <w:rPr>
                <w:rFonts w:ascii="Arial Narrow"/>
                <w:spacing w:val="-1"/>
                <w:sz w:val="16"/>
              </w:rPr>
              <w:t>32,763.89</w:t>
            </w:r>
          </w:p>
        </w:tc>
      </w:tr>
      <w:tr>
        <w:trPr>
          <w:trHeight w:val="223"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终止经营的净利润</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r>
      <w:tr>
        <w:trPr>
          <w:trHeight w:val="221"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1666" w:type="dxa"/>
            <w:tcBorders>
              <w:top w:val="single" w:sz="6" w:space="0" w:color="000000"/>
              <w:left w:val="single" w:sz="4" w:space="0" w:color="000000"/>
              <w:bottom w:val="single" w:sz="6" w:space="0" w:color="000000"/>
              <w:right w:val="single" w:sz="6"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综合收益总额</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100"/>
              <w:jc w:val="right"/>
              <w:rPr>
                <w:rFonts w:ascii="Arial Narrow" w:hAnsi="Arial Narrow" w:cs="Arial Narrow" w:eastAsia="Arial Narrow" w:hint="default"/>
                <w:sz w:val="16"/>
                <w:szCs w:val="16"/>
              </w:rPr>
            </w:pPr>
            <w:r>
              <w:rPr>
                <w:rFonts w:ascii="Arial Narrow"/>
                <w:spacing w:val="-1"/>
                <w:sz w:val="16"/>
              </w:rPr>
              <w:t>13,512,273.89</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72" w:right="0"/>
              <w:jc w:val="center"/>
              <w:rPr>
                <w:rFonts w:ascii="Arial Narrow" w:hAnsi="Arial Narrow" w:cs="Arial Narrow" w:eastAsia="Arial Narrow" w:hint="default"/>
                <w:sz w:val="16"/>
                <w:szCs w:val="16"/>
              </w:rPr>
            </w:pPr>
            <w:r>
              <w:rPr>
                <w:rFonts w:ascii="Arial Narrow"/>
                <w:sz w:val="16"/>
              </w:rPr>
              <w:t>24,446,664.85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31" w:right="0"/>
              <w:jc w:val="left"/>
              <w:rPr>
                <w:rFonts w:ascii="Arial Narrow" w:hAnsi="Arial Narrow" w:cs="Arial Narrow" w:eastAsia="Arial Narrow" w:hint="default"/>
                <w:sz w:val="16"/>
                <w:szCs w:val="16"/>
              </w:rPr>
            </w:pPr>
            <w:r>
              <w:rPr>
                <w:rFonts w:ascii="Arial Narrow"/>
                <w:sz w:val="16"/>
              </w:rPr>
              <w:t>-3,722,607.22</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100"/>
              <w:jc w:val="right"/>
              <w:rPr>
                <w:rFonts w:ascii="Arial Narrow" w:hAnsi="Arial Narrow" w:cs="Arial Narrow" w:eastAsia="Arial Narrow" w:hint="default"/>
                <w:sz w:val="16"/>
                <w:szCs w:val="16"/>
              </w:rPr>
            </w:pPr>
            <w:r>
              <w:rPr>
                <w:rFonts w:ascii="Arial Narrow"/>
                <w:spacing w:val="-1"/>
                <w:sz w:val="16"/>
              </w:rPr>
              <w:t>-437,906.77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0"/>
              <w:jc w:val="center"/>
              <w:rPr>
                <w:rFonts w:ascii="Arial Narrow" w:hAnsi="Arial Narrow" w:cs="Arial Narrow" w:eastAsia="Arial Narrow" w:hint="default"/>
                <w:sz w:val="16"/>
                <w:szCs w:val="16"/>
              </w:rPr>
            </w:pPr>
            <w:r>
              <w:rPr>
                <w:rFonts w:ascii="Arial Narrow"/>
                <w:sz w:val="16"/>
              </w:rPr>
              <w:t>15,200,023.46</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72" w:right="0"/>
              <w:jc w:val="center"/>
              <w:rPr>
                <w:rFonts w:ascii="Arial Narrow" w:hAnsi="Arial Narrow" w:cs="Arial Narrow" w:eastAsia="Arial Narrow" w:hint="default"/>
                <w:sz w:val="16"/>
                <w:szCs w:val="16"/>
              </w:rPr>
            </w:pPr>
            <w:r>
              <w:rPr>
                <w:rFonts w:ascii="Arial Narrow"/>
                <w:sz w:val="16"/>
              </w:rPr>
              <w:t>15,197,039.97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7"/>
              <w:jc w:val="right"/>
              <w:rPr>
                <w:rFonts w:ascii="Arial Narrow" w:hAnsi="Arial Narrow" w:cs="Arial Narrow" w:eastAsia="Arial Narrow" w:hint="default"/>
                <w:sz w:val="16"/>
                <w:szCs w:val="16"/>
              </w:rPr>
            </w:pPr>
            <w:r>
              <w:rPr>
                <w:rFonts w:ascii="Arial Narrow"/>
                <w:spacing w:val="-1"/>
                <w:sz w:val="16"/>
              </w:rPr>
              <w:t>-721,409.13</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100"/>
              <w:jc w:val="right"/>
              <w:rPr>
                <w:rFonts w:ascii="Arial Narrow" w:hAnsi="Arial Narrow" w:cs="Arial Narrow" w:eastAsia="Arial Narrow" w:hint="default"/>
                <w:sz w:val="16"/>
                <w:szCs w:val="16"/>
              </w:rPr>
            </w:pPr>
            <w:r>
              <w:rPr>
                <w:rFonts w:ascii="Arial Narrow"/>
                <w:spacing w:val="-1"/>
                <w:sz w:val="16"/>
              </w:rPr>
              <w:t>32,763.89</w:t>
            </w:r>
          </w:p>
        </w:tc>
      </w:tr>
      <w:tr>
        <w:trPr>
          <w:trHeight w:val="199" w:hRule="exact"/>
        </w:trPr>
        <w:tc>
          <w:tcPr>
            <w:tcW w:w="1666" w:type="dxa"/>
            <w:tcBorders>
              <w:top w:val="single" w:sz="6" w:space="0" w:color="000000"/>
              <w:left w:val="single" w:sz="4"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666" w:type="dxa"/>
            <w:tcBorders>
              <w:top w:val="single" w:sz="6" w:space="0" w:color="000000"/>
              <w:left w:val="single" w:sz="4" w:space="0" w:color="000000"/>
              <w:bottom w:val="single" w:sz="4"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本年度收到的来自联</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营企业的股利</w:t>
            </w:r>
          </w:p>
        </w:tc>
        <w:tc>
          <w:tcPr>
            <w:tcW w:w="1231" w:type="dxa"/>
            <w:tcBorders>
              <w:top w:val="single" w:sz="6" w:space="0" w:color="000000"/>
              <w:left w:val="single" w:sz="6" w:space="0" w:color="000000"/>
              <w:bottom w:val="single" w:sz="4" w:space="0" w:color="000000"/>
              <w:right w:val="single" w:sz="6" w:space="0" w:color="000000"/>
            </w:tcBorders>
          </w:tcPr>
          <w:p>
            <w:pPr>
              <w:pStyle w:val="TableParagraph"/>
              <w:spacing w:line="180" w:lineRule="exact"/>
              <w:ind w:right="100"/>
              <w:jc w:val="right"/>
              <w:rPr>
                <w:rFonts w:ascii="Arial Narrow" w:hAnsi="Arial Narrow" w:cs="Arial Narrow" w:eastAsia="Arial Narrow" w:hint="default"/>
                <w:sz w:val="16"/>
                <w:szCs w:val="16"/>
              </w:rPr>
            </w:pPr>
            <w:r>
              <w:rPr>
                <w:rFonts w:ascii="Arial Narrow"/>
                <w:spacing w:val="-1"/>
                <w:sz w:val="16"/>
              </w:rPr>
              <w:t>2,400,000.00</w:t>
            </w:r>
          </w:p>
        </w:tc>
        <w:tc>
          <w:tcPr>
            <w:tcW w:w="1129" w:type="dxa"/>
            <w:tcBorders>
              <w:top w:val="single" w:sz="6" w:space="0" w:color="000000"/>
              <w:left w:val="single" w:sz="6" w:space="0" w:color="000000"/>
              <w:bottom w:val="single" w:sz="4" w:space="0" w:color="000000"/>
              <w:right w:val="single" w:sz="6" w:space="0" w:color="000000"/>
            </w:tcBorders>
          </w:tcPr>
          <w:p>
            <w:pPr/>
          </w:p>
        </w:tc>
        <w:tc>
          <w:tcPr>
            <w:tcW w:w="1056" w:type="dxa"/>
            <w:tcBorders>
              <w:top w:val="single" w:sz="6" w:space="0" w:color="000000"/>
              <w:left w:val="single" w:sz="6" w:space="0" w:color="000000"/>
              <w:bottom w:val="single" w:sz="4" w:space="0" w:color="000000"/>
              <w:right w:val="single" w:sz="6" w:space="0" w:color="000000"/>
            </w:tcBorders>
          </w:tcPr>
          <w:p>
            <w:pPr/>
          </w:p>
        </w:tc>
        <w:tc>
          <w:tcPr>
            <w:tcW w:w="1131" w:type="dxa"/>
            <w:tcBorders>
              <w:top w:val="single" w:sz="6" w:space="0" w:color="000000"/>
              <w:left w:val="single" w:sz="6" w:space="0" w:color="000000"/>
              <w:bottom w:val="single" w:sz="4" w:space="0" w:color="000000"/>
              <w:right w:val="single" w:sz="6" w:space="0" w:color="000000"/>
            </w:tcBorders>
          </w:tcPr>
          <w:p>
            <w:pPr/>
          </w:p>
        </w:tc>
        <w:tc>
          <w:tcPr>
            <w:tcW w:w="1056" w:type="dxa"/>
            <w:tcBorders>
              <w:top w:val="single" w:sz="6" w:space="0" w:color="000000"/>
              <w:left w:val="single" w:sz="6" w:space="0" w:color="000000"/>
              <w:bottom w:val="single" w:sz="4" w:space="0" w:color="000000"/>
              <w:right w:val="single" w:sz="6" w:space="0" w:color="000000"/>
            </w:tcBorders>
          </w:tcPr>
          <w:p>
            <w:pPr>
              <w:pStyle w:val="TableParagraph"/>
              <w:spacing w:line="180" w:lineRule="exact"/>
              <w:ind w:left="75" w:right="0"/>
              <w:jc w:val="center"/>
              <w:rPr>
                <w:rFonts w:ascii="Arial Narrow" w:hAnsi="Arial Narrow" w:cs="Arial Narrow" w:eastAsia="Arial Narrow" w:hint="default"/>
                <w:sz w:val="16"/>
                <w:szCs w:val="16"/>
              </w:rPr>
            </w:pPr>
            <w:r>
              <w:rPr>
                <w:rFonts w:ascii="Arial Narrow"/>
                <w:sz w:val="16"/>
              </w:rPr>
              <w:t>2,560,000.00</w:t>
            </w:r>
          </w:p>
        </w:tc>
        <w:tc>
          <w:tcPr>
            <w:tcW w:w="1129" w:type="dxa"/>
            <w:tcBorders>
              <w:top w:val="single" w:sz="6" w:space="0" w:color="000000"/>
              <w:left w:val="single" w:sz="6" w:space="0" w:color="000000"/>
              <w:bottom w:val="single" w:sz="4" w:space="0" w:color="000000"/>
              <w:right w:val="single" w:sz="6" w:space="0" w:color="000000"/>
            </w:tcBorders>
          </w:tcPr>
          <w:p>
            <w:pPr/>
          </w:p>
        </w:tc>
        <w:tc>
          <w:tcPr>
            <w:tcW w:w="1056" w:type="dxa"/>
            <w:tcBorders>
              <w:top w:val="single" w:sz="6" w:space="0" w:color="000000"/>
              <w:left w:val="single" w:sz="6" w:space="0" w:color="000000"/>
              <w:bottom w:val="single" w:sz="4" w:space="0" w:color="000000"/>
              <w:right w:val="single" w:sz="6" w:space="0" w:color="000000"/>
            </w:tcBorders>
          </w:tcPr>
          <w:p>
            <w:pPr/>
          </w:p>
        </w:tc>
        <w:tc>
          <w:tcPr>
            <w:tcW w:w="1130"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540" w:right="540"/>
        </w:sectPr>
      </w:pPr>
    </w:p>
    <w:p>
      <w:pPr>
        <w:pStyle w:val="Heading2"/>
        <w:spacing w:line="240" w:lineRule="auto" w:before="36"/>
        <w:ind w:left="900" w:right="0"/>
        <w:jc w:val="left"/>
        <w:rPr>
          <w:b w:val="0"/>
          <w:bCs w:val="0"/>
        </w:rPr>
      </w:pP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tabs>
          <w:tab w:pos="1742" w:val="left" w:leader="none"/>
        </w:tabs>
        <w:spacing w:line="240" w:lineRule="auto" w:before="56"/>
        <w:ind w:left="90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952" w:val="left" w:leader="none"/>
        </w:tabs>
        <w:spacing w:line="240" w:lineRule="auto"/>
        <w:ind w:left="900" w:right="0"/>
        <w:jc w:val="left"/>
      </w:pPr>
      <w:r>
        <w:rPr>
          <w:spacing w:val="-1"/>
        </w:rPr>
        <w:t>单位：元</w:t>
        <w:tab/>
      </w:r>
      <w:r>
        <w:rPr>
          <w:spacing w:val="-2"/>
        </w:rPr>
        <w:t>币种：人民币</w:t>
      </w:r>
    </w:p>
    <w:p>
      <w:pPr>
        <w:spacing w:after="0" w:line="240" w:lineRule="auto"/>
        <w:jc w:val="left"/>
        <w:sectPr>
          <w:type w:val="continuous"/>
          <w:pgSz w:w="11910" w:h="16840"/>
          <w:pgMar w:top="1060" w:bottom="1380" w:left="540" w:right="540"/>
          <w:cols w:num="2" w:equalWidth="0">
            <w:col w:w="5545" w:space="1171"/>
            <w:col w:w="4114"/>
          </w:cols>
        </w:sectPr>
      </w:pPr>
    </w:p>
    <w:p>
      <w:pPr>
        <w:spacing w:line="240" w:lineRule="auto" w:before="4"/>
        <w:rPr>
          <w:rFonts w:ascii="宋体" w:hAnsi="宋体" w:cs="宋体" w:eastAsia="宋体" w:hint="default"/>
          <w:sz w:val="2"/>
          <w:szCs w:val="2"/>
        </w:rPr>
      </w:pPr>
    </w:p>
    <w:tbl>
      <w:tblPr>
        <w:tblW w:w="0" w:type="auto"/>
        <w:jc w:val="left"/>
        <w:tblInd w:w="787" w:type="dxa"/>
        <w:tblLayout w:type="fixed"/>
        <w:tblCellMar>
          <w:top w:w="0" w:type="dxa"/>
          <w:left w:w="0" w:type="dxa"/>
          <w:bottom w:w="0" w:type="dxa"/>
          <w:right w:w="0" w:type="dxa"/>
        </w:tblCellMar>
        <w:tblLook w:val="01E0"/>
      </w:tblPr>
      <w:tblGrid>
        <w:gridCol w:w="3877"/>
        <w:gridCol w:w="2748"/>
        <w:gridCol w:w="2619"/>
      </w:tblGrid>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748"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
        </w:tc>
        <w:tc>
          <w:tcPr>
            <w:tcW w:w="2748"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20,386,141.76</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5,293,131.09</w:t>
            </w: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748"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786,946.63</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-2,548,620.17</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748"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786,946.63</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-2,548,620.17</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
        </w:tc>
        <w:tc>
          <w:tcPr>
            <w:tcW w:w="2748"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748"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
        </w:tc>
        <w:tc>
          <w:tcPr>
            <w:tcW w:w="2748"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85,405,164.50</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86,266,008.57</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748"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-2,414,265.59</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-637,220.29</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5"/>
              <w:jc w:val="right"/>
              <w:rPr>
                <w:rFonts w:ascii="宋体" w:hAnsi="宋体" w:cs="宋体" w:eastAsia="宋体" w:hint="default"/>
                <w:sz w:val="21"/>
                <w:szCs w:val="21"/>
              </w:rPr>
            </w:pPr>
            <w:r>
              <w:rPr>
                <w:rFonts w:ascii="宋体"/>
                <w:w w:val="100"/>
                <w:sz w:val="21"/>
              </w:rPr>
              <w:t>-</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21,163,104.62</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-2,414,265.59</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20,525,884.33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900" w:right="0"/>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pStyle w:val="BodyText"/>
        <w:tabs>
          <w:tab w:pos="1742" w:val="left" w:leader="none"/>
        </w:tabs>
        <w:spacing w:line="240" w:lineRule="auto" w:before="56"/>
        <w:ind w:left="900" w:right="0"/>
        <w:jc w:val="left"/>
      </w:pPr>
      <w:r>
        <w:rPr/>
        <w:t>□适用</w:t>
        <w:tab/>
        <w:t>√不适用</w:t>
      </w:r>
    </w:p>
    <w:p>
      <w:pPr>
        <w:spacing w:after="0" w:line="240" w:lineRule="auto"/>
        <w:jc w:val="left"/>
        <w:sectPr>
          <w:type w:val="continuous"/>
          <w:pgSz w:w="11910" w:h="16840"/>
          <w:pgMar w:top="1060" w:bottom="1380" w:left="540" w:right="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220" w:right="1220"/>
        </w:sectPr>
      </w:pPr>
    </w:p>
    <w:p>
      <w:pPr>
        <w:pStyle w:val="Heading2"/>
        <w:spacing w:line="240" w:lineRule="auto" w:before="36"/>
        <w:ind w:right="0"/>
        <w:jc w:val="left"/>
        <w:rPr>
          <w:b w:val="0"/>
          <w:bCs w:val="0"/>
        </w:rPr>
      </w:pPr>
      <w:r>
        <w:rPr>
          <w:rFonts w:ascii="宋体" w:hAnsi="宋体" w:cs="宋体" w:eastAsia="宋体" w:hint="default"/>
          <w:spacing w:val="-1"/>
        </w:rPr>
        <w:t>(6).</w:t>
      </w:r>
      <w:r>
        <w:rPr>
          <w:spacing w:val="-1"/>
        </w:rPr>
        <w:t>合营企业或联营企业发生的超额亏损</w:t>
      </w:r>
      <w:r>
        <w:rPr>
          <w:b w:val="0"/>
          <w:bCs w:val="0"/>
          <w:spacing w:val="-1"/>
        </w:rPr>
      </w:r>
    </w:p>
    <w:p>
      <w:pPr>
        <w:pStyle w:val="BodyText"/>
        <w:tabs>
          <w:tab w:pos="1062" w:val="left" w:leader="none"/>
        </w:tabs>
        <w:spacing w:line="240" w:lineRule="auto" w:before="56"/>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6"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220" w:right="1220"/>
          <w:cols w:num="2" w:equalWidth="0">
            <w:col w:w="4020" w:space="2907"/>
            <w:col w:w="2543"/>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08"/>
        <w:gridCol w:w="2026"/>
        <w:gridCol w:w="2172"/>
        <w:gridCol w:w="2038"/>
      </w:tblGrid>
      <w:tr>
        <w:trPr>
          <w:trHeight w:val="830" w:hRule="exact"/>
        </w:trPr>
        <w:tc>
          <w:tcPr>
            <w:tcW w:w="30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202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2"/>
              <w:ind w:left="585" w:right="161" w:hanging="420"/>
              <w:jc w:val="left"/>
              <w:rPr>
                <w:rFonts w:ascii="宋体" w:hAnsi="宋体" w:cs="宋体" w:eastAsia="宋体" w:hint="default"/>
                <w:sz w:val="21"/>
                <w:szCs w:val="21"/>
              </w:rPr>
            </w:pPr>
            <w:r>
              <w:rPr>
                <w:rFonts w:ascii="宋体" w:hAnsi="宋体" w:cs="宋体" w:eastAsia="宋体" w:hint="default"/>
                <w:sz w:val="21"/>
                <w:szCs w:val="21"/>
              </w:rPr>
              <w:t>累积未确认前期累</w:t>
            </w:r>
            <w:r>
              <w:rPr>
                <w:rFonts w:ascii="宋体" w:hAnsi="宋体" w:cs="宋体" w:eastAsia="宋体" w:hint="default"/>
                <w:w w:val="100"/>
                <w:sz w:val="21"/>
                <w:szCs w:val="21"/>
              </w:rPr>
              <w:t> </w:t>
            </w:r>
            <w:r>
              <w:rPr>
                <w:rFonts w:ascii="宋体" w:hAnsi="宋体" w:cs="宋体" w:eastAsia="宋体" w:hint="default"/>
                <w:sz w:val="21"/>
                <w:szCs w:val="21"/>
              </w:rPr>
              <w:t>计的损失</w:t>
            </w:r>
          </w:p>
        </w:tc>
        <w:tc>
          <w:tcPr>
            <w:tcW w:w="2172"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2" w:lineRule="exact" w:before="27"/>
              <w:ind w:left="132" w:right="129"/>
              <w:jc w:val="center"/>
              <w:rPr>
                <w:rFonts w:ascii="宋体" w:hAnsi="宋体" w:cs="宋体" w:eastAsia="宋体" w:hint="default"/>
                <w:sz w:val="21"/>
                <w:szCs w:val="21"/>
              </w:rPr>
            </w:pPr>
            <w:r>
              <w:rPr>
                <w:rFonts w:ascii="宋体" w:hAnsi="宋体" w:cs="宋体" w:eastAsia="宋体" w:hint="default"/>
                <w:spacing w:val="-1"/>
                <w:sz w:val="21"/>
                <w:szCs w:val="21"/>
              </w:rPr>
              <w:t>（或本期分享的净利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2038"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2"/>
              <w:ind w:left="696" w:right="171" w:hanging="527"/>
              <w:jc w:val="left"/>
              <w:rPr>
                <w:rFonts w:ascii="宋体" w:hAnsi="宋体" w:cs="宋体" w:eastAsia="宋体" w:hint="default"/>
                <w:sz w:val="21"/>
                <w:szCs w:val="21"/>
              </w:rPr>
            </w:pPr>
            <w:r>
              <w:rPr>
                <w:rFonts w:ascii="宋体" w:hAnsi="宋体" w:cs="宋体" w:eastAsia="宋体" w:hint="default"/>
                <w:sz w:val="21"/>
                <w:szCs w:val="21"/>
              </w:rPr>
              <w:t>本期末累积未确认</w:t>
            </w:r>
            <w:r>
              <w:rPr>
                <w:rFonts w:ascii="宋体" w:hAnsi="宋体" w:cs="宋体" w:eastAsia="宋体" w:hint="default"/>
                <w:w w:val="100"/>
                <w:sz w:val="21"/>
                <w:szCs w:val="21"/>
              </w:rPr>
              <w:t> </w:t>
            </w:r>
            <w:r>
              <w:rPr>
                <w:rFonts w:ascii="宋体" w:hAnsi="宋体" w:cs="宋体" w:eastAsia="宋体" w:hint="default"/>
                <w:sz w:val="21"/>
                <w:szCs w:val="21"/>
              </w:rPr>
              <w:t>的损失</w:t>
            </w:r>
          </w:p>
        </w:tc>
      </w:tr>
      <w:tr>
        <w:trPr>
          <w:trHeight w:val="288" w:hRule="exact"/>
        </w:trPr>
        <w:tc>
          <w:tcPr>
            <w:tcW w:w="300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贵州文轩</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5,557,990.70</w:t>
            </w:r>
          </w:p>
        </w:tc>
        <w:tc>
          <w:tcPr>
            <w:tcW w:w="217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5,557,990.70</w:t>
            </w:r>
          </w:p>
        </w:tc>
      </w:tr>
      <w:tr>
        <w:trPr>
          <w:trHeight w:val="286" w:hRule="exact"/>
        </w:trPr>
        <w:tc>
          <w:tcPr>
            <w:tcW w:w="300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教育论坛</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106,711.55</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2" w:right="0"/>
              <w:jc w:val="left"/>
              <w:rPr>
                <w:rFonts w:ascii="宋体" w:hAnsi="宋体" w:cs="宋体" w:eastAsia="宋体" w:hint="default"/>
                <w:sz w:val="21"/>
                <w:szCs w:val="21"/>
              </w:rPr>
            </w:pPr>
            <w:r>
              <w:rPr>
                <w:rFonts w:ascii="宋体"/>
                <w:sz w:val="21"/>
              </w:rPr>
              <w:t>-106,711.55</w:t>
            </w:r>
          </w:p>
        </w:tc>
        <w:tc>
          <w:tcPr>
            <w:tcW w:w="2038"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00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四川骄阳似火影业有限公司</w:t>
            </w:r>
          </w:p>
        </w:tc>
        <w:tc>
          <w:tcPr>
            <w:tcW w:w="2026"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00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2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5,664,702.25</w:t>
            </w:r>
          </w:p>
        </w:tc>
        <w:tc>
          <w:tcPr>
            <w:tcW w:w="2172" w:type="dxa"/>
            <w:tcBorders>
              <w:top w:val="single" w:sz="6" w:space="0" w:color="000000"/>
              <w:left w:val="single" w:sz="6" w:space="0" w:color="000000"/>
              <w:bottom w:val="single" w:sz="4" w:space="0" w:color="000000"/>
              <w:right w:val="single" w:sz="6" w:space="0" w:color="000000"/>
            </w:tcBorders>
          </w:tcPr>
          <w:p>
            <w:pPr/>
          </w:p>
        </w:tc>
        <w:tc>
          <w:tcPr>
            <w:tcW w:w="2038"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5,557,990.70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before="36"/>
        <w:ind w:right="0"/>
        <w:jc w:val="both"/>
        <w:rPr>
          <w:b w:val="0"/>
          <w:bCs w:val="0"/>
        </w:rPr>
      </w:pPr>
      <w:r>
        <w:rPr>
          <w:rFonts w:ascii="宋体" w:hAnsi="宋体" w:cs="宋体" w:eastAsia="宋体" w:hint="default"/>
        </w:rPr>
        <w:t>(7).</w:t>
      </w:r>
      <w:r>
        <w:rPr/>
        <w:t>与合营企业投资相关的未确认承诺</w:t>
      </w:r>
      <w:r>
        <w:rPr>
          <w:b w:val="0"/>
          <w:bCs w:val="0"/>
        </w:rPr>
      </w:r>
    </w:p>
    <w:p>
      <w:pPr>
        <w:pStyle w:val="BodyText"/>
        <w:spacing w:line="240" w:lineRule="auto" w:before="56"/>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(8).</w:t>
      </w:r>
      <w:r>
        <w:rPr/>
        <w:t>与合营企业或联营企业投资相关的或有负债</w:t>
      </w:r>
      <w:r>
        <w:rPr>
          <w:b w:val="0"/>
          <w:bCs w:val="0"/>
        </w:rPr>
      </w:r>
    </w:p>
    <w:p>
      <w:pPr>
        <w:pStyle w:val="BodyText"/>
        <w:spacing w:line="240" w:lineRule="auto" w:before="58"/>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right="0"/>
        <w:jc w:val="both"/>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90" w:lineRule="auto" w:before="0"/>
        <w:ind w:left="220" w:right="416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9" w:lineRule="exact"/>
        <w:ind w:right="0"/>
        <w:jc w:val="both"/>
      </w:pPr>
      <w:r>
        <w:rPr/>
        <w:t>□适用 √不适用</w:t>
      </w:r>
    </w:p>
    <w:p>
      <w:pPr>
        <w:spacing w:line="240" w:lineRule="auto" w:before="0"/>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十、与金融工具相关的风险</w:t>
      </w:r>
      <w:r>
        <w:rPr>
          <w:b w:val="0"/>
          <w:bCs w:val="0"/>
        </w:rPr>
      </w:r>
    </w:p>
    <w:p>
      <w:pPr>
        <w:pStyle w:val="BodyText"/>
        <w:spacing w:line="240" w:lineRule="auto" w:before="56"/>
        <w:ind w:left="645" w:right="205" w:hanging="425"/>
        <w:jc w:val="left"/>
      </w:pPr>
      <w:r>
        <w:rPr/>
        <w:t>√适用</w:t>
      </w:r>
      <w:r>
        <w:rPr>
          <w:spacing w:val="-2"/>
        </w:rPr>
        <w:t> </w:t>
      </w:r>
      <w:r>
        <w:rPr/>
        <w:t>□不适用</w:t>
      </w:r>
      <w:r>
        <w:rPr>
          <w:spacing w:val="-103"/>
        </w:rPr>
        <w:t> </w:t>
      </w:r>
      <w:r>
        <w:rPr>
          <w:spacing w:val="-103"/>
        </w:rPr>
      </w:r>
      <w:r>
        <w:rPr>
          <w:spacing w:val="-2"/>
        </w:rPr>
        <w:t>本集团的主要金融工具包括货币资金、以摊余成本计量的金融资产、以公允价值计量且其变动</w:t>
      </w:r>
    </w:p>
    <w:p>
      <w:pPr>
        <w:pStyle w:val="BodyText"/>
        <w:spacing w:line="357" w:lineRule="auto" w:before="133"/>
        <w:ind w:right="211"/>
        <w:jc w:val="both"/>
      </w:pPr>
      <w:r>
        <w:rPr>
          <w:spacing w:val="-2"/>
        </w:rPr>
        <w:t>计入当期损益的金融资产、其他权益工具投资以及应付款项等，与这些金融工具有关的风险，以及</w:t>
      </w:r>
      <w:r>
        <w:rPr>
          <w:spacing w:val="-32"/>
        </w:rPr>
        <w:t> </w:t>
      </w:r>
      <w:r>
        <w:rPr>
          <w:spacing w:val="-32"/>
        </w:rPr>
      </w:r>
      <w:r>
        <w:rPr>
          <w:spacing w:val="-2"/>
        </w:rPr>
        <w:t>本集团为降低这些风险所采取的风险管理政策如下所述。本集团管理层对这些风险敞口进行管理和</w:t>
      </w:r>
      <w:r>
        <w:rPr>
          <w:spacing w:val="-30"/>
        </w:rPr>
        <w:t> </w:t>
      </w:r>
      <w:r>
        <w:rPr>
          <w:spacing w:val="-30"/>
        </w:rPr>
      </w:r>
      <w:r>
        <w:rPr/>
        <w:t>监控以确保将这些风险控制在限定的范围之内。</w:t>
      </w:r>
    </w:p>
    <w:p>
      <w:pPr>
        <w:pStyle w:val="BodyText"/>
        <w:spacing w:line="240" w:lineRule="auto" w:before="30"/>
        <w:ind w:left="645" w:right="205"/>
        <w:jc w:val="left"/>
      </w:pPr>
      <w:r>
        <w:rPr>
          <w:rFonts w:ascii="宋体" w:hAnsi="宋体" w:cs="宋体" w:eastAsia="宋体" w:hint="default"/>
        </w:rPr>
        <w:t>1</w:t>
      </w:r>
      <w:r>
        <w:rPr/>
        <w:t>、风险管理目标和政策</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right="205" w:firstLine="424"/>
        <w:jc w:val="left"/>
      </w:pPr>
      <w:r>
        <w:rPr>
          <w:spacing w:val="-2"/>
        </w:rPr>
        <w:t>本集团从事风险管理的目标是在风险和收益之间取得适当的平衡，将风险对本集团经营业绩的</w:t>
      </w:r>
      <w:r>
        <w:rPr>
          <w:w w:val="100"/>
        </w:rPr>
        <w:t> </w:t>
      </w:r>
      <w:r>
        <w:rPr>
          <w:spacing w:val="-2"/>
        </w:rPr>
        <w:t>负面影响降低到最低水平，使股东的利益最大化。基于该风险管理目标，本集团风险管理的基本策</w:t>
      </w:r>
    </w:p>
    <w:p>
      <w:pPr>
        <w:spacing w:after="0" w:line="355" w:lineRule="auto"/>
        <w:jc w:val="left"/>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340" w:right="0"/>
        <w:jc w:val="left"/>
      </w:pPr>
      <w:r>
        <w:rPr>
          <w:spacing w:val="-2"/>
        </w:rPr>
        <w:t>略是确定和分析所面临的各种风险，建立适当的风险承受底线和进行风险管理，并及时可靠地对各</w:t>
      </w:r>
      <w:r>
        <w:rPr>
          <w:spacing w:val="-30"/>
        </w:rPr>
        <w:t> </w:t>
      </w:r>
      <w:r>
        <w:rPr>
          <w:spacing w:val="-30"/>
        </w:rPr>
      </w:r>
      <w:r>
        <w:rPr/>
        <w:t>种风险进行监督，将风险控制在限定的范围之内。</w:t>
      </w:r>
    </w:p>
    <w:p>
      <w:pPr>
        <w:pStyle w:val="BodyText"/>
        <w:spacing w:line="240" w:lineRule="auto" w:before="32"/>
        <w:ind w:left="765" w:right="0"/>
        <w:jc w:val="left"/>
      </w:pPr>
      <w:r>
        <w:rPr>
          <w:rFonts w:ascii="宋体" w:hAnsi="宋体" w:cs="宋体" w:eastAsia="宋体" w:hint="default"/>
        </w:rPr>
        <w:t>1.1</w:t>
      </w:r>
      <w:r>
        <w:rPr>
          <w:rFonts w:ascii="宋体" w:hAnsi="宋体" w:cs="宋体" w:eastAsia="宋体" w:hint="default"/>
          <w:spacing w:val="-53"/>
        </w:rPr>
        <w:t> </w:t>
      </w:r>
      <w:r>
        <w:rPr/>
        <w:t>市场风险</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ind w:left="765" w:right="0"/>
        <w:jc w:val="left"/>
      </w:pPr>
      <w:r>
        <w:rPr>
          <w:rFonts w:ascii="宋体" w:hAnsi="宋体" w:cs="宋体" w:eastAsia="宋体" w:hint="default"/>
        </w:rPr>
        <w:t>1.1.1</w:t>
      </w:r>
      <w:r>
        <w:rPr>
          <w:rFonts w:ascii="宋体" w:hAnsi="宋体" w:cs="宋体" w:eastAsia="宋体" w:hint="default"/>
          <w:spacing w:val="-55"/>
        </w:rPr>
        <w:t> </w:t>
      </w:r>
      <w:r>
        <w:rPr/>
        <w:t>外汇风险</w:t>
      </w:r>
      <w:r>
        <w:rPr>
          <w:spacing w:val="-101"/>
        </w:rPr>
        <w:t> </w:t>
      </w:r>
      <w:r>
        <w:rPr>
          <w:spacing w:val="-101"/>
        </w:rPr>
      </w:r>
      <w:r>
        <w:rPr>
          <w:spacing w:val="-2"/>
        </w:rPr>
        <w:t>本集团的业务主要位于中国，本集团的销售及采购主要以人民币进行结算。于各个资产负债表</w:t>
      </w:r>
    </w:p>
    <w:p>
      <w:pPr>
        <w:pStyle w:val="BodyText"/>
        <w:spacing w:line="355" w:lineRule="auto" w:before="32"/>
        <w:ind w:left="340" w:right="0"/>
        <w:jc w:val="left"/>
      </w:pPr>
      <w:r>
        <w:rPr>
          <w:spacing w:val="-2"/>
        </w:rPr>
        <w:t>时点日，除下表所述资产外，本集团的所有资产及负债均为人民币余额。管理层认为人民币汇率变</w:t>
      </w:r>
      <w:r>
        <w:rPr>
          <w:spacing w:val="-33"/>
        </w:rPr>
        <w:t> </w:t>
      </w:r>
      <w:r>
        <w:rPr>
          <w:spacing w:val="-33"/>
        </w:rPr>
      </w:r>
      <w:r>
        <w:rPr/>
        <w:t>动对本集团的净利润及股东权益并无重大影响。</w:t>
      </w:r>
    </w:p>
    <w:p>
      <w:pPr>
        <w:pStyle w:val="BodyText"/>
        <w:spacing w:line="240" w:lineRule="auto" w:before="33"/>
        <w:ind w:left="0" w:right="353"/>
        <w:jc w:val="right"/>
      </w:pPr>
      <w:r>
        <w:rPr>
          <w:spacing w:val="-1"/>
        </w:rPr>
        <w:t>人民币元</w:t>
      </w:r>
    </w:p>
    <w:p>
      <w:pPr>
        <w:spacing w:line="240" w:lineRule="auto" w:before="13"/>
        <w:rPr>
          <w:rFonts w:ascii="宋体" w:hAnsi="宋体" w:cs="宋体" w:eastAsia="宋体" w:hint="default"/>
          <w:sz w:val="12"/>
          <w:szCs w:val="12"/>
        </w:rPr>
      </w:pPr>
    </w:p>
    <w:tbl>
      <w:tblPr>
        <w:tblW w:w="0" w:type="auto"/>
        <w:jc w:val="left"/>
        <w:tblInd w:w="232" w:type="dxa"/>
        <w:tblLayout w:type="fixed"/>
        <w:tblCellMar>
          <w:top w:w="0" w:type="dxa"/>
          <w:left w:w="0" w:type="dxa"/>
          <w:bottom w:w="0" w:type="dxa"/>
          <w:right w:w="0" w:type="dxa"/>
        </w:tblCellMar>
        <w:tblLook w:val="01E0"/>
      </w:tblPr>
      <w:tblGrid>
        <w:gridCol w:w="4863"/>
        <w:gridCol w:w="2249"/>
        <w:gridCol w:w="2120"/>
      </w:tblGrid>
      <w:tr>
        <w:trPr>
          <w:trHeight w:val="281" w:hRule="exact"/>
        </w:trPr>
        <w:tc>
          <w:tcPr>
            <w:tcW w:w="4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6"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年初金额</w:t>
            </w:r>
          </w:p>
        </w:tc>
      </w:tr>
      <w:tr>
        <w:trPr>
          <w:trHeight w:val="283" w:hRule="exact"/>
        </w:trPr>
        <w:tc>
          <w:tcPr>
            <w:tcW w:w="4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49"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155,341.36</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158,643.93</w:t>
            </w:r>
          </w:p>
        </w:tc>
      </w:tr>
      <w:tr>
        <w:trPr>
          <w:trHeight w:val="281" w:hRule="exact"/>
        </w:trPr>
        <w:tc>
          <w:tcPr>
            <w:tcW w:w="4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666.43</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666.43</w:t>
            </w:r>
          </w:p>
        </w:tc>
      </w:tr>
      <w:tr>
        <w:trPr>
          <w:trHeight w:val="283" w:hRule="exact"/>
        </w:trPr>
        <w:tc>
          <w:tcPr>
            <w:tcW w:w="4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18,186.89</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12,788.70</w:t>
            </w:r>
          </w:p>
        </w:tc>
      </w:tr>
    </w:tbl>
    <w:p>
      <w:pPr>
        <w:spacing w:line="240" w:lineRule="auto" w:before="11"/>
        <w:rPr>
          <w:rFonts w:ascii="宋体" w:hAnsi="宋体" w:cs="宋体" w:eastAsia="宋体" w:hint="default"/>
          <w:sz w:val="25"/>
          <w:szCs w:val="25"/>
        </w:rPr>
      </w:pPr>
    </w:p>
    <w:p>
      <w:pPr>
        <w:pStyle w:val="BodyText"/>
        <w:spacing w:line="355" w:lineRule="auto" w:before="36"/>
        <w:ind w:left="765" w:right="1950"/>
        <w:jc w:val="left"/>
      </w:pPr>
      <w:r>
        <w:rPr>
          <w:rFonts w:ascii="宋体" w:hAnsi="宋体" w:cs="宋体" w:eastAsia="宋体" w:hint="default"/>
        </w:rPr>
        <w:t>1.1.2</w:t>
      </w:r>
      <w:r>
        <w:rPr>
          <w:rFonts w:ascii="宋体" w:hAnsi="宋体" w:cs="宋体" w:eastAsia="宋体" w:hint="default"/>
          <w:spacing w:val="-55"/>
        </w:rPr>
        <w:t> </w:t>
      </w:r>
      <w:r>
        <w:rPr/>
        <w:t>利率风险</w:t>
      </w:r>
      <w:r>
        <w:rPr>
          <w:spacing w:val="-101"/>
        </w:rPr>
        <w:t> </w:t>
      </w:r>
      <w:r>
        <w:rPr>
          <w:spacing w:val="-101"/>
        </w:rPr>
      </w:r>
      <w:r>
        <w:rPr>
          <w:spacing w:val="-2"/>
        </w:rPr>
        <w:t>本集团本年末无计息借款，因此本集团未面临重大利率风险。</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765" w:right="0"/>
        <w:jc w:val="left"/>
      </w:pPr>
      <w:r>
        <w:rPr>
          <w:rFonts w:ascii="宋体" w:hAnsi="宋体" w:cs="宋体" w:eastAsia="宋体" w:hint="default"/>
        </w:rPr>
        <w:t>1.1.3</w:t>
      </w:r>
      <w:r>
        <w:rPr>
          <w:rFonts w:ascii="宋体" w:hAnsi="宋体" w:cs="宋体" w:eastAsia="宋体" w:hint="default"/>
          <w:spacing w:val="-55"/>
        </w:rPr>
        <w:t> </w:t>
      </w:r>
      <w:r>
        <w:rPr/>
        <w:t>其他价格风险</w:t>
      </w:r>
      <w:r>
        <w:rPr>
          <w:spacing w:val="-101"/>
        </w:rPr>
        <w:t> </w:t>
      </w:r>
      <w:r>
        <w:rPr>
          <w:spacing w:val="-101"/>
        </w:rPr>
      </w:r>
      <w:r>
        <w:rPr>
          <w:spacing w:val="-2"/>
        </w:rPr>
        <w:t>本集团以公允价值计量对皖新传媒上市股份的投资，对哈工智能</w:t>
      </w:r>
      <w:r>
        <w:rPr>
          <w:rFonts w:ascii="宋体" w:hAnsi="宋体" w:cs="宋体" w:eastAsia="宋体" w:hint="default"/>
          <w:spacing w:val="-2"/>
        </w:rPr>
        <w:t>(</w:t>
      </w:r>
      <w:r>
        <w:rPr>
          <w:spacing w:val="-2"/>
        </w:rPr>
        <w:t>原友利控股</w:t>
      </w:r>
      <w:r>
        <w:rPr>
          <w:rFonts w:ascii="宋体" w:hAnsi="宋体" w:cs="宋体" w:eastAsia="宋体" w:hint="default"/>
          <w:spacing w:val="-2"/>
        </w:rPr>
        <w:t>)</w:t>
      </w:r>
      <w:r>
        <w:rPr>
          <w:spacing w:val="-2"/>
        </w:rPr>
        <w:t>上市股份的投资</w:t>
      </w:r>
    </w:p>
    <w:p>
      <w:pPr>
        <w:pStyle w:val="BodyText"/>
        <w:spacing w:line="357" w:lineRule="auto" w:before="32"/>
        <w:ind w:left="340" w:right="351"/>
        <w:jc w:val="both"/>
      </w:pPr>
      <w:r>
        <w:rPr>
          <w:spacing w:val="-2"/>
        </w:rPr>
        <w:t>以及对成都银行上市股份的投资。由于其公允价值按来自活跃市场报价确定或市场报价为其重要输</w:t>
      </w:r>
      <w:r>
        <w:rPr>
          <w:spacing w:val="-30"/>
        </w:rPr>
        <w:t> </w:t>
      </w:r>
      <w:r>
        <w:rPr>
          <w:spacing w:val="-30"/>
        </w:rPr>
      </w:r>
      <w:r>
        <w:rPr>
          <w:spacing w:val="-2"/>
        </w:rPr>
        <w:t>入值而承受股票价格风险。本公司董事定期监察皖新传媒、哈工智能和成都银行的股票价格。</w:t>
      </w:r>
      <w:r>
        <w:rPr>
          <w:rFonts w:ascii="宋体" w:hAnsi="宋体" w:cs="宋体" w:eastAsia="宋体" w:hint="default"/>
          <w:spacing w:val="-2"/>
        </w:rPr>
        <w:t>2018</w:t>
      </w:r>
      <w:r>
        <w:rPr>
          <w:rFonts w:ascii="宋体" w:hAnsi="宋体" w:cs="宋体" w:eastAsia="宋体" w:hint="default"/>
          <w:spacing w:val="-27"/>
        </w:rPr>
        <w:t> </w:t>
      </w:r>
      <w:r>
        <w:rPr>
          <w:spacing w:val="-2"/>
        </w:rPr>
        <w:t>年，本集团就其直接投资于皖新传媒、哈工智能和成都银行的股权确认其他综合收益分别为损失人</w:t>
      </w:r>
      <w:r>
        <w:rPr>
          <w:spacing w:val="-31"/>
        </w:rPr>
        <w:t> </w:t>
      </w:r>
      <w:r>
        <w:rPr>
          <w:spacing w:val="-31"/>
        </w:rPr>
      </w:r>
      <w:r>
        <w:rPr/>
        <w:t>民币</w:t>
      </w:r>
      <w:r>
        <w:rPr>
          <w:spacing w:val="-54"/>
        </w:rPr>
        <w:t> </w:t>
      </w:r>
      <w:r>
        <w:rPr>
          <w:rFonts w:ascii="宋体" w:hAnsi="宋体" w:cs="宋体" w:eastAsia="宋体" w:hint="default"/>
        </w:rPr>
        <w:t>486,096,000.00</w:t>
      </w:r>
      <w:r>
        <w:rPr>
          <w:rFonts w:ascii="宋体" w:hAnsi="宋体" w:cs="宋体" w:eastAsia="宋体" w:hint="default"/>
          <w:spacing w:val="-54"/>
        </w:rPr>
        <w:t> </w:t>
      </w:r>
      <w:r>
        <w:rPr/>
        <w:t>元、损失人民币</w:t>
      </w:r>
      <w:r>
        <w:rPr>
          <w:spacing w:val="-53"/>
        </w:rPr>
        <w:t> </w:t>
      </w:r>
      <w:r>
        <w:rPr>
          <w:rFonts w:ascii="宋体" w:hAnsi="宋体" w:cs="宋体" w:eastAsia="宋体" w:hint="default"/>
        </w:rPr>
        <w:t>1,135,688.45</w:t>
      </w:r>
      <w:r>
        <w:rPr>
          <w:rFonts w:ascii="宋体" w:hAnsi="宋体" w:cs="宋体" w:eastAsia="宋体" w:hint="default"/>
          <w:spacing w:val="-56"/>
        </w:rPr>
        <w:t> </w:t>
      </w:r>
      <w:r>
        <w:rPr/>
        <w:t>元和收益人民币</w:t>
      </w:r>
      <w:r>
        <w:rPr>
          <w:spacing w:val="-54"/>
        </w:rPr>
        <w:t> </w:t>
      </w:r>
      <w:r>
        <w:rPr>
          <w:rFonts w:ascii="宋体" w:hAnsi="宋体" w:cs="宋体" w:eastAsia="宋体" w:hint="default"/>
        </w:rPr>
        <w:t>98,184,000.00</w:t>
      </w:r>
      <w:r>
        <w:rPr>
          <w:rFonts w:ascii="宋体" w:hAnsi="宋体" w:cs="宋体" w:eastAsia="宋体" w:hint="default"/>
          <w:spacing w:val="-56"/>
        </w:rPr>
        <w:t> </w:t>
      </w:r>
      <w:r>
        <w:rPr/>
        <w:t>元。</w:t>
      </w:r>
    </w:p>
    <w:p>
      <w:pPr>
        <w:pStyle w:val="BodyText"/>
        <w:spacing w:line="357" w:lineRule="auto" w:before="30"/>
        <w:ind w:left="340" w:right="0" w:firstLine="424"/>
        <w:jc w:val="left"/>
      </w:pPr>
      <w:r>
        <w:rPr>
          <w:spacing w:val="-2"/>
        </w:rPr>
        <w:t>在其他变量不变的情况下，股票价格于下列期间可能发生的合理变动对当期其他综合收益和股</w:t>
      </w:r>
      <w:r>
        <w:rPr>
          <w:w w:val="100"/>
        </w:rPr>
        <w:t> </w:t>
      </w:r>
      <w:r>
        <w:rPr/>
        <w:t>东权益的税前影响如下：</w:t>
      </w:r>
    </w:p>
    <w:p>
      <w:pPr>
        <w:pStyle w:val="BodyText"/>
        <w:spacing w:line="240" w:lineRule="auto" w:before="32"/>
        <w:ind w:left="0" w:right="353"/>
        <w:jc w:val="right"/>
      </w:pPr>
      <w:r>
        <w:rPr>
          <w:spacing w:val="-1"/>
        </w:rPr>
        <w:t>人民币元</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976"/>
        <w:gridCol w:w="2269"/>
        <w:gridCol w:w="2693"/>
        <w:gridCol w:w="2552"/>
      </w:tblGrid>
      <w:tr>
        <w:trPr>
          <w:trHeight w:val="269" w:hRule="exact"/>
        </w:trPr>
        <w:tc>
          <w:tcPr>
            <w:tcW w:w="1976" w:type="dxa"/>
            <w:vMerge w:val="restart"/>
            <w:tcBorders>
              <w:top w:val="single" w:sz="4" w:space="0" w:color="000000"/>
              <w:left w:val="single" w:sz="4" w:space="0" w:color="000000"/>
              <w:right w:val="single" w:sz="4" w:space="0" w:color="000000"/>
            </w:tcBorders>
          </w:tcPr>
          <w:p>
            <w:pPr>
              <w:pStyle w:val="TableParagraph"/>
              <w:spacing w:line="240" w:lineRule="auto" w:before="102"/>
              <w:ind w:right="4"/>
              <w:jc w:val="center"/>
              <w:rPr>
                <w:rFonts w:ascii="宋体" w:hAnsi="宋体" w:cs="宋体" w:eastAsia="宋体" w:hint="default"/>
                <w:sz w:val="20"/>
                <w:szCs w:val="20"/>
              </w:rPr>
            </w:pPr>
            <w:r>
              <w:rPr>
                <w:rFonts w:ascii="宋体" w:hAnsi="宋体" w:cs="宋体" w:eastAsia="宋体" w:hint="default"/>
                <w:sz w:val="20"/>
                <w:szCs w:val="20"/>
              </w:rPr>
              <w:t>项目</w:t>
            </w:r>
          </w:p>
        </w:tc>
        <w:tc>
          <w:tcPr>
            <w:tcW w:w="2269" w:type="dxa"/>
            <w:vMerge w:val="restart"/>
            <w:tcBorders>
              <w:top w:val="single" w:sz="4" w:space="0" w:color="000000"/>
              <w:left w:val="single" w:sz="4" w:space="0" w:color="000000"/>
              <w:right w:val="single" w:sz="4" w:space="0" w:color="000000"/>
            </w:tcBorders>
          </w:tcPr>
          <w:p>
            <w:pPr>
              <w:pStyle w:val="TableParagraph"/>
              <w:spacing w:line="240" w:lineRule="auto" w:before="102"/>
              <w:ind w:left="730" w:right="0"/>
              <w:jc w:val="left"/>
              <w:rPr>
                <w:rFonts w:ascii="宋体" w:hAnsi="宋体" w:cs="宋体" w:eastAsia="宋体" w:hint="default"/>
                <w:sz w:val="20"/>
                <w:szCs w:val="20"/>
              </w:rPr>
            </w:pPr>
            <w:r>
              <w:rPr>
                <w:rFonts w:ascii="宋体" w:hAnsi="宋体" w:cs="宋体" w:eastAsia="宋体" w:hint="default"/>
                <w:sz w:val="20"/>
                <w:szCs w:val="20"/>
              </w:rPr>
              <w:t>价格变动</w:t>
            </w:r>
          </w:p>
        </w:tc>
        <w:tc>
          <w:tcPr>
            <w:tcW w:w="52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17" w:right="0"/>
              <w:jc w:val="left"/>
              <w:rPr>
                <w:rFonts w:ascii="宋体" w:hAnsi="宋体" w:cs="宋体" w:eastAsia="宋体" w:hint="default"/>
                <w:sz w:val="20"/>
                <w:szCs w:val="20"/>
              </w:rPr>
            </w:pPr>
            <w:r>
              <w:rPr>
                <w:rFonts w:ascii="宋体" w:hAnsi="宋体" w:cs="宋体" w:eastAsia="宋体" w:hint="default"/>
                <w:sz w:val="20"/>
                <w:szCs w:val="20"/>
              </w:rPr>
              <w:t>对其他综合收益及股东权益的税后影响</w:t>
            </w:r>
          </w:p>
        </w:tc>
      </w:tr>
      <w:tr>
        <w:trPr>
          <w:trHeight w:val="269" w:hRule="exact"/>
        </w:trPr>
        <w:tc>
          <w:tcPr>
            <w:tcW w:w="1976" w:type="dxa"/>
            <w:vMerge/>
            <w:tcBorders>
              <w:left w:val="single" w:sz="4" w:space="0" w:color="000000"/>
              <w:bottom w:val="single" w:sz="4" w:space="0" w:color="000000"/>
              <w:right w:val="single" w:sz="4" w:space="0" w:color="000000"/>
            </w:tcBorders>
          </w:tcPr>
          <w:p>
            <w:pPr/>
          </w:p>
        </w:tc>
        <w:tc>
          <w:tcPr>
            <w:tcW w:w="2269" w:type="dxa"/>
            <w:vMerge/>
            <w:tcBorders>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本年度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上年度</w:t>
            </w:r>
          </w:p>
        </w:tc>
      </w:tr>
      <w:tr>
        <w:trPr>
          <w:trHeight w:val="271"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其他权益工具投资</w:t>
            </w:r>
          </w:p>
        </w:tc>
        <w:tc>
          <w:tcPr>
            <w:tcW w:w="226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5" w:right="0"/>
              <w:jc w:val="left"/>
              <w:rPr>
                <w:rFonts w:ascii="宋体" w:hAnsi="宋体" w:cs="宋体" w:eastAsia="宋体" w:hint="default"/>
                <w:sz w:val="20"/>
                <w:szCs w:val="20"/>
              </w:rPr>
            </w:pPr>
            <w:r>
              <w:rPr>
                <w:rFonts w:ascii="宋体" w:hAnsi="宋体" w:cs="宋体" w:eastAsia="宋体" w:hint="default"/>
                <w:sz w:val="20"/>
                <w:szCs w:val="20"/>
              </w:rPr>
              <w:t>皖新传媒</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股票价格上升</w:t>
            </w:r>
            <w:r>
              <w:rPr>
                <w:rFonts w:ascii="宋体" w:hAnsi="宋体" w:cs="宋体" w:eastAsia="宋体" w:hint="default"/>
                <w:spacing w:val="-51"/>
                <w:sz w:val="20"/>
                <w:szCs w:val="20"/>
              </w:rPr>
              <w:t> </w:t>
            </w:r>
            <w:r>
              <w:rPr>
                <w:rFonts w:ascii="宋体" w:hAnsi="宋体" w:cs="宋体" w:eastAsia="宋体" w:hint="default"/>
                <w:sz w:val="20"/>
                <w:szCs w:val="20"/>
              </w:rPr>
              <w:t>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41,629,760.00</w:t>
            </w:r>
            <w:r>
              <w:rPr>
                <w:rFonts w:ascii="宋体"/>
                <w:sz w:val="20"/>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65,934,560.00</w:t>
            </w:r>
            <w:r>
              <w:rPr>
                <w:rFonts w:ascii="宋体"/>
                <w:sz w:val="20"/>
              </w:rPr>
            </w:r>
          </w:p>
        </w:tc>
      </w:tr>
      <w:tr>
        <w:trPr>
          <w:trHeight w:val="269"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5" w:right="0"/>
              <w:jc w:val="left"/>
              <w:rPr>
                <w:rFonts w:ascii="宋体" w:hAnsi="宋体" w:cs="宋体" w:eastAsia="宋体" w:hint="default"/>
                <w:sz w:val="20"/>
                <w:szCs w:val="20"/>
              </w:rPr>
            </w:pPr>
            <w:r>
              <w:rPr>
                <w:rFonts w:ascii="宋体" w:hAnsi="宋体" w:cs="宋体" w:eastAsia="宋体" w:hint="default"/>
                <w:sz w:val="20"/>
                <w:szCs w:val="20"/>
              </w:rPr>
              <w:t>哈工智能</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股票价格上升</w:t>
            </w:r>
            <w:r>
              <w:rPr>
                <w:rFonts w:ascii="宋体" w:hAnsi="宋体" w:cs="宋体" w:eastAsia="宋体" w:hint="default"/>
                <w:spacing w:val="-51"/>
                <w:sz w:val="20"/>
                <w:szCs w:val="20"/>
              </w:rPr>
              <w:t> </w:t>
            </w:r>
            <w:r>
              <w:rPr>
                <w:rFonts w:ascii="宋体" w:hAnsi="宋体" w:cs="宋体" w:eastAsia="宋体" w:hint="default"/>
                <w:sz w:val="20"/>
                <w:szCs w:val="20"/>
              </w:rPr>
              <w:t>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42,201.91</w:t>
            </w:r>
            <w:r>
              <w:rPr>
                <w:rFonts w:ascii="宋体"/>
                <w:sz w:val="20"/>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98,986.34</w:t>
            </w:r>
            <w:r>
              <w:rPr>
                <w:rFonts w:ascii="宋体"/>
                <w:sz w:val="20"/>
              </w:rPr>
            </w:r>
          </w:p>
        </w:tc>
      </w:tr>
      <w:tr>
        <w:trPr>
          <w:trHeight w:val="269"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5" w:right="0"/>
              <w:jc w:val="left"/>
              <w:rPr>
                <w:rFonts w:ascii="宋体" w:hAnsi="宋体" w:cs="宋体" w:eastAsia="宋体" w:hint="default"/>
                <w:sz w:val="20"/>
                <w:szCs w:val="20"/>
              </w:rPr>
            </w:pPr>
            <w:r>
              <w:rPr>
                <w:rFonts w:ascii="宋体" w:hAnsi="宋体" w:cs="宋体" w:eastAsia="宋体" w:hint="default"/>
                <w:sz w:val="20"/>
                <w:szCs w:val="20"/>
              </w:rPr>
              <w:t>成都银行</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股票价格上升</w:t>
            </w:r>
            <w:r>
              <w:rPr>
                <w:rFonts w:ascii="宋体" w:hAnsi="宋体" w:cs="宋体" w:eastAsia="宋体" w:hint="default"/>
                <w:spacing w:val="-51"/>
                <w:sz w:val="20"/>
                <w:szCs w:val="20"/>
              </w:rPr>
              <w:t> </w:t>
            </w:r>
            <w:r>
              <w:rPr>
                <w:rFonts w:ascii="宋体" w:hAnsi="宋体" w:cs="宋体" w:eastAsia="宋体" w:hint="default"/>
                <w:sz w:val="20"/>
                <w:szCs w:val="20"/>
              </w:rPr>
              <w:t>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30,912,000.00</w:t>
            </w:r>
            <w:r>
              <w:rPr>
                <w:rFonts w:ascii="宋体"/>
                <w:sz w:val="20"/>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 w:right="-55"/>
              <w:jc w:val="left"/>
              <w:rPr>
                <w:rFonts w:ascii="宋体" w:hAnsi="宋体" w:cs="宋体" w:eastAsia="宋体" w:hint="default"/>
                <w:sz w:val="20"/>
                <w:szCs w:val="20"/>
              </w:rPr>
            </w:pPr>
            <w:r>
              <w:rPr>
                <w:rFonts w:ascii="宋体" w:hAnsi="宋体" w:cs="宋体" w:eastAsia="宋体" w:hint="default"/>
                <w:position w:val="-4"/>
                <w:sz w:val="20"/>
                <w:szCs w:val="20"/>
              </w:rPr>
              <w:pict>
                <v:group style="width:127.6pt;height:13.45pt;mso-position-horizontal-relative:char;mso-position-vertical-relative:line" coordorigin="0,0" coordsize="2552,269">
                  <v:group style="position:absolute;left:5;top:5;width:2543;height:260" coordorigin="5,5" coordsize="2543,260">
                    <v:shape style="position:absolute;left:5;top:5;width:2543;height:260" coordorigin="5,5" coordsize="2543,260" path="m2547,5l5,264e" filled="false" stroked="true" strokeweight=".48pt" strokecolor="#000000">
                      <v:path arrowok="t"/>
                    </v:shape>
                  </v:group>
                </v:group>
              </w:pict>
            </w:r>
            <w:r>
              <w:rPr>
                <w:rFonts w:ascii="宋体" w:hAnsi="宋体" w:cs="宋体" w:eastAsia="宋体" w:hint="default"/>
                <w:position w:val="-4"/>
                <w:sz w:val="20"/>
                <w:szCs w:val="20"/>
              </w:rPr>
            </w:r>
          </w:p>
        </w:tc>
      </w:tr>
      <w:tr>
        <w:trPr>
          <w:trHeight w:val="271"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其他权益工具投资</w:t>
            </w:r>
          </w:p>
        </w:tc>
        <w:tc>
          <w:tcPr>
            <w:tcW w:w="226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5" w:right="0"/>
              <w:jc w:val="left"/>
              <w:rPr>
                <w:rFonts w:ascii="宋体" w:hAnsi="宋体" w:cs="宋体" w:eastAsia="宋体" w:hint="default"/>
                <w:sz w:val="20"/>
                <w:szCs w:val="20"/>
              </w:rPr>
            </w:pPr>
            <w:r>
              <w:rPr>
                <w:rFonts w:ascii="宋体" w:hAnsi="宋体" w:cs="宋体" w:eastAsia="宋体" w:hint="default"/>
                <w:sz w:val="20"/>
                <w:szCs w:val="20"/>
              </w:rPr>
              <w:t>皖新传媒</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股票价格下降</w:t>
            </w:r>
            <w:r>
              <w:rPr>
                <w:rFonts w:ascii="宋体" w:hAnsi="宋体" w:cs="宋体" w:eastAsia="宋体" w:hint="default"/>
                <w:spacing w:val="-51"/>
                <w:sz w:val="20"/>
                <w:szCs w:val="20"/>
              </w:rPr>
              <w:t> </w:t>
            </w:r>
            <w:r>
              <w:rPr>
                <w:rFonts w:ascii="宋体" w:hAnsi="宋体" w:cs="宋体" w:eastAsia="宋体" w:hint="default"/>
                <w:sz w:val="20"/>
                <w:szCs w:val="20"/>
              </w:rPr>
              <w:t>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(41,629,760.00)</w:t>
            </w:r>
            <w:r>
              <w:rPr>
                <w:rFonts w:ascii="宋体"/>
                <w:sz w:val="20"/>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(65,934,560.00)</w:t>
            </w:r>
            <w:r>
              <w:rPr>
                <w:rFonts w:ascii="宋体"/>
                <w:sz w:val="20"/>
              </w:rPr>
            </w:r>
          </w:p>
        </w:tc>
      </w:tr>
      <w:tr>
        <w:trPr>
          <w:trHeight w:val="269"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5" w:right="0"/>
              <w:jc w:val="left"/>
              <w:rPr>
                <w:rFonts w:ascii="宋体" w:hAnsi="宋体" w:cs="宋体" w:eastAsia="宋体" w:hint="default"/>
                <w:sz w:val="20"/>
                <w:szCs w:val="20"/>
              </w:rPr>
            </w:pPr>
            <w:r>
              <w:rPr>
                <w:rFonts w:ascii="宋体" w:hAnsi="宋体" w:cs="宋体" w:eastAsia="宋体" w:hint="default"/>
                <w:sz w:val="20"/>
                <w:szCs w:val="20"/>
              </w:rPr>
              <w:t>哈工智能</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股票价格下降</w:t>
            </w:r>
            <w:r>
              <w:rPr>
                <w:rFonts w:ascii="宋体" w:hAnsi="宋体" w:cs="宋体" w:eastAsia="宋体" w:hint="default"/>
                <w:spacing w:val="-51"/>
                <w:sz w:val="20"/>
                <w:szCs w:val="20"/>
              </w:rPr>
              <w:t> </w:t>
            </w:r>
            <w:r>
              <w:rPr>
                <w:rFonts w:ascii="宋体" w:hAnsi="宋体" w:cs="宋体" w:eastAsia="宋体" w:hint="default"/>
                <w:sz w:val="20"/>
                <w:szCs w:val="20"/>
              </w:rPr>
              <w:t>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(42,201.91)</w:t>
            </w:r>
            <w:r>
              <w:rPr>
                <w:rFonts w:ascii="宋体"/>
                <w:sz w:val="20"/>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(98,986.34)</w:t>
            </w:r>
            <w:r>
              <w:rPr>
                <w:rFonts w:ascii="宋体"/>
                <w:sz w:val="20"/>
              </w:rPr>
            </w:r>
          </w:p>
        </w:tc>
      </w:tr>
      <w:tr>
        <w:trPr>
          <w:trHeight w:val="269"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5" w:right="0"/>
              <w:jc w:val="left"/>
              <w:rPr>
                <w:rFonts w:ascii="宋体" w:hAnsi="宋体" w:cs="宋体" w:eastAsia="宋体" w:hint="default"/>
                <w:sz w:val="20"/>
                <w:szCs w:val="20"/>
              </w:rPr>
            </w:pPr>
            <w:r>
              <w:rPr>
                <w:rFonts w:ascii="宋体" w:hAnsi="宋体" w:cs="宋体" w:eastAsia="宋体" w:hint="default"/>
                <w:sz w:val="20"/>
                <w:szCs w:val="20"/>
              </w:rPr>
              <w:t>成都银行</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股票价格下降</w:t>
            </w:r>
            <w:r>
              <w:rPr>
                <w:rFonts w:ascii="宋体" w:hAnsi="宋体" w:cs="宋体" w:eastAsia="宋体" w:hint="default"/>
                <w:spacing w:val="-51"/>
                <w:sz w:val="20"/>
                <w:szCs w:val="20"/>
              </w:rPr>
              <w:t> </w:t>
            </w:r>
            <w:r>
              <w:rPr>
                <w:rFonts w:ascii="宋体" w:hAnsi="宋体" w:cs="宋体" w:eastAsia="宋体" w:hint="default"/>
                <w:sz w:val="20"/>
                <w:szCs w:val="20"/>
              </w:rPr>
              <w:t>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(30,912,000.00)</w:t>
            </w:r>
            <w:r>
              <w:rPr>
                <w:rFonts w:ascii="宋体"/>
                <w:sz w:val="20"/>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 w:right="-55"/>
              <w:jc w:val="left"/>
              <w:rPr>
                <w:rFonts w:ascii="宋体" w:hAnsi="宋体" w:cs="宋体" w:eastAsia="宋体" w:hint="default"/>
                <w:sz w:val="20"/>
                <w:szCs w:val="20"/>
              </w:rPr>
            </w:pPr>
            <w:r>
              <w:rPr>
                <w:rFonts w:ascii="宋体" w:hAnsi="宋体" w:cs="宋体" w:eastAsia="宋体" w:hint="default"/>
                <w:position w:val="-4"/>
                <w:sz w:val="20"/>
                <w:szCs w:val="20"/>
              </w:rPr>
              <w:pict>
                <v:group style="width:127.6pt;height:13.5pt;mso-position-horizontal-relative:char;mso-position-vertical-relative:line" coordorigin="0,0" coordsize="2552,270">
                  <v:group style="position:absolute;left:5;top:5;width:2543;height:260" coordorigin="5,5" coordsize="2543,260">
                    <v:shape style="position:absolute;left:5;top:5;width:2543;height:260" coordorigin="5,5" coordsize="2543,260" path="m2547,5l5,264e" filled="false" stroked="true" strokeweight=".48pt" strokecolor="#000000">
                      <v:path arrowok="t"/>
                    </v:shape>
                  </v:group>
                </v:group>
              </w:pict>
            </w:r>
            <w:r>
              <w:rPr>
                <w:rFonts w:ascii="宋体" w:hAnsi="宋体" w:cs="宋体" w:eastAsia="宋体" w:hint="default"/>
                <w:position w:val="-4"/>
                <w:sz w:val="20"/>
                <w:szCs w:val="20"/>
              </w:rPr>
            </w:r>
          </w:p>
        </w:tc>
      </w:tr>
    </w:tbl>
    <w:p>
      <w:pPr>
        <w:spacing w:after="0" w:line="269" w:lineRule="exact"/>
        <w:jc w:val="left"/>
        <w:rPr>
          <w:rFonts w:ascii="宋体" w:hAnsi="宋体" w:cs="宋体" w:eastAsia="宋体" w:hint="default"/>
          <w:sz w:val="20"/>
          <w:szCs w:val="20"/>
        </w:rPr>
        <w:sectPr>
          <w:footerReference w:type="default" r:id="rId56"/>
          <w:pgSz w:w="11910" w:h="16840"/>
          <w:pgMar w:footer="1195" w:header="882" w:top="1120" w:bottom="1380" w:left="110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36"/>
        <w:ind w:left="705" w:right="0"/>
        <w:jc w:val="left"/>
      </w:pPr>
      <w:r>
        <w:rPr>
          <w:rFonts w:ascii="宋体" w:hAnsi="宋体" w:cs="宋体" w:eastAsia="宋体" w:hint="default"/>
        </w:rPr>
        <w:t>1.2</w:t>
      </w:r>
      <w:r>
        <w:rPr>
          <w:rFonts w:ascii="宋体" w:hAnsi="宋体" w:cs="宋体" w:eastAsia="宋体" w:hint="default"/>
          <w:spacing w:val="-53"/>
        </w:rPr>
        <w:t> </w:t>
      </w:r>
      <w:r>
        <w:rPr/>
        <w:t>信用风险</w:t>
      </w:r>
    </w:p>
    <w:p>
      <w:pPr>
        <w:pStyle w:val="BodyText"/>
        <w:spacing w:line="357" w:lineRule="auto" w:before="133"/>
        <w:ind w:left="280" w:right="271" w:firstLine="424"/>
        <w:jc w:val="both"/>
      </w:pPr>
      <w:r>
        <w:rPr>
          <w:rFonts w:ascii="宋体" w:hAnsi="宋体" w:cs="宋体" w:eastAsia="宋体" w:hint="default"/>
        </w:rPr>
        <w:t>2018</w:t>
      </w:r>
      <w:r>
        <w:rPr>
          <w:rFonts w:ascii="宋体" w:hAnsi="宋体" w:cs="宋体" w:eastAsia="宋体" w:hint="default"/>
          <w:spacing w:val="-42"/>
        </w:rPr>
        <w:t> </w:t>
      </w:r>
      <w:r>
        <w:rPr/>
        <w:t>年</w:t>
      </w:r>
      <w:r>
        <w:rPr>
          <w:spacing w:val="-40"/>
        </w:rPr>
        <w:t> </w:t>
      </w:r>
      <w:r>
        <w:rPr>
          <w:rFonts w:ascii="宋体" w:hAnsi="宋体" w:cs="宋体" w:eastAsia="宋体" w:hint="default"/>
        </w:rPr>
        <w:t>12</w:t>
      </w:r>
      <w:r>
        <w:rPr>
          <w:rFonts w:ascii="宋体" w:hAnsi="宋体" w:cs="宋体" w:eastAsia="宋体" w:hint="default"/>
          <w:spacing w:val="-42"/>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spacing w:val="-4"/>
        </w:rPr>
        <w:t>日，可能引起本集团信用损失的最大信用风险敞口主要来自于合同另一方未能</w:t>
      </w:r>
      <w:r>
        <w:rPr>
          <w:w w:val="100"/>
        </w:rPr>
        <w:t> </w:t>
      </w:r>
      <w:r>
        <w:rPr>
          <w:spacing w:val="-2"/>
        </w:rPr>
        <w:t>履行义务而导致本集团金融资产产生的损失，具体包括：本集团以摊余成本计量的金融资产的账面</w:t>
      </w:r>
      <w:r>
        <w:rPr>
          <w:spacing w:val="-29"/>
        </w:rPr>
        <w:t> </w:t>
      </w:r>
      <w:r>
        <w:rPr>
          <w:spacing w:val="-29"/>
        </w:rPr>
      </w:r>
      <w:r>
        <w:rPr/>
        <w:t>金额。</w:t>
      </w:r>
    </w:p>
    <w:p>
      <w:pPr>
        <w:pStyle w:val="BodyText"/>
        <w:spacing w:line="357" w:lineRule="auto" w:before="30"/>
        <w:ind w:left="280" w:right="271" w:firstLine="424"/>
        <w:jc w:val="both"/>
      </w:pPr>
      <w:r>
        <w:rPr>
          <w:spacing w:val="-2"/>
        </w:rPr>
        <w:t>为降低信用风险，本集团管理层制定了政策以确保仅向具有良好信用记录的客户进行销售，且</w:t>
      </w:r>
      <w:r>
        <w:rPr>
          <w:w w:val="100"/>
        </w:rPr>
        <w:t> </w:t>
      </w:r>
      <w:r>
        <w:rPr>
          <w:spacing w:val="-2"/>
        </w:rPr>
        <w:t>管理层会不断检查这些信用风险的敞口。对于赊销，本集团成立了一个小组负责确定信用额度、进</w:t>
      </w:r>
      <w:r>
        <w:rPr>
          <w:spacing w:val="-30"/>
        </w:rPr>
        <w:t> </w:t>
      </w:r>
      <w:r>
        <w:rPr>
          <w:spacing w:val="-30"/>
        </w:rPr>
      </w:r>
      <w:r>
        <w:rPr>
          <w:spacing w:val="-2"/>
        </w:rPr>
        <w:t>行信用审批，并执行其他监控程序以确保采取必要的措施回收过期债权。因此，本集团管理层认为</w:t>
      </w:r>
      <w:r>
        <w:rPr>
          <w:spacing w:val="-30"/>
        </w:rPr>
        <w:t> </w:t>
      </w:r>
      <w:r>
        <w:rPr>
          <w:spacing w:val="-30"/>
        </w:rPr>
      </w:r>
      <w:r>
        <w:rPr/>
        <w:t>本集团所承担的信用风险已经大为降低。</w:t>
      </w:r>
    </w:p>
    <w:p>
      <w:pPr>
        <w:pStyle w:val="BodyText"/>
        <w:spacing w:line="355" w:lineRule="auto" w:before="32"/>
        <w:ind w:left="280" w:right="271" w:firstLine="424"/>
        <w:jc w:val="both"/>
      </w:pPr>
      <w:r>
        <w:rPr>
          <w:spacing w:val="-2"/>
        </w:rPr>
        <w:t>本集团评估信用风险自初始确认后是否已显著增加的具体方法、确定金融资产已发生信用减值</w:t>
      </w:r>
      <w:r>
        <w:rPr>
          <w:w w:val="100"/>
        </w:rPr>
        <w:t> </w:t>
      </w:r>
      <w:r>
        <w:rPr>
          <w:spacing w:val="-2"/>
        </w:rPr>
        <w:t>的依据、划分组合为基础评估预期信用风险的金融工具的组合方法、直接减记金融工具的政策等参</w:t>
      </w:r>
      <w:r>
        <w:rPr>
          <w:spacing w:val="-31"/>
        </w:rPr>
        <w:t> </w:t>
      </w:r>
      <w:r>
        <w:rPr>
          <w:spacing w:val="-31"/>
        </w:rPr>
      </w:r>
      <w:r>
        <w:rPr/>
        <w:t>见附注五、</w:t>
      </w:r>
      <w:r>
        <w:rPr>
          <w:rFonts w:ascii="宋体" w:hAnsi="宋体" w:cs="宋体" w:eastAsia="宋体" w:hint="default"/>
        </w:rPr>
        <w:t>10.2.1</w:t>
      </w:r>
      <w:r>
        <w:rPr/>
        <w:t>、附注五、</w:t>
      </w:r>
      <w:r>
        <w:rPr>
          <w:rFonts w:ascii="宋体" w:hAnsi="宋体" w:cs="宋体" w:eastAsia="宋体" w:hint="default"/>
        </w:rPr>
        <w:t>10.2.2</w:t>
      </w:r>
      <w:r>
        <w:rPr/>
        <w:t>、附注五、</w:t>
      </w:r>
      <w:r>
        <w:rPr>
          <w:rFonts w:ascii="宋体" w:hAnsi="宋体" w:cs="宋体" w:eastAsia="宋体" w:hint="default"/>
        </w:rPr>
        <w:t>10.2.3</w:t>
      </w:r>
      <w:r>
        <w:rPr/>
        <w:t>、附注五、</w:t>
      </w:r>
      <w:r>
        <w:rPr>
          <w:rFonts w:ascii="宋体" w:hAnsi="宋体" w:cs="宋体" w:eastAsia="宋体" w:hint="default"/>
        </w:rPr>
        <w:t>10.2.4</w:t>
      </w:r>
      <w:r>
        <w:rPr/>
        <w:t>。</w:t>
      </w:r>
    </w:p>
    <w:p>
      <w:pPr>
        <w:pStyle w:val="BodyText"/>
        <w:spacing w:line="357" w:lineRule="auto" w:before="32"/>
        <w:ind w:left="705" w:right="0"/>
        <w:jc w:val="left"/>
      </w:pPr>
      <w:r>
        <w:rPr>
          <w:spacing w:val="-2"/>
        </w:rPr>
        <w:t>本集团的货币资金存放在信用评级较高的银行，管理层认为货币资金具有较低的信用风险。</w:t>
      </w:r>
      <w:r>
        <w:rPr>
          <w:spacing w:val="-28"/>
        </w:rPr>
        <w:t> </w:t>
      </w:r>
      <w:r>
        <w:rPr>
          <w:spacing w:val="-28"/>
        </w:rPr>
      </w:r>
      <w:r>
        <w:rPr/>
        <w:t>下表详细说明了本集团金融资产和其他项目的信贷风险敞口：</w:t>
      </w:r>
    </w:p>
    <w:p>
      <w:pPr>
        <w:pStyle w:val="BodyText"/>
        <w:tabs>
          <w:tab w:pos="1051" w:val="left" w:leader="none"/>
        </w:tabs>
        <w:spacing w:line="240" w:lineRule="auto" w:before="30"/>
        <w:ind w:left="0" w:right="273"/>
        <w:jc w:val="right"/>
      </w:pPr>
      <w:r>
        <w:rPr>
          <w:spacing w:val="-1"/>
        </w:rPr>
        <w:t>单位：元</w:t>
        <w:tab/>
        <w:t>币种：人民币</w:t>
      </w:r>
    </w:p>
    <w:p>
      <w:pPr>
        <w:spacing w:line="240" w:lineRule="auto" w:before="10"/>
        <w:rPr>
          <w:rFonts w:ascii="宋体" w:hAnsi="宋体" w:cs="宋体" w:eastAsia="宋体" w:hint="default"/>
          <w:sz w:val="12"/>
          <w:szCs w:val="12"/>
        </w:rPr>
      </w:pPr>
    </w:p>
    <w:tbl>
      <w:tblPr>
        <w:tblW w:w="0" w:type="auto"/>
        <w:jc w:val="left"/>
        <w:tblInd w:w="170" w:type="dxa"/>
        <w:tblLayout w:type="fixed"/>
        <w:tblCellMar>
          <w:top w:w="0" w:type="dxa"/>
          <w:left w:w="0" w:type="dxa"/>
          <w:bottom w:w="0" w:type="dxa"/>
          <w:right w:w="0" w:type="dxa"/>
        </w:tblCellMar>
        <w:tblLook w:val="01E0"/>
      </w:tblPr>
      <w:tblGrid>
        <w:gridCol w:w="2516"/>
        <w:gridCol w:w="4253"/>
        <w:gridCol w:w="2470"/>
      </w:tblGrid>
      <w:tr>
        <w:trPr>
          <w:trHeight w:val="52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center"/>
              <w:rPr>
                <w:rFonts w:ascii="宋体" w:hAnsi="宋体" w:cs="宋体" w:eastAsia="宋体" w:hint="default"/>
                <w:sz w:val="20"/>
                <w:szCs w:val="20"/>
              </w:rPr>
            </w:pPr>
            <w:r>
              <w:rPr>
                <w:rFonts w:ascii="宋体" w:hAnsi="宋体" w:cs="宋体" w:eastAsia="宋体" w:hint="default"/>
                <w:sz w:val="20"/>
                <w:szCs w:val="20"/>
              </w:rPr>
              <w:t>项目</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19" w:right="0"/>
              <w:jc w:val="left"/>
              <w:rPr>
                <w:rFonts w:ascii="宋体" w:hAnsi="宋体" w:cs="宋体" w:eastAsia="宋体" w:hint="default"/>
                <w:sz w:val="20"/>
                <w:szCs w:val="20"/>
              </w:rPr>
            </w:pPr>
            <w:r>
              <w:rPr>
                <w:rFonts w:ascii="宋体" w:hAnsi="宋体" w:cs="宋体" w:eastAsia="宋体" w:hint="default"/>
                <w:sz w:val="20"/>
                <w:szCs w:val="20"/>
              </w:rPr>
              <w:t>未来</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个月</w:t>
            </w:r>
            <w:r>
              <w:rPr>
                <w:rFonts w:ascii="宋体" w:hAnsi="宋体" w:cs="宋体" w:eastAsia="宋体" w:hint="default"/>
                <w:sz w:val="20"/>
                <w:szCs w:val="20"/>
              </w:rPr>
              <w:t>/</w:t>
            </w:r>
            <w:r>
              <w:rPr>
                <w:rFonts w:ascii="宋体" w:hAnsi="宋体" w:cs="宋体" w:eastAsia="宋体" w:hint="default"/>
                <w:sz w:val="20"/>
                <w:szCs w:val="20"/>
              </w:rPr>
              <w:t>整个存续期预期信用损失</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4"/>
              <w:jc w:val="center"/>
              <w:rPr>
                <w:rFonts w:ascii="宋体" w:hAnsi="宋体" w:cs="宋体" w:eastAsia="宋体" w:hint="default"/>
                <w:sz w:val="20"/>
                <w:szCs w:val="20"/>
              </w:rPr>
            </w:pPr>
            <w:r>
              <w:rPr>
                <w:rFonts w:ascii="宋体" w:hAnsi="宋体" w:cs="宋体" w:eastAsia="宋体" w:hint="default"/>
                <w:sz w:val="20"/>
                <w:szCs w:val="20"/>
              </w:rPr>
              <w:t>账面余额</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271" w:hRule="exact"/>
        </w:trPr>
        <w:tc>
          <w:tcPr>
            <w:tcW w:w="92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以摊余成本计量的金融资产：</w:t>
            </w:r>
            <w:r>
              <w:rPr>
                <w:rFonts w:ascii="宋体" w:hAnsi="宋体" w:cs="宋体" w:eastAsia="宋体" w:hint="default"/>
                <w:sz w:val="20"/>
                <w:szCs w:val="20"/>
              </w:rPr>
            </w:r>
          </w:p>
        </w:tc>
      </w:tr>
      <w:tr>
        <w:trPr>
          <w:trHeight w:val="43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未来</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个月预期信用损失</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
              <w:jc w:val="right"/>
              <w:rPr>
                <w:rFonts w:ascii="宋体" w:hAnsi="宋体" w:cs="宋体" w:eastAsia="宋体" w:hint="default"/>
                <w:sz w:val="20"/>
                <w:szCs w:val="20"/>
              </w:rPr>
            </w:pPr>
            <w:r>
              <w:rPr>
                <w:rFonts w:ascii="宋体"/>
                <w:w w:val="95"/>
                <w:sz w:val="20"/>
              </w:rPr>
              <w:t>2,608,612,572.01</w:t>
            </w:r>
            <w:r>
              <w:rPr>
                <w:rFonts w:ascii="宋体"/>
                <w:sz w:val="20"/>
              </w:rPr>
            </w:r>
          </w:p>
        </w:tc>
      </w:tr>
      <w:tr>
        <w:trPr>
          <w:trHeight w:val="430" w:hRule="exact"/>
        </w:trPr>
        <w:tc>
          <w:tcPr>
            <w:tcW w:w="251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应收票据及应收账款</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0"/>
                <w:szCs w:val="20"/>
              </w:rPr>
            </w:pPr>
            <w:r>
              <w:rPr>
                <w:rFonts w:ascii="宋体" w:hAnsi="宋体" w:cs="宋体" w:eastAsia="宋体" w:hint="default"/>
                <w:sz w:val="20"/>
                <w:szCs w:val="20"/>
              </w:rPr>
              <w:t>整个存续期预期信用损失</w:t>
            </w:r>
            <w:r>
              <w:rPr>
                <w:rFonts w:ascii="宋体" w:hAnsi="宋体" w:cs="宋体" w:eastAsia="宋体" w:hint="default"/>
                <w:sz w:val="20"/>
                <w:szCs w:val="20"/>
              </w:rPr>
              <w:t>(</w:t>
            </w:r>
            <w:r>
              <w:rPr>
                <w:rFonts w:ascii="宋体" w:hAnsi="宋体" w:cs="宋体" w:eastAsia="宋体" w:hint="default"/>
                <w:sz w:val="20"/>
                <w:szCs w:val="20"/>
              </w:rPr>
              <w:t>未发生信用减值</w:t>
            </w:r>
            <w:r>
              <w:rPr>
                <w:rFonts w:ascii="宋体" w:hAnsi="宋体" w:cs="宋体" w:eastAsia="宋体" w:hint="default"/>
                <w:sz w:val="20"/>
                <w:szCs w:val="20"/>
              </w:rPr>
              <w:t>)</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20"/>
                <w:szCs w:val="20"/>
              </w:rPr>
            </w:pPr>
            <w:r>
              <w:rPr>
                <w:rFonts w:ascii="宋体"/>
                <w:w w:val="95"/>
                <w:sz w:val="20"/>
              </w:rPr>
              <w:t>1,644,384,840.30</w:t>
            </w:r>
            <w:r>
              <w:rPr>
                <w:rFonts w:ascii="宋体"/>
                <w:sz w:val="20"/>
              </w:rPr>
            </w:r>
          </w:p>
        </w:tc>
      </w:tr>
      <w:tr>
        <w:trPr>
          <w:trHeight w:val="432" w:hRule="exact"/>
        </w:trPr>
        <w:tc>
          <w:tcPr>
            <w:tcW w:w="2516" w:type="dxa"/>
            <w:vMerge/>
            <w:tcBorders>
              <w:left w:val="single" w:sz="4" w:space="0" w:color="000000"/>
              <w:bottom w:val="single" w:sz="4" w:space="0" w:color="000000"/>
              <w:right w:val="single" w:sz="4" w:space="0" w:color="000000"/>
            </w:tcBorders>
          </w:tcPr>
          <w:p>
            <w:pP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整个存续期预期信用损失</w:t>
            </w:r>
            <w:r>
              <w:rPr>
                <w:rFonts w:ascii="宋体" w:hAnsi="宋体" w:cs="宋体" w:eastAsia="宋体" w:hint="default"/>
                <w:sz w:val="20"/>
                <w:szCs w:val="20"/>
              </w:rPr>
              <w:t>(</w:t>
            </w:r>
            <w:r>
              <w:rPr>
                <w:rFonts w:ascii="宋体" w:hAnsi="宋体" w:cs="宋体" w:eastAsia="宋体" w:hint="default"/>
                <w:sz w:val="20"/>
                <w:szCs w:val="20"/>
              </w:rPr>
              <w:t>已发生信用减值</w:t>
            </w:r>
            <w:r>
              <w:rPr>
                <w:rFonts w:ascii="宋体" w:hAnsi="宋体" w:cs="宋体" w:eastAsia="宋体" w:hint="default"/>
                <w:sz w:val="20"/>
                <w:szCs w:val="20"/>
              </w:rPr>
              <w:t>)</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20"/>
                <w:szCs w:val="20"/>
              </w:rPr>
            </w:pPr>
            <w:r>
              <w:rPr>
                <w:rFonts w:ascii="宋体"/>
                <w:w w:val="95"/>
                <w:sz w:val="20"/>
              </w:rPr>
              <w:t>223,004,441.90</w:t>
            </w:r>
            <w:r>
              <w:rPr>
                <w:rFonts w:ascii="宋体"/>
                <w:sz w:val="20"/>
              </w:rPr>
            </w:r>
          </w:p>
        </w:tc>
      </w:tr>
      <w:tr>
        <w:trPr>
          <w:trHeight w:val="427" w:hRule="exact"/>
        </w:trPr>
        <w:tc>
          <w:tcPr>
            <w:tcW w:w="25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0"/>
                <w:szCs w:val="20"/>
              </w:rPr>
            </w:pPr>
            <w:r>
              <w:rPr>
                <w:rFonts w:ascii="宋体" w:hAnsi="宋体" w:cs="宋体" w:eastAsia="宋体" w:hint="default"/>
                <w:sz w:val="20"/>
                <w:szCs w:val="20"/>
              </w:rPr>
              <w:t>未来</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个月预期信用损失</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20"/>
                <w:szCs w:val="20"/>
              </w:rPr>
            </w:pPr>
            <w:r>
              <w:rPr>
                <w:rFonts w:ascii="宋体"/>
                <w:w w:val="95"/>
                <w:sz w:val="20"/>
              </w:rPr>
              <w:t>93,021,526.26</w:t>
            </w:r>
            <w:r>
              <w:rPr>
                <w:rFonts w:ascii="宋体"/>
                <w:sz w:val="20"/>
              </w:rPr>
            </w:r>
          </w:p>
        </w:tc>
      </w:tr>
      <w:tr>
        <w:trPr>
          <w:trHeight w:val="418" w:hRule="exact"/>
        </w:trPr>
        <w:tc>
          <w:tcPr>
            <w:tcW w:w="2516" w:type="dxa"/>
            <w:vMerge/>
            <w:tcBorders>
              <w:left w:val="single" w:sz="4" w:space="0" w:color="000000"/>
              <w:right w:val="single" w:sz="4" w:space="0" w:color="000000"/>
            </w:tcBorders>
          </w:tcPr>
          <w:p>
            <w:pP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0"/>
                <w:szCs w:val="20"/>
              </w:rPr>
            </w:pPr>
            <w:r>
              <w:rPr>
                <w:rFonts w:ascii="宋体" w:hAnsi="宋体" w:cs="宋体" w:eastAsia="宋体" w:hint="default"/>
                <w:sz w:val="20"/>
                <w:szCs w:val="20"/>
              </w:rPr>
              <w:t>整个存续期预期信用损失</w:t>
            </w:r>
            <w:r>
              <w:rPr>
                <w:rFonts w:ascii="宋体" w:hAnsi="宋体" w:cs="宋体" w:eastAsia="宋体" w:hint="default"/>
                <w:sz w:val="20"/>
                <w:szCs w:val="20"/>
              </w:rPr>
              <w:t>(</w:t>
            </w:r>
            <w:r>
              <w:rPr>
                <w:rFonts w:ascii="宋体" w:hAnsi="宋体" w:cs="宋体" w:eastAsia="宋体" w:hint="default"/>
                <w:sz w:val="20"/>
                <w:szCs w:val="20"/>
              </w:rPr>
              <w:t>未发生信用减值</w:t>
            </w:r>
            <w:r>
              <w:rPr>
                <w:rFonts w:ascii="宋体" w:hAnsi="宋体" w:cs="宋体" w:eastAsia="宋体" w:hint="default"/>
                <w:sz w:val="20"/>
                <w:szCs w:val="20"/>
              </w:rPr>
              <w:t>)</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0"/>
                <w:szCs w:val="20"/>
              </w:rPr>
            </w:pPr>
            <w:r>
              <w:rPr>
                <w:rFonts w:ascii="宋体"/>
                <w:w w:val="99"/>
                <w:sz w:val="20"/>
              </w:rPr>
              <w:t>-</w:t>
            </w:r>
            <w:r>
              <w:rPr>
                <w:rFonts w:ascii="宋体"/>
                <w:sz w:val="20"/>
              </w:rPr>
            </w:r>
          </w:p>
        </w:tc>
      </w:tr>
      <w:tr>
        <w:trPr>
          <w:trHeight w:val="437" w:hRule="exact"/>
        </w:trPr>
        <w:tc>
          <w:tcPr>
            <w:tcW w:w="2516" w:type="dxa"/>
            <w:vMerge/>
            <w:tcBorders>
              <w:left w:val="single" w:sz="4" w:space="0" w:color="000000"/>
              <w:bottom w:val="single" w:sz="4" w:space="0" w:color="000000"/>
              <w:right w:val="single" w:sz="4" w:space="0" w:color="000000"/>
            </w:tcBorders>
          </w:tcPr>
          <w:p>
            <w:pP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0"/>
                <w:szCs w:val="20"/>
              </w:rPr>
            </w:pPr>
            <w:r>
              <w:rPr>
                <w:rFonts w:ascii="宋体" w:hAnsi="宋体" w:cs="宋体" w:eastAsia="宋体" w:hint="default"/>
                <w:sz w:val="20"/>
                <w:szCs w:val="20"/>
              </w:rPr>
              <w:t>整个存续期预期信用损失</w:t>
            </w:r>
            <w:r>
              <w:rPr>
                <w:rFonts w:ascii="宋体" w:hAnsi="宋体" w:cs="宋体" w:eastAsia="宋体" w:hint="default"/>
                <w:sz w:val="20"/>
                <w:szCs w:val="20"/>
              </w:rPr>
              <w:t>(</w:t>
            </w:r>
            <w:r>
              <w:rPr>
                <w:rFonts w:ascii="宋体" w:hAnsi="宋体" w:cs="宋体" w:eastAsia="宋体" w:hint="default"/>
                <w:sz w:val="20"/>
                <w:szCs w:val="20"/>
              </w:rPr>
              <w:t>已发生信用减值</w:t>
            </w:r>
            <w:r>
              <w:rPr>
                <w:rFonts w:ascii="宋体" w:hAnsi="宋体" w:cs="宋体" w:eastAsia="宋体" w:hint="default"/>
                <w:sz w:val="20"/>
                <w:szCs w:val="20"/>
              </w:rPr>
              <w:t>)</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宋体" w:hAnsi="宋体" w:cs="宋体" w:eastAsia="宋体" w:hint="default"/>
                <w:sz w:val="20"/>
                <w:szCs w:val="20"/>
              </w:rPr>
            </w:pPr>
            <w:r>
              <w:rPr>
                <w:rFonts w:ascii="宋体"/>
                <w:w w:val="95"/>
                <w:sz w:val="20"/>
              </w:rPr>
              <w:t>17,174,938.52</w:t>
            </w:r>
            <w:r>
              <w:rPr>
                <w:rFonts w:ascii="宋体"/>
                <w:sz w:val="20"/>
              </w:rPr>
            </w:r>
          </w:p>
        </w:tc>
      </w:tr>
      <w:tr>
        <w:trPr>
          <w:trHeight w:val="50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0"/>
                <w:szCs w:val="20"/>
              </w:rPr>
            </w:pPr>
            <w:r>
              <w:rPr>
                <w:rFonts w:ascii="宋体" w:hAnsi="宋体" w:cs="宋体" w:eastAsia="宋体" w:hint="default"/>
                <w:sz w:val="20"/>
                <w:szCs w:val="20"/>
              </w:rPr>
              <w:t>未来</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个月预期信用损失</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4"/>
              <w:jc w:val="right"/>
              <w:rPr>
                <w:rFonts w:ascii="宋体" w:hAnsi="宋体" w:cs="宋体" w:eastAsia="宋体" w:hint="default"/>
                <w:sz w:val="20"/>
                <w:szCs w:val="20"/>
              </w:rPr>
            </w:pPr>
            <w:r>
              <w:rPr>
                <w:rFonts w:ascii="宋体"/>
                <w:w w:val="95"/>
                <w:sz w:val="20"/>
              </w:rPr>
              <w:t>267,742,224.79</w:t>
            </w:r>
            <w:r>
              <w:rPr>
                <w:rFonts w:ascii="宋体"/>
                <w:sz w:val="20"/>
              </w:rPr>
            </w:r>
          </w:p>
        </w:tc>
      </w:tr>
    </w:tbl>
    <w:p>
      <w:pPr>
        <w:spacing w:line="240" w:lineRule="auto" w:before="11"/>
        <w:rPr>
          <w:rFonts w:ascii="宋体" w:hAnsi="宋体" w:cs="宋体" w:eastAsia="宋体" w:hint="default"/>
          <w:sz w:val="25"/>
          <w:szCs w:val="25"/>
        </w:rPr>
      </w:pPr>
    </w:p>
    <w:p>
      <w:pPr>
        <w:pStyle w:val="BodyText"/>
        <w:spacing w:line="357" w:lineRule="auto" w:before="36"/>
        <w:ind w:left="705" w:right="0"/>
        <w:jc w:val="left"/>
      </w:pPr>
      <w:r>
        <w:rPr/>
        <w:t>应收票据及应收账款</w:t>
      </w:r>
      <w:r>
        <w:rPr>
          <w:w w:val="100"/>
        </w:rPr>
        <w:t> </w:t>
      </w:r>
      <w:r>
        <w:rPr>
          <w:spacing w:val="-2"/>
        </w:rPr>
        <w:t>作为本集团信用风险管理的一部分，本集团利用应收票据及应收账款账龄来评估集团业务形成</w:t>
      </w:r>
    </w:p>
    <w:p>
      <w:pPr>
        <w:pStyle w:val="BodyText"/>
        <w:spacing w:line="355" w:lineRule="auto" w:before="30"/>
        <w:ind w:left="280" w:right="0"/>
        <w:jc w:val="left"/>
      </w:pPr>
      <w:r>
        <w:rPr>
          <w:spacing w:val="-2"/>
        </w:rPr>
        <w:t>的应收款的减值损失。该类业务涉及大量的小客户，其具有相同的风险特征，账龄信息能反映这类</w:t>
      </w:r>
      <w:r>
        <w:rPr>
          <w:spacing w:val="-30"/>
        </w:rPr>
        <w:t> </w:t>
      </w:r>
      <w:r>
        <w:rPr>
          <w:spacing w:val="-30"/>
        </w:rPr>
      </w:r>
      <w:r>
        <w:rPr/>
        <w:t>客户于应收款到期时的偿付能力。于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3"/>
        </w:rPr>
        <w:t> </w:t>
      </w:r>
      <w:r>
        <w:rPr/>
        <w:t>日，该类业务的应收票据及应收账款的信用</w:t>
      </w:r>
      <w:r>
        <w:rPr>
          <w:w w:val="100"/>
        </w:rPr>
        <w:t> </w:t>
      </w:r>
      <w:r>
        <w:rPr/>
        <w:t>风险与预期信用损失情况如下：</w:t>
      </w:r>
    </w:p>
    <w:p>
      <w:pPr>
        <w:pStyle w:val="BodyText"/>
        <w:tabs>
          <w:tab w:pos="1051" w:val="left" w:leader="none"/>
        </w:tabs>
        <w:spacing w:line="240" w:lineRule="auto" w:before="34"/>
        <w:ind w:left="0" w:right="273"/>
        <w:jc w:val="right"/>
      </w:pPr>
      <w:r>
        <w:rPr>
          <w:spacing w:val="-1"/>
        </w:rPr>
        <w:t>单位：元</w:t>
        <w:tab/>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792"/>
        <w:gridCol w:w="2189"/>
        <w:gridCol w:w="2192"/>
        <w:gridCol w:w="2189"/>
      </w:tblGrid>
      <w:tr>
        <w:trPr>
          <w:trHeight w:val="269"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账龄</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88" w:right="0"/>
              <w:jc w:val="left"/>
              <w:rPr>
                <w:rFonts w:ascii="宋体" w:hAnsi="宋体" w:cs="宋体" w:eastAsia="宋体" w:hint="default"/>
                <w:sz w:val="20"/>
                <w:szCs w:val="20"/>
              </w:rPr>
            </w:pPr>
            <w:r>
              <w:rPr>
                <w:rFonts w:ascii="宋体" w:hAnsi="宋体" w:cs="宋体" w:eastAsia="宋体" w:hint="default"/>
                <w:sz w:val="20"/>
                <w:szCs w:val="20"/>
              </w:rPr>
              <w:t>预期平均损失率</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
              <w:jc w:val="center"/>
              <w:rPr>
                <w:rFonts w:ascii="宋体" w:hAnsi="宋体" w:cs="宋体" w:eastAsia="宋体" w:hint="default"/>
                <w:sz w:val="20"/>
                <w:szCs w:val="20"/>
              </w:rPr>
            </w:pPr>
            <w:r>
              <w:rPr>
                <w:rFonts w:ascii="宋体" w:hAnsi="宋体" w:cs="宋体" w:eastAsia="宋体" w:hint="default"/>
                <w:sz w:val="20"/>
                <w:szCs w:val="20"/>
              </w:rPr>
              <w:t>金额</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89" w:right="0"/>
              <w:jc w:val="left"/>
              <w:rPr>
                <w:rFonts w:ascii="宋体" w:hAnsi="宋体" w:cs="宋体" w:eastAsia="宋体" w:hint="default"/>
                <w:sz w:val="20"/>
                <w:szCs w:val="20"/>
              </w:rPr>
            </w:pPr>
            <w:r>
              <w:rPr>
                <w:rFonts w:ascii="宋体" w:hAnsi="宋体" w:cs="宋体" w:eastAsia="宋体" w:hint="default"/>
                <w:sz w:val="20"/>
                <w:szCs w:val="20"/>
              </w:rPr>
              <w:t>减值准备</w:t>
            </w:r>
          </w:p>
        </w:tc>
      </w:tr>
    </w:tbl>
    <w:p>
      <w:pPr>
        <w:spacing w:after="0" w:line="230" w:lineRule="exact"/>
        <w:jc w:val="left"/>
        <w:rPr>
          <w:rFonts w:ascii="宋体" w:hAnsi="宋体" w:cs="宋体" w:eastAsia="宋体" w:hint="default"/>
          <w:sz w:val="20"/>
          <w:szCs w:val="20"/>
        </w:rPr>
        <w:sectPr>
          <w:footerReference w:type="default" r:id="rId57"/>
          <w:pgSz w:w="11910" w:h="16840"/>
          <w:pgMar w:footer="1195" w:header="882" w:top="1120" w:bottom="1380" w:left="1160" w:right="1160"/>
          <w:pgNumType w:start="17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2792"/>
        <w:gridCol w:w="2189"/>
        <w:gridCol w:w="2192"/>
        <w:gridCol w:w="2189"/>
      </w:tblGrid>
      <w:tr>
        <w:trPr>
          <w:trHeight w:val="269"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年以内</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4.70%</w:t>
            </w:r>
            <w:r>
              <w:rPr>
                <w:rFonts w:ascii="宋体"/>
                <w:sz w:val="20"/>
              </w:rPr>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95"/>
                <w:sz w:val="20"/>
              </w:rPr>
              <w:t>1,644,384,840.30</w:t>
            </w:r>
            <w:r>
              <w:rPr>
                <w:rFonts w:ascii="宋体"/>
                <w:sz w:val="20"/>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(77,209,352.59)</w:t>
            </w:r>
            <w:r>
              <w:rPr>
                <w:rFonts w:ascii="宋体"/>
                <w:sz w:val="20"/>
              </w:rPr>
            </w:r>
          </w:p>
        </w:tc>
      </w:tr>
      <w:tr>
        <w:trPr>
          <w:trHeight w:val="269"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至</w:t>
            </w:r>
            <w:r>
              <w:rPr>
                <w:rFonts w:ascii="宋体" w:hAnsi="宋体" w:cs="宋体" w:eastAsia="宋体" w:hint="default"/>
                <w:sz w:val="20"/>
                <w:szCs w:val="20"/>
              </w:rPr>
              <w:t>2</w:t>
            </w:r>
            <w:r>
              <w:rPr>
                <w:rFonts w:ascii="宋体" w:hAnsi="宋体" w:cs="宋体" w:eastAsia="宋体" w:hint="default"/>
                <w:sz w:val="20"/>
                <w:szCs w:val="20"/>
              </w:rPr>
              <w:t>年</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57.61%</w:t>
            </w:r>
            <w:r>
              <w:rPr>
                <w:rFonts w:ascii="宋体"/>
                <w:sz w:val="20"/>
              </w:rPr>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95"/>
                <w:sz w:val="20"/>
              </w:rPr>
              <w:t>117,597,470.68</w:t>
            </w:r>
            <w:r>
              <w:rPr>
                <w:rFonts w:ascii="宋体"/>
                <w:sz w:val="20"/>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(67,742,910.04)</w:t>
            </w:r>
            <w:r>
              <w:rPr>
                <w:rFonts w:ascii="宋体"/>
                <w:sz w:val="20"/>
              </w:rPr>
            </w:r>
          </w:p>
        </w:tc>
      </w:tr>
      <w:tr>
        <w:trPr>
          <w:trHeight w:val="269"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至</w:t>
            </w:r>
            <w:r>
              <w:rPr>
                <w:rFonts w:ascii="宋体" w:hAnsi="宋体" w:cs="宋体" w:eastAsia="宋体" w:hint="default"/>
                <w:sz w:val="20"/>
                <w:szCs w:val="20"/>
              </w:rPr>
              <w:t>3</w:t>
            </w:r>
            <w:r>
              <w:rPr>
                <w:rFonts w:ascii="宋体" w:hAnsi="宋体" w:cs="宋体" w:eastAsia="宋体" w:hint="default"/>
                <w:sz w:val="20"/>
                <w:szCs w:val="20"/>
              </w:rPr>
              <w:t>年</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100.00%</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95"/>
                <w:sz w:val="20"/>
              </w:rPr>
              <w:t>34,325,001.94</w:t>
            </w:r>
            <w:r>
              <w:rPr>
                <w:rFonts w:ascii="宋体"/>
                <w:sz w:val="20"/>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(34,325,001.94)</w:t>
            </w:r>
            <w:r>
              <w:rPr>
                <w:rFonts w:ascii="宋体"/>
                <w:sz w:val="20"/>
              </w:rPr>
            </w:r>
          </w:p>
        </w:tc>
      </w:tr>
      <w:tr>
        <w:trPr>
          <w:trHeight w:val="27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年以上</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sz w:val="20"/>
              </w:rPr>
              <w:t>100.00%</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6"/>
              <w:jc w:val="right"/>
              <w:rPr>
                <w:rFonts w:ascii="宋体" w:hAnsi="宋体" w:cs="宋体" w:eastAsia="宋体" w:hint="default"/>
                <w:sz w:val="20"/>
                <w:szCs w:val="20"/>
              </w:rPr>
            </w:pPr>
            <w:r>
              <w:rPr>
                <w:rFonts w:ascii="宋体"/>
                <w:w w:val="95"/>
                <w:sz w:val="20"/>
              </w:rPr>
              <w:t>71,081,969.28</w:t>
            </w:r>
            <w:r>
              <w:rPr>
                <w:rFonts w:ascii="宋体"/>
                <w:sz w:val="20"/>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(71,081,969.28)</w:t>
            </w:r>
            <w:r>
              <w:rPr>
                <w:rFonts w:ascii="宋体"/>
                <w:sz w:val="20"/>
              </w:rPr>
            </w:r>
          </w:p>
        </w:tc>
      </w:tr>
      <w:tr>
        <w:trPr>
          <w:trHeight w:val="269"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合计</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13.41%</w:t>
            </w:r>
            <w:r>
              <w:rPr>
                <w:rFonts w:ascii="宋体"/>
                <w:sz w:val="20"/>
              </w:rPr>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95"/>
                <w:sz w:val="20"/>
              </w:rPr>
              <w:t>1,867,389,282.20</w:t>
            </w:r>
            <w:r>
              <w:rPr>
                <w:rFonts w:ascii="宋体"/>
                <w:sz w:val="20"/>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(250,359,233.85)</w:t>
            </w:r>
            <w:r>
              <w:rPr>
                <w:rFonts w:ascii="宋体"/>
                <w:sz w:val="20"/>
              </w:rPr>
            </w:r>
          </w:p>
        </w:tc>
      </w:tr>
    </w:tbl>
    <w:p>
      <w:pPr>
        <w:spacing w:line="240" w:lineRule="auto" w:before="7"/>
        <w:rPr>
          <w:rFonts w:ascii="宋体" w:hAnsi="宋体" w:cs="宋体" w:eastAsia="宋体" w:hint="default"/>
          <w:sz w:val="15"/>
          <w:szCs w:val="15"/>
        </w:rPr>
      </w:pPr>
    </w:p>
    <w:p>
      <w:pPr>
        <w:pStyle w:val="BodyText"/>
        <w:spacing w:line="240" w:lineRule="auto" w:before="36"/>
        <w:ind w:left="885" w:right="0"/>
        <w:jc w:val="left"/>
        <w:rPr>
          <w:rFonts w:ascii="宋体" w:hAnsi="宋体" w:cs="宋体" w:eastAsia="宋体" w:hint="default"/>
        </w:rPr>
      </w:pPr>
      <w:r>
        <w:rPr/>
        <w:t>上述预期平均损失率基于历史实际坏账率并考虑了当前状况及未来经济状况的预测。于</w:t>
      </w:r>
      <w:r>
        <w:rPr>
          <w:spacing w:val="97"/>
        </w:rPr>
        <w:t> </w:t>
      </w:r>
      <w:r>
        <w:rPr>
          <w:rFonts w:ascii="宋体" w:hAnsi="宋体" w:cs="宋体" w:eastAsia="宋体" w:hint="default"/>
        </w:rPr>
        <w:t>2018</w:t>
      </w:r>
    </w:p>
    <w:p>
      <w:pPr>
        <w:pStyle w:val="BodyText"/>
        <w:spacing w:line="410" w:lineRule="atLeast"/>
        <w:ind w:left="1180" w:right="0" w:hanging="720"/>
        <w:jc w:val="left"/>
      </w:pP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日止期间，本集团的评估方式与重大假设并未发生变化。</w:t>
      </w:r>
      <w:r>
        <w:rPr>
          <w:w w:val="100"/>
        </w:rPr>
        <w:t> </w:t>
      </w:r>
      <w:r>
        <w:rPr/>
        <w:t>应收账款坏账准备变动情况：</w:t>
      </w:r>
    </w:p>
    <w:p>
      <w:pPr>
        <w:pStyle w:val="BodyText"/>
        <w:tabs>
          <w:tab w:pos="1051" w:val="left" w:leader="none"/>
        </w:tabs>
        <w:spacing w:line="271" w:lineRule="exact"/>
        <w:ind w:left="0" w:right="473"/>
        <w:jc w:val="right"/>
      </w:pPr>
      <w:r>
        <w:rPr>
          <w:spacing w:val="-1"/>
        </w:rPr>
        <w:t>单位：元</w:t>
        <w:tab/>
        <w:t>币种：人民币</w:t>
      </w:r>
    </w:p>
    <w:p>
      <w:pPr>
        <w:spacing w:line="240" w:lineRule="auto" w:before="0"/>
        <w:rPr>
          <w:rFonts w:ascii="宋体" w:hAnsi="宋体" w:cs="宋体" w:eastAsia="宋体" w:hint="default"/>
          <w:sz w:val="13"/>
          <w:szCs w:val="13"/>
        </w:rPr>
      </w:pPr>
    </w:p>
    <w:tbl>
      <w:tblPr>
        <w:tblW w:w="0" w:type="auto"/>
        <w:jc w:val="left"/>
        <w:tblInd w:w="287" w:type="dxa"/>
        <w:tblLayout w:type="fixed"/>
        <w:tblCellMar>
          <w:top w:w="0" w:type="dxa"/>
          <w:left w:w="0" w:type="dxa"/>
          <w:bottom w:w="0" w:type="dxa"/>
          <w:right w:w="0" w:type="dxa"/>
        </w:tblCellMar>
        <w:tblLook w:val="01E0"/>
      </w:tblPr>
      <w:tblGrid>
        <w:gridCol w:w="2792"/>
        <w:gridCol w:w="2189"/>
        <w:gridCol w:w="2192"/>
        <w:gridCol w:w="2189"/>
      </w:tblGrid>
      <w:tr>
        <w:trPr>
          <w:trHeight w:val="787" w:hRule="exact"/>
        </w:trPr>
        <w:tc>
          <w:tcPr>
            <w:tcW w:w="2792"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3"/>
              <w:jc w:val="center"/>
              <w:rPr>
                <w:rFonts w:ascii="宋体" w:hAnsi="宋体" w:cs="宋体" w:eastAsia="宋体" w:hint="default"/>
                <w:sz w:val="20"/>
                <w:szCs w:val="20"/>
              </w:rPr>
            </w:pPr>
            <w:r>
              <w:rPr>
                <w:rFonts w:ascii="宋体" w:hAnsi="宋体" w:cs="宋体" w:eastAsia="宋体" w:hint="default"/>
                <w:sz w:val="20"/>
                <w:szCs w:val="20"/>
              </w:rPr>
              <w:t>整个存续期预期</w:t>
            </w:r>
          </w:p>
          <w:p>
            <w:pPr>
              <w:pStyle w:val="TableParagraph"/>
              <w:spacing w:line="260" w:lineRule="exact" w:before="24"/>
              <w:ind w:left="287" w:right="293" w:firstLine="1"/>
              <w:jc w:val="center"/>
              <w:rPr>
                <w:rFonts w:ascii="宋体" w:hAnsi="宋体" w:cs="宋体" w:eastAsia="宋体" w:hint="default"/>
                <w:sz w:val="20"/>
                <w:szCs w:val="20"/>
              </w:rPr>
            </w:pPr>
            <w:r>
              <w:rPr>
                <w:rFonts w:ascii="宋体" w:hAnsi="宋体" w:cs="宋体" w:eastAsia="宋体" w:hint="default"/>
                <w:sz w:val="20"/>
                <w:szCs w:val="20"/>
              </w:rPr>
              <w:t>信用损失</w:t>
            </w:r>
            <w:r>
              <w:rPr>
                <w:rFonts w:ascii="宋体" w:hAnsi="宋体" w:cs="宋体" w:eastAsia="宋体" w:hint="default"/>
                <w:w w:val="99"/>
                <w:sz w:val="20"/>
                <w:szCs w:val="20"/>
              </w:rPr>
              <w:t> </w:t>
            </w:r>
            <w:r>
              <w:rPr>
                <w:rFonts w:ascii="宋体" w:hAnsi="宋体" w:cs="宋体" w:eastAsia="宋体" w:hint="default"/>
                <w:sz w:val="20"/>
                <w:szCs w:val="20"/>
              </w:rPr>
              <w:t>(</w:t>
            </w:r>
            <w:r>
              <w:rPr>
                <w:rFonts w:ascii="宋体" w:hAnsi="宋体" w:cs="宋体" w:eastAsia="宋体" w:hint="default"/>
                <w:sz w:val="20"/>
                <w:szCs w:val="20"/>
              </w:rPr>
              <w:t>未发生信用减值</w:t>
            </w:r>
            <w:r>
              <w:rPr>
                <w:rFonts w:ascii="宋体" w:hAnsi="宋体" w:cs="宋体" w:eastAsia="宋体" w:hint="default"/>
                <w:sz w:val="20"/>
                <w:szCs w:val="20"/>
              </w:rPr>
              <w:t>)</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整个存续期预期</w:t>
            </w:r>
          </w:p>
          <w:p>
            <w:pPr>
              <w:pStyle w:val="TableParagraph"/>
              <w:spacing w:line="260" w:lineRule="exact" w:before="24"/>
              <w:ind w:left="288" w:right="294" w:firstLine="1"/>
              <w:jc w:val="center"/>
              <w:rPr>
                <w:rFonts w:ascii="宋体" w:hAnsi="宋体" w:cs="宋体" w:eastAsia="宋体" w:hint="default"/>
                <w:sz w:val="20"/>
                <w:szCs w:val="20"/>
              </w:rPr>
            </w:pPr>
            <w:r>
              <w:rPr>
                <w:rFonts w:ascii="宋体" w:hAnsi="宋体" w:cs="宋体" w:eastAsia="宋体" w:hint="default"/>
                <w:sz w:val="20"/>
                <w:szCs w:val="20"/>
              </w:rPr>
              <w:t>信用损失</w:t>
            </w:r>
            <w:r>
              <w:rPr>
                <w:rFonts w:ascii="宋体" w:hAnsi="宋体" w:cs="宋体" w:eastAsia="宋体" w:hint="default"/>
                <w:w w:val="99"/>
                <w:sz w:val="20"/>
                <w:szCs w:val="20"/>
              </w:rPr>
              <w:t> </w:t>
            </w:r>
            <w:r>
              <w:rPr>
                <w:rFonts w:ascii="宋体" w:hAnsi="宋体" w:cs="宋体" w:eastAsia="宋体" w:hint="default"/>
                <w:sz w:val="20"/>
                <w:szCs w:val="20"/>
              </w:rPr>
              <w:t>(</w:t>
            </w:r>
            <w:r>
              <w:rPr>
                <w:rFonts w:ascii="宋体" w:hAnsi="宋体" w:cs="宋体" w:eastAsia="宋体" w:hint="default"/>
                <w:sz w:val="20"/>
                <w:szCs w:val="20"/>
              </w:rPr>
              <w:t>已发生信用减值</w:t>
            </w:r>
            <w:r>
              <w:rPr>
                <w:rFonts w:ascii="宋体" w:hAnsi="宋体" w:cs="宋体" w:eastAsia="宋体" w:hint="default"/>
                <w:sz w:val="20"/>
                <w:szCs w:val="20"/>
              </w:rPr>
              <w:t>)</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269"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169,089,948.16</w:t>
            </w:r>
            <w:r>
              <w:rPr>
                <w:rFonts w:ascii="宋体"/>
                <w:sz w:val="20"/>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169,089,948.16</w:t>
            </w:r>
            <w:r>
              <w:rPr>
                <w:rFonts w:ascii="宋体"/>
                <w:sz w:val="20"/>
              </w:rPr>
            </w:r>
          </w:p>
        </w:tc>
      </w:tr>
      <w:tr>
        <w:trPr>
          <w:trHeight w:val="27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重新计量预期信用损失准备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20"/>
                <w:szCs w:val="20"/>
              </w:rPr>
            </w:pPr>
            <w:r>
              <w:rPr>
                <w:rFonts w:ascii="宋体"/>
                <w:w w:val="99"/>
                <w:sz w:val="20"/>
              </w:rPr>
              <w:t>-</w:t>
            </w:r>
            <w:r>
              <w:rPr>
                <w:rFonts w:ascii="宋体"/>
                <w:sz w:val="20"/>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9"/>
                <w:sz w:val="20"/>
              </w:rPr>
              <w:t>-</w:t>
            </w:r>
            <w:r>
              <w:rPr>
                <w:rFonts w:ascii="宋体"/>
                <w:sz w:val="20"/>
              </w:rPr>
            </w:r>
          </w:p>
        </w:tc>
      </w:tr>
      <w:tr>
        <w:trPr>
          <w:trHeight w:val="269"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z w:val="20"/>
                <w:szCs w:val="20"/>
              </w:rPr>
              <w:t>年</w:t>
            </w:r>
            <w:r>
              <w:rPr>
                <w:rFonts w:ascii="宋体" w:hAnsi="宋体" w:cs="宋体" w:eastAsia="宋体" w:hint="default"/>
                <w:sz w:val="20"/>
                <w:szCs w:val="20"/>
              </w:rPr>
              <w:t>1</w:t>
            </w:r>
            <w:r>
              <w:rPr>
                <w:rFonts w:ascii="宋体" w:hAnsi="宋体" w:cs="宋体" w:eastAsia="宋体" w:hint="default"/>
                <w:sz w:val="20"/>
                <w:szCs w:val="20"/>
              </w:rPr>
              <w:t>月</w:t>
            </w:r>
            <w:r>
              <w:rPr>
                <w:rFonts w:ascii="宋体" w:hAnsi="宋体" w:cs="宋体" w:eastAsia="宋体" w:hint="default"/>
                <w:sz w:val="20"/>
                <w:szCs w:val="20"/>
              </w:rPr>
              <w:t>1</w:t>
            </w:r>
            <w:r>
              <w:rPr>
                <w:rFonts w:ascii="宋体" w:hAnsi="宋体" w:cs="宋体" w:eastAsia="宋体" w:hint="default"/>
                <w:sz w:val="20"/>
                <w:szCs w:val="20"/>
              </w:rPr>
              <w:t>日</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169,089,948.16</w:t>
            </w:r>
            <w:r>
              <w:rPr>
                <w:rFonts w:ascii="宋体"/>
                <w:sz w:val="20"/>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169,089,948.16</w:t>
            </w:r>
            <w:r>
              <w:rPr>
                <w:rFonts w:ascii="宋体"/>
                <w:sz w:val="20"/>
              </w:rPr>
            </w:r>
          </w:p>
        </w:tc>
      </w:tr>
      <w:tr>
        <w:trPr>
          <w:trHeight w:val="269"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转出已发生信用减值</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(6,204,994.96)</w:t>
            </w:r>
            <w:r>
              <w:rPr>
                <w:rFonts w:ascii="宋体"/>
                <w:sz w:val="20"/>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(6,204,994.96)</w:t>
            </w:r>
            <w:r>
              <w:rPr>
                <w:rFonts w:ascii="宋体"/>
                <w:sz w:val="20"/>
              </w:rPr>
            </w:r>
          </w:p>
        </w:tc>
      </w:tr>
      <w:tr>
        <w:trPr>
          <w:trHeight w:val="269"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本年预期信用损失调整</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65,181,335.17</w:t>
            </w:r>
            <w:r>
              <w:rPr>
                <w:rFonts w:ascii="宋体"/>
                <w:sz w:val="20"/>
              </w:rPr>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22,292,945.48</w:t>
            </w:r>
            <w:r>
              <w:rPr>
                <w:rFonts w:ascii="宋体"/>
                <w:sz w:val="20"/>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87,474,280.65</w:t>
            </w:r>
            <w:r>
              <w:rPr>
                <w:rFonts w:ascii="宋体"/>
                <w:sz w:val="20"/>
              </w:rPr>
            </w:r>
          </w:p>
        </w:tc>
      </w:tr>
      <w:tr>
        <w:trPr>
          <w:trHeight w:val="27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65,181,335.17</w:t>
            </w:r>
            <w:r>
              <w:rPr>
                <w:rFonts w:ascii="宋体"/>
                <w:sz w:val="20"/>
              </w:rPr>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185,177,898.68</w:t>
            </w:r>
            <w:r>
              <w:rPr>
                <w:rFonts w:ascii="宋体"/>
                <w:sz w:val="20"/>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250,359,233.85</w:t>
            </w:r>
            <w:r>
              <w:rPr>
                <w:rFonts w:ascii="宋体"/>
                <w:sz w:val="20"/>
              </w:rPr>
            </w:r>
          </w:p>
        </w:tc>
      </w:tr>
    </w:tbl>
    <w:p>
      <w:pPr>
        <w:spacing w:line="240" w:lineRule="auto" w:before="11"/>
        <w:rPr>
          <w:rFonts w:ascii="宋体" w:hAnsi="宋体" w:cs="宋体" w:eastAsia="宋体" w:hint="default"/>
          <w:sz w:val="25"/>
          <w:szCs w:val="25"/>
        </w:rPr>
      </w:pPr>
    </w:p>
    <w:p>
      <w:pPr>
        <w:pStyle w:val="BodyText"/>
        <w:spacing w:line="240" w:lineRule="auto" w:before="36"/>
        <w:ind w:left="1180" w:right="0"/>
        <w:jc w:val="left"/>
      </w:pPr>
      <w:r>
        <w:rPr/>
        <w:t>其他应收款</w:t>
      </w:r>
    </w:p>
    <w:p>
      <w:pPr>
        <w:spacing w:line="240" w:lineRule="auto" w:before="11"/>
        <w:rPr>
          <w:rFonts w:ascii="宋体" w:hAnsi="宋体" w:cs="宋体" w:eastAsia="宋体" w:hint="default"/>
          <w:sz w:val="20"/>
          <w:szCs w:val="20"/>
        </w:rPr>
      </w:pPr>
    </w:p>
    <w:p>
      <w:pPr>
        <w:pStyle w:val="BodyText"/>
        <w:spacing w:line="274" w:lineRule="exact" w:before="36"/>
        <w:ind w:left="1180" w:right="0"/>
        <w:jc w:val="left"/>
      </w:pPr>
      <w:r>
        <w:rPr/>
        <w:t>其他应收款坏账准备计提情况：</w:t>
      </w:r>
    </w:p>
    <w:p>
      <w:pPr>
        <w:pStyle w:val="BodyText"/>
        <w:tabs>
          <w:tab w:pos="1051" w:val="left" w:leader="none"/>
        </w:tabs>
        <w:spacing w:line="274" w:lineRule="exact"/>
        <w:ind w:left="0" w:right="473"/>
        <w:jc w:val="right"/>
      </w:pPr>
      <w:r>
        <w:rPr>
          <w:spacing w:val="-1"/>
        </w:rPr>
        <w:t>单位：元</w:t>
        <w:tab/>
        <w:t>币种：人民币</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417"/>
        <w:gridCol w:w="1817"/>
        <w:gridCol w:w="1817"/>
        <w:gridCol w:w="1870"/>
        <w:gridCol w:w="1814"/>
      </w:tblGrid>
      <w:tr>
        <w:trPr>
          <w:trHeight w:val="281"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78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828" w:hRule="exact"/>
        </w:trPr>
        <w:tc>
          <w:tcPr>
            <w:tcW w:w="2417"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2" w:right="113" w:hanging="368"/>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个月预期</w:t>
            </w:r>
            <w:r>
              <w:rPr>
                <w:rFonts w:ascii="宋体" w:hAnsi="宋体" w:cs="宋体" w:eastAsia="宋体" w:hint="default"/>
                <w:w w:val="100"/>
                <w:sz w:val="21"/>
                <w:szCs w:val="21"/>
              </w:rPr>
              <w:t> </w:t>
            </w:r>
            <w:r>
              <w:rPr>
                <w:rFonts w:ascii="宋体" w:hAnsi="宋体" w:cs="宋体" w:eastAsia="宋体" w:hint="default"/>
                <w:sz w:val="21"/>
                <w:szCs w:val="21"/>
              </w:rPr>
              <w:t>信用损失</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40" w:lineRule="auto"/>
              <w:ind w:left="429" w:right="113" w:hanging="315"/>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未发生</w:t>
            </w:r>
            <w:r>
              <w:rPr>
                <w:rFonts w:ascii="宋体" w:hAnsi="宋体" w:cs="宋体" w:eastAsia="宋体" w:hint="default"/>
                <w:w w:val="100"/>
                <w:sz w:val="21"/>
                <w:szCs w:val="21"/>
              </w:rPr>
              <w:t> </w:t>
            </w:r>
            <w:r>
              <w:rPr>
                <w:rFonts w:ascii="宋体" w:hAnsi="宋体" w:cs="宋体" w:eastAsia="宋体" w:hint="default"/>
                <w:sz w:val="21"/>
                <w:szCs w:val="21"/>
              </w:rPr>
              <w:t>信用减值</w:t>
            </w:r>
            <w:r>
              <w:rPr>
                <w:rFonts w:ascii="宋体" w:hAnsi="宋体" w:cs="宋体" w:eastAsia="宋体" w:hint="default"/>
                <w:sz w:val="21"/>
                <w:szCs w:val="21"/>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40" w:lineRule="auto"/>
              <w:ind w:left="453" w:right="142" w:hanging="315"/>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已发生</w:t>
            </w:r>
            <w:r>
              <w:rPr>
                <w:rFonts w:ascii="宋体" w:hAnsi="宋体" w:cs="宋体" w:eastAsia="宋体" w:hint="default"/>
                <w:w w:val="100"/>
                <w:sz w:val="21"/>
                <w:szCs w:val="21"/>
              </w:rPr>
              <w:t> </w:t>
            </w:r>
            <w:r>
              <w:rPr>
                <w:rFonts w:ascii="宋体" w:hAnsi="宋体" w:cs="宋体" w:eastAsia="宋体" w:hint="default"/>
                <w:sz w:val="21"/>
                <w:szCs w:val="21"/>
              </w:rPr>
              <w:t>信用减值</w:t>
            </w:r>
            <w:r>
              <w:rPr>
                <w:rFonts w:ascii="宋体" w:hAnsi="宋体" w:cs="宋体" w:eastAsia="宋体" w:hint="default"/>
                <w:sz w:val="21"/>
                <w:szCs w:val="21"/>
              </w:rPr>
              <w:t>)</w:t>
            </w:r>
          </w:p>
        </w:tc>
        <w:tc>
          <w:tcPr>
            <w:tcW w:w="1814" w:type="dxa"/>
            <w:vMerge/>
            <w:tcBorders>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10,998,113.44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10,998,113.44</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193,633.14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4,349,228.63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4,542,861.77</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转出发生信用减值</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(2,056,073.85)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(2,056,073.85)</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193,633.14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13,291,268.22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13,484,901.36</w:t>
            </w:r>
          </w:p>
        </w:tc>
      </w:tr>
    </w:tbl>
    <w:p>
      <w:pPr>
        <w:spacing w:line="240" w:lineRule="auto" w:before="5"/>
        <w:rPr>
          <w:rFonts w:ascii="宋体" w:hAnsi="宋体" w:cs="宋体" w:eastAsia="宋体" w:hint="default"/>
          <w:sz w:val="15"/>
          <w:szCs w:val="15"/>
        </w:rPr>
      </w:pPr>
    </w:p>
    <w:p>
      <w:pPr>
        <w:pStyle w:val="BodyText"/>
        <w:spacing w:line="355" w:lineRule="auto" w:before="36"/>
        <w:ind w:left="885" w:right="0"/>
        <w:jc w:val="left"/>
      </w:pPr>
      <w:r>
        <w:rPr/>
        <w:t>长期应收款</w:t>
      </w:r>
      <w:r>
        <w:rPr>
          <w:spacing w:val="-102"/>
        </w:rPr>
        <w:t> </w:t>
      </w:r>
      <w:r>
        <w:rPr>
          <w:spacing w:val="-102"/>
        </w:rPr>
      </w:r>
      <w:r>
        <w:rPr>
          <w:spacing w:val="-2"/>
        </w:rPr>
        <w:t>本集团长期应收款余额均为对政府机构及学校的应收款项，且均未逾期，管理层认为长期应收</w:t>
      </w:r>
    </w:p>
    <w:p>
      <w:pPr>
        <w:pStyle w:val="BodyText"/>
        <w:spacing w:line="240" w:lineRule="auto" w:before="34"/>
        <w:ind w:left="885" w:right="0" w:hanging="425"/>
        <w:jc w:val="left"/>
      </w:pPr>
      <w:r>
        <w:rPr/>
        <w:t>款具有较低的信用风险。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885" w:right="0"/>
        <w:jc w:val="left"/>
      </w:pPr>
      <w:r>
        <w:rPr>
          <w:rFonts w:ascii="宋体" w:hAnsi="宋体" w:cs="宋体" w:eastAsia="宋体" w:hint="default"/>
        </w:rPr>
        <w:t>1.3</w:t>
      </w:r>
      <w:r>
        <w:rPr>
          <w:rFonts w:ascii="宋体" w:hAnsi="宋体" w:cs="宋体" w:eastAsia="宋体" w:hint="default"/>
          <w:spacing w:val="-53"/>
        </w:rPr>
        <w:t> </w:t>
      </w:r>
      <w:r>
        <w:rPr/>
        <w:t>流动性风险</w:t>
      </w:r>
      <w:r>
        <w:rPr>
          <w:w w:val="100"/>
        </w:rPr>
        <w:t> </w:t>
      </w:r>
      <w:r>
        <w:rPr>
          <w:spacing w:val="-2"/>
        </w:rPr>
        <w:t>管理流动性风险时，本集团保持管理层认为充分的现金及现金等价物并对其进行监控，以满足</w:t>
      </w:r>
    </w:p>
    <w:p>
      <w:pPr>
        <w:pStyle w:val="BodyText"/>
        <w:spacing w:line="240" w:lineRule="auto" w:before="34"/>
        <w:ind w:left="460" w:right="0"/>
        <w:jc w:val="left"/>
      </w:pPr>
      <w:r>
        <w:rPr/>
        <w:t>本集团经营需要，并降低现金流量波动的影响。</w:t>
      </w:r>
    </w:p>
    <w:p>
      <w:pPr>
        <w:spacing w:after="0" w:line="240" w:lineRule="auto"/>
        <w:jc w:val="left"/>
        <w:sectPr>
          <w:pgSz w:w="11910" w:h="16840"/>
          <w:pgMar w:header="882" w:footer="1195" w:top="1120" w:bottom="138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820" w:right="271" w:firstLine="424"/>
        <w:jc w:val="both"/>
      </w:pPr>
      <w:r>
        <w:rPr>
          <w:spacing w:val="-2"/>
        </w:rPr>
        <w:t>本集团的目标是通过经营活动以及发行其他计息借款为主要资金来源，在追求资金回报与灵活</w:t>
      </w:r>
      <w:r>
        <w:rPr>
          <w:w w:val="100"/>
        </w:rPr>
        <w:t> </w:t>
      </w:r>
      <w:r>
        <w:rPr>
          <w:spacing w:val="-2"/>
        </w:rPr>
        <w:t>性之间维持平衡。本集团通过维持充足的现金为本集团的营运筹备资金。本集团亦可通过银行信贷</w:t>
      </w:r>
      <w:r>
        <w:rPr>
          <w:spacing w:val="-31"/>
        </w:rPr>
        <w:t> </w:t>
      </w:r>
      <w:r>
        <w:rPr>
          <w:spacing w:val="-31"/>
        </w:rPr>
      </w:r>
      <w:r>
        <w:rPr/>
        <w:t>融资，以应付任何短期资金需要。</w:t>
      </w:r>
    </w:p>
    <w:p>
      <w:pPr>
        <w:pStyle w:val="BodyText"/>
        <w:spacing w:line="475" w:lineRule="auto" w:before="32"/>
        <w:ind w:left="1245" w:right="2031"/>
        <w:jc w:val="left"/>
      </w:pPr>
      <w:r>
        <w:rPr>
          <w:spacing w:val="-2"/>
        </w:rPr>
        <w:t>本集团持有的金融负债按未折现剩余合同义务的到期期限分析如下：</w:t>
      </w:r>
      <w:r>
        <w:rPr>
          <w:spacing w:val="-48"/>
        </w:rPr>
        <w:t> </w:t>
      </w:r>
      <w:r>
        <w:rPr>
          <w:spacing w:val="-48"/>
        </w:rPr>
      </w:r>
      <w:r>
        <w:rPr/>
        <w:t>本年末</w:t>
      </w:r>
    </w:p>
    <w:p>
      <w:pPr>
        <w:pStyle w:val="BodyText"/>
        <w:spacing w:line="240" w:lineRule="auto" w:before="64"/>
        <w:ind w:left="0" w:right="319"/>
        <w:jc w:val="right"/>
      </w:pPr>
      <w:r>
        <w:rPr>
          <w:spacing w:val="-1"/>
        </w:rPr>
        <w:t>人民币元</w:t>
      </w:r>
    </w:p>
    <w:p>
      <w:pPr>
        <w:spacing w:line="240" w:lineRule="auto" w:before="7"/>
        <w:rPr>
          <w:rFonts w:ascii="宋体" w:hAnsi="宋体" w:cs="宋体" w:eastAsia="宋体" w:hint="default"/>
          <w:sz w:val="2"/>
          <w:szCs w:val="2"/>
        </w:rPr>
      </w:pPr>
    </w:p>
    <w:tbl>
      <w:tblPr>
        <w:tblW w:w="0" w:type="auto"/>
        <w:jc w:val="left"/>
        <w:tblInd w:w="1422" w:type="dxa"/>
        <w:tblLayout w:type="fixed"/>
        <w:tblCellMar>
          <w:top w:w="0" w:type="dxa"/>
          <w:left w:w="0" w:type="dxa"/>
          <w:bottom w:w="0" w:type="dxa"/>
          <w:right w:w="0" w:type="dxa"/>
        </w:tblCellMar>
        <w:tblLook w:val="01E0"/>
      </w:tblPr>
      <w:tblGrid>
        <w:gridCol w:w="2907"/>
        <w:gridCol w:w="1875"/>
        <w:gridCol w:w="1872"/>
        <w:gridCol w:w="1921"/>
      </w:tblGrid>
      <w:tr>
        <w:trPr>
          <w:trHeight w:val="269"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56"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56"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269"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3,620,513,916.23</w:t>
            </w:r>
            <w:r>
              <w:rPr>
                <w:rFonts w:ascii="宋体"/>
                <w:sz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9"/>
                <w:sz w:val="20"/>
              </w:rPr>
              <w:t>-</w:t>
            </w:r>
            <w:r>
              <w:rPr>
                <w:rFonts w:ascii="宋体"/>
                <w:sz w:val="20"/>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3,620,513,916.23</w:t>
            </w:r>
            <w:r>
              <w:rPr>
                <w:rFonts w:ascii="宋体"/>
                <w:sz w:val="20"/>
              </w:rPr>
            </w:r>
          </w:p>
        </w:tc>
      </w:tr>
      <w:tr>
        <w:trPr>
          <w:trHeight w:val="269"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275,086,663.52</w:t>
            </w:r>
            <w:r>
              <w:rPr>
                <w:rFonts w:ascii="宋体"/>
                <w:sz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9"/>
                <w:sz w:val="20"/>
              </w:rPr>
              <w:t>-</w:t>
            </w:r>
            <w:r>
              <w:rPr>
                <w:rFonts w:ascii="宋体"/>
                <w:sz w:val="20"/>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275,086,663.52</w:t>
            </w:r>
            <w:r>
              <w:rPr>
                <w:rFonts w:ascii="宋体"/>
                <w:sz w:val="20"/>
              </w:rPr>
            </w:r>
          </w:p>
        </w:tc>
      </w:tr>
      <w:tr>
        <w:trPr>
          <w:trHeight w:val="271"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3,895,600,579.75</w:t>
            </w:r>
            <w:r>
              <w:rPr>
                <w:rFonts w:ascii="宋体"/>
                <w:sz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9"/>
                <w:sz w:val="20"/>
              </w:rPr>
              <w:t>-</w:t>
            </w:r>
            <w:r>
              <w:rPr>
                <w:rFonts w:ascii="宋体"/>
                <w:sz w:val="20"/>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3,895,600,579.75</w:t>
            </w:r>
            <w:r>
              <w:rPr>
                <w:rFonts w:ascii="宋体"/>
                <w:sz w:val="20"/>
              </w:rPr>
            </w:r>
          </w:p>
        </w:tc>
      </w:tr>
    </w:tbl>
    <w:p>
      <w:pPr>
        <w:spacing w:line="240" w:lineRule="auto" w:before="11"/>
        <w:rPr>
          <w:rFonts w:ascii="宋体" w:hAnsi="宋体" w:cs="宋体" w:eastAsia="宋体" w:hint="default"/>
          <w:sz w:val="25"/>
          <w:szCs w:val="25"/>
        </w:rPr>
      </w:pPr>
    </w:p>
    <w:p>
      <w:pPr>
        <w:pStyle w:val="BodyText"/>
        <w:spacing w:line="240" w:lineRule="auto" w:before="36"/>
        <w:ind w:left="1540" w:right="2031"/>
        <w:jc w:val="left"/>
      </w:pPr>
      <w:r>
        <w:rPr/>
        <w:t>上年末</w:t>
      </w:r>
    </w:p>
    <w:p>
      <w:pPr>
        <w:spacing w:line="240" w:lineRule="auto" w:before="11"/>
        <w:rPr>
          <w:rFonts w:ascii="宋体" w:hAnsi="宋体" w:cs="宋体" w:eastAsia="宋体" w:hint="default"/>
          <w:sz w:val="17"/>
          <w:szCs w:val="17"/>
        </w:rPr>
      </w:pPr>
    </w:p>
    <w:p>
      <w:pPr>
        <w:pStyle w:val="BodyText"/>
        <w:spacing w:line="240" w:lineRule="auto" w:before="36"/>
        <w:ind w:left="0" w:right="319"/>
        <w:jc w:val="right"/>
      </w:pPr>
      <w:r>
        <w:rPr>
          <w:spacing w:val="-1"/>
        </w:rPr>
        <w:t>人民币元</w:t>
      </w:r>
    </w:p>
    <w:p>
      <w:pPr>
        <w:spacing w:line="240" w:lineRule="auto" w:before="7"/>
        <w:rPr>
          <w:rFonts w:ascii="宋体" w:hAnsi="宋体" w:cs="宋体" w:eastAsia="宋体" w:hint="default"/>
          <w:sz w:val="2"/>
          <w:szCs w:val="2"/>
        </w:rPr>
      </w:pPr>
    </w:p>
    <w:tbl>
      <w:tblPr>
        <w:tblW w:w="0" w:type="auto"/>
        <w:jc w:val="left"/>
        <w:tblInd w:w="1422" w:type="dxa"/>
        <w:tblLayout w:type="fixed"/>
        <w:tblCellMar>
          <w:top w:w="0" w:type="dxa"/>
          <w:left w:w="0" w:type="dxa"/>
          <w:bottom w:w="0" w:type="dxa"/>
          <w:right w:w="0" w:type="dxa"/>
        </w:tblCellMar>
        <w:tblLook w:val="01E0"/>
      </w:tblPr>
      <w:tblGrid>
        <w:gridCol w:w="2907"/>
        <w:gridCol w:w="1875"/>
        <w:gridCol w:w="1872"/>
        <w:gridCol w:w="1921"/>
      </w:tblGrid>
      <w:tr>
        <w:trPr>
          <w:trHeight w:val="269"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56"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56"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269"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3,144,291,382.23</w:t>
            </w:r>
            <w:r>
              <w:rPr>
                <w:rFonts w:ascii="宋体"/>
                <w:sz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9"/>
                <w:sz w:val="20"/>
              </w:rPr>
              <w:t>-</w:t>
            </w:r>
            <w:r>
              <w:rPr>
                <w:rFonts w:ascii="宋体"/>
                <w:sz w:val="20"/>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3,144,291,382.23</w:t>
            </w:r>
            <w:r>
              <w:rPr>
                <w:rFonts w:ascii="宋体"/>
                <w:sz w:val="20"/>
              </w:rPr>
            </w:r>
          </w:p>
        </w:tc>
      </w:tr>
      <w:tr>
        <w:trPr>
          <w:trHeight w:val="269"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264,369,944.04</w:t>
            </w:r>
            <w:r>
              <w:rPr>
                <w:rFonts w:ascii="宋体"/>
                <w:sz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9"/>
                <w:sz w:val="20"/>
              </w:rPr>
              <w:t>-</w:t>
            </w:r>
            <w:r>
              <w:rPr>
                <w:rFonts w:ascii="宋体"/>
                <w:sz w:val="20"/>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264,369,944.04</w:t>
            </w:r>
            <w:r>
              <w:rPr>
                <w:rFonts w:ascii="宋体"/>
                <w:sz w:val="20"/>
              </w:rPr>
            </w:r>
          </w:p>
        </w:tc>
      </w:tr>
      <w:tr>
        <w:trPr>
          <w:trHeight w:val="271"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3,408,661,326.27</w:t>
            </w:r>
            <w:r>
              <w:rPr>
                <w:rFonts w:ascii="宋体"/>
                <w:sz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9"/>
                <w:sz w:val="20"/>
              </w:rPr>
              <w:t>-</w:t>
            </w:r>
            <w:r>
              <w:rPr>
                <w:rFonts w:ascii="宋体"/>
                <w:sz w:val="20"/>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3,408,661,326.27</w:t>
            </w:r>
            <w:r>
              <w:rPr>
                <w:rFonts w:ascii="宋体"/>
                <w:sz w:val="20"/>
              </w:rPr>
            </w:r>
          </w:p>
        </w:tc>
      </w:tr>
    </w:tbl>
    <w:p>
      <w:pPr>
        <w:spacing w:line="240" w:lineRule="auto" w:before="11"/>
        <w:rPr>
          <w:rFonts w:ascii="宋体" w:hAnsi="宋体" w:cs="宋体" w:eastAsia="宋体" w:hint="default"/>
          <w:sz w:val="25"/>
          <w:szCs w:val="25"/>
        </w:rPr>
      </w:pPr>
    </w:p>
    <w:p>
      <w:pPr>
        <w:pStyle w:val="BodyText"/>
        <w:spacing w:line="240" w:lineRule="auto" w:before="36"/>
        <w:ind w:left="1245" w:right="2031"/>
        <w:jc w:val="left"/>
      </w:pPr>
      <w:r>
        <w:rPr>
          <w:rFonts w:ascii="宋体" w:hAnsi="宋体" w:cs="宋体" w:eastAsia="宋体" w:hint="default"/>
        </w:rPr>
        <w:t>2</w:t>
      </w:r>
      <w:r>
        <w:rPr/>
        <w:t>、金融资产转移</w:t>
      </w:r>
    </w:p>
    <w:p>
      <w:pPr>
        <w:pStyle w:val="BodyText"/>
        <w:spacing w:line="240" w:lineRule="auto" w:before="133"/>
        <w:ind w:left="1245" w:right="0"/>
        <w:jc w:val="left"/>
      </w:pPr>
      <w:r>
        <w:rPr/>
        <w:t>于本年末，本集团已背书但未到期的银行承兑汇票金额为人民币 </w:t>
      </w:r>
      <w:r>
        <w:rPr>
          <w:rFonts w:ascii="宋体" w:hAnsi="宋体" w:cs="宋体" w:eastAsia="宋体" w:hint="default"/>
        </w:rPr>
        <w:t>17,646,200.91</w:t>
      </w:r>
      <w:r>
        <w:rPr>
          <w:rFonts w:ascii="宋体" w:hAnsi="宋体" w:cs="宋体" w:eastAsia="宋体" w:hint="default"/>
          <w:spacing w:val="-15"/>
        </w:rPr>
        <w:t> </w:t>
      </w:r>
      <w:r>
        <w:rPr/>
        <w:t>元</w:t>
      </w:r>
      <w:r>
        <w:rPr>
          <w:rFonts w:ascii="宋体" w:hAnsi="宋体" w:cs="宋体" w:eastAsia="宋体" w:hint="default"/>
        </w:rPr>
        <w:t>(</w:t>
      </w:r>
      <w:r>
        <w:rPr/>
        <w:t>上年末：</w:t>
      </w:r>
    </w:p>
    <w:p>
      <w:pPr>
        <w:pStyle w:val="BodyText"/>
        <w:spacing w:line="357" w:lineRule="auto" w:before="133"/>
        <w:ind w:left="820" w:right="271"/>
        <w:jc w:val="both"/>
      </w:pPr>
      <w:r>
        <w:rPr/>
        <w:t>人民币 </w:t>
      </w:r>
      <w:r>
        <w:rPr>
          <w:rFonts w:ascii="宋体" w:hAnsi="宋体" w:cs="宋体" w:eastAsia="宋体" w:hint="default"/>
        </w:rPr>
        <w:t>21,048,232.73</w:t>
      </w:r>
      <w:r>
        <w:rPr>
          <w:rFonts w:ascii="宋体" w:hAnsi="宋体" w:cs="宋体" w:eastAsia="宋体" w:hint="default"/>
          <w:spacing w:val="-10"/>
        </w:rPr>
        <w:t> </w:t>
      </w:r>
      <w:r>
        <w:rPr/>
        <w:t>元</w:t>
      </w:r>
      <w:r>
        <w:rPr>
          <w:rFonts w:ascii="宋体" w:hAnsi="宋体" w:cs="宋体" w:eastAsia="宋体" w:hint="default"/>
        </w:rPr>
        <w:t>)</w:t>
      </w:r>
      <w:r>
        <w:rPr/>
        <w:t>，用于支付对供货商的应付账款。本集团认为该等背书应收票据所有权</w:t>
      </w:r>
      <w:r>
        <w:rPr>
          <w:w w:val="100"/>
        </w:rPr>
        <w:t> </w:t>
      </w:r>
      <w:r>
        <w:rPr>
          <w:spacing w:val="-2"/>
        </w:rPr>
        <w:t>上几乎所有的风险和报酬已经转移予供货商，因此终止确认该等背书应收票据。若承兑银行到期无</w:t>
      </w:r>
      <w:r>
        <w:rPr>
          <w:spacing w:val="-30"/>
        </w:rPr>
        <w:t> </w:t>
      </w:r>
      <w:r>
        <w:rPr>
          <w:spacing w:val="-30"/>
        </w:rPr>
      </w:r>
      <w:r>
        <w:rPr>
          <w:spacing w:val="-2"/>
        </w:rPr>
        <w:t>法兑付该等票据，根据中国相关法律法规，本集团就该等应收票据承担连带责任。本集团认为，该</w:t>
      </w:r>
      <w:r>
        <w:rPr>
          <w:spacing w:val="-34"/>
        </w:rPr>
        <w:t> </w:t>
      </w:r>
      <w:r>
        <w:rPr>
          <w:spacing w:val="-34"/>
        </w:rPr>
      </w:r>
      <w:r>
        <w:rPr/>
        <w:t>等应收票据的承兑银行信誉良好，于到期日不能兑付该等票据的风险极低。</w:t>
      </w:r>
    </w:p>
    <w:p>
      <w:pPr>
        <w:pStyle w:val="BodyText"/>
        <w:spacing w:line="355" w:lineRule="auto" w:before="30"/>
        <w:ind w:left="820" w:right="0" w:firstLine="424"/>
        <w:jc w:val="left"/>
      </w:pPr>
      <w:r>
        <w:rPr>
          <w:spacing w:val="-2"/>
        </w:rPr>
        <w:t>于本年末，如若承兑银行未能于到期日兑付该等票据，即本集团所可能承受的最大损失相当于</w:t>
      </w:r>
      <w:r>
        <w:rPr>
          <w:w w:val="100"/>
        </w:rPr>
        <w:t> </w:t>
      </w:r>
      <w:r>
        <w:rPr/>
        <w:t>本集团就该等背书票据应付供货商的同等金额。</w:t>
      </w:r>
    </w:p>
    <w:p>
      <w:pPr>
        <w:pStyle w:val="BodyText"/>
        <w:spacing w:line="240" w:lineRule="auto" w:before="35"/>
        <w:ind w:left="1245" w:right="2031"/>
        <w:jc w:val="left"/>
      </w:pPr>
      <w:r>
        <w:rPr/>
        <w:t>于本年末，所有背书给供应商的应收票据均将在报告期末六个月内到期。</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620" w:right="1160"/>
        </w:sectPr>
      </w:pPr>
    </w:p>
    <w:p>
      <w:pPr>
        <w:spacing w:line="240" w:lineRule="auto" w:before="6"/>
        <w:rPr>
          <w:rFonts w:ascii="宋体" w:hAnsi="宋体" w:cs="宋体" w:eastAsia="宋体" w:hint="default"/>
          <w:sz w:val="15"/>
          <w:szCs w:val="15"/>
        </w:rPr>
      </w:pPr>
    </w:p>
    <w:p>
      <w:pPr>
        <w:pStyle w:val="Heading2"/>
        <w:tabs>
          <w:tab w:pos="1660" w:val="left" w:leader="none"/>
        </w:tabs>
        <w:spacing w:line="240" w:lineRule="auto"/>
        <w:ind w:left="820" w:right="-18"/>
        <w:jc w:val="left"/>
        <w:rPr>
          <w:b w:val="0"/>
          <w:bCs w:val="0"/>
        </w:rPr>
      </w:pPr>
      <w:r>
        <w:rPr/>
        <w:t>十一、</w:t>
        <w:tab/>
        <w:t>公允价值的披露</w:t>
      </w:r>
      <w:r>
        <w:rPr>
          <w:b w:val="0"/>
          <w:bCs w:val="0"/>
        </w:rPr>
      </w:r>
    </w:p>
    <w:p>
      <w:pPr>
        <w:pStyle w:val="Heading2"/>
        <w:spacing w:line="240" w:lineRule="auto" w:before="58"/>
        <w:ind w:left="820"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662" w:val="left" w:leader="none"/>
        </w:tabs>
        <w:spacing w:line="240" w:lineRule="auto" w:before="56"/>
        <w:ind w:left="820"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tabs>
          <w:tab w:pos="1766" w:val="left" w:leader="none"/>
        </w:tabs>
        <w:spacing w:line="240" w:lineRule="auto"/>
        <w:ind w:left="8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620" w:right="1160"/>
          <w:cols w:num="2" w:equalWidth="0">
            <w:col w:w="5465" w:space="1462"/>
            <w:col w:w="3203"/>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458"/>
        <w:gridCol w:w="1741"/>
        <w:gridCol w:w="1738"/>
        <w:gridCol w:w="1884"/>
        <w:gridCol w:w="1959"/>
      </w:tblGrid>
      <w:tr>
        <w:trPr>
          <w:trHeight w:val="283" w:hRule="exact"/>
        </w:trPr>
        <w:tc>
          <w:tcPr>
            <w:tcW w:w="245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3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458" w:type="dxa"/>
            <w:vMerge/>
            <w:tcBorders>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第一层次公允价值</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计量</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计量</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第三层次公允价值</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计量</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（一）交易性金融资产</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sz w:val="21"/>
              </w:rPr>
              <w:t>641,274.52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sz w:val="21"/>
              </w:rPr>
              <w:t>810,000,000.00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sz w:val="21"/>
              </w:rPr>
              <w:t>959,446,767.91</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sz w:val="21"/>
              </w:rPr>
              <w:t>1,770,088,042.43</w:t>
            </w:r>
          </w:p>
        </w:tc>
      </w:tr>
    </w:tbl>
    <w:p>
      <w:pPr>
        <w:spacing w:after="0" w:line="241" w:lineRule="exact"/>
        <w:jc w:val="left"/>
        <w:rPr>
          <w:rFonts w:ascii="宋体" w:hAnsi="宋体" w:cs="宋体" w:eastAsia="宋体" w:hint="default"/>
          <w:sz w:val="21"/>
          <w:szCs w:val="21"/>
        </w:rPr>
        <w:sectPr>
          <w:type w:val="continuous"/>
          <w:pgSz w:w="11910" w:h="16840"/>
          <w:pgMar w:top="1060" w:bottom="1380" w:left="62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458"/>
        <w:gridCol w:w="1741"/>
        <w:gridCol w:w="1738"/>
        <w:gridCol w:w="1884"/>
        <w:gridCol w:w="1959"/>
      </w:tblGrid>
      <w:tr>
        <w:trPr>
          <w:trHeight w:val="55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641,274.52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810,000,000.00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451,790,000.00</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1,262,431,274.52</w:t>
            </w: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810,000,000.00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451,790,000.00</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1,261,790,000.00</w:t>
            </w: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641,274.52</w:t>
            </w: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641,274.52</w:t>
            </w: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指定以公允价值计量且</w:t>
            </w:r>
          </w:p>
          <w:p>
            <w:pPr>
              <w:pStyle w:val="TableParagraph"/>
              <w:spacing w:line="240" w:lineRule="auto"/>
              <w:ind w:left="21" w:right="110"/>
              <w:jc w:val="left"/>
              <w:rPr>
                <w:rFonts w:ascii="宋体" w:hAnsi="宋体" w:cs="宋体" w:eastAsia="宋体" w:hint="default"/>
                <w:sz w:val="21"/>
                <w:szCs w:val="21"/>
              </w:rPr>
            </w:pPr>
            <w:r>
              <w:rPr>
                <w:rFonts w:ascii="宋体" w:hAnsi="宋体" w:cs="宋体" w:eastAsia="宋体" w:hint="default"/>
                <w:spacing w:val="-2"/>
                <w:sz w:val="21"/>
                <w:szCs w:val="21"/>
              </w:rPr>
              <w:t>其变动计入当期损益的金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融资产</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507,656,767.91</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507,656,767.91</w:t>
            </w: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w w:val="100"/>
                <w:sz w:val="21"/>
              </w:rPr>
              <w:t>-</w:t>
            </w: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507,656,767.91</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507,656,767.91</w:t>
            </w: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（二）其他债权投资</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w w:val="100"/>
                <w:sz w:val="21"/>
              </w:rPr>
              <w:t>-</w:t>
            </w:r>
          </w:p>
        </w:tc>
      </w:tr>
      <w:tr>
        <w:trPr>
          <w:trHeight w:val="28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833,439,238.28</w:t>
            </w: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618,615,393.81</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1,452,054,632.09</w:t>
            </w: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（四）投资性房地产</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（五）生物资产</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834,080,512.80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810,000,000.00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1,578,062,161.72</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3,222,142,674.52</w:t>
            </w:r>
          </w:p>
        </w:tc>
      </w:tr>
      <w:tr>
        <w:trPr>
          <w:trHeight w:val="308"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（六）交易性金融负债</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（七）指定为以公允价值</w:t>
            </w:r>
          </w:p>
          <w:p>
            <w:pPr>
              <w:pStyle w:val="TableParagraph"/>
              <w:spacing w:line="272" w:lineRule="exact" w:before="27"/>
              <w:ind w:left="21" w:right="110"/>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5" w:lineRule="exact"/>
              <w:ind w:left="21"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74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6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78"/>
        <w:ind w:right="205"/>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062" w:val="left" w:leader="none"/>
        </w:tabs>
        <w:spacing w:line="240" w:lineRule="auto" w:before="56"/>
        <w:ind w:right="7561"/>
        <w:jc w:val="left"/>
      </w:pPr>
      <w:r>
        <w:rPr/>
        <w:t>√适用</w:t>
        <w:tab/>
      </w:r>
      <w:r>
        <w:rPr>
          <w:spacing w:val="-2"/>
        </w:rPr>
        <w:t>□不适用</w:t>
      </w:r>
      <w:r>
        <w:rPr>
          <w:spacing w:val="-99"/>
        </w:rPr>
        <w:t> </w:t>
      </w:r>
      <w:r>
        <w:rPr>
          <w:spacing w:val="-99"/>
        </w:rPr>
      </w:r>
      <w:r>
        <w:rPr>
          <w:spacing w:val="-2"/>
        </w:rPr>
        <w:t>活跃市场上的报价</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62" w:val="left" w:leader="none"/>
        </w:tabs>
        <w:spacing w:line="274" w:lineRule="exact" w:before="56"/>
        <w:ind w:right="205"/>
        <w:jc w:val="left"/>
      </w:pPr>
      <w:r>
        <w:rPr/>
        <w:t>√适用</w:t>
        <w:tab/>
        <w:t>□不适用</w:t>
      </w:r>
    </w:p>
    <w:p>
      <w:pPr>
        <w:pStyle w:val="BodyText"/>
        <w:spacing w:line="355" w:lineRule="auto"/>
        <w:ind w:right="206" w:firstLine="420"/>
        <w:jc w:val="left"/>
      </w:pPr>
      <w:r>
        <w:rPr/>
        <w:t>基于折现现金流量模型计算。输入值为美元</w:t>
      </w:r>
      <w:r>
        <w:rPr>
          <w:spacing w:val="-39"/>
        </w:rPr>
        <w:t> </w:t>
      </w:r>
      <w:r>
        <w:rPr>
          <w:rFonts w:ascii="宋体" w:hAnsi="宋体" w:cs="宋体" w:eastAsia="宋体" w:hint="default"/>
        </w:rPr>
        <w:t>3</w:t>
      </w:r>
      <w:r>
        <w:rPr>
          <w:rFonts w:ascii="宋体" w:hAnsi="宋体" w:cs="宋体" w:eastAsia="宋体" w:hint="default"/>
          <w:spacing w:val="-37"/>
        </w:rPr>
        <w:t> </w:t>
      </w:r>
      <w:r>
        <w:rPr/>
        <w:t>个月伦敦银行间同业拆借利率、</w:t>
      </w:r>
      <w:r>
        <w:rPr>
          <w:rFonts w:ascii="宋体" w:hAnsi="宋体" w:cs="宋体" w:eastAsia="宋体" w:hint="default"/>
        </w:rPr>
        <w:t>3</w:t>
      </w:r>
      <w:r>
        <w:rPr>
          <w:rFonts w:ascii="宋体" w:hAnsi="宋体" w:cs="宋体" w:eastAsia="宋体" w:hint="default"/>
          <w:spacing w:val="-39"/>
        </w:rPr>
        <w:t> </w:t>
      </w:r>
      <w:r>
        <w:rPr/>
        <w:t>个月上海银行</w:t>
      </w:r>
      <w:r>
        <w:rPr>
          <w:w w:val="100"/>
        </w:rPr>
        <w:t> </w:t>
      </w:r>
      <w:r>
        <w:rPr/>
        <w:t>间同业拆借利率、观察日美元兑港币最终汇率、澳元兑美元即期汇率、伦敦金市下午定盘价。</w:t>
      </w:r>
    </w:p>
    <w:p>
      <w:pPr>
        <w:spacing w:line="240" w:lineRule="auto" w:before="0"/>
        <w:rPr>
          <w:rFonts w:ascii="宋体" w:hAnsi="宋体" w:cs="宋体" w:eastAsia="宋体" w:hint="default"/>
          <w:sz w:val="28"/>
          <w:szCs w:val="28"/>
        </w:rPr>
      </w:pPr>
    </w:p>
    <w:p>
      <w:pPr>
        <w:pStyle w:val="Heading2"/>
        <w:spacing w:line="240" w:lineRule="auto"/>
        <w:ind w:right="205"/>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2" w:val="left" w:leader="none"/>
        </w:tabs>
        <w:spacing w:line="272" w:lineRule="exact" w:before="84"/>
        <w:ind w:left="640" w:right="3567" w:hanging="420"/>
        <w:jc w:val="left"/>
      </w:pPr>
      <w:r>
        <w:rPr/>
        <w:t>√适用</w:t>
        <w:tab/>
        <w:t>□不适用</w:t>
      </w:r>
      <w:r>
        <w:rPr>
          <w:w w:val="100"/>
        </w:rPr>
        <w:t> </w:t>
      </w:r>
      <w:r>
        <w:rPr>
          <w:spacing w:val="-2"/>
        </w:rPr>
        <w:t>市场法、未来现金流量折现法、经调整后的活跃市场报价</w:t>
      </w:r>
    </w:p>
    <w:p>
      <w:pPr>
        <w:spacing w:line="240" w:lineRule="auto" w:before="4"/>
        <w:rPr>
          <w:rFonts w:ascii="宋体" w:hAnsi="宋体" w:cs="宋体" w:eastAsia="宋体" w:hint="default"/>
          <w:sz w:val="23"/>
          <w:szCs w:val="23"/>
        </w:rPr>
      </w:pPr>
    </w:p>
    <w:p>
      <w:pPr>
        <w:pStyle w:val="Heading2"/>
        <w:spacing w:line="240" w:lineRule="auto"/>
        <w:ind w:left="645" w:right="198" w:hanging="425"/>
        <w:jc w:val="left"/>
        <w:rPr>
          <w:b w:val="0"/>
          <w:bCs w:val="0"/>
        </w:rPr>
      </w:pPr>
      <w:r>
        <w:rPr>
          <w:rFonts w:ascii="宋体" w:hAnsi="宋体" w:cs="宋体" w:eastAsia="宋体" w:hint="default"/>
        </w:rPr>
        <w:t>5</w:t>
      </w:r>
      <w:r>
        <w:rPr/>
        <w:t>、</w:t>
      </w:r>
      <w:r>
        <w:rPr>
          <w:spacing w:val="-38"/>
        </w:rPr>
        <w:t> </w:t>
      </w:r>
      <w:r>
        <w:rPr/>
        <w:t>持续的第三层次公允价值计量项目，期初与期末账面价值间的调节信息及不可观察参数敏感性</w:t>
      </w:r>
      <w:r>
        <w:rPr>
          <w:w w:val="100"/>
        </w:rPr>
        <w:t> </w:t>
      </w:r>
      <w:r>
        <w:rPr/>
        <w:t>分析</w:t>
      </w:r>
      <w:r>
        <w:rPr>
          <w:b w:val="0"/>
          <w:bCs w:val="0"/>
        </w:rPr>
      </w:r>
    </w:p>
    <w:p>
      <w:pPr>
        <w:pStyle w:val="BodyText"/>
        <w:tabs>
          <w:tab w:pos="1062" w:val="left" w:leader="none"/>
        </w:tabs>
        <w:spacing w:line="240" w:lineRule="auto" w:before="56"/>
        <w:ind w:right="20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107"/>
        <w:jc w:val="left"/>
        <w:rPr>
          <w:b w:val="0"/>
          <w:bCs w:val="0"/>
        </w:rPr>
      </w:pPr>
      <w:r>
        <w:rPr>
          <w:rFonts w:ascii="宋体" w:hAnsi="宋体" w:cs="宋体" w:eastAsia="宋体" w:hint="default"/>
        </w:rPr>
        <w:t>6</w:t>
      </w:r>
      <w:r>
        <w:rPr/>
        <w:t>、</w:t>
      </w:r>
      <w:r>
        <w:rPr>
          <w:spacing w:val="-45"/>
        </w:rPr>
        <w:t> </w:t>
      </w:r>
      <w:r>
        <w:rPr/>
        <w:t>持续的公允价值计量项目，本期内发生各层级之间转换的，转换的原因及确定转换时点的政策</w:t>
      </w:r>
      <w:r>
        <w:rPr>
          <w:b w:val="0"/>
          <w:bCs w:val="0"/>
        </w:rPr>
      </w:r>
    </w:p>
    <w:p>
      <w:pPr>
        <w:pStyle w:val="BodyText"/>
        <w:tabs>
          <w:tab w:pos="1062" w:val="left" w:leader="none"/>
        </w:tabs>
        <w:spacing w:line="240" w:lineRule="auto" w:before="58"/>
        <w:ind w:right="20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7</w:t>
      </w:r>
      <w:r>
        <w:rPr/>
        <w:t>、</w:t>
      </w:r>
      <w:r>
        <w:rPr>
          <w:spacing w:val="1"/>
        </w:rPr>
        <w:t> </w:t>
      </w:r>
      <w:r>
        <w:rPr/>
        <w:t>本期内发生的估值技术变更及变更原因</w:t>
      </w:r>
      <w:r>
        <w:rPr>
          <w:b w:val="0"/>
          <w:bCs w:val="0"/>
        </w:rPr>
      </w:r>
    </w:p>
    <w:p>
      <w:pPr>
        <w:pStyle w:val="BodyText"/>
        <w:tabs>
          <w:tab w:pos="1062" w:val="left" w:leader="none"/>
        </w:tabs>
        <w:spacing w:line="240" w:lineRule="auto" w:before="56"/>
        <w:ind w:right="20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2" w:val="left" w:leader="none"/>
        </w:tabs>
        <w:spacing w:line="272" w:lineRule="exact" w:before="86"/>
        <w:ind w:left="645" w:right="211" w:hanging="425"/>
        <w:jc w:val="left"/>
      </w:pPr>
      <w:r>
        <w:rPr/>
        <w:t>√适用</w:t>
        <w:tab/>
        <w:t>□不适用</w:t>
      </w:r>
      <w:r>
        <w:rPr>
          <w:w w:val="100"/>
        </w:rPr>
        <w:t> </w:t>
      </w:r>
      <w:r>
        <w:rPr>
          <w:spacing w:val="-2"/>
        </w:rPr>
        <w:t>本集团管理层认为，财务报表中以摊余成本计量的金融资产及金融负债的账面价值接近该等资</w:t>
      </w:r>
    </w:p>
    <w:p>
      <w:pPr>
        <w:pStyle w:val="BodyText"/>
        <w:spacing w:line="240" w:lineRule="auto" w:before="108"/>
        <w:ind w:right="205"/>
        <w:jc w:val="left"/>
      </w:pPr>
      <w:r>
        <w:rPr/>
        <w:t>产及负债的公允价值。</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20" w:right="1220"/>
        </w:sectPr>
      </w:pPr>
    </w:p>
    <w:p>
      <w:pPr>
        <w:spacing w:line="240" w:lineRule="auto" w:before="9"/>
        <w:rPr>
          <w:rFonts w:ascii="宋体" w:hAnsi="宋体" w:cs="宋体" w:eastAsia="宋体" w:hint="default"/>
          <w:sz w:val="15"/>
          <w:szCs w:val="15"/>
        </w:rPr>
      </w:pPr>
    </w:p>
    <w:p>
      <w:pPr>
        <w:pStyle w:val="Heading2"/>
        <w:spacing w:line="240" w:lineRule="auto"/>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2" w:val="left" w:leader="none"/>
        </w:tabs>
        <w:spacing w:line="240" w:lineRule="auto" w:before="58"/>
        <w:ind w:right="0"/>
        <w:jc w:val="left"/>
      </w:pPr>
      <w:r>
        <w:rPr/>
        <w:t>□适用</w:t>
        <w:tab/>
        <w:t>√不适用</w:t>
      </w:r>
    </w:p>
    <w:p>
      <w:pPr>
        <w:pStyle w:val="Heading2"/>
        <w:tabs>
          <w:tab w:pos="1060" w:val="left" w:leader="none"/>
        </w:tabs>
        <w:spacing w:line="290" w:lineRule="auto" w:before="57"/>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165" w:val="left" w:leader="none"/>
        </w:tabs>
        <w:spacing w:line="240" w:lineRule="auto" w:before="14"/>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tabs>
          <w:tab w:pos="1483"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060" w:bottom="1380" w:left="1220" w:right="1220"/>
          <w:cols w:num="2" w:equalWidth="0">
            <w:col w:w="2751" w:space="3754"/>
            <w:col w:w="296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16"/>
        <w:gridCol w:w="1263"/>
        <w:gridCol w:w="2674"/>
        <w:gridCol w:w="1279"/>
        <w:gridCol w:w="1277"/>
        <w:gridCol w:w="1334"/>
      </w:tblGrid>
      <w:tr>
        <w:trPr>
          <w:trHeight w:val="85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2" w:lineRule="exact" w:before="27"/>
              <w:ind w:left="107" w:right="104"/>
              <w:jc w:val="center"/>
              <w:rPr>
                <w:rFonts w:ascii="宋体" w:hAnsi="宋体" w:cs="宋体" w:eastAsia="宋体" w:hint="default"/>
                <w:sz w:val="21"/>
                <w:szCs w:val="21"/>
              </w:rPr>
            </w:pPr>
            <w:r>
              <w:rPr>
                <w:rFonts w:ascii="宋体" w:hAnsi="宋体" w:cs="宋体" w:eastAsia="宋体" w:hint="default"/>
                <w:sz w:val="21"/>
                <w:szCs w:val="21"/>
              </w:rPr>
              <w:t>企业的持股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36"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2" w:lineRule="exact" w:before="27"/>
              <w:ind w:left="189" w:right="132" w:hanging="53"/>
              <w:jc w:val="left"/>
              <w:rPr>
                <w:rFonts w:ascii="宋体" w:hAnsi="宋体" w:cs="宋体" w:eastAsia="宋体" w:hint="default"/>
                <w:sz w:val="21"/>
                <w:szCs w:val="21"/>
              </w:rPr>
            </w:pPr>
            <w:r>
              <w:rPr>
                <w:rFonts w:ascii="宋体" w:hAnsi="宋体" w:cs="宋体" w:eastAsia="宋体" w:hint="default"/>
                <w:sz w:val="21"/>
                <w:szCs w:val="21"/>
              </w:rPr>
              <w:t>企业的表决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权比例</w:t>
            </w:r>
            <w:r>
              <w:rPr>
                <w:rFonts w:ascii="宋体" w:hAnsi="宋体" w:cs="宋体" w:eastAsia="宋体" w:hint="default"/>
                <w:sz w:val="21"/>
                <w:szCs w:val="21"/>
              </w:rPr>
              <w:t>(%)</w:t>
            </w:r>
          </w:p>
        </w:tc>
      </w:tr>
      <w:tr>
        <w:trPr>
          <w:trHeight w:val="55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四川新华发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行集团</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 w:right="0"/>
              <w:jc w:val="center"/>
              <w:rPr>
                <w:rFonts w:ascii="宋体" w:hAnsi="宋体" w:cs="宋体" w:eastAsia="宋体" w:hint="default"/>
                <w:sz w:val="21"/>
                <w:szCs w:val="21"/>
              </w:rPr>
            </w:pPr>
            <w:r>
              <w:rPr>
                <w:rFonts w:ascii="宋体" w:hAnsi="宋体" w:cs="宋体" w:eastAsia="宋体" w:hint="default"/>
                <w:sz w:val="21"/>
                <w:szCs w:val="21"/>
              </w:rPr>
              <w:t>商品批发零售、房屋租赁、</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房地产业、项目投资</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sz w:val="21"/>
              </w:rPr>
              <w:t>59,382.2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8" w:right="0"/>
              <w:jc w:val="left"/>
              <w:rPr>
                <w:rFonts w:ascii="宋体" w:hAnsi="宋体" w:cs="宋体" w:eastAsia="宋体" w:hint="default"/>
                <w:sz w:val="21"/>
                <w:szCs w:val="21"/>
              </w:rPr>
            </w:pPr>
            <w:r>
              <w:rPr>
                <w:rFonts w:ascii="宋体"/>
                <w:sz w:val="21"/>
              </w:rPr>
              <w:t>49.11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6" w:right="0"/>
              <w:jc w:val="left"/>
              <w:rPr>
                <w:rFonts w:ascii="宋体" w:hAnsi="宋体" w:cs="宋体" w:eastAsia="宋体" w:hint="default"/>
                <w:sz w:val="21"/>
                <w:szCs w:val="21"/>
              </w:rPr>
            </w:pPr>
            <w:r>
              <w:rPr>
                <w:rFonts w:ascii="宋体"/>
                <w:sz w:val="21"/>
              </w:rPr>
              <w:t>49.11</w:t>
            </w:r>
          </w:p>
        </w:tc>
      </w:tr>
    </w:tbl>
    <w:p>
      <w:pPr>
        <w:pStyle w:val="BodyText"/>
        <w:spacing w:line="241" w:lineRule="exact"/>
        <w:ind w:right="205"/>
        <w:jc w:val="left"/>
      </w:pPr>
      <w:r>
        <w:rPr/>
        <w:t>本企业的母公司情况的说明</w:t>
      </w:r>
    </w:p>
    <w:p>
      <w:pPr>
        <w:spacing w:after="0" w:line="241" w:lineRule="exact"/>
        <w:jc w:val="left"/>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right="213" w:firstLine="420"/>
        <w:jc w:val="both"/>
      </w:pPr>
      <w:r>
        <w:rPr/>
        <w:t>四川新华发行集团持有本公司发起人股份</w:t>
      </w:r>
      <w:r>
        <w:rPr>
          <w:spacing w:val="-47"/>
        </w:rPr>
        <w:t> </w:t>
      </w:r>
      <w:r>
        <w:rPr>
          <w:rFonts w:ascii="宋体" w:hAnsi="宋体" w:cs="宋体" w:eastAsia="宋体" w:hint="default"/>
        </w:rPr>
        <w:t>592,809,525</w:t>
      </w:r>
      <w:r>
        <w:rPr>
          <w:rFonts w:ascii="宋体" w:hAnsi="宋体" w:cs="宋体" w:eastAsia="宋体" w:hint="default"/>
          <w:spacing w:val="-47"/>
        </w:rPr>
        <w:t> </w:t>
      </w:r>
      <w:r>
        <w:rPr>
          <w:spacing w:val="-5"/>
        </w:rPr>
        <w:t>股，占本公司总股本的</w:t>
      </w:r>
      <w:r>
        <w:rPr>
          <w:spacing w:val="-47"/>
        </w:rPr>
        <w:t> </w:t>
      </w:r>
      <w:r>
        <w:rPr>
          <w:rFonts w:ascii="宋体" w:hAnsi="宋体" w:cs="宋体" w:eastAsia="宋体" w:hint="default"/>
          <w:spacing w:val="-4"/>
        </w:rPr>
        <w:t>48.05%</w:t>
      </w:r>
      <w:r>
        <w:rPr>
          <w:spacing w:val="-4"/>
        </w:rPr>
        <w:t>。四川新</w:t>
      </w:r>
      <w:r>
        <w:rPr>
          <w:w w:val="100"/>
        </w:rPr>
        <w:t> </w:t>
      </w:r>
      <w:r>
        <w:rPr/>
        <w:t>华发行集团经由全资子公司蜀典投资有限公司</w:t>
      </w:r>
      <w:r>
        <w:rPr>
          <w:rFonts w:ascii="宋体" w:hAnsi="宋体" w:cs="宋体" w:eastAsia="宋体" w:hint="default"/>
        </w:rPr>
        <w:t>(</w:t>
      </w:r>
      <w:r>
        <w:rPr/>
        <w:t>香港</w:t>
      </w:r>
      <w:r>
        <w:rPr>
          <w:rFonts w:ascii="宋体" w:hAnsi="宋体" w:cs="宋体" w:eastAsia="宋体" w:hint="default"/>
        </w:rPr>
        <w:t>)</w:t>
      </w:r>
      <w:r>
        <w:rPr/>
        <w:t>持有本公司</w:t>
      </w:r>
      <w:r>
        <w:rPr>
          <w:spacing w:val="-28"/>
        </w:rPr>
        <w:t> </w:t>
      </w:r>
      <w:r>
        <w:rPr>
          <w:rFonts w:ascii="宋体" w:hAnsi="宋体" w:cs="宋体" w:eastAsia="宋体" w:hint="default"/>
        </w:rPr>
        <w:t>H</w:t>
      </w:r>
      <w:r>
        <w:rPr>
          <w:rFonts w:ascii="宋体" w:hAnsi="宋体" w:cs="宋体" w:eastAsia="宋体" w:hint="default"/>
          <w:spacing w:val="-31"/>
        </w:rPr>
        <w:t> </w:t>
      </w:r>
      <w:r>
        <w:rPr/>
        <w:t>股股份</w:t>
      </w:r>
      <w:r>
        <w:rPr>
          <w:spacing w:val="-29"/>
        </w:rPr>
        <w:t> </w:t>
      </w:r>
      <w:r>
        <w:rPr>
          <w:rFonts w:ascii="宋体" w:hAnsi="宋体" w:cs="宋体" w:eastAsia="宋体" w:hint="default"/>
        </w:rPr>
        <w:t>13,133,000</w:t>
      </w:r>
      <w:r>
        <w:rPr>
          <w:rFonts w:ascii="宋体" w:hAnsi="宋体" w:cs="宋体" w:eastAsia="宋体" w:hint="default"/>
          <w:spacing w:val="-31"/>
        </w:rPr>
        <w:t> </w:t>
      </w:r>
      <w:r>
        <w:rPr/>
        <w:t>股，占本公</w:t>
      </w:r>
      <w:r>
        <w:rPr>
          <w:w w:val="100"/>
        </w:rPr>
        <w:t> </w:t>
      </w:r>
      <w:r>
        <w:rPr/>
        <w:t>司总股本的</w:t>
      </w:r>
      <w:r>
        <w:rPr>
          <w:spacing w:val="-57"/>
        </w:rPr>
        <w:t> </w:t>
      </w:r>
      <w:r>
        <w:rPr>
          <w:rFonts w:ascii="宋体" w:hAnsi="宋体" w:cs="宋体" w:eastAsia="宋体" w:hint="default"/>
        </w:rPr>
        <w:t>1.06%</w:t>
      </w:r>
      <w:r>
        <w:rPr/>
        <w:t>，合计占本公司总股本的</w:t>
      </w:r>
      <w:r>
        <w:rPr>
          <w:spacing w:val="-56"/>
        </w:rPr>
        <w:t> </w:t>
      </w:r>
      <w:r>
        <w:rPr>
          <w:rFonts w:ascii="宋体" w:hAnsi="宋体" w:cs="宋体" w:eastAsia="宋体" w:hint="default"/>
        </w:rPr>
        <w:t>49.11%</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right="5851"/>
        <w:jc w:val="left"/>
      </w:pPr>
      <w:r>
        <w:rPr>
          <w:spacing w:val="-2"/>
        </w:rPr>
        <w:t>本企业最终控制方是四川省国资委</w:t>
      </w:r>
      <w:r>
        <w:rPr>
          <w:spacing w:val="-75"/>
        </w:rPr>
        <w:t> </w:t>
      </w:r>
      <w:r>
        <w:rPr>
          <w:spacing w:val="-75"/>
        </w:rPr>
      </w:r>
      <w:r>
        <w:rPr/>
        <w:t>其他说明：</w:t>
      </w:r>
    </w:p>
    <w:p>
      <w:pPr>
        <w:pStyle w:val="BodyText"/>
        <w:spacing w:line="357" w:lineRule="auto" w:before="32"/>
        <w:ind w:right="211" w:firstLine="420"/>
        <w:jc w:val="both"/>
      </w:pPr>
      <w:r>
        <w:rPr/>
        <w:t>四川省国资委按四川省政府的指示于 </w:t>
      </w:r>
      <w:r>
        <w:rPr>
          <w:rFonts w:ascii="宋体" w:hAnsi="宋体" w:cs="宋体" w:eastAsia="宋体" w:hint="default"/>
        </w:rPr>
        <w:t>2009</w:t>
      </w:r>
      <w:r>
        <w:rPr>
          <w:rFonts w:ascii="宋体" w:hAnsi="宋体" w:cs="宋体" w:eastAsia="宋体" w:hint="default"/>
          <w:spacing w:val="-10"/>
        </w:rPr>
        <w:t> </w:t>
      </w:r>
      <w:r>
        <w:rPr/>
        <w:t>年设立了四川发展，并将其持有的四川新华发行集</w:t>
      </w:r>
      <w:r>
        <w:rPr>
          <w:w w:val="100"/>
        </w:rPr>
        <w:t> </w:t>
      </w:r>
      <w:r>
        <w:rPr>
          <w:spacing w:val="-2"/>
        </w:rPr>
        <w:t>团股权划转至四川发展，四川新华发行集团成为四川发展的全资子公司，由于四川发展由四川省国</w:t>
      </w:r>
      <w:r>
        <w:rPr>
          <w:spacing w:val="-30"/>
        </w:rPr>
        <w:t> </w:t>
      </w:r>
      <w:r>
        <w:rPr>
          <w:spacing w:val="-30"/>
        </w:rPr>
      </w:r>
      <w:r>
        <w:rPr/>
        <w:t>资委全资拥有，故本公司由四川省国资委实际控制。</w:t>
      </w:r>
    </w:p>
    <w:p>
      <w:pPr>
        <w:spacing w:line="240" w:lineRule="auto" w:before="11"/>
        <w:rPr>
          <w:rFonts w:ascii="宋体" w:hAnsi="宋体" w:cs="宋体" w:eastAsia="宋体" w:hint="default"/>
          <w:sz w:val="27"/>
          <w:szCs w:val="27"/>
        </w:rPr>
      </w:pPr>
    </w:p>
    <w:p>
      <w:pPr>
        <w:spacing w:line="290" w:lineRule="auto" w:before="0"/>
        <w:ind w:left="220" w:right="627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2" w:val="left" w:leader="none"/>
        </w:tabs>
        <w:spacing w:line="226" w:lineRule="exact"/>
        <w:ind w:right="205"/>
        <w:jc w:val="left"/>
      </w:pPr>
      <w:r>
        <w:rPr/>
        <w:t>√适用</w:t>
        <w:tab/>
        <w:t>□不适用</w:t>
      </w:r>
    </w:p>
    <w:p>
      <w:pPr>
        <w:pStyle w:val="BodyText"/>
        <w:spacing w:line="274" w:lineRule="exact"/>
        <w:ind w:right="205"/>
        <w:jc w:val="left"/>
      </w:pPr>
      <w:r>
        <w:rPr/>
        <w:t>“九、在其他主体中的权益”</w:t>
      </w:r>
    </w:p>
    <w:p>
      <w:pPr>
        <w:spacing w:line="240" w:lineRule="auto" w:before="3"/>
        <w:rPr>
          <w:rFonts w:ascii="宋体" w:hAnsi="宋体" w:cs="宋体" w:eastAsia="宋体" w:hint="default"/>
          <w:sz w:val="25"/>
          <w:szCs w:val="25"/>
        </w:rPr>
      </w:pPr>
    </w:p>
    <w:p>
      <w:pPr>
        <w:spacing w:line="290" w:lineRule="auto" w:before="0"/>
        <w:ind w:left="220" w:right="104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本企业重要的合营或联营企业详见附注九、在其他主体中的权益</w:t>
      </w:r>
    </w:p>
    <w:p>
      <w:pPr>
        <w:pStyle w:val="BodyText"/>
        <w:spacing w:line="227" w:lineRule="exact"/>
        <w:ind w:right="205"/>
        <w:jc w:val="left"/>
      </w:pPr>
      <w:r>
        <w:rPr/>
        <w:t>√适用 □不适用</w:t>
      </w:r>
    </w:p>
    <w:p>
      <w:pPr>
        <w:pStyle w:val="BodyText"/>
        <w:spacing w:line="272" w:lineRule="exact" w:before="27"/>
        <w:ind w:right="205"/>
        <w:jc w:val="left"/>
      </w:pPr>
      <w:r>
        <w:rPr>
          <w:spacing w:val="-2"/>
        </w:rPr>
        <w:t>本期与本公司发生关联方交易，或前期与本公司发生关联方交易形成余额的其他合营或联营企业情</w:t>
      </w:r>
      <w:r>
        <w:rPr>
          <w:spacing w:val="-30"/>
        </w:rPr>
        <w:t> </w:t>
      </w:r>
      <w:r>
        <w:rPr>
          <w:spacing w:val="-30"/>
        </w:rPr>
      </w:r>
      <w:r>
        <w:rPr/>
        <w:t>况如下：</w:t>
      </w:r>
    </w:p>
    <w:p>
      <w:pPr>
        <w:pStyle w:val="BodyText"/>
        <w:spacing w:line="249" w:lineRule="exact"/>
        <w:ind w:right="205"/>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928"/>
        <w:gridCol w:w="4316"/>
      </w:tblGrid>
      <w:tr>
        <w:trPr>
          <w:trHeight w:val="29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1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商务印书馆</w:t>
            </w:r>
            <w:r>
              <w:rPr>
                <w:rFonts w:ascii="宋体" w:hAnsi="宋体" w:cs="宋体" w:eastAsia="宋体" w:hint="default"/>
                <w:sz w:val="21"/>
                <w:szCs w:val="21"/>
              </w:rPr>
              <w:t>(</w:t>
            </w:r>
            <w:r>
              <w:rPr>
                <w:rFonts w:ascii="宋体" w:hAnsi="宋体" w:cs="宋体" w:eastAsia="宋体" w:hint="default"/>
                <w:sz w:val="21"/>
                <w:szCs w:val="21"/>
              </w:rPr>
              <w:t>成都</w:t>
            </w:r>
            <w:r>
              <w:rPr>
                <w:rFonts w:ascii="宋体" w:hAnsi="宋体" w:cs="宋体" w:eastAsia="宋体" w:hint="default"/>
                <w:sz w:val="21"/>
                <w:szCs w:val="21"/>
              </w:rPr>
              <w:t>)</w:t>
            </w:r>
            <w:r>
              <w:rPr>
                <w:rFonts w:ascii="宋体" w:hAnsi="宋体" w:cs="宋体" w:eastAsia="宋体" w:hint="default"/>
                <w:sz w:val="21"/>
                <w:szCs w:val="21"/>
              </w:rPr>
              <w:t>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上海景界信息科技有限公司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四川骄阳似火影业有限公司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成都文轩股权投资基金管理有限公司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人民东方</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书业有限公司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明博教育科技股份有限公司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凉山新华文轩教育科技有限公司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合营公司</w:t>
            </w: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海南出版社</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合营公司</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新华影轩</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影视文化有限公司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四川文轩宝湾供应链有限公司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bl>
    <w:p>
      <w:pPr>
        <w:spacing w:line="240" w:lineRule="auto" w:before="5"/>
        <w:rPr>
          <w:rFonts w:ascii="宋体" w:hAnsi="宋体" w:cs="宋体" w:eastAsia="宋体" w:hint="default"/>
          <w:sz w:val="15"/>
          <w:szCs w:val="15"/>
        </w:rPr>
      </w:pPr>
    </w:p>
    <w:p>
      <w:pPr>
        <w:pStyle w:val="BodyText"/>
        <w:spacing w:line="273" w:lineRule="exact" w:before="36"/>
        <w:ind w:right="205"/>
        <w:jc w:val="left"/>
      </w:pPr>
      <w:r>
        <w:rPr/>
        <w:t>其他说明</w:t>
      </w:r>
    </w:p>
    <w:p>
      <w:pPr>
        <w:pStyle w:val="BodyText"/>
        <w:spacing w:line="273" w:lineRule="exact"/>
        <w:ind w:right="20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05"/>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928"/>
        <w:gridCol w:w="4316"/>
      </w:tblGrid>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6"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四川新华国际酒店有限责任公司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四川广汉市三星堆瞿上园文化有限公司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成都皇鹏物业有限责任公司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bl>
    <w:p>
      <w:pPr>
        <w:spacing w:after="0" w:line="241" w:lineRule="exact"/>
        <w:jc w:val="left"/>
        <w:rPr>
          <w:rFonts w:ascii="宋体" w:hAnsi="宋体" w:cs="宋体" w:eastAsia="宋体" w:hint="default"/>
          <w:sz w:val="21"/>
          <w:szCs w:val="21"/>
        </w:rPr>
        <w:sectPr>
          <w:pgSz w:w="11910" w:h="16840"/>
          <w:pgMar w:header="882" w:footer="1195" w:top="112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47" w:type="dxa"/>
        <w:tblLayout w:type="fixed"/>
        <w:tblCellMar>
          <w:top w:w="0" w:type="dxa"/>
          <w:left w:w="0" w:type="dxa"/>
          <w:bottom w:w="0" w:type="dxa"/>
          <w:right w:w="0" w:type="dxa"/>
        </w:tblCellMar>
        <w:tblLook w:val="01E0"/>
      </w:tblPr>
      <w:tblGrid>
        <w:gridCol w:w="4928"/>
        <w:gridCol w:w="4316"/>
      </w:tblGrid>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四川新华海颐文化发展有限公司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四川新华海颐酒店有限责任公司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四川新华泛悦文化传媒有限公司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四川新华硅谷天堂股权投资基金管理有限公司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四川新华乐知教育科技有限公司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四川新华发行集团有限公司花岛度假酒店</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四川恒熙物业管理有限责任公司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四川崇文居森林酒店有限公司</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180" w:right="1220"/>
        </w:sectPr>
      </w:pPr>
    </w:p>
    <w:p>
      <w:pPr>
        <w:spacing w:line="290" w:lineRule="auto" w:before="36"/>
        <w:ind w:left="260" w:right="-1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9" w:lineRule="exact"/>
        <w:ind w:left="26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312" w:val="left" w:leader="none"/>
        </w:tabs>
        <w:spacing w:line="240" w:lineRule="auto"/>
        <w:ind w:left="260" w:right="0"/>
        <w:jc w:val="left"/>
      </w:pPr>
      <w:r>
        <w:rPr>
          <w:spacing w:val="-1"/>
        </w:rPr>
        <w:t>单位：元</w:t>
        <w:tab/>
      </w:r>
      <w:r>
        <w:rPr>
          <w:spacing w:val="-2"/>
        </w:rPr>
        <w:t>币种：人民币</w:t>
      </w:r>
    </w:p>
    <w:p>
      <w:pPr>
        <w:spacing w:after="0" w:line="240" w:lineRule="auto"/>
        <w:jc w:val="left"/>
        <w:sectPr>
          <w:type w:val="continuous"/>
          <w:pgSz w:w="11910" w:h="16840"/>
          <w:pgMar w:top="1060" w:bottom="1380" w:left="1180" w:right="1220"/>
          <w:cols w:num="2" w:equalWidth="0">
            <w:col w:w="4272" w:space="2445"/>
            <w:col w:w="2793"/>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118"/>
        <w:gridCol w:w="2837"/>
        <w:gridCol w:w="1560"/>
        <w:gridCol w:w="1685"/>
      </w:tblGrid>
      <w:tr>
        <w:trPr>
          <w:trHeight w:val="305"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8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四川新华国际酒店有限责任公司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327,685.73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328,486.07</w:t>
            </w:r>
          </w:p>
        </w:tc>
      </w:tr>
      <w:tr>
        <w:trPr>
          <w:trHeight w:val="55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四川广汉市三星堆瞿上园文化有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797,899.67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615,656.00</w:t>
            </w:r>
          </w:p>
        </w:tc>
      </w:tr>
      <w:tr>
        <w:trPr>
          <w:trHeight w:val="28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成都皇鹏物业有限责任公司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支付物业管理服务费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9,539,433.06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7,490,235.38</w:t>
            </w:r>
          </w:p>
        </w:tc>
      </w:tr>
      <w:tr>
        <w:trPr>
          <w:trHeight w:val="555"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四川新华发行集团有限公司花岛</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度假酒店</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114,358.58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209,729.00</w:t>
            </w:r>
          </w:p>
        </w:tc>
      </w:tr>
      <w:tr>
        <w:trPr>
          <w:trHeight w:val="28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明博教育科技股份有限公司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支付采购商品款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13,345,488.44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16,828,239.37</w:t>
            </w:r>
          </w:p>
        </w:tc>
      </w:tr>
      <w:tr>
        <w:trPr>
          <w:trHeight w:val="28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商务印书馆</w:t>
            </w:r>
            <w:r>
              <w:rPr>
                <w:rFonts w:ascii="宋体" w:hAnsi="宋体" w:cs="宋体" w:eastAsia="宋体" w:hint="default"/>
                <w:sz w:val="21"/>
                <w:szCs w:val="21"/>
              </w:rPr>
              <w:t>(</w:t>
            </w:r>
            <w:r>
              <w:rPr>
                <w:rFonts w:ascii="宋体" w:hAnsi="宋体" w:cs="宋体" w:eastAsia="宋体" w:hint="default"/>
                <w:sz w:val="21"/>
                <w:szCs w:val="21"/>
              </w:rPr>
              <w:t>成都</w:t>
            </w:r>
            <w:r>
              <w:rPr>
                <w:rFonts w:ascii="宋体" w:hAnsi="宋体" w:cs="宋体" w:eastAsia="宋体" w:hint="default"/>
                <w:sz w:val="21"/>
                <w:szCs w:val="21"/>
              </w:rPr>
              <w:t>)</w:t>
            </w:r>
            <w:r>
              <w:rPr>
                <w:rFonts w:ascii="宋体" w:hAnsi="宋体" w:cs="宋体" w:eastAsia="宋体" w:hint="default"/>
                <w:sz w:val="21"/>
                <w:szCs w:val="21"/>
              </w:rPr>
              <w:t>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支付采购商品款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26,735,090.45</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人民东方</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书业有限公司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支付采购商品款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3,018,867.92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3,066,037.75</w:t>
            </w:r>
          </w:p>
        </w:tc>
      </w:tr>
      <w:tr>
        <w:trPr>
          <w:trHeight w:val="28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海南出版社</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支付采购商品款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5,150,546.53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3,425,374.02</w:t>
            </w:r>
          </w:p>
        </w:tc>
      </w:tr>
      <w:tr>
        <w:trPr>
          <w:trHeight w:val="28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四川崇文居森林酒店有限公司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23,782.11</w:t>
            </w:r>
          </w:p>
        </w:tc>
      </w:tr>
      <w:tr>
        <w:trPr>
          <w:trHeight w:val="28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四川新华海颐文化发展有限公司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356,524.82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471,135.98</w:t>
            </w:r>
          </w:p>
        </w:tc>
      </w:tr>
      <w:tr>
        <w:trPr>
          <w:trHeight w:val="28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四川新华海颐酒店有限责任公司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118,911.80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23,113.96</w:t>
            </w:r>
          </w:p>
        </w:tc>
      </w:tr>
      <w:tr>
        <w:trPr>
          <w:trHeight w:val="28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四川骄阳似火影业有限公司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支付版权费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762,410.72</w:t>
            </w:r>
          </w:p>
        </w:tc>
      </w:tr>
      <w:tr>
        <w:trPr>
          <w:trHeight w:val="28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凉山新华文轩教育科技有限公司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支付采购商品款及劳务费用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875,347.82</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60,380,154.82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33,244,200.36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180" w:right="1220"/>
        </w:sectPr>
      </w:pPr>
    </w:p>
    <w:p>
      <w:pPr>
        <w:pStyle w:val="BodyText"/>
        <w:spacing w:line="273" w:lineRule="exact" w:before="36"/>
        <w:ind w:left="260"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left="26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312" w:val="left" w:leader="none"/>
        </w:tabs>
        <w:spacing w:line="240" w:lineRule="auto"/>
        <w:ind w:left="260" w:right="0"/>
        <w:jc w:val="left"/>
      </w:pPr>
      <w:r>
        <w:rPr>
          <w:spacing w:val="-1"/>
        </w:rPr>
        <w:t>单位：元</w:t>
        <w:tab/>
      </w:r>
      <w:r>
        <w:rPr>
          <w:spacing w:val="-2"/>
        </w:rPr>
        <w:t>币种：人民币</w:t>
      </w:r>
    </w:p>
    <w:p>
      <w:pPr>
        <w:spacing w:after="0" w:line="240" w:lineRule="auto"/>
        <w:jc w:val="left"/>
        <w:sectPr>
          <w:type w:val="continuous"/>
          <w:pgSz w:w="11910" w:h="16840"/>
          <w:pgMar w:top="1060" w:bottom="1380" w:left="1180" w:right="1220"/>
          <w:cols w:num="2" w:equalWidth="0">
            <w:col w:w="2678" w:space="4038"/>
            <w:col w:w="2794"/>
          </w:cols>
        </w:sectPr>
      </w:pPr>
    </w:p>
    <w:p>
      <w:pPr>
        <w:spacing w:line="240" w:lineRule="auto" w:before="4"/>
        <w:rPr>
          <w:rFonts w:ascii="宋体" w:hAnsi="宋体" w:cs="宋体" w:eastAsia="宋体" w:hint="default"/>
          <w:sz w:val="2"/>
          <w:szCs w:val="2"/>
        </w:rPr>
      </w:pPr>
    </w:p>
    <w:tbl>
      <w:tblPr>
        <w:tblW w:w="0" w:type="auto"/>
        <w:jc w:val="left"/>
        <w:tblInd w:w="224" w:type="dxa"/>
        <w:tblLayout w:type="fixed"/>
        <w:tblCellMar>
          <w:top w:w="0" w:type="dxa"/>
          <w:left w:w="0" w:type="dxa"/>
          <w:bottom w:w="0" w:type="dxa"/>
          <w:right w:w="0" w:type="dxa"/>
        </w:tblCellMar>
        <w:tblLook w:val="01E0"/>
      </w:tblPr>
      <w:tblGrid>
        <w:gridCol w:w="3152"/>
        <w:gridCol w:w="2693"/>
        <w:gridCol w:w="1558"/>
        <w:gridCol w:w="1685"/>
      </w:tblGrid>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销售出版物及提供劳务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973,357.04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719,620.00</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四川出版集团有限责任公司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销售出版物及版权使用费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5,431.62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264,150.94</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四川新华发行集团有限公司花岛</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度假酒店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提供广告设计及制作服务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55.66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3,264.15</w:t>
            </w:r>
          </w:p>
        </w:tc>
      </w:tr>
      <w:tr>
        <w:trPr>
          <w:trHeight w:val="55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四川广汉市三星堆瞿上园文化有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提供售后服务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2,018.87</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凉山新华文轩教育科技有限公司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1,446,847.31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158,717.94</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四川新华海颐文化发展有限公司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提供宣传服务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44,713.34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6,977.50</w:t>
            </w:r>
          </w:p>
        </w:tc>
      </w:tr>
    </w:tbl>
    <w:p>
      <w:pPr>
        <w:spacing w:after="0" w:line="241" w:lineRule="exact"/>
        <w:jc w:val="right"/>
        <w:rPr>
          <w:rFonts w:ascii="宋体" w:hAnsi="宋体" w:cs="宋体" w:eastAsia="宋体" w:hint="default"/>
          <w:sz w:val="21"/>
          <w:szCs w:val="21"/>
        </w:rPr>
        <w:sectPr>
          <w:type w:val="continuous"/>
          <w:pgSz w:w="11910" w:h="16840"/>
          <w:pgMar w:top="1060" w:bottom="1380" w:left="118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152"/>
        <w:gridCol w:w="2693"/>
        <w:gridCol w:w="1558"/>
        <w:gridCol w:w="1685"/>
      </w:tblGrid>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四川新华海颐酒店有限责任公司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提供宣传服务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四川新华泛悦文化传媒有限公司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提供宣传服务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22,415.00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四川新华硅谷天堂股权投资基金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提供设计服务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1,560.00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四川新华乐知教育科技有限公司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提供设计服务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360.00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2,494,739.97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1,304,749.40</w:t>
            </w:r>
          </w:p>
        </w:tc>
      </w:tr>
    </w:tbl>
    <w:p>
      <w:pPr>
        <w:spacing w:line="240" w:lineRule="auto" w:before="5"/>
        <w:rPr>
          <w:rFonts w:ascii="宋体" w:hAnsi="宋体" w:cs="宋体" w:eastAsia="宋体" w:hint="default"/>
          <w:sz w:val="15"/>
          <w:szCs w:val="15"/>
        </w:rPr>
      </w:pPr>
    </w:p>
    <w:p>
      <w:pPr>
        <w:pStyle w:val="BodyText"/>
        <w:spacing w:line="274" w:lineRule="exact" w:before="36"/>
        <w:ind w:left="140" w:right="0"/>
        <w:jc w:val="left"/>
      </w:pPr>
      <w:r>
        <w:rPr/>
        <w:t>购销商品、提供和接受劳务的关联交易说明</w:t>
      </w:r>
    </w:p>
    <w:p>
      <w:pPr>
        <w:pStyle w:val="BodyText"/>
        <w:spacing w:line="274" w:lineRule="exact"/>
        <w:ind w:left="140" w:right="0"/>
        <w:jc w:val="left"/>
      </w:pPr>
      <w:r>
        <w:rPr/>
        <w:t>□适用 √不适用</w:t>
      </w:r>
    </w:p>
    <w:p>
      <w:pPr>
        <w:spacing w:line="240" w:lineRule="auto" w:before="3"/>
        <w:rPr>
          <w:rFonts w:ascii="宋体" w:hAnsi="宋体" w:cs="宋体" w:eastAsia="宋体" w:hint="default"/>
          <w:sz w:val="25"/>
          <w:szCs w:val="25"/>
        </w:rPr>
      </w:pPr>
    </w:p>
    <w:p>
      <w:pPr>
        <w:spacing w:line="290" w:lineRule="auto" w:before="0"/>
        <w:ind w:left="140" w:right="494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6" w:lineRule="exact"/>
        <w:ind w:left="140" w:right="0"/>
        <w:jc w:val="left"/>
      </w:pPr>
      <w:r>
        <w:rPr/>
        <w:t>□适用 √不适用</w:t>
      </w:r>
    </w:p>
    <w:p>
      <w:pPr>
        <w:pStyle w:val="BodyText"/>
        <w:spacing w:line="272" w:lineRule="exact"/>
        <w:ind w:left="140" w:right="0"/>
        <w:jc w:val="left"/>
      </w:pPr>
      <w:r>
        <w:rPr/>
        <w:t>关联托管</w:t>
      </w:r>
      <w:r>
        <w:rPr>
          <w:rFonts w:ascii="宋体" w:hAnsi="宋体" w:cs="宋体" w:eastAsia="宋体" w:hint="default"/>
        </w:rPr>
        <w:t>/</w:t>
      </w:r>
      <w:r>
        <w:rPr/>
        <w:t>承包情况说明</w:t>
      </w:r>
    </w:p>
    <w:p>
      <w:pPr>
        <w:pStyle w:val="BodyText"/>
        <w:spacing w:line="273" w:lineRule="exact"/>
        <w:ind w:left="140" w:right="0"/>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140" w:right="0"/>
        <w:jc w:val="left"/>
      </w:pPr>
      <w:r>
        <w:rPr/>
        <w:t>本公司委托管理</w:t>
      </w:r>
      <w:r>
        <w:rPr>
          <w:rFonts w:ascii="宋体" w:hAnsi="宋体" w:cs="宋体" w:eastAsia="宋体" w:hint="default"/>
        </w:rPr>
        <w:t>/</w:t>
      </w:r>
      <w:r>
        <w:rPr/>
        <w:t>出包情况表</w:t>
      </w:r>
    </w:p>
    <w:p>
      <w:pPr>
        <w:pStyle w:val="BodyText"/>
        <w:spacing w:line="272" w:lineRule="exact" w:before="27"/>
        <w:ind w:left="140" w:right="5450"/>
        <w:jc w:val="left"/>
      </w:pPr>
      <w:r>
        <w:rPr/>
        <w:t>□适用</w:t>
      </w:r>
      <w:r>
        <w:rPr>
          <w:spacing w:val="-2"/>
        </w:rPr>
        <w:t> </w:t>
      </w:r>
      <w:r>
        <w:rPr/>
        <w:t>√不适用</w:t>
      </w:r>
      <w:r>
        <w:rPr>
          <w:spacing w:val="-103"/>
        </w:rPr>
        <w:t> </w:t>
      </w:r>
      <w:r>
        <w:rPr>
          <w:spacing w:val="-103"/>
        </w:rPr>
      </w:r>
      <w:r>
        <w:rPr>
          <w:spacing w:val="-2"/>
        </w:rPr>
        <w:t>关联管理</w:t>
      </w:r>
      <w:r>
        <w:rPr>
          <w:rFonts w:ascii="宋体" w:hAnsi="宋体" w:cs="宋体" w:eastAsia="宋体" w:hint="default"/>
          <w:spacing w:val="-2"/>
        </w:rPr>
        <w:t>/</w:t>
      </w:r>
      <w:r>
        <w:rPr>
          <w:spacing w:val="-2"/>
        </w:rPr>
        <w:t>出包情况说明</w:t>
      </w:r>
    </w:p>
    <w:p>
      <w:pPr>
        <w:pStyle w:val="BodyText"/>
        <w:spacing w:line="249" w:lineRule="exact"/>
        <w:ind w:left="140"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300" w:right="1280"/>
        </w:sectPr>
      </w:pPr>
    </w:p>
    <w:p>
      <w:pPr>
        <w:spacing w:line="290" w:lineRule="auto" w:before="36"/>
        <w:ind w:left="140" w:right="-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30" w:lineRule="exact"/>
        <w:ind w:left="140"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192"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1910" w:h="16840"/>
          <w:pgMar w:top="1060" w:bottom="1380" w:left="1300" w:right="1280"/>
          <w:cols w:num="2" w:equalWidth="0">
            <w:col w:w="2035" w:space="4681"/>
            <w:col w:w="2614"/>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14"/>
        <w:gridCol w:w="2029"/>
        <w:gridCol w:w="2513"/>
        <w:gridCol w:w="2732"/>
      </w:tblGrid>
      <w:tr>
        <w:trPr>
          <w:trHeight w:val="34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6"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9"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4"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5"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1"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1,279,575.77</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1,279,575.78</w:t>
            </w:r>
          </w:p>
        </w:tc>
      </w:tr>
      <w:tr>
        <w:trPr>
          <w:trHeight w:val="283"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新华影轩</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998,815.61</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380" w:left="1300" w:right="1280"/>
        </w:sectPr>
      </w:pPr>
    </w:p>
    <w:p>
      <w:pPr>
        <w:pStyle w:val="BodyText"/>
        <w:spacing w:line="273" w:lineRule="exact" w:before="36"/>
        <w:ind w:left="140" w:right="-7"/>
        <w:jc w:val="left"/>
      </w:pPr>
      <w:r>
        <w:rPr>
          <w:spacing w:val="-1"/>
        </w:rPr>
        <w:t>本公司作为承租方：</w:t>
      </w:r>
    </w:p>
    <w:p>
      <w:pPr>
        <w:pStyle w:val="BodyText"/>
        <w:spacing w:line="273" w:lineRule="exact"/>
        <w:ind w:left="140"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92"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1910" w:h="16840"/>
          <w:pgMar w:top="1060" w:bottom="1380" w:left="1300" w:right="1280"/>
          <w:cols w:num="2" w:equalWidth="0">
            <w:col w:w="2035" w:space="4681"/>
            <w:col w:w="2614"/>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35"/>
        <w:gridCol w:w="1560"/>
        <w:gridCol w:w="1982"/>
        <w:gridCol w:w="2110"/>
      </w:tblGrid>
      <w:tr>
        <w:trPr>
          <w:trHeight w:val="319"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1"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38,334,917.02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38,529,905.09</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四川出版集团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13,348,199.15</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13,336,427.32</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四川恒熙物业管理有限责任公司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2,948,642.12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3,023,132.35</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成都文轩股权投资基金管理有限公司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919,528.20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536,391.45</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55,551,286.49</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55,425,856.21</w:t>
            </w:r>
          </w:p>
        </w:tc>
      </w:tr>
    </w:tbl>
    <w:p>
      <w:pPr>
        <w:spacing w:line="240" w:lineRule="auto" w:before="5"/>
        <w:rPr>
          <w:rFonts w:ascii="宋体" w:hAnsi="宋体" w:cs="宋体" w:eastAsia="宋体" w:hint="default"/>
          <w:sz w:val="15"/>
          <w:szCs w:val="15"/>
        </w:rPr>
      </w:pPr>
    </w:p>
    <w:p>
      <w:pPr>
        <w:pStyle w:val="BodyText"/>
        <w:spacing w:line="274" w:lineRule="exact" w:before="36"/>
        <w:ind w:left="140" w:right="0"/>
        <w:jc w:val="left"/>
      </w:pPr>
      <w:r>
        <w:rPr/>
        <w:t>关联租赁情况说明</w:t>
      </w:r>
    </w:p>
    <w:p>
      <w:pPr>
        <w:pStyle w:val="BodyText"/>
        <w:spacing w:line="274" w:lineRule="exact"/>
        <w:ind w:left="140" w:right="0"/>
        <w:jc w:val="left"/>
      </w:pPr>
      <w:r>
        <w:rPr/>
        <w:t>□适用 √不适用</w:t>
      </w:r>
    </w:p>
    <w:p>
      <w:pPr>
        <w:spacing w:line="240" w:lineRule="auto" w:before="3"/>
        <w:rPr>
          <w:rFonts w:ascii="宋体" w:hAnsi="宋体" w:cs="宋体" w:eastAsia="宋体" w:hint="default"/>
          <w:sz w:val="25"/>
          <w:szCs w:val="25"/>
        </w:rPr>
      </w:pPr>
    </w:p>
    <w:p>
      <w:pPr>
        <w:spacing w:line="290" w:lineRule="auto" w:before="0"/>
        <w:ind w:left="140" w:right="747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28" w:lineRule="exact"/>
        <w:ind w:left="140" w:right="0"/>
        <w:jc w:val="left"/>
      </w:pPr>
      <w:r>
        <w:rPr/>
        <w:t>□适用 √不适用</w:t>
      </w:r>
    </w:p>
    <w:p>
      <w:pPr>
        <w:pStyle w:val="BodyText"/>
        <w:spacing w:line="273" w:lineRule="exact"/>
        <w:ind w:left="140" w:right="0"/>
        <w:jc w:val="left"/>
      </w:pPr>
      <w:r>
        <w:rPr/>
        <w:t>本公司作为被担保方</w:t>
      </w:r>
    </w:p>
    <w:p>
      <w:pPr>
        <w:spacing w:after="0" w:line="273" w:lineRule="exact"/>
        <w:jc w:val="left"/>
        <w:sectPr>
          <w:type w:val="continuous"/>
          <w:pgSz w:w="11910" w:h="16840"/>
          <w:pgMar w:top="1060" w:bottom="1380" w:left="130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2" w:lineRule="exact" w:before="64"/>
        <w:ind w:right="6268"/>
        <w:jc w:val="left"/>
      </w:pPr>
      <w:r>
        <w:rPr/>
        <w:t>□适用</w:t>
      </w:r>
      <w:r>
        <w:rPr>
          <w:spacing w:val="-1"/>
        </w:rPr>
        <w:t> </w:t>
      </w:r>
      <w:r>
        <w:rPr/>
        <w:t>√不适用</w:t>
      </w:r>
      <w:r>
        <w:rPr>
          <w:w w:val="100"/>
        </w:rPr>
        <w:t> </w:t>
      </w:r>
      <w:r>
        <w:rPr>
          <w:spacing w:val="-2"/>
        </w:rPr>
        <w:t>关联担保情况说明</w:t>
      </w:r>
    </w:p>
    <w:p>
      <w:pPr>
        <w:pStyle w:val="BodyText"/>
        <w:spacing w:line="249" w:lineRule="exact"/>
        <w:ind w:right="0"/>
        <w:jc w:val="left"/>
      </w:pPr>
      <w:r>
        <w:rPr/>
        <w:t>□适用 √不适用</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220" w:right="980"/>
        </w:sectPr>
      </w:pPr>
    </w:p>
    <w:p>
      <w:pPr>
        <w:pStyle w:val="Heading2"/>
        <w:spacing w:line="240" w:lineRule="auto" w:before="36"/>
        <w:ind w:right="-16"/>
        <w:jc w:val="left"/>
        <w:rPr>
          <w:b w:val="0"/>
          <w:bCs w:val="0"/>
        </w:rPr>
      </w:pPr>
      <w:r>
        <w:rPr>
          <w:rFonts w:ascii="宋体" w:hAnsi="宋体" w:cs="宋体" w:eastAsia="宋体" w:hint="default"/>
        </w:rPr>
        <w:t>(5).</w:t>
      </w:r>
      <w:r>
        <w:rPr/>
        <w:t>关联方资金拆借</w:t>
      </w:r>
      <w:r>
        <w:rPr>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220" w:right="980"/>
          <w:cols w:num="2" w:equalWidth="0">
            <w:col w:w="2124" w:space="4592"/>
            <w:col w:w="299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877"/>
        <w:gridCol w:w="1592"/>
        <w:gridCol w:w="1157"/>
        <w:gridCol w:w="1448"/>
        <w:gridCol w:w="1171"/>
      </w:tblGrid>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拆借金额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4"/>
              <w:jc w:val="right"/>
              <w:rPr>
                <w:rFonts w:ascii="宋体" w:hAnsi="宋体" w:cs="宋体" w:eastAsia="宋体" w:hint="default"/>
                <w:sz w:val="21"/>
                <w:szCs w:val="21"/>
              </w:rPr>
            </w:pPr>
            <w:r>
              <w:rPr>
                <w:rFonts w:ascii="宋体" w:hAnsi="宋体" w:cs="宋体" w:eastAsia="宋体" w:hint="default"/>
                <w:sz w:val="21"/>
                <w:szCs w:val="21"/>
              </w:rPr>
              <w:t>起始日</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2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成都文轩股权投资基金管理有限公司</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sz w:val="21"/>
              </w:rPr>
              <w:t>1,000,000.00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2018/8/7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2018/12/24</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2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220" w:right="980"/>
        </w:sectPr>
      </w:pPr>
    </w:p>
    <w:p>
      <w:pPr>
        <w:pStyle w:val="Heading2"/>
        <w:spacing w:line="240" w:lineRule="auto" w:before="36"/>
        <w:ind w:right="0"/>
        <w:jc w:val="left"/>
        <w:rPr>
          <w:b w:val="0"/>
          <w:bCs w:val="0"/>
        </w:rPr>
      </w:pPr>
      <w:r>
        <w:rPr>
          <w:rFonts w:ascii="宋体" w:hAnsi="宋体" w:cs="宋体" w:eastAsia="宋体" w:hint="default"/>
          <w:spacing w:val="-1"/>
        </w:rPr>
        <w:t>(6).</w:t>
      </w:r>
      <w:r>
        <w:rPr>
          <w:spacing w:val="-1"/>
        </w:rPr>
        <w:t>关联方资产转让、债务重组情况</w:t>
      </w:r>
      <w:r>
        <w:rPr>
          <w:b w:val="0"/>
          <w:bCs w:val="0"/>
          <w:spacing w:val="-1"/>
        </w:rPr>
      </w:r>
    </w:p>
    <w:p>
      <w:pPr>
        <w:spacing w:line="290" w:lineRule="auto" w:before="56"/>
        <w:ind w:left="220" w:right="124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pStyle w:val="BodyText"/>
        <w:spacing w:line="240" w:lineRule="auto" w:before="12"/>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81"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060" w:bottom="1380" w:left="1220" w:right="980"/>
          <w:cols w:num="2" w:equalWidth="0">
            <w:col w:w="3598" w:space="2907"/>
            <w:col w:w="3205"/>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344"/>
        <w:gridCol w:w="3346"/>
        <w:gridCol w:w="2554"/>
      </w:tblGrid>
      <w:tr>
        <w:trPr>
          <w:trHeight w:val="283"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836.10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818.87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220" w:right="980"/>
        </w:sectPr>
      </w:pPr>
    </w:p>
    <w:p>
      <w:pPr>
        <w:pStyle w:val="Heading2"/>
        <w:spacing w:line="240" w:lineRule="auto" w:before="36"/>
        <w:ind w:right="-16"/>
        <w:jc w:val="left"/>
        <w:rPr>
          <w:b w:val="0"/>
          <w:bCs w:val="0"/>
        </w:rPr>
      </w:pPr>
      <w:r>
        <w:rPr>
          <w:rFonts w:ascii="宋体" w:hAnsi="宋体" w:cs="宋体" w:eastAsia="宋体" w:hint="default"/>
        </w:rPr>
        <w:t>(8).</w:t>
      </w:r>
      <w:r>
        <w:rPr/>
        <w:t>其他关联交易</w:t>
      </w:r>
      <w:r>
        <w:rPr>
          <w:b w:val="0"/>
          <w:bCs w:val="0"/>
        </w:rPr>
      </w:r>
    </w:p>
    <w:p>
      <w:pPr>
        <w:pStyle w:val="BodyText"/>
        <w:tabs>
          <w:tab w:pos="1062" w:val="left" w:leader="none"/>
        </w:tabs>
        <w:spacing w:line="240" w:lineRule="auto" w:before="56"/>
        <w:ind w:right="-1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人民币元</w:t>
      </w:r>
    </w:p>
    <w:p>
      <w:pPr>
        <w:spacing w:after="0" w:line="240" w:lineRule="auto"/>
        <w:jc w:val="left"/>
        <w:sectPr>
          <w:type w:val="continuous"/>
          <w:pgSz w:w="11910" w:h="16840"/>
          <w:pgMar w:top="1060" w:bottom="1380" w:left="1220" w:right="980"/>
          <w:cols w:num="2" w:equalWidth="0">
            <w:col w:w="1913" w:space="6275"/>
            <w:col w:w="1522"/>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3"/>
        <w:gridCol w:w="1702"/>
        <w:gridCol w:w="1702"/>
        <w:gridCol w:w="1604"/>
        <w:gridCol w:w="1514"/>
      </w:tblGrid>
      <w:tr>
        <w:trPr>
          <w:trHeight w:val="305" w:hRule="exact"/>
        </w:trPr>
        <w:tc>
          <w:tcPr>
            <w:tcW w:w="2943" w:type="dxa"/>
            <w:vMerge w:val="restart"/>
            <w:tcBorders>
              <w:top w:val="single" w:sz="8" w:space="0" w:color="000000"/>
              <w:left w:val="single" w:sz="8" w:space="0" w:color="000000"/>
              <w:right w:val="single" w:sz="8"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04"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118"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05" w:hRule="exact"/>
        </w:trPr>
        <w:tc>
          <w:tcPr>
            <w:tcW w:w="2943" w:type="dxa"/>
            <w:vMerge/>
            <w:tcBorders>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代垫货款</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91" w:right="0"/>
              <w:jc w:val="left"/>
              <w:rPr>
                <w:rFonts w:ascii="宋体" w:hAnsi="宋体" w:cs="宋体" w:eastAsia="宋体" w:hint="default"/>
                <w:sz w:val="18"/>
                <w:szCs w:val="18"/>
              </w:rPr>
            </w:pPr>
            <w:r>
              <w:rPr>
                <w:rFonts w:ascii="宋体" w:hAnsi="宋体" w:cs="宋体" w:eastAsia="宋体" w:hint="default"/>
                <w:sz w:val="18"/>
                <w:szCs w:val="18"/>
              </w:rPr>
              <w:t>资金占用费</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432" w:right="0"/>
              <w:jc w:val="left"/>
              <w:rPr>
                <w:rFonts w:ascii="宋体" w:hAnsi="宋体" w:cs="宋体" w:eastAsia="宋体" w:hint="default"/>
                <w:sz w:val="18"/>
                <w:szCs w:val="18"/>
              </w:rPr>
            </w:pPr>
            <w:r>
              <w:rPr>
                <w:rFonts w:ascii="宋体" w:hAnsi="宋体" w:cs="宋体" w:eastAsia="宋体" w:hint="default"/>
                <w:sz w:val="18"/>
                <w:szCs w:val="18"/>
              </w:rPr>
              <w:t>代垫货款</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97" w:right="0"/>
              <w:jc w:val="left"/>
              <w:rPr>
                <w:rFonts w:ascii="宋体" w:hAnsi="宋体" w:cs="宋体" w:eastAsia="宋体" w:hint="default"/>
                <w:sz w:val="18"/>
                <w:szCs w:val="18"/>
              </w:rPr>
            </w:pPr>
            <w:r>
              <w:rPr>
                <w:rFonts w:ascii="宋体" w:hAnsi="宋体" w:cs="宋体" w:eastAsia="宋体" w:hint="default"/>
                <w:sz w:val="18"/>
                <w:szCs w:val="18"/>
              </w:rPr>
              <w:t>资金占用费</w:t>
            </w:r>
          </w:p>
        </w:tc>
      </w:tr>
      <w:tr>
        <w:trPr>
          <w:trHeight w:val="305" w:hRule="exact"/>
        </w:trPr>
        <w:tc>
          <w:tcPr>
            <w:tcW w:w="2943"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pacing w:val="-4"/>
                <w:sz w:val="18"/>
                <w:szCs w:val="18"/>
              </w:rPr>
              <w:t>四川文轩宝湾供应链有限公司（注）</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122" w:right="0"/>
              <w:jc w:val="center"/>
              <w:rPr>
                <w:rFonts w:ascii="宋体" w:hAnsi="宋体" w:cs="宋体" w:eastAsia="宋体" w:hint="default"/>
                <w:sz w:val="21"/>
                <w:szCs w:val="21"/>
              </w:rPr>
            </w:pPr>
            <w:r>
              <w:rPr>
                <w:rFonts w:ascii="宋体"/>
                <w:sz w:val="21"/>
              </w:rPr>
              <w:t>21,011,013.77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499,846.29</w:t>
            </w:r>
          </w:p>
        </w:tc>
        <w:tc>
          <w:tcPr>
            <w:tcW w:w="1604"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r>
      <w:tr>
        <w:trPr>
          <w:trHeight w:val="307" w:hRule="exact"/>
        </w:trPr>
        <w:tc>
          <w:tcPr>
            <w:tcW w:w="2943"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122" w:right="0"/>
              <w:jc w:val="center"/>
              <w:rPr>
                <w:rFonts w:ascii="宋体" w:hAnsi="宋体" w:cs="宋体" w:eastAsia="宋体" w:hint="default"/>
                <w:sz w:val="21"/>
                <w:szCs w:val="21"/>
              </w:rPr>
            </w:pPr>
            <w:r>
              <w:rPr>
                <w:rFonts w:ascii="宋体"/>
                <w:sz w:val="21"/>
              </w:rPr>
              <w:t>21,011,013.77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499,846.29</w:t>
            </w:r>
          </w:p>
        </w:tc>
        <w:tc>
          <w:tcPr>
            <w:tcW w:w="1604"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41" w:lineRule="exact"/>
        <w:ind w:right="0"/>
        <w:jc w:val="left"/>
      </w:pPr>
      <w:r>
        <w:rPr/>
        <w:t>注：本年度产生的资金占用费共计</w:t>
      </w:r>
      <w:r>
        <w:rPr>
          <w:spacing w:val="-56"/>
        </w:rPr>
        <w:t> </w:t>
      </w:r>
      <w:r>
        <w:rPr>
          <w:rFonts w:ascii="宋体" w:hAnsi="宋体" w:cs="宋体" w:eastAsia="宋体" w:hint="default"/>
        </w:rPr>
        <w:t>499,846.29</w:t>
      </w:r>
      <w:r>
        <w:rPr>
          <w:rFonts w:ascii="宋体" w:hAnsi="宋体" w:cs="宋体" w:eastAsia="宋体" w:hint="default"/>
          <w:spacing w:val="-57"/>
        </w:rPr>
        <w:t> </w:t>
      </w:r>
      <w:r>
        <w:rPr/>
        <w:t>元，系关联方四川文轩宝湾供应链有限公司为北京</w:t>
      </w:r>
    </w:p>
    <w:p>
      <w:pPr>
        <w:pStyle w:val="BodyText"/>
        <w:spacing w:line="240" w:lineRule="auto" w:before="133"/>
        <w:ind w:right="0"/>
        <w:jc w:val="left"/>
      </w:pPr>
      <w:r>
        <w:rPr/>
        <w:t>商超代垫货款</w:t>
      </w:r>
      <w:r>
        <w:rPr>
          <w:spacing w:val="-56"/>
        </w:rPr>
        <w:t> </w:t>
      </w:r>
      <w:r>
        <w:rPr>
          <w:rFonts w:ascii="宋体" w:hAnsi="宋体" w:cs="宋体" w:eastAsia="宋体" w:hint="default"/>
        </w:rPr>
        <w:t>21,011,013.77</w:t>
      </w:r>
      <w:r>
        <w:rPr>
          <w:rFonts w:ascii="宋体" w:hAnsi="宋体" w:cs="宋体" w:eastAsia="宋体" w:hint="default"/>
          <w:spacing w:val="-55"/>
        </w:rPr>
        <w:t> </w:t>
      </w:r>
      <w:r>
        <w:rPr/>
        <w:t>元产生。</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220" w:right="980"/>
        </w:sectPr>
      </w:pPr>
    </w:p>
    <w:p>
      <w:pPr>
        <w:spacing w:line="240" w:lineRule="auto" w:before="9"/>
        <w:rPr>
          <w:rFonts w:ascii="宋体" w:hAnsi="宋体" w:cs="宋体" w:eastAsia="宋体" w:hint="default"/>
          <w:sz w:val="15"/>
          <w:szCs w:val="15"/>
        </w:rPr>
      </w:pPr>
    </w:p>
    <w:p>
      <w:pPr>
        <w:pStyle w:val="Heading2"/>
        <w:spacing w:line="290" w:lineRule="auto"/>
        <w:ind w:right="-19"/>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1062" w:val="left" w:leader="none"/>
        </w:tabs>
        <w:spacing w:line="240" w:lineRule="auto" w:before="14"/>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tabs>
          <w:tab w:pos="1166"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220" w:right="980"/>
          <w:cols w:num="2" w:equalWidth="0">
            <w:col w:w="2547" w:space="4381"/>
            <w:col w:w="2782"/>
          </w:cols>
        </w:sectPr>
      </w:pP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1982"/>
        <w:gridCol w:w="2281"/>
        <w:gridCol w:w="1498"/>
        <w:gridCol w:w="984"/>
        <w:gridCol w:w="1249"/>
        <w:gridCol w:w="1094"/>
      </w:tblGrid>
      <w:tr>
        <w:trPr>
          <w:trHeight w:val="281" w:hRule="exact"/>
        </w:trPr>
        <w:tc>
          <w:tcPr>
            <w:tcW w:w="1982" w:type="dxa"/>
            <w:vMerge w:val="restart"/>
            <w:tcBorders>
              <w:top w:val="single" w:sz="4" w:space="0" w:color="000000"/>
              <w:left w:val="single" w:sz="4" w:space="0" w:color="000000"/>
              <w:right w:val="single" w:sz="4" w:space="0" w:color="000000"/>
            </w:tcBorders>
          </w:tcPr>
          <w:p>
            <w:pPr>
              <w:pStyle w:val="TableParagraph"/>
              <w:spacing w:line="240" w:lineRule="auto" w:before="107"/>
              <w:ind w:left="56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28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982" w:type="dxa"/>
            <w:vMerge/>
            <w:tcBorders>
              <w:left w:val="single" w:sz="4" w:space="0" w:color="000000"/>
              <w:bottom w:val="single" w:sz="4" w:space="0" w:color="000000"/>
              <w:right w:val="single" w:sz="4" w:space="0" w:color="000000"/>
            </w:tcBorders>
          </w:tcPr>
          <w:p>
            <w:pPr/>
          </w:p>
        </w:tc>
        <w:tc>
          <w:tcPr>
            <w:tcW w:w="2281" w:type="dxa"/>
            <w:vMerge/>
            <w:tcBorders>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center"/>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上海景界信息科技有限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195,984.00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195,984.00</w:t>
            </w: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center"/>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四川新华海颐文化发展</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19,424.00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6,977.50</w:t>
            </w: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center"/>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四川新华海颐酒店管理</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49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75,000.00</w:t>
            </w:r>
          </w:p>
        </w:tc>
        <w:tc>
          <w:tcPr>
            <w:tcW w:w="10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2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982"/>
        <w:gridCol w:w="2281"/>
        <w:gridCol w:w="1498"/>
        <w:gridCol w:w="984"/>
        <w:gridCol w:w="1249"/>
        <w:gridCol w:w="1094"/>
      </w:tblGrid>
      <w:tr>
        <w:trPr>
          <w:trHeight w:val="28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明博教育科技有限公司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1,200,000.00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10,500.00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新华影轩</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影视文</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化有限公司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1,058,638.30</w:t>
            </w:r>
          </w:p>
        </w:tc>
        <w:tc>
          <w:tcPr>
            <w:tcW w:w="984"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上海景界信息科技有限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10,478.80</w:t>
            </w:r>
          </w:p>
        </w:tc>
        <w:tc>
          <w:tcPr>
            <w:tcW w:w="984"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2,495,025.10</w:t>
            </w:r>
          </w:p>
        </w:tc>
        <w:tc>
          <w:tcPr>
            <w:tcW w:w="984"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277,961.50</w:t>
            </w:r>
          </w:p>
        </w:tc>
        <w:tc>
          <w:tcPr>
            <w:tcW w:w="10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8"/>
          <w:pgSz w:w="11910" w:h="16840"/>
          <w:pgMar w:footer="1195" w:header="882" w:top="1120" w:bottom="1380" w:left="1300" w:right="1280"/>
        </w:sectPr>
      </w:pPr>
    </w:p>
    <w:p>
      <w:pPr>
        <w:pStyle w:val="Heading2"/>
        <w:spacing w:line="240" w:lineRule="auto" w:before="36"/>
        <w:ind w:left="140" w:right="-12"/>
        <w:jc w:val="left"/>
        <w:rPr>
          <w:b w:val="0"/>
          <w:bCs w:val="0"/>
        </w:rPr>
      </w:pPr>
      <w:r>
        <w:rPr>
          <w:rFonts w:ascii="宋体" w:hAnsi="宋体" w:cs="宋体" w:eastAsia="宋体" w:hint="default"/>
        </w:rPr>
        <w:t>(2).</w:t>
      </w:r>
      <w:r>
        <w:rPr/>
        <w:t>应付项目</w:t>
      </w:r>
      <w:r>
        <w:rPr>
          <w:b w:val="0"/>
          <w:bCs w:val="0"/>
        </w:rPr>
      </w:r>
    </w:p>
    <w:p>
      <w:pPr>
        <w:pStyle w:val="BodyText"/>
        <w:tabs>
          <w:tab w:pos="982" w:val="left" w:leader="none"/>
        </w:tabs>
        <w:spacing w:line="240" w:lineRule="auto" w:before="59"/>
        <w:ind w:left="140"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086" w:val="left" w:leader="none"/>
        </w:tabs>
        <w:spacing w:line="240" w:lineRule="auto"/>
        <w:ind w:left="14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300" w:right="1280"/>
          <w:cols w:num="2" w:equalWidth="0">
            <w:col w:w="1823" w:space="5104"/>
            <w:col w:w="2403"/>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016"/>
        <w:gridCol w:w="3119"/>
        <w:gridCol w:w="1706"/>
        <w:gridCol w:w="2247"/>
      </w:tblGrid>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明博教育科技股份有限公司</w:t>
            </w:r>
          </w:p>
        </w:tc>
        <w:tc>
          <w:tcPr>
            <w:tcW w:w="1706"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1,360,000.00</w:t>
            </w: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凉山新华文轩教育科技有限公司</w:t>
            </w:r>
          </w:p>
        </w:tc>
        <w:tc>
          <w:tcPr>
            <w:tcW w:w="1706"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300,000.00</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明博教育科技股份有限公司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1,360,000.00</w:t>
            </w: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商务印书馆</w:t>
            </w:r>
            <w:r>
              <w:rPr>
                <w:rFonts w:ascii="宋体" w:hAnsi="宋体" w:cs="宋体" w:eastAsia="宋体" w:hint="default"/>
                <w:sz w:val="21"/>
                <w:szCs w:val="21"/>
              </w:rPr>
              <w:t>(</w:t>
            </w:r>
            <w:r>
              <w:rPr>
                <w:rFonts w:ascii="宋体" w:hAnsi="宋体" w:cs="宋体" w:eastAsia="宋体" w:hint="default"/>
                <w:sz w:val="21"/>
                <w:szCs w:val="21"/>
              </w:rPr>
              <w:t>成都</w:t>
            </w:r>
            <w:r>
              <w:rPr>
                <w:rFonts w:ascii="宋体" w:hAnsi="宋体" w:cs="宋体" w:eastAsia="宋体" w:hint="default"/>
                <w:sz w:val="21"/>
                <w:szCs w:val="21"/>
              </w:rPr>
              <w:t>)</w:t>
            </w:r>
            <w:r>
              <w:rPr>
                <w:rFonts w:ascii="宋体" w:hAnsi="宋体" w:cs="宋体" w:eastAsia="宋体" w:hint="default"/>
                <w:sz w:val="21"/>
                <w:szCs w:val="21"/>
              </w:rPr>
              <w:t>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8,096,016.99</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10,190,017.68</w:t>
            </w: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海南出版社</w:t>
            </w:r>
          </w:p>
        </w:tc>
        <w:tc>
          <w:tcPr>
            <w:tcW w:w="1706"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112,499.36</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明博教育科技股份有限公司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190.00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100,157.79</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上海景界信息科技有限公司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18,941.36</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18,941.36</w:t>
            </w: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四川出版集团</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612,886.38</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632,820.53</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明博教育科技有限公司</w:t>
            </w:r>
          </w:p>
        </w:tc>
        <w:tc>
          <w:tcPr>
            <w:tcW w:w="1706"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88,084.04</w:t>
            </w:r>
          </w:p>
        </w:tc>
      </w:tr>
      <w:tr>
        <w:trPr>
          <w:trHeight w:val="28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成都皇鹏物业有限责任公司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208,130.64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704,065.32</w:t>
            </w: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四川文轩宝湾供应链有限公司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6,108,537.18</w:t>
            </w: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16,404,702.55</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13,506,586.08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140" w:right="0"/>
        <w:jc w:val="left"/>
        <w:rPr>
          <w:b w:val="0"/>
          <w:bCs w:val="0"/>
        </w:rPr>
      </w:pPr>
      <w:r>
        <w:rPr>
          <w:rFonts w:ascii="宋体" w:hAnsi="宋体" w:cs="宋体" w:eastAsia="宋体" w:hint="default"/>
        </w:rPr>
        <w:t>7</w:t>
      </w:r>
      <w:r>
        <w:rPr/>
        <w:t>、</w:t>
      </w:r>
      <w:r>
        <w:rPr>
          <w:spacing w:val="3"/>
        </w:rPr>
        <w:t> </w:t>
      </w:r>
      <w:r>
        <w:rPr/>
        <w:t>关联方承诺</w:t>
      </w:r>
      <w:r>
        <w:rPr>
          <w:b w:val="0"/>
          <w:bCs w:val="0"/>
        </w:rPr>
      </w:r>
    </w:p>
    <w:p>
      <w:pPr>
        <w:pStyle w:val="BodyText"/>
        <w:tabs>
          <w:tab w:pos="982" w:val="left" w:leader="none"/>
        </w:tabs>
        <w:spacing w:line="240" w:lineRule="auto" w:before="56"/>
        <w:ind w:left="140" w:right="0"/>
        <w:jc w:val="left"/>
      </w:pPr>
      <w:r>
        <w:rPr/>
        <w:t>□适用</w:t>
        <w:tab/>
        <w:t>√不适用</w:t>
      </w:r>
    </w:p>
    <w:p>
      <w:pPr>
        <w:spacing w:line="240" w:lineRule="auto" w:before="6"/>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2" w:val="left" w:leader="none"/>
        </w:tabs>
        <w:spacing w:line="240" w:lineRule="auto" w:before="56"/>
        <w:ind w:left="140" w:right="0"/>
        <w:jc w:val="left"/>
      </w:pPr>
      <w:r>
        <w:rPr/>
        <w:t>□适用</w:t>
        <w:tab/>
        <w:t>√不适用</w:t>
      </w:r>
    </w:p>
    <w:p>
      <w:pPr>
        <w:spacing w:line="240" w:lineRule="auto" w:before="3"/>
        <w:rPr>
          <w:rFonts w:ascii="宋体" w:hAnsi="宋体" w:cs="宋体" w:eastAsia="宋体" w:hint="default"/>
          <w:sz w:val="25"/>
          <w:szCs w:val="25"/>
        </w:rPr>
      </w:pPr>
    </w:p>
    <w:p>
      <w:pPr>
        <w:pStyle w:val="Heading2"/>
        <w:tabs>
          <w:tab w:pos="980" w:val="left" w:leader="none"/>
        </w:tabs>
        <w:spacing w:line="240" w:lineRule="auto"/>
        <w:ind w:left="140" w:right="0"/>
        <w:jc w:val="left"/>
        <w:rPr>
          <w:b w:val="0"/>
          <w:bCs w:val="0"/>
        </w:rPr>
      </w:pPr>
      <w:r>
        <w:rPr/>
        <w:t>十三、</w:t>
        <w:tab/>
        <w:t>股份支付</w:t>
      </w:r>
      <w:r>
        <w:rPr>
          <w:b w:val="0"/>
          <w:bCs w:val="0"/>
        </w:rPr>
      </w:r>
    </w:p>
    <w:p>
      <w:pPr>
        <w:pStyle w:val="Heading2"/>
        <w:spacing w:line="240" w:lineRule="auto" w:before="58"/>
        <w:ind w:left="140"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140"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40"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140"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140"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140" w:right="0"/>
        <w:jc w:val="left"/>
      </w:pPr>
      <w:r>
        <w:rPr/>
        <w:t>□适用 √不适用</w:t>
      </w:r>
    </w:p>
    <w:p>
      <w:pPr>
        <w:spacing w:after="0" w:line="240" w:lineRule="auto"/>
        <w:jc w:val="left"/>
        <w:sectPr>
          <w:type w:val="continuous"/>
          <w:pgSz w:w="11910" w:h="16840"/>
          <w:pgMar w:top="1060" w:bottom="1380" w:left="130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ind w:left="140" w:right="3878"/>
        <w:jc w:val="left"/>
        <w:rPr>
          <w:b w:val="0"/>
          <w:bCs w:val="0"/>
        </w:rPr>
      </w:pPr>
      <w:r>
        <w:rPr>
          <w:rFonts w:ascii="宋体" w:hAnsi="宋体" w:cs="宋体" w:eastAsia="宋体" w:hint="default"/>
        </w:rPr>
        <w:t>4</w:t>
      </w:r>
      <w:r>
        <w:rPr/>
        <w:t>、 股份支付的修改、终止情况</w:t>
      </w:r>
      <w:r>
        <w:rPr>
          <w:b w:val="0"/>
          <w:bCs w:val="0"/>
        </w:rPr>
      </w:r>
    </w:p>
    <w:p>
      <w:pPr>
        <w:pStyle w:val="BodyText"/>
        <w:tabs>
          <w:tab w:pos="982" w:val="left" w:leader="none"/>
        </w:tabs>
        <w:spacing w:line="240" w:lineRule="auto" w:before="58"/>
        <w:ind w:left="140" w:right="3878"/>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40" w:right="3878"/>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982" w:val="left" w:leader="none"/>
        </w:tabs>
        <w:spacing w:line="240" w:lineRule="auto" w:before="56"/>
        <w:ind w:left="140" w:right="3878"/>
        <w:jc w:val="left"/>
      </w:pPr>
      <w:r>
        <w:rPr/>
        <w:t>□适用</w:t>
        <w:tab/>
        <w:t>√不适用</w:t>
      </w:r>
    </w:p>
    <w:p>
      <w:pPr>
        <w:spacing w:line="240" w:lineRule="auto" w:before="3"/>
        <w:rPr>
          <w:rFonts w:ascii="宋体" w:hAnsi="宋体" w:cs="宋体" w:eastAsia="宋体" w:hint="default"/>
          <w:sz w:val="25"/>
          <w:szCs w:val="25"/>
        </w:rPr>
      </w:pPr>
    </w:p>
    <w:p>
      <w:pPr>
        <w:pStyle w:val="Heading2"/>
        <w:tabs>
          <w:tab w:pos="980" w:val="left" w:leader="none"/>
        </w:tabs>
        <w:spacing w:line="290" w:lineRule="auto"/>
        <w:ind w:left="140" w:right="7165"/>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37" w:lineRule="auto" w:before="14"/>
        <w:ind w:left="140" w:right="3878"/>
        <w:jc w:val="left"/>
      </w:pPr>
      <w:r>
        <w:rPr/>
        <w:t>√适用</w:t>
      </w:r>
      <w:r>
        <w:rPr>
          <w:spacing w:val="-2"/>
        </w:rPr>
        <w:t> </w:t>
      </w:r>
      <w:r>
        <w:rPr/>
        <w:t>□不适用</w:t>
      </w:r>
      <w:r>
        <w:rPr>
          <w:spacing w:val="-103"/>
        </w:rPr>
        <w:t> </w:t>
      </w:r>
      <w:r>
        <w:rPr>
          <w:spacing w:val="-103"/>
        </w:rPr>
      </w:r>
      <w:r>
        <w:rPr>
          <w:spacing w:val="-2"/>
        </w:rPr>
        <w:t>资产负债表日存在的对外重要承诺、性质、金额</w:t>
      </w:r>
      <w:r>
        <w:rPr>
          <w:spacing w:val="-65"/>
        </w:rPr>
        <w:t> </w:t>
      </w:r>
      <w:r>
        <w:rPr>
          <w:spacing w:val="-65"/>
        </w:rPr>
      </w:r>
      <w:r>
        <w:rPr/>
        <w:t>具体如下表：</w:t>
      </w:r>
    </w:p>
    <w:p>
      <w:pPr>
        <w:spacing w:line="240" w:lineRule="auto" w:before="12"/>
        <w:rPr>
          <w:rFonts w:ascii="宋体" w:hAnsi="宋体" w:cs="宋体" w:eastAsia="宋体" w:hint="default"/>
          <w:sz w:val="17"/>
          <w:szCs w:val="17"/>
        </w:rPr>
      </w:pPr>
    </w:p>
    <w:p>
      <w:pPr>
        <w:pStyle w:val="BodyText"/>
        <w:spacing w:line="273" w:lineRule="exact" w:before="36"/>
        <w:ind w:left="0" w:right="453"/>
        <w:jc w:val="right"/>
      </w:pPr>
      <w:r>
        <w:rPr>
          <w:spacing w:val="-1"/>
        </w:rPr>
        <w:t>单位：元</w:t>
      </w:r>
    </w:p>
    <w:p>
      <w:pPr>
        <w:pStyle w:val="BodyText"/>
        <w:spacing w:line="273" w:lineRule="exact"/>
        <w:ind w:left="140" w:right="3878"/>
        <w:jc w:val="left"/>
      </w:pPr>
      <w:r>
        <w:rPr/>
        <w:t>资本承诺</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80"/>
        <w:gridCol w:w="1961"/>
        <w:gridCol w:w="1930"/>
      </w:tblGrid>
      <w:tr>
        <w:trPr>
          <w:trHeight w:val="295" w:hRule="exact"/>
        </w:trPr>
        <w:tc>
          <w:tcPr>
            <w:tcW w:w="5480"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45" w:right="0"/>
              <w:jc w:val="left"/>
              <w:rPr>
                <w:rFonts w:ascii="宋体" w:hAnsi="宋体" w:cs="宋体" w:eastAsia="宋体" w:hint="default"/>
                <w:sz w:val="22"/>
                <w:szCs w:val="22"/>
              </w:rPr>
            </w:pPr>
            <w:r>
              <w:rPr>
                <w:rFonts w:ascii="宋体" w:hAnsi="宋体" w:cs="宋体" w:eastAsia="宋体" w:hint="default"/>
                <w:sz w:val="22"/>
                <w:szCs w:val="22"/>
              </w:rPr>
              <w:t>年末数</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31" w:right="0"/>
              <w:jc w:val="left"/>
              <w:rPr>
                <w:rFonts w:ascii="宋体" w:hAnsi="宋体" w:cs="宋体" w:eastAsia="宋体" w:hint="default"/>
                <w:sz w:val="22"/>
                <w:szCs w:val="22"/>
              </w:rPr>
            </w:pPr>
            <w:r>
              <w:rPr>
                <w:rFonts w:ascii="宋体" w:hAnsi="宋体" w:cs="宋体" w:eastAsia="宋体" w:hint="default"/>
                <w:sz w:val="22"/>
                <w:szCs w:val="22"/>
              </w:rPr>
              <w:t>年初数</w:t>
            </w:r>
          </w:p>
        </w:tc>
      </w:tr>
      <w:tr>
        <w:trPr>
          <w:trHeight w:val="310" w:hRule="exact"/>
        </w:trPr>
        <w:tc>
          <w:tcPr>
            <w:tcW w:w="54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2"/>
                <w:szCs w:val="22"/>
              </w:rPr>
            </w:pPr>
            <w:r>
              <w:rPr>
                <w:rFonts w:ascii="宋体" w:hAnsi="宋体" w:cs="宋体" w:eastAsia="宋体" w:hint="default"/>
                <w:sz w:val="22"/>
                <w:szCs w:val="22"/>
              </w:rPr>
              <w:t>已签约但尚未于财务报表中确认的购建长期资产承诺</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72" w:right="0"/>
              <w:jc w:val="left"/>
              <w:rPr>
                <w:rFonts w:ascii="Times New Roman" w:hAnsi="Times New Roman" w:cs="Times New Roman" w:eastAsia="Times New Roman" w:hint="default"/>
                <w:sz w:val="22"/>
                <w:szCs w:val="22"/>
              </w:rPr>
            </w:pPr>
            <w:r>
              <w:rPr>
                <w:rFonts w:ascii="Times New Roman"/>
                <w:sz w:val="22"/>
              </w:rPr>
              <w:t>102,880,017.28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44" w:right="0"/>
              <w:jc w:val="left"/>
              <w:rPr>
                <w:rFonts w:ascii="Times New Roman" w:hAnsi="Times New Roman" w:cs="Times New Roman" w:eastAsia="Times New Roman" w:hint="default"/>
                <w:sz w:val="22"/>
                <w:szCs w:val="22"/>
              </w:rPr>
            </w:pPr>
            <w:r>
              <w:rPr>
                <w:rFonts w:ascii="Times New Roman"/>
                <w:sz w:val="22"/>
              </w:rPr>
              <w:t>229,143,117.47</w:t>
            </w:r>
          </w:p>
        </w:tc>
      </w:tr>
    </w:tbl>
    <w:p>
      <w:pPr>
        <w:spacing w:line="240" w:lineRule="auto" w:before="7"/>
        <w:rPr>
          <w:rFonts w:ascii="宋体" w:hAnsi="宋体" w:cs="宋体" w:eastAsia="宋体" w:hint="default"/>
          <w:sz w:val="15"/>
          <w:szCs w:val="15"/>
        </w:rPr>
      </w:pPr>
    </w:p>
    <w:p>
      <w:pPr>
        <w:pStyle w:val="BodyText"/>
        <w:spacing w:line="272" w:lineRule="exact" w:before="64"/>
        <w:ind w:left="234" w:right="8322"/>
        <w:jc w:val="left"/>
      </w:pPr>
      <w:r>
        <w:rPr/>
        <w:t>租赁承诺</w:t>
      </w:r>
      <w:r>
        <w:rPr>
          <w:w w:val="100"/>
        </w:rPr>
        <w:t> </w:t>
      </w:r>
      <w:r>
        <w:rPr/>
        <w:t>作为承租人</w:t>
      </w:r>
    </w:p>
    <w:tbl>
      <w:tblPr>
        <w:tblW w:w="0" w:type="auto"/>
        <w:jc w:val="left"/>
        <w:tblInd w:w="121" w:type="dxa"/>
        <w:tblLayout w:type="fixed"/>
        <w:tblCellMar>
          <w:top w:w="0" w:type="dxa"/>
          <w:left w:w="0" w:type="dxa"/>
          <w:bottom w:w="0" w:type="dxa"/>
          <w:right w:w="0" w:type="dxa"/>
        </w:tblCellMar>
        <w:tblLook w:val="01E0"/>
      </w:tblPr>
      <w:tblGrid>
        <w:gridCol w:w="5480"/>
        <w:gridCol w:w="1961"/>
        <w:gridCol w:w="1930"/>
      </w:tblGrid>
      <w:tr>
        <w:trPr>
          <w:trHeight w:val="295" w:hRule="exact"/>
        </w:trPr>
        <w:tc>
          <w:tcPr>
            <w:tcW w:w="5480"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45" w:right="0"/>
              <w:jc w:val="left"/>
              <w:rPr>
                <w:rFonts w:ascii="宋体" w:hAnsi="宋体" w:cs="宋体" w:eastAsia="宋体" w:hint="default"/>
                <w:sz w:val="22"/>
                <w:szCs w:val="22"/>
              </w:rPr>
            </w:pPr>
            <w:r>
              <w:rPr>
                <w:rFonts w:ascii="宋体" w:hAnsi="宋体" w:cs="宋体" w:eastAsia="宋体" w:hint="default"/>
                <w:sz w:val="22"/>
                <w:szCs w:val="22"/>
              </w:rPr>
              <w:t>年末数</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31" w:right="0"/>
              <w:jc w:val="left"/>
              <w:rPr>
                <w:rFonts w:ascii="宋体" w:hAnsi="宋体" w:cs="宋体" w:eastAsia="宋体" w:hint="default"/>
                <w:sz w:val="22"/>
                <w:szCs w:val="22"/>
              </w:rPr>
            </w:pPr>
            <w:r>
              <w:rPr>
                <w:rFonts w:ascii="宋体" w:hAnsi="宋体" w:cs="宋体" w:eastAsia="宋体" w:hint="default"/>
                <w:sz w:val="22"/>
                <w:szCs w:val="22"/>
              </w:rPr>
              <w:t>年初数</w:t>
            </w:r>
          </w:p>
        </w:tc>
      </w:tr>
      <w:tr>
        <w:trPr>
          <w:trHeight w:val="296" w:hRule="exact"/>
        </w:trPr>
        <w:tc>
          <w:tcPr>
            <w:tcW w:w="54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不可撤销经营租赁的最低租赁付款额</w:t>
            </w:r>
          </w:p>
        </w:tc>
        <w:tc>
          <w:tcPr>
            <w:tcW w:w="196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480"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资产负债表日后第</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 </w:t>
            </w:r>
            <w:r>
              <w:rPr>
                <w:rFonts w:ascii="宋体" w:hAnsi="宋体" w:cs="宋体" w:eastAsia="宋体" w:hint="default"/>
                <w:sz w:val="22"/>
                <w:szCs w:val="22"/>
              </w:rPr>
              <w:t>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102,140,586.69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6"/>
              <w:jc w:val="right"/>
              <w:rPr>
                <w:rFonts w:ascii="Times New Roman" w:hAnsi="Times New Roman" w:cs="Times New Roman" w:eastAsia="Times New Roman" w:hint="default"/>
                <w:sz w:val="22"/>
                <w:szCs w:val="22"/>
              </w:rPr>
            </w:pPr>
            <w:r>
              <w:rPr>
                <w:rFonts w:ascii="Times New Roman"/>
                <w:spacing w:val="-1"/>
                <w:sz w:val="22"/>
              </w:rPr>
              <w:t>109,053,199.45</w:t>
            </w:r>
          </w:p>
        </w:tc>
      </w:tr>
      <w:tr>
        <w:trPr>
          <w:trHeight w:val="326" w:hRule="exact"/>
        </w:trPr>
        <w:tc>
          <w:tcPr>
            <w:tcW w:w="548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资产负债表日后第</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 </w:t>
            </w:r>
            <w:r>
              <w:rPr>
                <w:rFonts w:ascii="宋体" w:hAnsi="宋体" w:cs="宋体" w:eastAsia="宋体" w:hint="default"/>
                <w:sz w:val="22"/>
                <w:szCs w:val="22"/>
              </w:rPr>
              <w:t>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69,204,211.64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6"/>
              <w:jc w:val="right"/>
              <w:rPr>
                <w:rFonts w:ascii="Times New Roman" w:hAnsi="Times New Roman" w:cs="Times New Roman" w:eastAsia="Times New Roman" w:hint="default"/>
                <w:sz w:val="22"/>
                <w:szCs w:val="22"/>
              </w:rPr>
            </w:pPr>
            <w:r>
              <w:rPr>
                <w:rFonts w:ascii="Times New Roman"/>
                <w:spacing w:val="-1"/>
                <w:sz w:val="22"/>
              </w:rPr>
              <w:t>42,039,561.22</w:t>
            </w:r>
          </w:p>
        </w:tc>
      </w:tr>
      <w:tr>
        <w:trPr>
          <w:trHeight w:val="324" w:hRule="exact"/>
        </w:trPr>
        <w:tc>
          <w:tcPr>
            <w:tcW w:w="5480"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资产负债表日后第</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 </w:t>
            </w:r>
            <w:r>
              <w:rPr>
                <w:rFonts w:ascii="宋体" w:hAnsi="宋体" w:cs="宋体" w:eastAsia="宋体" w:hint="default"/>
                <w:sz w:val="22"/>
                <w:szCs w:val="22"/>
              </w:rPr>
              <w:t>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57,943,030.65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6"/>
              <w:jc w:val="right"/>
              <w:rPr>
                <w:rFonts w:ascii="Times New Roman" w:hAnsi="Times New Roman" w:cs="Times New Roman" w:eastAsia="Times New Roman" w:hint="default"/>
                <w:sz w:val="22"/>
                <w:szCs w:val="22"/>
              </w:rPr>
            </w:pPr>
            <w:r>
              <w:rPr>
                <w:rFonts w:ascii="Times New Roman"/>
                <w:spacing w:val="-1"/>
                <w:sz w:val="22"/>
              </w:rPr>
              <w:t>13,142,340.51</w:t>
            </w:r>
          </w:p>
        </w:tc>
      </w:tr>
      <w:tr>
        <w:trPr>
          <w:trHeight w:val="324" w:hRule="exact"/>
        </w:trPr>
        <w:tc>
          <w:tcPr>
            <w:tcW w:w="54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2"/>
                <w:szCs w:val="22"/>
              </w:rPr>
            </w:pPr>
            <w:r>
              <w:rPr>
                <w:rFonts w:ascii="宋体" w:hAnsi="宋体" w:cs="宋体" w:eastAsia="宋体" w:hint="default"/>
                <w:sz w:val="22"/>
                <w:szCs w:val="22"/>
              </w:rPr>
              <w:t>以后年度</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46,383,549.02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6"/>
              <w:jc w:val="right"/>
              <w:rPr>
                <w:rFonts w:ascii="Times New Roman" w:hAnsi="Times New Roman" w:cs="Times New Roman" w:eastAsia="Times New Roman" w:hint="default"/>
                <w:sz w:val="22"/>
                <w:szCs w:val="22"/>
              </w:rPr>
            </w:pPr>
            <w:r>
              <w:rPr>
                <w:rFonts w:ascii="Times New Roman"/>
                <w:spacing w:val="-1"/>
                <w:sz w:val="22"/>
              </w:rPr>
              <w:t>19,647,000.65</w:t>
            </w:r>
          </w:p>
        </w:tc>
      </w:tr>
      <w:tr>
        <w:trPr>
          <w:trHeight w:val="326" w:hRule="exact"/>
        </w:trPr>
        <w:tc>
          <w:tcPr>
            <w:tcW w:w="548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275,671,378.00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Times New Roman" w:hAnsi="Times New Roman" w:cs="Times New Roman" w:eastAsia="Times New Roman" w:hint="default"/>
                <w:sz w:val="22"/>
                <w:szCs w:val="22"/>
              </w:rPr>
            </w:pPr>
            <w:r>
              <w:rPr>
                <w:rFonts w:ascii="Times New Roman"/>
                <w:spacing w:val="-1"/>
                <w:sz w:val="22"/>
              </w:rPr>
              <w:t>183,882,101.83</w:t>
            </w:r>
          </w:p>
        </w:tc>
      </w:tr>
    </w:tbl>
    <w:p>
      <w:pPr>
        <w:spacing w:line="240" w:lineRule="auto" w:before="2"/>
        <w:rPr>
          <w:rFonts w:ascii="宋体" w:hAnsi="宋体" w:cs="宋体" w:eastAsia="宋体" w:hint="default"/>
          <w:sz w:val="16"/>
          <w:szCs w:val="16"/>
        </w:rPr>
      </w:pPr>
    </w:p>
    <w:p>
      <w:pPr>
        <w:pStyle w:val="BodyText"/>
        <w:spacing w:line="240" w:lineRule="auto" w:before="36"/>
        <w:ind w:left="140" w:right="3878"/>
        <w:jc w:val="left"/>
      </w:pPr>
      <w:r>
        <w:rPr/>
        <w:t>作为出租人</w:t>
      </w: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80"/>
        <w:gridCol w:w="1961"/>
        <w:gridCol w:w="1930"/>
      </w:tblGrid>
      <w:tr>
        <w:trPr>
          <w:trHeight w:val="295" w:hRule="exact"/>
        </w:trPr>
        <w:tc>
          <w:tcPr>
            <w:tcW w:w="5480"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45" w:right="0"/>
              <w:jc w:val="left"/>
              <w:rPr>
                <w:rFonts w:ascii="宋体" w:hAnsi="宋体" w:cs="宋体" w:eastAsia="宋体" w:hint="default"/>
                <w:sz w:val="22"/>
                <w:szCs w:val="22"/>
              </w:rPr>
            </w:pPr>
            <w:r>
              <w:rPr>
                <w:rFonts w:ascii="宋体" w:hAnsi="宋体" w:cs="宋体" w:eastAsia="宋体" w:hint="default"/>
                <w:sz w:val="22"/>
                <w:szCs w:val="22"/>
              </w:rPr>
              <w:t>年末数</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31" w:right="0"/>
              <w:jc w:val="left"/>
              <w:rPr>
                <w:rFonts w:ascii="宋体" w:hAnsi="宋体" w:cs="宋体" w:eastAsia="宋体" w:hint="default"/>
                <w:sz w:val="22"/>
                <w:szCs w:val="22"/>
              </w:rPr>
            </w:pPr>
            <w:r>
              <w:rPr>
                <w:rFonts w:ascii="宋体" w:hAnsi="宋体" w:cs="宋体" w:eastAsia="宋体" w:hint="default"/>
                <w:sz w:val="22"/>
                <w:szCs w:val="22"/>
              </w:rPr>
              <w:t>年初数</w:t>
            </w:r>
          </w:p>
        </w:tc>
      </w:tr>
      <w:tr>
        <w:trPr>
          <w:trHeight w:val="295" w:hRule="exact"/>
        </w:trPr>
        <w:tc>
          <w:tcPr>
            <w:tcW w:w="54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不可撤销经营租赁的最低租赁收款额</w:t>
            </w:r>
          </w:p>
        </w:tc>
        <w:tc>
          <w:tcPr>
            <w:tcW w:w="196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5480"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资产负债表日后第</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 </w:t>
            </w:r>
            <w:r>
              <w:rPr>
                <w:rFonts w:ascii="宋体" w:hAnsi="宋体" w:cs="宋体" w:eastAsia="宋体" w:hint="default"/>
                <w:sz w:val="22"/>
                <w:szCs w:val="22"/>
              </w:rPr>
              <w:t>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17,364,975.53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6"/>
              <w:jc w:val="right"/>
              <w:rPr>
                <w:rFonts w:ascii="Times New Roman" w:hAnsi="Times New Roman" w:cs="Times New Roman" w:eastAsia="Times New Roman" w:hint="default"/>
                <w:sz w:val="22"/>
                <w:szCs w:val="22"/>
              </w:rPr>
            </w:pPr>
            <w:r>
              <w:rPr>
                <w:rFonts w:ascii="Times New Roman"/>
                <w:spacing w:val="-1"/>
                <w:sz w:val="22"/>
              </w:rPr>
              <w:t>15,339,552.45</w:t>
            </w:r>
          </w:p>
        </w:tc>
      </w:tr>
      <w:tr>
        <w:trPr>
          <w:trHeight w:val="324" w:hRule="exact"/>
        </w:trPr>
        <w:tc>
          <w:tcPr>
            <w:tcW w:w="5480"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资产负债表日后第</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 </w:t>
            </w:r>
            <w:r>
              <w:rPr>
                <w:rFonts w:ascii="宋体" w:hAnsi="宋体" w:cs="宋体" w:eastAsia="宋体" w:hint="default"/>
                <w:sz w:val="22"/>
                <w:szCs w:val="22"/>
              </w:rPr>
              <w:t>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10,026,797.09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6"/>
              <w:jc w:val="right"/>
              <w:rPr>
                <w:rFonts w:ascii="Times New Roman" w:hAnsi="Times New Roman" w:cs="Times New Roman" w:eastAsia="Times New Roman" w:hint="default"/>
                <w:sz w:val="22"/>
                <w:szCs w:val="22"/>
              </w:rPr>
            </w:pPr>
            <w:r>
              <w:rPr>
                <w:rFonts w:ascii="Times New Roman"/>
                <w:spacing w:val="-1"/>
                <w:sz w:val="22"/>
              </w:rPr>
              <w:t>8,110,230.99</w:t>
            </w:r>
          </w:p>
        </w:tc>
      </w:tr>
      <w:tr>
        <w:trPr>
          <w:trHeight w:val="324" w:hRule="exact"/>
        </w:trPr>
        <w:tc>
          <w:tcPr>
            <w:tcW w:w="5480"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资产负债表日后第</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 </w:t>
            </w:r>
            <w:r>
              <w:rPr>
                <w:rFonts w:ascii="宋体" w:hAnsi="宋体" w:cs="宋体" w:eastAsia="宋体" w:hint="default"/>
                <w:sz w:val="22"/>
                <w:szCs w:val="22"/>
              </w:rPr>
              <w:t>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2,977,490.00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6"/>
              <w:jc w:val="right"/>
              <w:rPr>
                <w:rFonts w:ascii="Times New Roman" w:hAnsi="Times New Roman" w:cs="Times New Roman" w:eastAsia="Times New Roman" w:hint="default"/>
                <w:sz w:val="22"/>
                <w:szCs w:val="22"/>
              </w:rPr>
            </w:pPr>
            <w:r>
              <w:rPr>
                <w:rFonts w:ascii="Times New Roman"/>
                <w:spacing w:val="-1"/>
                <w:sz w:val="22"/>
              </w:rPr>
              <w:t>2,634,946.45</w:t>
            </w:r>
          </w:p>
        </w:tc>
      </w:tr>
      <w:tr>
        <w:trPr>
          <w:trHeight w:val="326" w:hRule="exact"/>
        </w:trPr>
        <w:tc>
          <w:tcPr>
            <w:tcW w:w="548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以后年度</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2,206,450.00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Times New Roman" w:hAnsi="Times New Roman" w:cs="Times New Roman" w:eastAsia="Times New Roman" w:hint="default"/>
                <w:sz w:val="22"/>
                <w:szCs w:val="22"/>
              </w:rPr>
            </w:pPr>
            <w:r>
              <w:rPr>
                <w:rFonts w:ascii="Times New Roman"/>
                <w:spacing w:val="-1"/>
                <w:sz w:val="22"/>
              </w:rPr>
              <w:t>2,727,800.00</w:t>
            </w:r>
          </w:p>
        </w:tc>
      </w:tr>
      <w:tr>
        <w:trPr>
          <w:trHeight w:val="324" w:hRule="exact"/>
        </w:trPr>
        <w:tc>
          <w:tcPr>
            <w:tcW w:w="54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32,575,712.62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6"/>
              <w:jc w:val="right"/>
              <w:rPr>
                <w:rFonts w:ascii="Times New Roman" w:hAnsi="Times New Roman" w:cs="Times New Roman" w:eastAsia="Times New Roman" w:hint="default"/>
                <w:sz w:val="22"/>
                <w:szCs w:val="22"/>
              </w:rPr>
            </w:pPr>
            <w:r>
              <w:rPr>
                <w:rFonts w:ascii="Times New Roman"/>
                <w:spacing w:val="-1"/>
                <w:sz w:val="22"/>
              </w:rPr>
              <w:t>28,812,529.89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90" w:lineRule="auto" w:before="36"/>
        <w:ind w:left="140" w:right="5880"/>
        <w:jc w:val="left"/>
        <w:rPr>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b w:val="0"/>
          <w:bCs w:val="0"/>
        </w:rPr>
      </w:r>
    </w:p>
    <w:p>
      <w:pPr>
        <w:pStyle w:val="BodyText"/>
        <w:tabs>
          <w:tab w:pos="982" w:val="left" w:leader="none"/>
        </w:tabs>
        <w:spacing w:line="240" w:lineRule="auto" w:before="12"/>
        <w:ind w:left="140" w:right="3878"/>
        <w:jc w:val="left"/>
      </w:pPr>
      <w:r>
        <w:rPr/>
        <w:t>□适用</w:t>
        <w:tab/>
        <w:t>√不适用</w:t>
      </w:r>
    </w:p>
    <w:p>
      <w:pPr>
        <w:spacing w:after="0" w:line="240" w:lineRule="auto"/>
        <w:jc w:val="left"/>
        <w:sectPr>
          <w:footerReference w:type="default" r:id="rId59"/>
          <w:pgSz w:w="11910" w:h="16840"/>
          <w:pgMar w:footer="1195" w:header="882" w:top="1120" w:bottom="1380" w:left="1300" w:right="980"/>
          <w:pgNumType w:start="18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36"/>
        <w:ind w:right="205"/>
        <w:jc w:val="left"/>
        <w:rPr>
          <w:b w:val="0"/>
          <w:bCs w:val="0"/>
        </w:rPr>
      </w:pPr>
      <w:r>
        <w:rPr>
          <w:rFonts w:ascii="宋体" w:hAnsi="宋体" w:cs="宋体" w:eastAsia="宋体" w:hint="default"/>
        </w:rPr>
        <w:t>(2).</w:t>
      </w:r>
      <w:r>
        <w:rPr/>
        <w:t>公司没有需要披露的重要或有事项，也应予以说明：</w:t>
      </w:r>
      <w:r>
        <w:rPr>
          <w:b w:val="0"/>
          <w:bCs w:val="0"/>
        </w:rPr>
      </w:r>
    </w:p>
    <w:p>
      <w:pPr>
        <w:pStyle w:val="BodyText"/>
        <w:tabs>
          <w:tab w:pos="1062" w:val="left" w:leader="none"/>
        </w:tabs>
        <w:spacing w:line="240" w:lineRule="auto" w:before="56"/>
        <w:ind w:right="205"/>
        <w:jc w:val="left"/>
      </w:pPr>
      <w:r>
        <w:rPr/>
        <w:t>□适用</w:t>
        <w:tab/>
        <w:t>√不适用</w:t>
      </w:r>
    </w:p>
    <w:p>
      <w:pPr>
        <w:spacing w:line="240" w:lineRule="auto" w:before="2"/>
        <w:rPr>
          <w:rFonts w:ascii="宋体" w:hAnsi="宋体" w:cs="宋体" w:eastAsia="宋体" w:hint="default"/>
          <w:sz w:val="24"/>
          <w:szCs w:val="24"/>
        </w:rPr>
      </w:pPr>
    </w:p>
    <w:p>
      <w:pPr>
        <w:pStyle w:val="Heading2"/>
        <w:spacing w:line="240" w:lineRule="auto"/>
        <w:ind w:right="205"/>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62" w:val="left" w:leader="none"/>
        </w:tabs>
        <w:spacing w:line="240" w:lineRule="auto" w:before="56"/>
        <w:ind w:right="205"/>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20" w:right="1220"/>
        </w:sectPr>
      </w:pPr>
    </w:p>
    <w:p>
      <w:pPr>
        <w:pStyle w:val="Heading2"/>
        <w:tabs>
          <w:tab w:pos="1060" w:val="left" w:leader="none"/>
        </w:tabs>
        <w:spacing w:line="240" w:lineRule="auto" w:before="36"/>
        <w:ind w:right="-17"/>
        <w:jc w:val="left"/>
        <w:rPr>
          <w:b w:val="0"/>
          <w:bCs w:val="0"/>
        </w:rPr>
      </w:pPr>
      <w:r>
        <w:rPr/>
        <w:t>十五、</w:t>
        <w:tab/>
        <w:t>资产负债表日后事项</w:t>
      </w:r>
      <w:r>
        <w:rPr>
          <w:b w:val="0"/>
          <w:bCs w:val="0"/>
        </w:rPr>
      </w:r>
    </w:p>
    <w:p>
      <w:pPr>
        <w:pStyle w:val="Heading2"/>
        <w:spacing w:line="240" w:lineRule="auto" w:before="56"/>
        <w:ind w:right="-17"/>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17"/>
        <w:jc w:val="left"/>
      </w:pPr>
      <w:r>
        <w:rPr/>
        <w:t>□适用 √不适用</w:t>
      </w:r>
    </w:p>
    <w:p>
      <w:pPr>
        <w:pStyle w:val="Heading2"/>
        <w:spacing w:line="240" w:lineRule="auto" w:before="56"/>
        <w:ind w:right="-17"/>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2962" w:space="3754"/>
            <w:col w:w="275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802"/>
        <w:gridCol w:w="5442"/>
      </w:tblGrid>
      <w:tr>
        <w:trPr>
          <w:trHeight w:val="28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370,152,300.00</w:t>
            </w:r>
          </w:p>
        </w:tc>
      </w:tr>
      <w:tr>
        <w:trPr>
          <w:trHeight w:val="283"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370,152,300.00</w:t>
            </w:r>
          </w:p>
        </w:tc>
      </w:tr>
    </w:tbl>
    <w:p>
      <w:pPr>
        <w:spacing w:line="240" w:lineRule="auto" w:before="11"/>
        <w:rPr>
          <w:rFonts w:ascii="宋体" w:hAnsi="宋体" w:cs="宋体" w:eastAsia="宋体" w:hint="default"/>
          <w:sz w:val="25"/>
          <w:szCs w:val="25"/>
        </w:rPr>
      </w:pPr>
    </w:p>
    <w:p>
      <w:pPr>
        <w:pStyle w:val="BodyText"/>
        <w:spacing w:line="240" w:lineRule="auto" w:before="36"/>
        <w:ind w:left="640" w:right="107"/>
        <w:jc w:val="left"/>
      </w:pPr>
      <w:r>
        <w:rPr/>
        <w:t>本公司于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3"/>
        </w:rPr>
        <w:t> </w:t>
      </w:r>
      <w:r>
        <w:rPr>
          <w:rFonts w:ascii="宋体" w:hAnsi="宋体" w:cs="宋体" w:eastAsia="宋体" w:hint="default"/>
        </w:rPr>
        <w:t>27</w:t>
      </w:r>
      <w:r>
        <w:rPr>
          <w:rFonts w:ascii="宋体" w:hAnsi="宋体" w:cs="宋体" w:eastAsia="宋体" w:hint="default"/>
          <w:spacing w:val="-56"/>
        </w:rPr>
        <w:t> </w:t>
      </w:r>
      <w:r>
        <w:rPr/>
        <w:t>日举行董事会会议，通过了</w:t>
      </w:r>
      <w:r>
        <w:rPr>
          <w:spacing w:val="-54"/>
        </w:rPr>
        <w:t> </w:t>
      </w:r>
      <w:r>
        <w:rPr>
          <w:rFonts w:ascii="宋体" w:hAnsi="宋体" w:cs="宋体" w:eastAsia="宋体" w:hint="default"/>
        </w:rPr>
        <w:t>2018</w:t>
      </w:r>
      <w:r>
        <w:rPr>
          <w:rFonts w:ascii="宋体" w:hAnsi="宋体" w:cs="宋体" w:eastAsia="宋体" w:hint="default"/>
          <w:spacing w:val="-54"/>
        </w:rPr>
        <w:t> </w:t>
      </w:r>
      <w:r>
        <w:rPr/>
        <w:t>年度的利润分配方案，对</w:t>
      </w:r>
      <w:r>
        <w:rPr>
          <w:spacing w:val="-56"/>
        </w:rPr>
        <w:t> </w:t>
      </w:r>
      <w:r>
        <w:rPr>
          <w:rFonts w:ascii="宋体" w:hAnsi="宋体" w:cs="宋体" w:eastAsia="宋体" w:hint="default"/>
        </w:rPr>
        <w:t>2018</w:t>
      </w:r>
      <w:r>
        <w:rPr>
          <w:rFonts w:ascii="宋体" w:hAnsi="宋体" w:cs="宋体" w:eastAsia="宋体" w:hint="default"/>
          <w:spacing w:val="-54"/>
        </w:rPr>
        <w:t> </w:t>
      </w:r>
      <w:r>
        <w:rPr>
          <w:spacing w:val="-3"/>
        </w:rPr>
        <w:t>年末</w:t>
      </w:r>
      <w:r>
        <w:rPr/>
      </w:r>
    </w:p>
    <w:p>
      <w:pPr>
        <w:pStyle w:val="BodyText"/>
        <w:spacing w:line="240" w:lineRule="auto" w:before="135"/>
        <w:ind w:right="0"/>
        <w:jc w:val="both"/>
      </w:pPr>
      <w:r>
        <w:rPr>
          <w:w w:val="100"/>
        </w:rPr>
        <w:t>未分</w:t>
      </w:r>
      <w:r>
        <w:rPr>
          <w:spacing w:val="-3"/>
          <w:w w:val="100"/>
        </w:rPr>
        <w:t>配</w:t>
      </w:r>
      <w:r>
        <w:rPr>
          <w:w w:val="100"/>
        </w:rPr>
        <w:t>利</w:t>
      </w:r>
      <w:r>
        <w:rPr>
          <w:spacing w:val="-3"/>
          <w:w w:val="100"/>
        </w:rPr>
        <w:t>润</w:t>
      </w:r>
      <w:r>
        <w:rPr>
          <w:w w:val="100"/>
        </w:rPr>
        <w:t>按</w:t>
      </w:r>
      <w:r>
        <w:rPr>
          <w:spacing w:val="-3"/>
          <w:w w:val="100"/>
        </w:rPr>
        <w:t>照</w:t>
      </w:r>
      <w:r>
        <w:rPr>
          <w:w w:val="100"/>
        </w:rPr>
        <w:t>每</w:t>
      </w:r>
      <w:r>
        <w:rPr>
          <w:spacing w:val="-3"/>
          <w:w w:val="100"/>
        </w:rPr>
        <w:t>股</w:t>
      </w:r>
      <w:r>
        <w:rPr>
          <w:w w:val="100"/>
        </w:rPr>
        <w:t>人</w:t>
      </w:r>
      <w:r>
        <w:rPr>
          <w:spacing w:val="-3"/>
          <w:w w:val="100"/>
        </w:rPr>
        <w:t>民</w:t>
      </w:r>
      <w:r>
        <w:rPr>
          <w:w w:val="100"/>
        </w:rPr>
        <w:t>币</w:t>
      </w:r>
      <w:r>
        <w:rPr>
          <w:spacing w:val="-55"/>
        </w:rPr>
        <w:t> </w:t>
      </w:r>
      <w:r>
        <w:rPr>
          <w:rFonts w:ascii="宋体" w:hAnsi="宋体" w:cs="宋体" w:eastAsia="宋体" w:hint="default"/>
          <w:w w:val="100"/>
        </w:rPr>
        <w:t>0.3</w:t>
      </w:r>
      <w:r>
        <w:rPr>
          <w:rFonts w:ascii="宋体" w:hAnsi="宋体" w:cs="宋体" w:eastAsia="宋体" w:hint="default"/>
          <w:spacing w:val="-55"/>
        </w:rPr>
        <w:t> </w:t>
      </w:r>
      <w:r>
        <w:rPr>
          <w:w w:val="100"/>
        </w:rPr>
        <w:t>元</w:t>
      </w:r>
      <w:r>
        <w:rPr>
          <w:rFonts w:ascii="宋体" w:hAnsi="宋体" w:cs="宋体" w:eastAsia="宋体" w:hint="default"/>
          <w:spacing w:val="-3"/>
          <w:w w:val="100"/>
        </w:rPr>
        <w:t>(</w:t>
      </w:r>
      <w:r>
        <w:rPr>
          <w:w w:val="100"/>
        </w:rPr>
        <w:t>含税</w:t>
      </w:r>
      <w:r>
        <w:rPr>
          <w:rFonts w:ascii="宋体" w:hAnsi="宋体" w:cs="宋体" w:eastAsia="宋体" w:hint="default"/>
          <w:spacing w:val="-3"/>
          <w:w w:val="100"/>
        </w:rPr>
        <w:t>)</w:t>
      </w:r>
      <w:r>
        <w:rPr>
          <w:w w:val="100"/>
        </w:rPr>
        <w:t>进</w:t>
      </w:r>
      <w:r>
        <w:rPr>
          <w:spacing w:val="-3"/>
          <w:w w:val="100"/>
        </w:rPr>
        <w:t>行</w:t>
      </w:r>
      <w:r>
        <w:rPr>
          <w:w w:val="100"/>
        </w:rPr>
        <w:t>分</w:t>
      </w:r>
      <w:r>
        <w:rPr>
          <w:spacing w:val="-3"/>
          <w:w w:val="100"/>
        </w:rPr>
        <w:t>配</w:t>
      </w:r>
      <w:r>
        <w:rPr>
          <w:spacing w:val="-108"/>
          <w:w w:val="100"/>
        </w:rPr>
        <w:t>，</w:t>
      </w:r>
      <w:r>
        <w:rPr>
          <w:w w:val="100"/>
        </w:rPr>
        <w:t>拟派</w:t>
      </w:r>
      <w:r>
        <w:rPr>
          <w:spacing w:val="-3"/>
          <w:w w:val="100"/>
        </w:rPr>
        <w:t>发</w:t>
      </w:r>
      <w:r>
        <w:rPr>
          <w:w w:val="100"/>
        </w:rPr>
        <w:t>股</w:t>
      </w:r>
      <w:r>
        <w:rPr>
          <w:spacing w:val="-3"/>
          <w:w w:val="100"/>
        </w:rPr>
        <w:t>利</w:t>
      </w:r>
      <w:r>
        <w:rPr>
          <w:w w:val="100"/>
        </w:rPr>
        <w:t>人民币</w:t>
      </w:r>
      <w:r>
        <w:rPr>
          <w:spacing w:val="-57"/>
        </w:rPr>
        <w:t> </w:t>
      </w:r>
      <w:r>
        <w:rPr>
          <w:rFonts w:ascii="宋体" w:hAnsi="宋体" w:cs="宋体" w:eastAsia="宋体" w:hint="default"/>
          <w:w w:val="100"/>
        </w:rPr>
        <w:t>370</w:t>
      </w:r>
      <w:r>
        <w:rPr>
          <w:rFonts w:ascii="宋体" w:hAnsi="宋体" w:cs="宋体" w:eastAsia="宋体" w:hint="default"/>
          <w:spacing w:val="-3"/>
          <w:w w:val="100"/>
        </w:rPr>
        <w:t>,</w:t>
      </w:r>
      <w:r>
        <w:rPr>
          <w:rFonts w:ascii="宋体" w:hAnsi="宋体" w:cs="宋体" w:eastAsia="宋体" w:hint="default"/>
          <w:w w:val="100"/>
        </w:rPr>
        <w:t>1</w:t>
      </w:r>
      <w:r>
        <w:rPr>
          <w:rFonts w:ascii="宋体" w:hAnsi="宋体" w:cs="宋体" w:eastAsia="宋体" w:hint="default"/>
          <w:spacing w:val="-3"/>
          <w:w w:val="100"/>
        </w:rPr>
        <w:t>5</w:t>
      </w:r>
      <w:r>
        <w:rPr>
          <w:rFonts w:ascii="宋体" w:hAnsi="宋体" w:cs="宋体" w:eastAsia="宋体" w:hint="default"/>
          <w:w w:val="100"/>
        </w:rPr>
        <w:t>2,300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元</w:t>
      </w:r>
      <w:r>
        <w:rPr>
          <w:rFonts w:ascii="宋体" w:hAnsi="宋体" w:cs="宋体" w:eastAsia="宋体" w:hint="default"/>
          <w:spacing w:val="-3"/>
          <w:w w:val="100"/>
        </w:rPr>
        <w:t>(</w:t>
      </w:r>
      <w:r>
        <w:rPr>
          <w:w w:val="100"/>
        </w:rPr>
        <w:t>含税</w:t>
      </w:r>
      <w:r>
        <w:rPr>
          <w:rFonts w:ascii="宋体" w:hAnsi="宋体" w:cs="宋体" w:eastAsia="宋体" w:hint="default"/>
          <w:spacing w:val="-3"/>
          <w:w w:val="100"/>
        </w:rPr>
        <w:t>)</w:t>
      </w:r>
      <w:r>
        <w:rPr>
          <w:w w:val="100"/>
        </w:rPr>
        <w:t>。</w:t>
      </w:r>
    </w:p>
    <w:p>
      <w:pPr>
        <w:pStyle w:val="BodyText"/>
        <w:spacing w:line="240" w:lineRule="auto" w:before="133"/>
        <w:ind w:right="0"/>
        <w:jc w:val="both"/>
      </w:pPr>
      <w:r>
        <w:rPr/>
        <w:t>此议案须于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21</w:t>
      </w:r>
      <w:r>
        <w:rPr>
          <w:rFonts w:ascii="宋体" w:hAnsi="宋体" w:cs="宋体" w:eastAsia="宋体" w:hint="default"/>
          <w:spacing w:val="-53"/>
        </w:rPr>
        <w:t> </w:t>
      </w:r>
      <w:r>
        <w:rPr/>
        <w:t>日召开的</w:t>
      </w:r>
      <w:r>
        <w:rPr>
          <w:spacing w:val="-56"/>
        </w:rPr>
        <w:t> </w:t>
      </w:r>
      <w:r>
        <w:rPr>
          <w:rFonts w:ascii="宋体" w:hAnsi="宋体" w:cs="宋体" w:eastAsia="宋体" w:hint="default"/>
        </w:rPr>
        <w:t>2018</w:t>
      </w:r>
      <w:r>
        <w:rPr>
          <w:rFonts w:ascii="宋体" w:hAnsi="宋体" w:cs="宋体" w:eastAsia="宋体" w:hint="default"/>
          <w:spacing w:val="-54"/>
        </w:rPr>
        <w:t> </w:t>
      </w:r>
      <w:r>
        <w:rPr/>
        <w:t>年度股东大会批准后方可实施。</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right="0"/>
        <w:jc w:val="both"/>
        <w:rPr>
          <w:b w:val="0"/>
          <w:bCs w:val="0"/>
        </w:rPr>
      </w:pPr>
      <w:r>
        <w:rPr>
          <w:rFonts w:ascii="Calibri" w:hAnsi="Calibri" w:cs="Calibri" w:eastAsia="Calibri" w:hint="default"/>
        </w:rPr>
        <w:t>3</w:t>
      </w:r>
      <w:r>
        <w:rPr/>
        <w:t>、</w:t>
      </w:r>
      <w:r>
        <w:rPr>
          <w:spacing w:val="1"/>
        </w:rPr>
        <w:t> </w:t>
      </w:r>
      <w:r>
        <w:rPr/>
        <w:t>销售退回</w:t>
      </w:r>
      <w:r>
        <w:rPr>
          <w:b w:val="0"/>
          <w:bCs w:val="0"/>
        </w:rPr>
      </w:r>
    </w:p>
    <w:p>
      <w:pPr>
        <w:pStyle w:val="BodyText"/>
        <w:spacing w:line="240" w:lineRule="auto" w:before="29"/>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29"/>
        <w:ind w:right="0"/>
        <w:jc w:val="both"/>
      </w:pPr>
      <w:r>
        <w:rPr/>
        <w:t>□适用  √不适用</w:t>
      </w:r>
    </w:p>
    <w:p>
      <w:pPr>
        <w:spacing w:line="240" w:lineRule="auto" w:before="3"/>
        <w:rPr>
          <w:rFonts w:ascii="宋体" w:hAnsi="宋体" w:cs="宋体" w:eastAsia="宋体" w:hint="default"/>
          <w:sz w:val="25"/>
          <w:szCs w:val="25"/>
        </w:rPr>
      </w:pPr>
    </w:p>
    <w:p>
      <w:pPr>
        <w:pStyle w:val="Heading2"/>
        <w:spacing w:line="290" w:lineRule="auto"/>
        <w:ind w:right="7129"/>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90" w:lineRule="auto" w:before="14"/>
        <w:ind w:left="220" w:right="7651"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220" w:right="7651"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4"/>
        <w:ind w:right="0"/>
        <w:jc w:val="both"/>
      </w:pPr>
      <w:r>
        <w:rPr/>
        <w:t>□适用 √不适用</w:t>
      </w:r>
    </w:p>
    <w:p>
      <w:pPr>
        <w:spacing w:line="240" w:lineRule="auto" w:before="3"/>
        <w:rPr>
          <w:rFonts w:ascii="宋体" w:hAnsi="宋体" w:cs="宋体" w:eastAsia="宋体" w:hint="default"/>
          <w:sz w:val="25"/>
          <w:szCs w:val="25"/>
        </w:rPr>
      </w:pPr>
    </w:p>
    <w:p>
      <w:pPr>
        <w:pStyle w:val="Heading2"/>
        <w:spacing w:line="290" w:lineRule="auto"/>
        <w:ind w:right="7116"/>
        <w:jc w:val="left"/>
        <w:rPr>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b w:val="0"/>
          <w:bCs w:val="0"/>
        </w:rPr>
      </w:r>
    </w:p>
    <w:p>
      <w:pPr>
        <w:pStyle w:val="BodyText"/>
        <w:spacing w:line="240" w:lineRule="auto" w:before="91"/>
        <w:ind w:right="0"/>
        <w:jc w:val="both"/>
      </w:pPr>
      <w:r>
        <w:rPr/>
        <w:t>□适用 √不适用</w:t>
      </w:r>
    </w:p>
    <w:p>
      <w:pPr>
        <w:spacing w:line="240" w:lineRule="auto" w:before="12"/>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(2).</w:t>
      </w:r>
      <w:r>
        <w:rPr/>
        <w:t>其他资产置换</w:t>
      </w:r>
      <w:r>
        <w:rPr>
          <w:b w:val="0"/>
          <w:bCs w:val="0"/>
        </w:rPr>
      </w:r>
    </w:p>
    <w:p>
      <w:pPr>
        <w:pStyle w:val="BodyText"/>
        <w:spacing w:line="240" w:lineRule="auto" w:before="59"/>
        <w:ind w:right="0"/>
        <w:jc w:val="both"/>
      </w:pPr>
      <w:r>
        <w:rPr/>
        <w:t>□适用 √不适用</w:t>
      </w:r>
    </w:p>
    <w:p>
      <w:pPr>
        <w:spacing w:after="0" w:line="240" w:lineRule="auto"/>
        <w:jc w:val="both"/>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ind w:left="680" w:right="668"/>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73" w:lineRule="exact" w:before="58"/>
        <w:ind w:left="680" w:right="668"/>
        <w:jc w:val="left"/>
      </w:pPr>
      <w:r>
        <w:rPr/>
        <w:t>√适用 □不适用</w:t>
      </w:r>
    </w:p>
    <w:p>
      <w:pPr>
        <w:pStyle w:val="BodyText"/>
        <w:spacing w:line="355" w:lineRule="auto"/>
        <w:ind w:left="680" w:right="668" w:firstLine="424"/>
        <w:jc w:val="left"/>
      </w:pPr>
      <w:r>
        <w:rPr/>
        <w:t>本公司及下属 </w:t>
      </w:r>
      <w:r>
        <w:rPr>
          <w:rFonts w:ascii="宋体" w:hAnsi="宋体" w:cs="宋体" w:eastAsia="宋体" w:hint="default"/>
        </w:rPr>
        <w:t>13</w:t>
      </w:r>
      <w:r>
        <w:rPr>
          <w:rFonts w:ascii="宋体" w:hAnsi="宋体" w:cs="宋体" w:eastAsia="宋体" w:hint="default"/>
          <w:spacing w:val="-16"/>
        </w:rPr>
        <w:t> </w:t>
      </w:r>
      <w:r>
        <w:rPr/>
        <w:t>家子公司根据国家有关规定实施了企业年金计划，并按企业年金方案规定计</w:t>
      </w:r>
      <w:r>
        <w:rPr>
          <w:w w:val="100"/>
        </w:rPr>
        <w:t> </w:t>
      </w:r>
      <w:r>
        <w:rPr/>
        <w:t>提企业缴费总额，为符合条件的员工缴纳企业年金。</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ind w:left="680" w:right="668"/>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left="680" w:right="66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90" w:lineRule="auto"/>
        <w:ind w:left="680" w:right="6311"/>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pStyle w:val="BodyText"/>
        <w:spacing w:line="272" w:lineRule="exact" w:before="42"/>
        <w:ind w:left="1105" w:right="668" w:hanging="425"/>
        <w:jc w:val="left"/>
      </w:pPr>
      <w:r>
        <w:rPr/>
        <w:t>√适用</w:t>
      </w:r>
      <w:r>
        <w:rPr>
          <w:spacing w:val="-2"/>
        </w:rPr>
        <w:t> </w:t>
      </w:r>
      <w:r>
        <w:rPr/>
        <w:t>□不适用</w:t>
      </w:r>
      <w:r>
        <w:rPr>
          <w:spacing w:val="-103"/>
        </w:rPr>
        <w:t> </w:t>
      </w:r>
      <w:r>
        <w:rPr>
          <w:spacing w:val="-103"/>
        </w:rPr>
      </w:r>
      <w:r>
        <w:rPr>
          <w:spacing w:val="-2"/>
        </w:rPr>
        <w:t>根据本集团的内部组织结构、管理要求及内部报告制度，本集团的经营业务划分为两个报告分</w:t>
      </w:r>
    </w:p>
    <w:p>
      <w:pPr>
        <w:pStyle w:val="BodyText"/>
        <w:spacing w:line="357" w:lineRule="auto" w:before="108"/>
        <w:ind w:left="680" w:right="668"/>
        <w:jc w:val="left"/>
      </w:pPr>
      <w:r>
        <w:rPr>
          <w:spacing w:val="-2"/>
        </w:rPr>
        <w:t>部，分别为出版分部和发行分部。这些报告分部是以公司业务种类为基础确定的。本集团的管理层</w:t>
      </w:r>
      <w:r>
        <w:rPr>
          <w:spacing w:val="-30"/>
        </w:rPr>
        <w:t> </w:t>
      </w:r>
      <w:r>
        <w:rPr>
          <w:spacing w:val="-30"/>
        </w:rPr>
      </w:r>
      <w:r>
        <w:rPr/>
        <w:t>定期评价这些报告分部的经营成果，以决定向其分配资源及评价其业绩。</w:t>
      </w:r>
    </w:p>
    <w:p>
      <w:pPr>
        <w:spacing w:line="240" w:lineRule="auto" w:before="0"/>
        <w:rPr>
          <w:rFonts w:ascii="宋体" w:hAnsi="宋体" w:cs="宋体" w:eastAsia="宋体" w:hint="default"/>
          <w:sz w:val="20"/>
          <w:szCs w:val="20"/>
        </w:rPr>
      </w:pPr>
    </w:p>
    <w:p>
      <w:pPr>
        <w:pStyle w:val="BodyText"/>
        <w:spacing w:line="240" w:lineRule="auto" w:before="176"/>
        <w:ind w:left="1105" w:right="668"/>
        <w:jc w:val="left"/>
      </w:pPr>
      <w:r>
        <w:rPr/>
        <w:t>本集团各个报告分部提供的主要产品及服务分别为：</w:t>
      </w:r>
    </w:p>
    <w:p>
      <w:pPr>
        <w:pStyle w:val="BodyText"/>
        <w:spacing w:line="540" w:lineRule="atLeast" w:before="142"/>
        <w:ind w:left="1105" w:right="668"/>
        <w:jc w:val="left"/>
      </w:pPr>
      <w:r>
        <w:rPr/>
        <w:t>出版：图书、报刊、音像制品及数字产品等出版物的出版，印刷服务及物资供应；及</w:t>
      </w:r>
      <w:r>
        <w:rPr>
          <w:w w:val="100"/>
        </w:rPr>
        <w:t> </w:t>
      </w:r>
      <w:r>
        <w:rPr>
          <w:spacing w:val="-2"/>
        </w:rPr>
        <w:t>发行：向学校及学生发行教材及助学类读物，提供中小学教育信息化及教育装备服务；出版物</w:t>
      </w:r>
    </w:p>
    <w:p>
      <w:pPr>
        <w:pStyle w:val="BodyText"/>
        <w:spacing w:line="240" w:lineRule="auto" w:before="133"/>
        <w:ind w:left="680" w:right="668"/>
        <w:jc w:val="left"/>
      </w:pPr>
      <w:r>
        <w:rPr/>
        <w:t>零售、分销及互联网销售业务等；</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680" w:right="0" w:firstLine="424"/>
        <w:jc w:val="left"/>
      </w:pPr>
      <w:r>
        <w:rPr/>
        <w:t>本集团也从事纸浆、广告服务及艺术品销售等业务，但这些经营业务达不到报告分部的定义。</w:t>
      </w:r>
      <w:r>
        <w:rPr>
          <w:w w:val="100"/>
        </w:rPr>
        <w:t> </w:t>
      </w:r>
      <w:r>
        <w:rPr/>
        <w:t>该等经营业务的相关财务资料在如下表格中合并列报为“其他”。</w:t>
      </w:r>
    </w:p>
    <w:p>
      <w:pPr>
        <w:spacing w:line="240" w:lineRule="auto" w:before="0"/>
        <w:rPr>
          <w:rFonts w:ascii="宋体" w:hAnsi="宋体" w:cs="宋体" w:eastAsia="宋体" w:hint="default"/>
          <w:sz w:val="20"/>
          <w:szCs w:val="20"/>
        </w:rPr>
      </w:pPr>
    </w:p>
    <w:p>
      <w:pPr>
        <w:pStyle w:val="BodyText"/>
        <w:spacing w:line="355" w:lineRule="auto" w:before="177"/>
        <w:ind w:left="680" w:right="668" w:firstLine="424"/>
        <w:jc w:val="left"/>
      </w:pPr>
      <w:r>
        <w:rPr>
          <w:spacing w:val="-2"/>
        </w:rPr>
        <w:t>分部报告信息根据各分部向管理层报告时采用的会计政策及计量基础披露，这些计量基础与编</w:t>
      </w:r>
      <w:r>
        <w:rPr>
          <w:w w:val="100"/>
        </w:rPr>
        <w:t> </w:t>
      </w:r>
      <w:r>
        <w:rPr/>
        <w:t>制财务报表时采用的会计政策与计量基础保持一致。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760" w:right="760"/>
        </w:sectPr>
      </w:pPr>
    </w:p>
    <w:p>
      <w:pPr>
        <w:pStyle w:val="Heading2"/>
        <w:spacing w:line="240" w:lineRule="auto" w:before="36"/>
        <w:ind w:left="680" w:right="-15"/>
        <w:jc w:val="left"/>
        <w:rPr>
          <w:b w:val="0"/>
          <w:bCs w:val="0"/>
        </w:rPr>
      </w:pPr>
      <w:r>
        <w:rPr>
          <w:rFonts w:ascii="宋体" w:hAnsi="宋体" w:cs="宋体" w:eastAsia="宋体" w:hint="default"/>
        </w:rPr>
        <w:t>(2).</w:t>
      </w:r>
      <w:r>
        <w:rPr/>
        <w:t>报告分部的财务信息</w:t>
      </w:r>
      <w:r>
        <w:rPr>
          <w:b w:val="0"/>
          <w:bCs w:val="0"/>
        </w:rPr>
      </w:r>
    </w:p>
    <w:p>
      <w:pPr>
        <w:pStyle w:val="BodyText"/>
        <w:spacing w:line="240" w:lineRule="auto" w:before="58"/>
        <w:ind w:left="68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680" w:right="0"/>
        <w:jc w:val="left"/>
      </w:pPr>
      <w:r>
        <w:rPr/>
        <w:t>单位：元币种：人民币</w:t>
      </w:r>
    </w:p>
    <w:p>
      <w:pPr>
        <w:spacing w:after="0" w:line="240" w:lineRule="auto"/>
        <w:jc w:val="left"/>
        <w:sectPr>
          <w:type w:val="continuous"/>
          <w:pgSz w:w="11910" w:h="16840"/>
          <w:pgMar w:top="1060" w:bottom="1380" w:left="760" w:right="760"/>
          <w:cols w:num="2" w:equalWidth="0">
            <w:col w:w="3007" w:space="3921"/>
            <w:col w:w="3462"/>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433"/>
        <w:gridCol w:w="1428"/>
        <w:gridCol w:w="1429"/>
        <w:gridCol w:w="1431"/>
        <w:gridCol w:w="1428"/>
        <w:gridCol w:w="1505"/>
        <w:gridCol w:w="1498"/>
      </w:tblGrid>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出版分部</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hAnsi="宋体" w:cs="宋体" w:eastAsia="宋体" w:hint="default"/>
                <w:sz w:val="15"/>
                <w:szCs w:val="15"/>
              </w:rPr>
              <w:t>发行分部</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7" w:right="0"/>
              <w:jc w:val="left"/>
              <w:rPr>
                <w:rFonts w:ascii="宋体" w:hAnsi="宋体" w:cs="宋体" w:eastAsia="宋体" w:hint="default"/>
                <w:sz w:val="15"/>
                <w:szCs w:val="15"/>
              </w:rPr>
            </w:pPr>
            <w:r>
              <w:rPr>
                <w:rFonts w:ascii="宋体" w:hAnsi="宋体" w:cs="宋体" w:eastAsia="宋体" w:hint="default"/>
                <w:sz w:val="15"/>
                <w:szCs w:val="15"/>
              </w:rPr>
              <w:t>其他分部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33" w:right="0"/>
              <w:jc w:val="left"/>
              <w:rPr>
                <w:rFonts w:ascii="宋体" w:hAnsi="宋体" w:cs="宋体" w:eastAsia="宋体" w:hint="default"/>
                <w:sz w:val="15"/>
                <w:szCs w:val="15"/>
              </w:rPr>
            </w:pPr>
            <w:r>
              <w:rPr>
                <w:rFonts w:ascii="宋体" w:hAnsi="宋体" w:cs="宋体" w:eastAsia="宋体" w:hint="default"/>
                <w:sz w:val="15"/>
                <w:szCs w:val="15"/>
              </w:rPr>
              <w:t>未分配项目</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71" w:right="0"/>
              <w:jc w:val="left"/>
              <w:rPr>
                <w:rFonts w:ascii="宋体" w:hAnsi="宋体" w:cs="宋体" w:eastAsia="宋体" w:hint="default"/>
                <w:sz w:val="15"/>
                <w:szCs w:val="15"/>
              </w:rPr>
            </w:pPr>
            <w:r>
              <w:rPr>
                <w:rFonts w:ascii="宋体" w:hAnsi="宋体" w:cs="宋体" w:eastAsia="宋体" w:hint="default"/>
                <w:sz w:val="15"/>
                <w:szCs w:val="15"/>
              </w:rPr>
              <w:t>分部间抵销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对外交易收入</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864,251,212.90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7,136,146,560.32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186,185,193.51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8,186,582,966.73</w:t>
            </w: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分部间交易收入</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1,670,638,527.49</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9,183,465.07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119,909,345.32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1,799,731,337.88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r>
      <w:tr>
        <w:trPr>
          <w:trHeight w:val="206"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营业收入合计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2"/>
                <w:sz w:val="15"/>
              </w:rPr>
              <w:t>2,534,889,740.39</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7,145,330,025.39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306,094,538.83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1,799,731,337.88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8,186,582,966.73</w:t>
            </w: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营业利润</w:t>
            </w:r>
            <w:r>
              <w:rPr>
                <w:rFonts w:ascii="宋体" w:hAnsi="宋体" w:cs="宋体" w:eastAsia="宋体" w:hint="default"/>
                <w:sz w:val="15"/>
                <w:szCs w:val="15"/>
              </w:rPr>
              <w:t>(</w:t>
            </w:r>
            <w:r>
              <w:rPr>
                <w:rFonts w:ascii="宋体" w:hAnsi="宋体" w:cs="宋体" w:eastAsia="宋体" w:hint="default"/>
                <w:sz w:val="15"/>
                <w:szCs w:val="15"/>
              </w:rPr>
              <w:t>亏损</w:t>
            </w:r>
            <w:r>
              <w:rPr>
                <w:rFonts w:ascii="宋体" w:hAnsi="宋体" w:cs="宋体" w:eastAsia="宋体" w:hint="default"/>
                <w:sz w:val="15"/>
                <w:szCs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521,114,885.04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444,397,849.47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-41,043,334.73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23,190,656.47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16,811,052.75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930,849,003.50</w:t>
            </w:r>
          </w:p>
        </w:tc>
      </w:tr>
    </w:tbl>
    <w:p>
      <w:pPr>
        <w:spacing w:after="0" w:line="172" w:lineRule="exact"/>
        <w:jc w:val="right"/>
        <w:rPr>
          <w:rFonts w:ascii="宋体" w:hAnsi="宋体" w:cs="宋体" w:eastAsia="宋体" w:hint="default"/>
          <w:sz w:val="15"/>
          <w:szCs w:val="15"/>
        </w:rPr>
        <w:sectPr>
          <w:type w:val="continuous"/>
          <w:pgSz w:w="11910" w:h="16840"/>
          <w:pgMar w:top="1060" w:bottom="1380" w:left="76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433"/>
        <w:gridCol w:w="1428"/>
        <w:gridCol w:w="1429"/>
        <w:gridCol w:w="1431"/>
        <w:gridCol w:w="1428"/>
        <w:gridCol w:w="1505"/>
        <w:gridCol w:w="1498"/>
      </w:tblGrid>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营业外收入</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8,027,681.92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1,564,313.60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1,022,771.46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10,614,766.98</w:t>
            </w: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营业外支出</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472,227.92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25,038,794.42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32,127.75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25,543,150.09</w:t>
            </w: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利润</w:t>
            </w:r>
            <w:r>
              <w:rPr>
                <w:rFonts w:ascii="宋体" w:hAnsi="宋体" w:cs="宋体" w:eastAsia="宋体" w:hint="default"/>
                <w:sz w:val="15"/>
                <w:szCs w:val="15"/>
              </w:rPr>
              <w:t>(</w:t>
            </w:r>
            <w:r>
              <w:rPr>
                <w:rFonts w:ascii="宋体" w:hAnsi="宋体" w:cs="宋体" w:eastAsia="宋体" w:hint="default"/>
                <w:sz w:val="15"/>
                <w:szCs w:val="15"/>
              </w:rPr>
              <w:t>亏损</w:t>
            </w:r>
            <w:r>
              <w:rPr>
                <w:rFonts w:ascii="宋体" w:hAnsi="宋体" w:cs="宋体" w:eastAsia="宋体" w:hint="default"/>
                <w:sz w:val="15"/>
                <w:szCs w:val="15"/>
              </w:rPr>
              <w:t>)</w:t>
            </w:r>
            <w:r>
              <w:rPr>
                <w:rFonts w:ascii="宋体" w:hAnsi="宋体" w:cs="宋体" w:eastAsia="宋体" w:hint="default"/>
                <w:sz w:val="15"/>
                <w:szCs w:val="15"/>
              </w:rPr>
              <w:t>总额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528,670,339.04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420,923,368.65</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-40,052,691.02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23,190,656.47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16,811,052.75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915,920,620.39</w:t>
            </w: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资产总额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5,928,141,661.98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6,858,243,833.58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1,142,806,514.23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3,045,595,975.16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3,687,075,532.16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13,287,712,452.79</w:t>
            </w: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负债总额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2,257,741,209.44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5,606,706,333.34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505,267,828.86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57,388,208.39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3,545,420,488.34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4,881,683,091.69</w:t>
            </w: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补充信息</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折旧</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22,655,833.42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55,217,167.98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11,784,441.93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89,657,443.33</w:t>
            </w: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摊销</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3,286,482.45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30,005,190.76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4,233,033.88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37,524,707.09</w:t>
            </w:r>
          </w:p>
        </w:tc>
      </w:tr>
      <w:tr>
        <w:trPr>
          <w:trHeight w:val="206"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利息收入</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2"/>
                <w:sz w:val="15"/>
              </w:rPr>
              <w:t>3,042,918.47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14,863,412.66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268,862.69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19,064,371.36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1,241,138.53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35,998,426.65</w:t>
            </w:r>
          </w:p>
        </w:tc>
      </w:tr>
      <w:tr>
        <w:trPr>
          <w:trHeight w:val="39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当期确认的减值损</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失</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34,842,390.82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105,341,000.89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919,395.67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141,102,787.38</w:t>
            </w:r>
          </w:p>
        </w:tc>
      </w:tr>
      <w:tr>
        <w:trPr>
          <w:trHeight w:val="59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采用权益法核算的</w:t>
            </w:r>
          </w:p>
          <w:p>
            <w:pPr>
              <w:pStyle w:val="TableParagraph"/>
              <w:spacing w:line="240" w:lineRule="auto"/>
              <w:ind w:left="103" w:right="116"/>
              <w:jc w:val="left"/>
              <w:rPr>
                <w:rFonts w:ascii="宋体" w:hAnsi="宋体" w:cs="宋体" w:eastAsia="宋体" w:hint="default"/>
                <w:sz w:val="15"/>
                <w:szCs w:val="15"/>
              </w:rPr>
            </w:pPr>
            <w:r>
              <w:rPr>
                <w:rFonts w:ascii="宋体" w:hAnsi="宋体" w:cs="宋体" w:eastAsia="宋体" w:hint="default"/>
                <w:sz w:val="15"/>
                <w:szCs w:val="15"/>
              </w:rPr>
              <w:t>长期股权投资确认</w:t>
            </w:r>
            <w:r>
              <w:rPr>
                <w:rFonts w:ascii="宋体" w:hAnsi="宋体" w:cs="宋体" w:eastAsia="宋体" w:hint="default"/>
                <w:w w:val="100"/>
                <w:sz w:val="15"/>
                <w:szCs w:val="15"/>
              </w:rPr>
              <w:t> </w:t>
            </w:r>
            <w:r>
              <w:rPr>
                <w:rFonts w:ascii="宋体" w:hAnsi="宋体" w:cs="宋体" w:eastAsia="宋体" w:hint="default"/>
                <w:sz w:val="15"/>
                <w:szCs w:val="15"/>
              </w:rPr>
              <w:t>的投资收益</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1"/>
                <w:sz w:val="15"/>
              </w:rPr>
              <w:t>177,044.49</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25,490,451.31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3"/>
              <w:jc w:val="right"/>
              <w:rPr>
                <w:rFonts w:ascii="宋体" w:hAnsi="宋体" w:cs="宋体" w:eastAsia="宋体" w:hint="default"/>
                <w:sz w:val="15"/>
                <w:szCs w:val="15"/>
              </w:rPr>
            </w:pPr>
            <w:r>
              <w:rPr>
                <w:rFonts w:ascii="宋体"/>
                <w:spacing w:val="-2"/>
                <w:sz w:val="15"/>
              </w:rPr>
              <w:t>-5,053,125.06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w w:val="100"/>
                <w:sz w:val="15"/>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20,614,370.74</w:t>
            </w:r>
          </w:p>
        </w:tc>
      </w:tr>
      <w:tr>
        <w:trPr>
          <w:trHeight w:val="40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采用权益法核算的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长期股权投资余额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211,090.04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254,192,458.57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119,727,010.25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374,130,558.86</w:t>
            </w: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资本性支出</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7,353,933.25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117,718,904.60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7,167,476.97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132,240,314.82</w:t>
            </w: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其中：在建工程</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1,815,819.03</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85,758,531.80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2,395,867.32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89,970,218.15</w:t>
            </w:r>
          </w:p>
        </w:tc>
      </w:tr>
      <w:tr>
        <w:trPr>
          <w:trHeight w:val="39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4" w:right="0"/>
              <w:jc w:val="left"/>
              <w:rPr>
                <w:rFonts w:ascii="宋体" w:hAnsi="宋体" w:cs="宋体" w:eastAsia="宋体" w:hint="default"/>
                <w:sz w:val="15"/>
                <w:szCs w:val="15"/>
              </w:rPr>
            </w:pPr>
            <w:r>
              <w:rPr>
                <w:rFonts w:ascii="宋体" w:hAnsi="宋体" w:cs="宋体" w:eastAsia="宋体" w:hint="default"/>
                <w:sz w:val="15"/>
                <w:szCs w:val="15"/>
              </w:rPr>
              <w:t>购置固定资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产支出</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3,672,348.02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17,238,645.98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4,736,892.68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25,647,886.68</w:t>
            </w:r>
          </w:p>
        </w:tc>
      </w:tr>
      <w:tr>
        <w:trPr>
          <w:trHeight w:val="40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4" w:right="0"/>
              <w:jc w:val="left"/>
              <w:rPr>
                <w:rFonts w:ascii="宋体" w:hAnsi="宋体" w:cs="宋体" w:eastAsia="宋体" w:hint="default"/>
                <w:sz w:val="15"/>
                <w:szCs w:val="15"/>
              </w:rPr>
            </w:pPr>
            <w:r>
              <w:rPr>
                <w:rFonts w:ascii="宋体" w:hAnsi="宋体" w:cs="宋体" w:eastAsia="宋体" w:hint="default"/>
                <w:sz w:val="15"/>
                <w:szCs w:val="15"/>
              </w:rPr>
              <w:t>购置无形资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产支出</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1,865,766.20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4,720,893.68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34,716.97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6,621,376.85</w:t>
            </w:r>
          </w:p>
        </w:tc>
      </w:tr>
      <w:tr>
        <w:trPr>
          <w:trHeight w:val="20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4"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w w:val="100"/>
                <w:sz w:val="15"/>
              </w:rPr>
              <w:t>-</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10,000,833.14</w:t>
            </w:r>
            <w:r>
              <w:rPr>
                <w:rFonts w:ascii="宋体"/>
                <w:sz w:val="15"/>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10,000,833.14</w:t>
            </w:r>
            <w:r>
              <w:rPr>
                <w:rFonts w:ascii="宋体"/>
                <w:sz w:val="15"/>
              </w:rPr>
            </w:r>
          </w:p>
        </w:tc>
      </w:tr>
    </w:tbl>
    <w:p>
      <w:pPr>
        <w:spacing w:line="240" w:lineRule="auto" w:before="12"/>
        <w:rPr>
          <w:rFonts w:ascii="宋体" w:hAnsi="宋体" w:cs="宋体" w:eastAsia="宋体" w:hint="default"/>
          <w:sz w:val="19"/>
          <w:szCs w:val="19"/>
        </w:rPr>
      </w:pPr>
    </w:p>
    <w:p>
      <w:pPr>
        <w:pStyle w:val="Heading2"/>
        <w:spacing w:line="240" w:lineRule="auto" w:before="36"/>
        <w:ind w:left="680" w:right="668"/>
        <w:jc w:val="left"/>
        <w:rPr>
          <w:b w:val="0"/>
          <w:bCs w:val="0"/>
        </w:rPr>
      </w:pPr>
      <w:r>
        <w:rPr>
          <w:rFonts w:ascii="宋体" w:hAnsi="宋体" w:cs="宋体" w:eastAsia="宋体" w:hint="default"/>
        </w:rPr>
        <w:t>(3).</w:t>
      </w:r>
      <w:r>
        <w:rPr/>
        <w:t>公司无报告分部的，或者不能披露各报告分部的资产总额和负债总额的，应说明原因</w:t>
      </w:r>
      <w:r>
        <w:rPr>
          <w:b w:val="0"/>
          <w:bCs w:val="0"/>
        </w:rPr>
      </w:r>
    </w:p>
    <w:p>
      <w:pPr>
        <w:pStyle w:val="BodyText"/>
        <w:spacing w:line="240" w:lineRule="auto" w:before="59"/>
        <w:ind w:left="680" w:right="668"/>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680" w:right="668"/>
        <w:jc w:val="left"/>
        <w:rPr>
          <w:b w:val="0"/>
          <w:bCs w:val="0"/>
        </w:rPr>
      </w:pPr>
      <w:r>
        <w:rPr>
          <w:rFonts w:ascii="宋体" w:hAnsi="宋体" w:cs="宋体" w:eastAsia="宋体" w:hint="default"/>
        </w:rPr>
        <w:t>(4).</w:t>
      </w:r>
      <w:r>
        <w:rPr/>
        <w:t>其他说明</w:t>
      </w:r>
      <w:r>
        <w:rPr>
          <w:b w:val="0"/>
          <w:bCs w:val="0"/>
        </w:rPr>
      </w:r>
    </w:p>
    <w:p>
      <w:pPr>
        <w:pStyle w:val="BodyText"/>
        <w:spacing w:line="240" w:lineRule="auto" w:before="56"/>
        <w:ind w:left="680" w:right="1812"/>
        <w:jc w:val="left"/>
      </w:pPr>
      <w:r>
        <w:rPr/>
        <w:t>√适用</w:t>
      </w:r>
      <w:r>
        <w:rPr>
          <w:spacing w:val="-2"/>
        </w:rPr>
        <w:t> </w:t>
      </w:r>
      <w:r>
        <w:rPr/>
        <w:t>□不适用</w:t>
      </w:r>
      <w:r>
        <w:rPr>
          <w:spacing w:val="-103"/>
        </w:rPr>
        <w:t> </w:t>
      </w:r>
      <w:r>
        <w:rPr>
          <w:spacing w:val="-103"/>
        </w:rPr>
      </w:r>
      <w:r>
        <w:rPr>
          <w:rFonts w:ascii="宋体" w:hAnsi="宋体" w:cs="宋体" w:eastAsia="宋体" w:hint="default"/>
          <w:spacing w:val="-2"/>
        </w:rPr>
        <w:t>(1)</w:t>
      </w:r>
      <w:r>
        <w:rPr>
          <w:spacing w:val="-2"/>
        </w:rPr>
        <w:t>按收入来源地划分的对外交易收入和资产所在地划分的非流动资产</w:t>
      </w:r>
    </w:p>
    <w:p>
      <w:pPr>
        <w:pStyle w:val="BodyText"/>
        <w:spacing w:line="355" w:lineRule="auto" w:before="133"/>
        <w:ind w:left="680" w:right="671" w:firstLine="420"/>
        <w:jc w:val="both"/>
      </w:pPr>
      <w:r>
        <w:rPr/>
        <w:t>由于本集团超过</w:t>
      </w:r>
      <w:r>
        <w:rPr>
          <w:spacing w:val="-9"/>
        </w:rPr>
        <w:t> </w:t>
      </w:r>
      <w:r>
        <w:rPr>
          <w:rFonts w:ascii="宋体" w:hAnsi="宋体" w:cs="宋体" w:eastAsia="宋体" w:hint="default"/>
        </w:rPr>
        <w:t>99%</w:t>
      </w:r>
      <w:r>
        <w:rPr/>
        <w:t>的收益源自中国客户，而其大部分资产均位于中国，因此并未列报地区数</w:t>
      </w:r>
      <w:r>
        <w:rPr>
          <w:w w:val="100"/>
        </w:rPr>
        <w:t> </w:t>
      </w:r>
      <w:r>
        <w:rPr/>
        <w:t>据。</w:t>
      </w:r>
    </w:p>
    <w:p>
      <w:pPr>
        <w:pStyle w:val="BodyText"/>
        <w:spacing w:line="240" w:lineRule="auto" w:before="32"/>
        <w:ind w:left="680" w:right="668"/>
        <w:jc w:val="left"/>
      </w:pPr>
      <w:r>
        <w:rPr>
          <w:rFonts w:ascii="宋体" w:hAnsi="宋体" w:cs="宋体" w:eastAsia="宋体" w:hint="default"/>
        </w:rPr>
        <w:t>(2)</w:t>
      </w:r>
      <w:r>
        <w:rPr/>
        <w:t>对主要客户的依赖程度</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ind w:left="1100" w:right="668"/>
        <w:jc w:val="left"/>
      </w:pPr>
      <w:r>
        <w:rPr/>
        <w:t>本集团本年度来自单一最大客户的收入为人民币</w:t>
      </w:r>
      <w:r>
        <w:rPr>
          <w:spacing w:val="-55"/>
        </w:rPr>
        <w:t> </w:t>
      </w:r>
      <w:r>
        <w:rPr>
          <w:rFonts w:ascii="宋体" w:hAnsi="宋体" w:cs="宋体" w:eastAsia="宋体" w:hint="default"/>
        </w:rPr>
        <w:t>975,801,904.87</w:t>
      </w:r>
      <w:r>
        <w:rPr>
          <w:rFonts w:ascii="宋体" w:hAnsi="宋体" w:cs="宋体" w:eastAsia="宋体" w:hint="default"/>
          <w:spacing w:val="-57"/>
        </w:rPr>
        <w:t> </w:t>
      </w:r>
      <w:r>
        <w:rPr/>
        <w:t>元</w:t>
      </w:r>
      <w:r>
        <w:rPr>
          <w:rFonts w:ascii="宋体" w:hAnsi="宋体" w:cs="宋体" w:eastAsia="宋体" w:hint="default"/>
        </w:rPr>
        <w:t>(</w:t>
      </w:r>
      <w:r>
        <w:rPr/>
        <w:t>上年：人民币</w:t>
      </w:r>
    </w:p>
    <w:p>
      <w:pPr>
        <w:pStyle w:val="BodyText"/>
        <w:spacing w:line="355" w:lineRule="auto" w:before="133"/>
        <w:ind w:left="680" w:right="668"/>
        <w:jc w:val="left"/>
      </w:pPr>
      <w:r>
        <w:rPr>
          <w:rFonts w:ascii="宋体" w:hAnsi="宋体" w:cs="宋体" w:eastAsia="宋体" w:hint="default"/>
          <w:spacing w:val="-1"/>
        </w:rPr>
        <w:t>892,179,091.64</w:t>
      </w:r>
      <w:r>
        <w:rPr>
          <w:rFonts w:ascii="宋体" w:hAnsi="宋体" w:cs="宋体" w:eastAsia="宋体" w:hint="default"/>
        </w:rPr>
        <w:t> </w:t>
      </w:r>
      <w:r>
        <w:rPr>
          <w:spacing w:val="-2"/>
        </w:rPr>
        <w:t>元</w:t>
      </w:r>
      <w:r>
        <w:rPr>
          <w:rFonts w:ascii="宋体" w:hAnsi="宋体" w:cs="宋体" w:eastAsia="宋体" w:hint="default"/>
          <w:spacing w:val="-2"/>
        </w:rPr>
        <w:t>)</w:t>
      </w:r>
      <w:r>
        <w:rPr>
          <w:spacing w:val="-2"/>
        </w:rPr>
        <w:t>，属于发行分部。除上述单一最大客户外，本集团本期和上期并无销售额占本</w:t>
      </w:r>
      <w:r>
        <w:rPr>
          <w:spacing w:val="-78"/>
        </w:rPr>
        <w:t> </w:t>
      </w:r>
      <w:r>
        <w:rPr>
          <w:spacing w:val="-78"/>
        </w:rPr>
      </w:r>
      <w:r>
        <w:rPr/>
        <w:t>集团收入</w:t>
      </w:r>
      <w:r>
        <w:rPr>
          <w:spacing w:val="-55"/>
        </w:rPr>
        <w:t> </w:t>
      </w:r>
      <w:r>
        <w:rPr>
          <w:rFonts w:ascii="宋体" w:hAnsi="宋体" w:cs="宋体" w:eastAsia="宋体" w:hint="default"/>
        </w:rPr>
        <w:t>10%</w:t>
      </w:r>
      <w:r>
        <w:rPr/>
        <w:t>或以上的外部客户。</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680" w:right="671" w:firstLine="420"/>
        <w:jc w:val="both"/>
      </w:pPr>
      <w:r>
        <w:rPr>
          <w:spacing w:val="-2"/>
        </w:rPr>
        <w:t>分部间转移交易以不同分部实体共同议定价格为基础计量。分部收入和分部费用按各分部的实</w:t>
      </w:r>
      <w:r>
        <w:rPr>
          <w:w w:val="100"/>
        </w:rPr>
        <w:t> </w:t>
      </w:r>
      <w:r>
        <w:rPr>
          <w:spacing w:val="-2"/>
        </w:rPr>
        <w:t>际收入和费用确定。分部资产或负债按经营分部日常活动中使用的可归属于该经营分部的资产或产</w:t>
      </w:r>
      <w:r>
        <w:rPr>
          <w:spacing w:val="-30"/>
        </w:rPr>
        <w:t> </w:t>
      </w:r>
      <w:r>
        <w:rPr>
          <w:spacing w:val="-30"/>
        </w:rPr>
      </w:r>
      <w:r>
        <w:rPr/>
        <w:t>生的可归属于该经营分部的负债分配。</w:t>
      </w:r>
    </w:p>
    <w:p>
      <w:pPr>
        <w:pStyle w:val="Heading2"/>
        <w:spacing w:line="240" w:lineRule="auto" w:before="92"/>
        <w:ind w:left="680" w:right="668"/>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6"/>
        <w:ind w:left="680" w:right="668"/>
        <w:jc w:val="left"/>
      </w:pPr>
      <w:r>
        <w:rPr/>
        <w:t>□适用 √不适用</w:t>
      </w:r>
    </w:p>
    <w:p>
      <w:pPr>
        <w:spacing w:after="0" w:line="240" w:lineRule="auto"/>
        <w:jc w:val="left"/>
        <w:sectPr>
          <w:pgSz w:w="11910" w:h="16840"/>
          <w:pgMar w:header="882" w:footer="1195" w:top="1120" w:bottom="1380" w:left="76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ind w:right="123"/>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72" w:lineRule="exact" w:before="86"/>
        <w:ind w:right="7671"/>
        <w:jc w:val="left"/>
      </w:pPr>
      <w:r>
        <w:rPr/>
        <w:t>√适用 □不适用</w:t>
      </w:r>
      <w:r>
        <w:rPr>
          <w:w w:val="100"/>
        </w:rPr>
        <w:t> </w:t>
      </w:r>
      <w:r>
        <w:rPr/>
        <w:t>资本管理</w:t>
      </w:r>
    </w:p>
    <w:p>
      <w:pPr>
        <w:pStyle w:val="BodyText"/>
        <w:spacing w:line="357" w:lineRule="auto" w:before="108"/>
        <w:ind w:right="231" w:firstLine="424"/>
        <w:jc w:val="both"/>
      </w:pPr>
      <w:r>
        <w:rPr>
          <w:spacing w:val="-2"/>
        </w:rPr>
        <w:t>本集团资本管理的主要目标是保障本集团的持续经营，通过优化权益融资与负债融资的组合结</w:t>
      </w:r>
      <w:r>
        <w:rPr>
          <w:w w:val="100"/>
        </w:rPr>
        <w:t> </w:t>
      </w:r>
      <w:r>
        <w:rPr/>
        <w:t>构，以达到股东收益最大化的目标。本集团的资本结构由以下部分组成：</w:t>
      </w:r>
    </w:p>
    <w:p>
      <w:pPr>
        <w:spacing w:line="240" w:lineRule="auto" w:before="0"/>
        <w:rPr>
          <w:rFonts w:ascii="宋体" w:hAnsi="宋体" w:cs="宋体" w:eastAsia="宋体" w:hint="default"/>
          <w:sz w:val="20"/>
          <w:szCs w:val="20"/>
        </w:rPr>
      </w:pPr>
    </w:p>
    <w:p>
      <w:pPr>
        <w:pStyle w:val="BodyText"/>
        <w:spacing w:line="240" w:lineRule="auto" w:before="176"/>
        <w:ind w:right="123"/>
        <w:jc w:val="left"/>
      </w:pPr>
      <w:r>
        <w:rPr/>
        <w:t>•</w:t>
      </w:r>
      <w:r>
        <w:rPr>
          <w:spacing w:val="-1"/>
        </w:rPr>
        <w:t> </w:t>
      </w:r>
      <w:r>
        <w:rPr/>
        <w:t>现金及现金等价物；</w:t>
      </w:r>
    </w:p>
    <w:p>
      <w:pPr>
        <w:pStyle w:val="BodyText"/>
        <w:spacing w:line="240" w:lineRule="auto" w:before="133"/>
        <w:ind w:right="123"/>
        <w:jc w:val="left"/>
      </w:pPr>
      <w:r>
        <w:rPr/>
        <w:t>•</w:t>
      </w:r>
      <w:r>
        <w:rPr>
          <w:spacing w:val="-3"/>
        </w:rPr>
        <w:t> </w:t>
      </w:r>
      <w:r>
        <w:rPr/>
        <w:t>实收资本、资本公积、盈余公积以及未分配利润。</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ind w:right="231" w:firstLine="424"/>
        <w:jc w:val="both"/>
      </w:pPr>
      <w:r>
        <w:rPr>
          <w:spacing w:val="-2"/>
        </w:rPr>
        <w:t>本集团管理层依据中期或年末财务报告对集团资本结构进行复核，管理层在复核过程中考虑资</w:t>
      </w:r>
      <w:r>
        <w:rPr>
          <w:w w:val="100"/>
        </w:rPr>
        <w:t> </w:t>
      </w:r>
      <w:r>
        <w:rPr>
          <w:spacing w:val="-2"/>
        </w:rPr>
        <w:t>本成本以及各类资本类型所对应的风险。基于管理层的选择，本集团通过增发股票以及借入或归还</w:t>
      </w:r>
      <w:r>
        <w:rPr>
          <w:spacing w:val="-29"/>
        </w:rPr>
        <w:t> </w:t>
      </w:r>
      <w:r>
        <w:rPr>
          <w:spacing w:val="-29"/>
        </w:rPr>
      </w:r>
      <w:r>
        <w:rPr/>
        <w:t>借款以优化整体资本结构。</w:t>
      </w:r>
    </w:p>
    <w:p>
      <w:pPr>
        <w:spacing w:after="0" w:line="355" w:lineRule="auto"/>
        <w:jc w:val="both"/>
        <w:sectPr>
          <w:pgSz w:w="11910" w:h="16840"/>
          <w:pgMar w:header="882" w:footer="1195" w:top="1120" w:bottom="1380" w:left="1220" w:right="1200"/>
        </w:sectPr>
      </w:pPr>
    </w:p>
    <w:p>
      <w:pPr>
        <w:pStyle w:val="Heading2"/>
        <w:tabs>
          <w:tab w:pos="1060" w:val="left" w:leader="none"/>
        </w:tabs>
        <w:spacing w:line="290" w:lineRule="auto" w:before="92"/>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2"/>
        <w:spacing w:line="240" w:lineRule="auto" w:before="12"/>
        <w:ind w:right="0"/>
        <w:jc w:val="left"/>
        <w:rPr>
          <w:b w:val="0"/>
          <w:bCs w:val="0"/>
        </w:rPr>
      </w:pPr>
      <w:r>
        <w:rPr/>
        <w:t>总表情况</w:t>
      </w:r>
      <w:r>
        <w:rPr>
          <w:b w:val="0"/>
          <w:bCs w:val="0"/>
        </w:rPr>
      </w:r>
    </w:p>
    <w:p>
      <w:pPr>
        <w:pStyle w:val="Heading2"/>
        <w:spacing w:line="240" w:lineRule="auto" w:before="58"/>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060" w:bottom="1380" w:left="1220" w:right="1200"/>
          <w:cols w:num="2" w:equalWidth="0">
            <w:col w:w="3802" w:space="3020"/>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65"/>
        <w:gridCol w:w="3000"/>
        <w:gridCol w:w="2989"/>
      </w:tblGrid>
      <w:tr>
        <w:trPr>
          <w:trHeight w:val="283"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00" w:type="dxa"/>
            <w:tcBorders>
              <w:top w:val="single" w:sz="4" w:space="0" w:color="000000"/>
              <w:left w:val="single" w:sz="4" w:space="0" w:color="000000"/>
              <w:bottom w:val="single" w:sz="4" w:space="0" w:color="000000"/>
              <w:right w:val="single" w:sz="4" w:space="0" w:color="000000"/>
            </w:tcBorders>
          </w:tcPr>
          <w:p>
            <w:pPr/>
          </w:p>
        </w:tc>
        <w:tc>
          <w:tcPr>
            <w:tcW w:w="29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952,202,293.41</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977,264,568.14</w:t>
            </w:r>
          </w:p>
        </w:tc>
      </w:tr>
      <w:tr>
        <w:trPr>
          <w:trHeight w:val="283"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952,202,293.41</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977,264,568.14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123"/>
        <w:jc w:val="left"/>
      </w:pPr>
      <w:r>
        <w:rPr/>
        <w:t>其他说明：</w:t>
      </w:r>
    </w:p>
    <w:p>
      <w:pPr>
        <w:pStyle w:val="BodyText"/>
        <w:spacing w:line="273" w:lineRule="exact"/>
        <w:ind w:right="1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123"/>
        <w:jc w:val="left"/>
        <w:rPr>
          <w:b w:val="0"/>
          <w:bCs w:val="0"/>
        </w:rPr>
      </w:pPr>
      <w:r>
        <w:rPr/>
        <w:t>应收票据</w:t>
      </w:r>
      <w:r>
        <w:rPr>
          <w:b w:val="0"/>
          <w:bCs w:val="0"/>
        </w:rPr>
      </w:r>
    </w:p>
    <w:p>
      <w:pPr>
        <w:pStyle w:val="Heading2"/>
        <w:spacing w:line="240" w:lineRule="auto" w:before="58"/>
        <w:ind w:right="123"/>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6"/>
        <w:ind w:right="123"/>
        <w:jc w:val="left"/>
      </w:pPr>
      <w:r>
        <w:rPr/>
        <w:t>□适用 √不适用</w:t>
      </w:r>
    </w:p>
    <w:p>
      <w:pPr>
        <w:pStyle w:val="Heading2"/>
        <w:spacing w:line="240" w:lineRule="auto" w:before="58"/>
        <w:ind w:right="123"/>
        <w:jc w:val="left"/>
        <w:rPr>
          <w:b w:val="0"/>
          <w:bCs w:val="0"/>
        </w:rPr>
      </w:pPr>
      <w:r>
        <w:rPr>
          <w:rFonts w:ascii="宋体" w:hAnsi="宋体" w:cs="宋体" w:eastAsia="宋体" w:hint="default"/>
        </w:rPr>
        <w:t>(3).</w:t>
      </w:r>
      <w:r>
        <w:rPr>
          <w:rFonts w:ascii="宋体" w:hAnsi="宋体" w:cs="宋体" w:eastAsia="宋体" w:hint="default"/>
          <w:spacing w:val="-5"/>
        </w:rPr>
        <w:t> </w:t>
      </w:r>
      <w:r>
        <w:rPr/>
        <w:t>期末公司已质押的应收票据</w:t>
      </w:r>
      <w:r>
        <w:rPr>
          <w:b w:val="0"/>
          <w:bCs w:val="0"/>
        </w:rPr>
      </w:r>
    </w:p>
    <w:p>
      <w:pPr>
        <w:pStyle w:val="BodyText"/>
        <w:spacing w:line="240" w:lineRule="auto" w:before="56"/>
        <w:ind w:right="123"/>
        <w:jc w:val="left"/>
      </w:pPr>
      <w:r>
        <w:rPr/>
        <w:t>□适用 √不适用</w:t>
      </w:r>
    </w:p>
    <w:p>
      <w:pPr>
        <w:pStyle w:val="Heading2"/>
        <w:spacing w:line="240" w:lineRule="auto" w:before="58"/>
        <w:ind w:right="123"/>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right="123"/>
        <w:jc w:val="left"/>
      </w:pPr>
      <w:r>
        <w:rPr/>
        <w:t>□适用 √不适用</w:t>
      </w:r>
    </w:p>
    <w:p>
      <w:pPr>
        <w:pStyle w:val="Heading2"/>
        <w:spacing w:line="240" w:lineRule="auto" w:before="58"/>
        <w:ind w:right="123"/>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right="123"/>
        <w:jc w:val="left"/>
      </w:pPr>
      <w:r>
        <w:rPr/>
        <w:t>□适用 √不适用</w:t>
      </w:r>
    </w:p>
    <w:p>
      <w:pPr>
        <w:pStyle w:val="Heading2"/>
        <w:spacing w:line="240" w:lineRule="auto" w:before="58"/>
        <w:ind w:right="123"/>
        <w:jc w:val="left"/>
        <w:rPr>
          <w:b w:val="0"/>
          <w:bCs w:val="0"/>
        </w:rPr>
      </w:pPr>
      <w:r>
        <w:rPr>
          <w:rFonts w:ascii="宋体" w:hAnsi="宋体" w:cs="宋体" w:eastAsia="宋体" w:hint="default"/>
        </w:rPr>
        <w:t>(6).</w:t>
      </w:r>
      <w:r>
        <w:rPr>
          <w:rFonts w:ascii="宋体" w:hAnsi="宋体" w:cs="宋体" w:eastAsia="宋体" w:hint="default"/>
          <w:spacing w:val="-1"/>
        </w:rPr>
        <w:t> </w:t>
      </w:r>
      <w:r>
        <w:rPr/>
        <w:t>按坏账计提方法分类披露</w:t>
      </w:r>
      <w:r>
        <w:rPr>
          <w:b w:val="0"/>
          <w:bCs w:val="0"/>
        </w:rPr>
      </w:r>
    </w:p>
    <w:p>
      <w:pPr>
        <w:pStyle w:val="BodyText"/>
        <w:spacing w:line="240" w:lineRule="auto" w:before="56"/>
        <w:ind w:right="123"/>
        <w:jc w:val="left"/>
      </w:pPr>
      <w:r>
        <w:rPr/>
        <w:t>□适用 √不适用</w:t>
      </w:r>
    </w:p>
    <w:p>
      <w:pPr>
        <w:spacing w:after="0" w:line="240" w:lineRule="auto"/>
        <w:jc w:val="left"/>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640" w:right="1977"/>
        <w:jc w:val="left"/>
      </w:pPr>
      <w:r>
        <w:rPr/>
        <w:t>按单项计提坏账准备：</w:t>
      </w:r>
    </w:p>
    <w:p>
      <w:pPr>
        <w:pStyle w:val="BodyText"/>
        <w:spacing w:line="273" w:lineRule="exact"/>
        <w:ind w:left="640" w:right="1977"/>
        <w:jc w:val="left"/>
      </w:pPr>
      <w:r>
        <w:rPr/>
        <w:t>□适用 √不适用</w:t>
      </w:r>
    </w:p>
    <w:p>
      <w:pPr>
        <w:spacing w:line="240" w:lineRule="auto" w:before="7"/>
        <w:rPr>
          <w:rFonts w:ascii="宋体" w:hAnsi="宋体" w:cs="宋体" w:eastAsia="宋体" w:hint="default"/>
          <w:sz w:val="19"/>
          <w:szCs w:val="19"/>
        </w:rPr>
      </w:pPr>
    </w:p>
    <w:p>
      <w:pPr>
        <w:pStyle w:val="BodyText"/>
        <w:spacing w:line="273" w:lineRule="exact"/>
        <w:ind w:left="640" w:right="1977"/>
        <w:jc w:val="left"/>
      </w:pPr>
      <w:r>
        <w:rPr/>
        <w:t>按组合计提坏账准备：</w:t>
      </w:r>
    </w:p>
    <w:p>
      <w:pPr>
        <w:pStyle w:val="BodyText"/>
        <w:spacing w:line="272" w:lineRule="exact" w:before="26"/>
        <w:ind w:left="640" w:right="1977"/>
        <w:jc w:val="left"/>
      </w:pPr>
      <w:r>
        <w:rPr/>
        <w:t>□适用</w:t>
      </w:r>
      <w:r>
        <w:rPr>
          <w:spacing w:val="-2"/>
        </w:rPr>
        <w:t> </w:t>
      </w:r>
      <w:r>
        <w:rPr/>
        <w:t>√不适用</w:t>
      </w:r>
      <w:r>
        <w:rPr>
          <w:spacing w:val="-103"/>
        </w:rPr>
        <w:t> </w:t>
      </w:r>
      <w:r>
        <w:rPr>
          <w:spacing w:val="-103"/>
        </w:rPr>
      </w:r>
      <w:r>
        <w:rPr>
          <w:spacing w:val="-2"/>
        </w:rPr>
        <w:t>如按预期信用损失一般模型计提坏账准备，请参照其他应收款披露：</w:t>
      </w:r>
    </w:p>
    <w:p>
      <w:pPr>
        <w:pStyle w:val="BodyText"/>
        <w:spacing w:line="249" w:lineRule="exact"/>
        <w:ind w:left="640" w:right="1977"/>
        <w:jc w:val="left"/>
      </w:pPr>
      <w:r>
        <w:rPr/>
        <w:t>□适用 √不适用</w:t>
      </w:r>
    </w:p>
    <w:p>
      <w:pPr>
        <w:spacing w:line="240" w:lineRule="auto" w:before="12"/>
        <w:rPr>
          <w:rFonts w:ascii="宋体" w:hAnsi="宋体" w:cs="宋体" w:eastAsia="宋体" w:hint="default"/>
          <w:sz w:val="23"/>
          <w:szCs w:val="23"/>
        </w:rPr>
      </w:pPr>
    </w:p>
    <w:p>
      <w:pPr>
        <w:pStyle w:val="Heading2"/>
        <w:spacing w:line="240" w:lineRule="auto"/>
        <w:ind w:left="640" w:right="1977"/>
        <w:jc w:val="left"/>
        <w:rPr>
          <w:b w:val="0"/>
          <w:bCs w:val="0"/>
        </w:rPr>
      </w:pPr>
      <w:r>
        <w:rPr>
          <w:rFonts w:ascii="宋体" w:hAnsi="宋体" w:cs="宋体" w:eastAsia="宋体" w:hint="default"/>
        </w:rPr>
        <w:t>(7). </w:t>
      </w:r>
      <w:r>
        <w:rPr/>
        <w:t>坏账准备的情况</w:t>
      </w:r>
      <w:r>
        <w:rPr>
          <w:b w:val="0"/>
          <w:bCs w:val="0"/>
        </w:rPr>
      </w:r>
    </w:p>
    <w:p>
      <w:pPr>
        <w:pStyle w:val="BodyText"/>
        <w:spacing w:line="240" w:lineRule="auto" w:before="58"/>
        <w:ind w:left="640" w:right="1977"/>
        <w:jc w:val="left"/>
      </w:pPr>
      <w:r>
        <w:rPr/>
        <w:t>□适用 √不适用</w:t>
      </w:r>
    </w:p>
    <w:p>
      <w:pPr>
        <w:spacing w:line="240" w:lineRule="auto" w:before="13"/>
        <w:rPr>
          <w:rFonts w:ascii="宋体" w:hAnsi="宋体" w:cs="宋体" w:eastAsia="宋体" w:hint="default"/>
          <w:sz w:val="23"/>
          <w:szCs w:val="23"/>
        </w:rPr>
      </w:pPr>
    </w:p>
    <w:p>
      <w:pPr>
        <w:pStyle w:val="Heading2"/>
        <w:spacing w:line="240" w:lineRule="auto"/>
        <w:ind w:left="640" w:right="1977"/>
        <w:jc w:val="left"/>
        <w:rPr>
          <w:b w:val="0"/>
          <w:bCs w:val="0"/>
        </w:rPr>
      </w:pPr>
      <w:r>
        <w:rPr>
          <w:rFonts w:ascii="宋体" w:hAnsi="宋体" w:cs="宋体" w:eastAsia="宋体" w:hint="default"/>
        </w:rPr>
        <w:t>(8).</w:t>
      </w:r>
      <w:r>
        <w:rPr>
          <w:rFonts w:ascii="宋体" w:hAnsi="宋体" w:cs="宋体" w:eastAsia="宋体" w:hint="default"/>
          <w:spacing w:val="-3"/>
        </w:rPr>
        <w:t> </w:t>
      </w:r>
      <w:r>
        <w:rPr/>
        <w:t>本期实际核销的应收票据情况</w:t>
      </w:r>
      <w:r>
        <w:rPr>
          <w:b w:val="0"/>
          <w:bCs w:val="0"/>
        </w:rPr>
      </w:r>
    </w:p>
    <w:p>
      <w:pPr>
        <w:pStyle w:val="BodyText"/>
        <w:spacing w:line="240" w:lineRule="auto" w:before="56"/>
        <w:ind w:left="640" w:right="1977"/>
        <w:jc w:val="left"/>
      </w:pPr>
      <w:r>
        <w:rPr/>
        <w:t>□适用 √不适用</w:t>
      </w:r>
    </w:p>
    <w:p>
      <w:pPr>
        <w:spacing w:line="240" w:lineRule="auto" w:before="7"/>
        <w:rPr>
          <w:rFonts w:ascii="宋体" w:hAnsi="宋体" w:cs="宋体" w:eastAsia="宋体" w:hint="default"/>
          <w:sz w:val="19"/>
          <w:szCs w:val="19"/>
        </w:rPr>
      </w:pPr>
    </w:p>
    <w:p>
      <w:pPr>
        <w:pStyle w:val="BodyText"/>
        <w:spacing w:line="273" w:lineRule="exact"/>
        <w:ind w:left="640" w:right="1977"/>
        <w:jc w:val="left"/>
      </w:pPr>
      <w:r>
        <w:rPr/>
        <w:t>其他说明：</w:t>
      </w:r>
    </w:p>
    <w:p>
      <w:pPr>
        <w:pStyle w:val="BodyText"/>
        <w:spacing w:line="273" w:lineRule="exact"/>
        <w:ind w:left="640" w:right="197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800" w:right="800"/>
        </w:sectPr>
      </w:pPr>
    </w:p>
    <w:p>
      <w:pPr>
        <w:pStyle w:val="Heading2"/>
        <w:spacing w:line="290" w:lineRule="auto" w:before="36"/>
        <w:ind w:left="640" w:right="185"/>
        <w:jc w:val="left"/>
        <w:rPr>
          <w:b w:val="0"/>
          <w:bCs w:val="0"/>
        </w:rPr>
      </w:pPr>
      <w:r>
        <w:rPr/>
        <w:t>应收账款</w:t>
      </w:r>
      <w:r>
        <w:rPr>
          <w:w w:val="100"/>
        </w:rPr>
        <w:t> </w:t>
      </w:r>
      <w:r>
        <w:rPr>
          <w:rFonts w:ascii="宋体" w:hAnsi="宋体" w:cs="宋体" w:eastAsia="宋体" w:hint="default"/>
        </w:rPr>
        <w:t>(1).</w:t>
      </w:r>
      <w:r>
        <w:rPr/>
        <w:t>按账龄披露</w:t>
      </w:r>
      <w:r>
        <w:rPr>
          <w:b w:val="0"/>
          <w:bCs w:val="0"/>
        </w:rPr>
      </w:r>
    </w:p>
    <w:p>
      <w:pPr>
        <w:pStyle w:val="BodyText"/>
        <w:tabs>
          <w:tab w:pos="1482" w:val="left" w:leader="none"/>
        </w:tabs>
        <w:spacing w:line="240" w:lineRule="auto" w:before="12"/>
        <w:ind w:left="640"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692" w:val="left" w:leader="none"/>
        </w:tabs>
        <w:spacing w:line="240" w:lineRule="auto"/>
        <w:ind w:left="640" w:right="0"/>
        <w:jc w:val="left"/>
      </w:pPr>
      <w:r>
        <w:rPr>
          <w:spacing w:val="-1"/>
        </w:rPr>
        <w:t>单位：元</w:t>
        <w:tab/>
      </w:r>
      <w:r>
        <w:rPr>
          <w:spacing w:val="-2"/>
        </w:rPr>
        <w:t>币种：人民币</w:t>
      </w:r>
    </w:p>
    <w:p>
      <w:pPr>
        <w:spacing w:after="0" w:line="240" w:lineRule="auto"/>
        <w:jc w:val="left"/>
        <w:sectPr>
          <w:type w:val="continuous"/>
          <w:pgSz w:w="11910" w:h="16840"/>
          <w:pgMar w:top="1060" w:bottom="1380" w:left="800" w:right="800"/>
          <w:cols w:num="2" w:equalWidth="0">
            <w:col w:w="2323" w:space="4393"/>
            <w:col w:w="3594"/>
          </w:cols>
        </w:sectPr>
      </w:pPr>
    </w:p>
    <w:p>
      <w:pPr>
        <w:spacing w:line="240" w:lineRule="auto" w:before="4"/>
        <w:rPr>
          <w:rFonts w:ascii="宋体" w:hAnsi="宋体" w:cs="宋体" w:eastAsia="宋体" w:hint="default"/>
          <w:sz w:val="2"/>
          <w:szCs w:val="2"/>
        </w:rPr>
      </w:pPr>
    </w:p>
    <w:tbl>
      <w:tblPr>
        <w:tblW w:w="0" w:type="auto"/>
        <w:jc w:val="left"/>
        <w:tblInd w:w="522" w:type="dxa"/>
        <w:tblLayout w:type="fixed"/>
        <w:tblCellMar>
          <w:top w:w="0" w:type="dxa"/>
          <w:left w:w="0" w:type="dxa"/>
          <w:bottom w:w="0" w:type="dxa"/>
          <w:right w:w="0" w:type="dxa"/>
        </w:tblCellMar>
        <w:tblLook w:val="01E0"/>
      </w:tblPr>
      <w:tblGrid>
        <w:gridCol w:w="4505"/>
        <w:gridCol w:w="4748"/>
      </w:tblGrid>
      <w:tr>
        <w:trPr>
          <w:trHeight w:val="284"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6"/>
              <w:jc w:val="right"/>
              <w:rPr>
                <w:rFonts w:ascii="宋体" w:hAnsi="宋体" w:cs="宋体" w:eastAsia="宋体" w:hint="default"/>
                <w:sz w:val="21"/>
                <w:szCs w:val="21"/>
              </w:rPr>
            </w:pPr>
            <w:r>
              <w:rPr>
                <w:rFonts w:ascii="宋体" w:hAnsi="宋体" w:cs="宋体" w:eastAsia="宋体" w:hint="default"/>
                <w:sz w:val="21"/>
                <w:szCs w:val="21"/>
              </w:rPr>
              <w:t>账龄</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47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47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5" w:type="dxa"/>
            <w:tcBorders>
              <w:top w:val="single" w:sz="4" w:space="0" w:color="000000"/>
              <w:left w:val="single" w:sz="4" w:space="0" w:color="000000"/>
              <w:bottom w:val="single" w:sz="4" w:space="0" w:color="000000"/>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933,513,380.05</w:t>
            </w:r>
          </w:p>
        </w:tc>
      </w:tr>
      <w:tr>
        <w:trPr>
          <w:trHeight w:val="281"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933,513,380.05</w:t>
            </w:r>
          </w:p>
        </w:tc>
      </w:tr>
      <w:tr>
        <w:trPr>
          <w:trHeight w:val="283"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18,688,913.36</w:t>
            </w:r>
          </w:p>
        </w:tc>
      </w:tr>
      <w:tr>
        <w:trPr>
          <w:trHeight w:val="283"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r>
      <w:tr>
        <w:trPr>
          <w:trHeight w:val="281"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r>
      <w:tr>
        <w:trPr>
          <w:trHeight w:val="283"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6"/>
              <w:jc w:val="right"/>
              <w:rPr>
                <w:rFonts w:ascii="宋体" w:hAnsi="宋体" w:cs="宋体" w:eastAsia="宋体" w:hint="default"/>
                <w:sz w:val="21"/>
                <w:szCs w:val="21"/>
              </w:rPr>
            </w:pPr>
            <w:r>
              <w:rPr>
                <w:rFonts w:ascii="宋体" w:hAnsi="宋体" w:cs="宋体" w:eastAsia="宋体" w:hint="default"/>
                <w:sz w:val="21"/>
                <w:szCs w:val="21"/>
              </w:rPr>
              <w:t>合计</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952,202,293.41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800" w:right="800"/>
        </w:sectPr>
      </w:pPr>
    </w:p>
    <w:p>
      <w:pPr>
        <w:pStyle w:val="Heading2"/>
        <w:spacing w:line="240" w:lineRule="auto" w:before="36"/>
        <w:ind w:left="640" w:right="-17"/>
        <w:jc w:val="left"/>
        <w:rPr>
          <w:b w:val="0"/>
          <w:bCs w:val="0"/>
        </w:rPr>
      </w:pPr>
      <w:r>
        <w:rPr>
          <w:rFonts w:ascii="宋体" w:hAnsi="宋体" w:cs="宋体" w:eastAsia="宋体" w:hint="default"/>
        </w:rPr>
        <w:t>(2).</w:t>
      </w:r>
      <w:r>
        <w:rPr/>
        <w:t>按坏账计提方法分类披露</w:t>
      </w:r>
      <w:r>
        <w:rPr>
          <w:b w:val="0"/>
          <w:bCs w:val="0"/>
        </w:rPr>
      </w:r>
    </w:p>
    <w:p>
      <w:pPr>
        <w:pStyle w:val="BodyText"/>
        <w:spacing w:line="240" w:lineRule="auto" w:before="57"/>
        <w:ind w:left="640"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640" w:right="0"/>
        <w:jc w:val="left"/>
      </w:pPr>
      <w:r>
        <w:rPr/>
        <w:t>单位：元币种：人民币</w:t>
      </w:r>
    </w:p>
    <w:p>
      <w:pPr>
        <w:spacing w:after="0" w:line="240" w:lineRule="auto"/>
        <w:jc w:val="left"/>
        <w:sectPr>
          <w:type w:val="continuous"/>
          <w:pgSz w:w="11910" w:h="16840"/>
          <w:pgMar w:top="1060" w:bottom="1380" w:left="800" w:right="800"/>
          <w:cols w:num="2" w:equalWidth="0">
            <w:col w:w="3387" w:space="3435"/>
            <w:col w:w="348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76"/>
        <w:gridCol w:w="1356"/>
        <w:gridCol w:w="377"/>
        <w:gridCol w:w="1190"/>
        <w:gridCol w:w="377"/>
        <w:gridCol w:w="1191"/>
        <w:gridCol w:w="1356"/>
        <w:gridCol w:w="377"/>
        <w:gridCol w:w="1107"/>
        <w:gridCol w:w="377"/>
        <w:gridCol w:w="1188"/>
      </w:tblGrid>
      <w:tr>
        <w:trPr>
          <w:trHeight w:val="283" w:hRule="exact"/>
        </w:trPr>
        <w:tc>
          <w:tcPr>
            <w:tcW w:w="11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4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176" w:type="dxa"/>
            <w:vMerge/>
            <w:tcBorders>
              <w:left w:val="single" w:sz="4" w:space="0" w:color="000000"/>
              <w:right w:val="single" w:sz="4" w:space="0" w:color="000000"/>
            </w:tcBorders>
          </w:tcPr>
          <w:p>
            <w:pPr/>
          </w:p>
        </w:tc>
        <w:tc>
          <w:tcPr>
            <w:tcW w:w="1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79" w:right="37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79" w:right="37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0" w:hRule="exact"/>
        </w:trPr>
        <w:tc>
          <w:tcPr>
            <w:tcW w:w="1176" w:type="dxa"/>
            <w:vMerge/>
            <w:tcBorders>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6" w:right="22"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26" w:right="23"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91" w:type="dxa"/>
            <w:vMerge/>
            <w:tcBorders>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3" w:right="24"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26" w:right="23"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88" w:type="dxa"/>
            <w:vMerge/>
            <w:tcBorders>
              <w:left w:val="single" w:sz="4" w:space="0" w:color="000000"/>
              <w:bottom w:val="single" w:sz="4" w:space="0" w:color="000000"/>
              <w:right w:val="single" w:sz="4" w:space="0" w:color="000000"/>
            </w:tcBorders>
          </w:tcPr>
          <w:p>
            <w:pPr/>
          </w:p>
        </w:tc>
      </w:tr>
      <w:tr>
        <w:trPr>
          <w:trHeight w:val="55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5" w:right="0"/>
              <w:jc w:val="center"/>
              <w:rPr>
                <w:rFonts w:ascii="宋体" w:hAnsi="宋体" w:cs="宋体" w:eastAsia="宋体" w:hint="default"/>
                <w:sz w:val="16"/>
                <w:szCs w:val="16"/>
              </w:rPr>
            </w:pPr>
            <w:r>
              <w:rPr>
                <w:rFonts w:ascii="宋体"/>
                <w:sz w:val="16"/>
              </w:rPr>
              <w:t>1,067,065,012.02</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4" w:right="0"/>
              <w:jc w:val="center"/>
              <w:rPr>
                <w:rFonts w:ascii="宋体" w:hAnsi="宋体" w:cs="宋体" w:eastAsia="宋体" w:hint="default"/>
                <w:sz w:val="16"/>
                <w:szCs w:val="16"/>
              </w:rPr>
            </w:pPr>
            <w:r>
              <w:rPr>
                <w:rFonts w:ascii="宋体"/>
                <w:sz w:val="16"/>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 w:right="0"/>
              <w:jc w:val="center"/>
              <w:rPr>
                <w:rFonts w:ascii="宋体" w:hAnsi="宋体" w:cs="宋体" w:eastAsia="宋体" w:hint="default"/>
                <w:sz w:val="16"/>
                <w:szCs w:val="16"/>
              </w:rPr>
            </w:pPr>
            <w:r>
              <w:rPr>
                <w:rFonts w:ascii="宋体"/>
                <w:sz w:val="16"/>
              </w:rPr>
              <w:t>114,862,718.61</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sz w:val="16"/>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4"/>
              <w:jc w:val="right"/>
              <w:rPr>
                <w:rFonts w:ascii="宋体" w:hAnsi="宋体" w:cs="宋体" w:eastAsia="宋体" w:hint="default"/>
                <w:sz w:val="16"/>
                <w:szCs w:val="16"/>
              </w:rPr>
            </w:pPr>
            <w:r>
              <w:rPr>
                <w:rFonts w:ascii="宋体"/>
                <w:spacing w:val="-2"/>
                <w:sz w:val="16"/>
              </w:rPr>
              <w:t>952,202,293.41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 w:right="0"/>
              <w:jc w:val="center"/>
              <w:rPr>
                <w:rFonts w:ascii="宋体" w:hAnsi="宋体" w:cs="宋体" w:eastAsia="宋体" w:hint="default"/>
                <w:sz w:val="16"/>
                <w:szCs w:val="16"/>
              </w:rPr>
            </w:pPr>
            <w:r>
              <w:rPr>
                <w:rFonts w:ascii="宋体"/>
                <w:sz w:val="16"/>
              </w:rPr>
              <w:t>1,064,478,180.93</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98" w:right="0"/>
              <w:jc w:val="left"/>
              <w:rPr>
                <w:rFonts w:ascii="宋体" w:hAnsi="宋体" w:cs="宋体" w:eastAsia="宋体" w:hint="default"/>
                <w:sz w:val="16"/>
                <w:szCs w:val="16"/>
              </w:rPr>
            </w:pPr>
            <w:r>
              <w:rPr>
                <w:rFonts w:ascii="宋体"/>
                <w:sz w:val="16"/>
              </w:rPr>
              <w:t>100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9" w:right="0"/>
              <w:jc w:val="center"/>
              <w:rPr>
                <w:rFonts w:ascii="宋体" w:hAnsi="宋体" w:cs="宋体" w:eastAsia="宋体" w:hint="default"/>
                <w:sz w:val="16"/>
                <w:szCs w:val="16"/>
              </w:rPr>
            </w:pPr>
            <w:r>
              <w:rPr>
                <w:rFonts w:ascii="宋体"/>
                <w:sz w:val="16"/>
              </w:rPr>
              <w:t>87,213,612.79</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5" w:right="0"/>
              <w:jc w:val="center"/>
              <w:rPr>
                <w:rFonts w:ascii="宋体" w:hAnsi="宋体" w:cs="宋体" w:eastAsia="宋体" w:hint="default"/>
                <w:sz w:val="16"/>
                <w:szCs w:val="16"/>
              </w:rPr>
            </w:pPr>
            <w:r>
              <w:rPr>
                <w:rFonts w:ascii="宋体"/>
                <w:sz w:val="16"/>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 w:right="0"/>
              <w:jc w:val="center"/>
              <w:rPr>
                <w:rFonts w:ascii="宋体" w:hAnsi="宋体" w:cs="宋体" w:eastAsia="宋体" w:hint="default"/>
                <w:sz w:val="16"/>
                <w:szCs w:val="16"/>
              </w:rPr>
            </w:pPr>
            <w:r>
              <w:rPr>
                <w:rFonts w:ascii="宋体"/>
                <w:sz w:val="16"/>
              </w:rPr>
              <w:t>977,264,568.14</w:t>
            </w:r>
          </w:p>
        </w:tc>
      </w:tr>
      <w:tr>
        <w:trPr>
          <w:trHeight w:val="28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5" w:right="0"/>
              <w:jc w:val="center"/>
              <w:rPr>
                <w:rFonts w:ascii="宋体" w:hAnsi="宋体" w:cs="宋体" w:eastAsia="宋体" w:hint="default"/>
                <w:sz w:val="16"/>
                <w:szCs w:val="16"/>
              </w:rPr>
            </w:pPr>
            <w:r>
              <w:rPr>
                <w:rFonts w:ascii="宋体"/>
                <w:sz w:val="16"/>
              </w:rPr>
              <w:t>1,067,065,012.02</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0"/>
              <w:jc w:val="center"/>
              <w:rPr>
                <w:rFonts w:ascii="宋体" w:hAnsi="宋体" w:cs="宋体" w:eastAsia="宋体" w:hint="default"/>
                <w:sz w:val="16"/>
                <w:szCs w:val="16"/>
              </w:rPr>
            </w:pPr>
            <w:r>
              <w:rPr>
                <w:rFonts w:ascii="宋体"/>
                <w:w w:val="100"/>
                <w:sz w:val="16"/>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 w:right="0"/>
              <w:jc w:val="center"/>
              <w:rPr>
                <w:rFonts w:ascii="宋体" w:hAnsi="宋体" w:cs="宋体" w:eastAsia="宋体" w:hint="default"/>
                <w:sz w:val="16"/>
                <w:szCs w:val="16"/>
              </w:rPr>
            </w:pPr>
            <w:r>
              <w:rPr>
                <w:rFonts w:ascii="宋体"/>
                <w:sz w:val="16"/>
              </w:rPr>
              <w:t>114,862,718.61</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43" w:right="0"/>
              <w:jc w:val="left"/>
              <w:rPr>
                <w:rFonts w:ascii="宋体" w:hAnsi="宋体" w:cs="宋体" w:eastAsia="宋体" w:hint="default"/>
                <w:sz w:val="16"/>
                <w:szCs w:val="16"/>
              </w:rPr>
            </w:pPr>
            <w:r>
              <w:rPr>
                <w:rFonts w:ascii="宋体"/>
                <w:w w:val="100"/>
                <w:sz w:val="16"/>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4"/>
              <w:jc w:val="right"/>
              <w:rPr>
                <w:rFonts w:ascii="宋体" w:hAnsi="宋体" w:cs="宋体" w:eastAsia="宋体" w:hint="default"/>
                <w:sz w:val="16"/>
                <w:szCs w:val="16"/>
              </w:rPr>
            </w:pPr>
            <w:r>
              <w:rPr>
                <w:rFonts w:ascii="宋体"/>
                <w:spacing w:val="-2"/>
                <w:sz w:val="16"/>
              </w:rPr>
              <w:t>952,202,293.41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 w:right="0"/>
              <w:jc w:val="center"/>
              <w:rPr>
                <w:rFonts w:ascii="宋体" w:hAnsi="宋体" w:cs="宋体" w:eastAsia="宋体" w:hint="default"/>
                <w:sz w:val="16"/>
                <w:szCs w:val="16"/>
              </w:rPr>
            </w:pPr>
            <w:r>
              <w:rPr>
                <w:rFonts w:ascii="宋体"/>
                <w:sz w:val="16"/>
              </w:rPr>
              <w:t>1,064,478,180.93</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41" w:right="0"/>
              <w:jc w:val="left"/>
              <w:rPr>
                <w:rFonts w:ascii="宋体" w:hAnsi="宋体" w:cs="宋体" w:eastAsia="宋体" w:hint="default"/>
                <w:sz w:val="16"/>
                <w:szCs w:val="16"/>
              </w:rPr>
            </w:pPr>
            <w:r>
              <w:rPr>
                <w:rFonts w:ascii="宋体"/>
                <w:w w:val="100"/>
                <w:sz w:val="16"/>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9" w:right="0"/>
              <w:jc w:val="center"/>
              <w:rPr>
                <w:rFonts w:ascii="宋体" w:hAnsi="宋体" w:cs="宋体" w:eastAsia="宋体" w:hint="default"/>
                <w:sz w:val="16"/>
                <w:szCs w:val="16"/>
              </w:rPr>
            </w:pPr>
            <w:r>
              <w:rPr>
                <w:rFonts w:ascii="宋体"/>
                <w:sz w:val="16"/>
              </w:rPr>
              <w:t>87,213,612.79</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 w:right="0"/>
              <w:jc w:val="center"/>
              <w:rPr>
                <w:rFonts w:ascii="宋体" w:hAnsi="宋体" w:cs="宋体" w:eastAsia="宋体" w:hint="default"/>
                <w:sz w:val="16"/>
                <w:szCs w:val="16"/>
              </w:rPr>
            </w:pPr>
            <w:r>
              <w:rPr>
                <w:rFonts w:ascii="宋体"/>
                <w:w w:val="100"/>
                <w:sz w:val="16"/>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5" w:right="0"/>
              <w:jc w:val="center"/>
              <w:rPr>
                <w:rFonts w:ascii="宋体" w:hAnsi="宋体" w:cs="宋体" w:eastAsia="宋体" w:hint="default"/>
                <w:sz w:val="16"/>
                <w:szCs w:val="16"/>
              </w:rPr>
            </w:pPr>
            <w:r>
              <w:rPr>
                <w:rFonts w:ascii="宋体"/>
                <w:sz w:val="16"/>
              </w:rPr>
              <w:t>977,264,568.14</w:t>
            </w:r>
          </w:p>
        </w:tc>
      </w:tr>
    </w:tbl>
    <w:p>
      <w:pPr>
        <w:spacing w:after="0" w:line="186" w:lineRule="exact"/>
        <w:jc w:val="center"/>
        <w:rPr>
          <w:rFonts w:ascii="宋体" w:hAnsi="宋体" w:cs="宋体" w:eastAsia="宋体" w:hint="default"/>
          <w:sz w:val="16"/>
          <w:szCs w:val="16"/>
        </w:rPr>
        <w:sectPr>
          <w:type w:val="continuous"/>
          <w:pgSz w:w="11910" w:h="16840"/>
          <w:pgMar w:top="1060" w:bottom="1380" w:left="80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680" w:right="0"/>
        <w:jc w:val="left"/>
      </w:pPr>
      <w:r>
        <w:rPr/>
        <w:t>按单项计提坏账准备：</w:t>
      </w:r>
    </w:p>
    <w:p>
      <w:pPr>
        <w:pStyle w:val="BodyText"/>
        <w:spacing w:line="273" w:lineRule="exact"/>
        <w:ind w:left="680" w:right="0"/>
        <w:jc w:val="left"/>
      </w:pPr>
      <w:r>
        <w:rPr/>
        <w:t>□适用 √不适用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760" w:right="980"/>
        </w:sectPr>
      </w:pPr>
    </w:p>
    <w:p>
      <w:pPr>
        <w:pStyle w:val="BodyText"/>
        <w:spacing w:line="274" w:lineRule="exact" w:before="36"/>
        <w:ind w:left="680" w:right="0"/>
        <w:jc w:val="left"/>
      </w:pPr>
      <w:r>
        <w:rPr/>
        <w:t>按组合计提坏账准备：</w:t>
      </w:r>
    </w:p>
    <w:p>
      <w:pPr>
        <w:pStyle w:val="BodyText"/>
        <w:spacing w:line="272" w:lineRule="exact" w:before="27"/>
        <w:ind w:left="680" w:right="0"/>
        <w:jc w:val="left"/>
      </w:pPr>
      <w:r>
        <w:rPr/>
        <w:t>√适用</w:t>
      </w:r>
      <w:r>
        <w:rPr>
          <w:spacing w:val="-2"/>
        </w:rPr>
        <w:t> </w:t>
      </w:r>
      <w:r>
        <w:rPr/>
        <w:t>□不适用</w:t>
      </w:r>
      <w:r>
        <w:rPr>
          <w:spacing w:val="-103"/>
        </w:rPr>
        <w:t> </w:t>
      </w:r>
      <w:r>
        <w:rPr>
          <w:spacing w:val="-103"/>
        </w:rPr>
      </w:r>
      <w:r>
        <w:rPr>
          <w:spacing w:val="-2"/>
        </w:rPr>
        <w:t>组合计提项目：按账龄计提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680" w:right="0"/>
        <w:jc w:val="left"/>
      </w:pPr>
      <w:r>
        <w:rPr/>
        <w:t>单位：元币种：人民币</w:t>
      </w:r>
    </w:p>
    <w:p>
      <w:pPr>
        <w:spacing w:after="0" w:line="240" w:lineRule="auto"/>
        <w:jc w:val="left"/>
        <w:sectPr>
          <w:type w:val="continuous"/>
          <w:pgSz w:w="11910" w:h="16840"/>
          <w:pgMar w:top="1060" w:bottom="1380" w:left="760" w:right="980"/>
          <w:cols w:num="2" w:equalWidth="0">
            <w:col w:w="3203" w:space="3618"/>
            <w:col w:w="3349"/>
          </w:cols>
        </w:sectPr>
      </w:pPr>
    </w:p>
    <w:p>
      <w:pPr>
        <w:spacing w:line="240" w:lineRule="auto" w:before="4"/>
        <w:rPr>
          <w:rFonts w:ascii="宋体" w:hAnsi="宋体" w:cs="宋体" w:eastAsia="宋体" w:hint="default"/>
          <w:sz w:val="2"/>
          <w:szCs w:val="2"/>
        </w:rPr>
      </w:pPr>
    </w:p>
    <w:tbl>
      <w:tblPr>
        <w:tblW w:w="0" w:type="auto"/>
        <w:jc w:val="left"/>
        <w:tblInd w:w="567" w:type="dxa"/>
        <w:tblLayout w:type="fixed"/>
        <w:tblCellMar>
          <w:top w:w="0" w:type="dxa"/>
          <w:left w:w="0" w:type="dxa"/>
          <w:bottom w:w="0" w:type="dxa"/>
          <w:right w:w="0" w:type="dxa"/>
        </w:tblCellMar>
        <w:tblLook w:val="01E0"/>
      </w:tblPr>
      <w:tblGrid>
        <w:gridCol w:w="2141"/>
        <w:gridCol w:w="2360"/>
        <w:gridCol w:w="2400"/>
        <w:gridCol w:w="2343"/>
      </w:tblGrid>
      <w:tr>
        <w:trPr>
          <w:trHeight w:val="283" w:hRule="exact"/>
        </w:trPr>
        <w:tc>
          <w:tcPr>
            <w:tcW w:w="214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1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141" w:type="dxa"/>
            <w:vMerge/>
            <w:tcBorders>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970,108,931.93</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36,595,551.88</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3.77</w:t>
            </w:r>
          </w:p>
        </w:tc>
      </w:tr>
      <w:tr>
        <w:trPr>
          <w:trHeight w:val="28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38,274,890.59</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19,585,977.23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51.17</w:t>
            </w:r>
          </w:p>
        </w:tc>
      </w:tr>
      <w:tr>
        <w:trPr>
          <w:trHeight w:val="28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11,041,549.53</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11,041,549.53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47,639,639.97</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47,639,639.97</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1,067,065,012.02</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114,862,718.61</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10.76</w:t>
            </w:r>
          </w:p>
        </w:tc>
      </w:tr>
    </w:tbl>
    <w:p>
      <w:pPr>
        <w:spacing w:line="240" w:lineRule="auto" w:before="5"/>
        <w:rPr>
          <w:rFonts w:ascii="宋体" w:hAnsi="宋体" w:cs="宋体" w:eastAsia="宋体" w:hint="default"/>
          <w:sz w:val="15"/>
          <w:szCs w:val="15"/>
        </w:rPr>
      </w:pPr>
    </w:p>
    <w:p>
      <w:pPr>
        <w:pStyle w:val="BodyText"/>
        <w:spacing w:line="274" w:lineRule="exact" w:before="36"/>
        <w:ind w:left="680" w:right="0"/>
        <w:jc w:val="left"/>
      </w:pPr>
      <w:r>
        <w:rPr/>
        <w:t>按组合计提坏账的确认标准及说明：</w:t>
      </w:r>
    </w:p>
    <w:p>
      <w:pPr>
        <w:pStyle w:val="BodyText"/>
        <w:spacing w:line="274" w:lineRule="exact"/>
        <w:ind w:left="680" w:right="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680" w:right="0"/>
        <w:jc w:val="left"/>
      </w:pPr>
      <w:r>
        <w:rPr/>
        <w:t>如按预期信用损失一般模型计提坏账准备，请参照其他应收款披露：</w:t>
      </w:r>
    </w:p>
    <w:p>
      <w:pPr>
        <w:pStyle w:val="BodyText"/>
        <w:spacing w:line="273" w:lineRule="exact"/>
        <w:ind w:left="680"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760" w:right="980"/>
        </w:sectPr>
      </w:pPr>
    </w:p>
    <w:p>
      <w:pPr>
        <w:pStyle w:val="Heading2"/>
        <w:spacing w:line="240" w:lineRule="auto" w:before="36"/>
        <w:ind w:left="680" w:right="-16"/>
        <w:jc w:val="left"/>
        <w:rPr>
          <w:b w:val="0"/>
          <w:bCs w:val="0"/>
        </w:rPr>
      </w:pPr>
      <w:r>
        <w:rPr>
          <w:rFonts w:ascii="宋体" w:hAnsi="宋体" w:cs="宋体" w:eastAsia="宋体" w:hint="default"/>
        </w:rPr>
        <w:t>(3).</w:t>
      </w:r>
      <w:r>
        <w:rPr/>
        <w:t>坏账准备的情况</w:t>
      </w:r>
      <w:r>
        <w:rPr>
          <w:b w:val="0"/>
          <w:bCs w:val="0"/>
        </w:rPr>
      </w:r>
    </w:p>
    <w:p>
      <w:pPr>
        <w:pStyle w:val="BodyText"/>
        <w:spacing w:line="240" w:lineRule="auto" w:before="59"/>
        <w:ind w:left="680"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680" w:right="0"/>
        <w:jc w:val="left"/>
      </w:pPr>
      <w:r>
        <w:rPr/>
        <w:t>单位：元币种：人民币</w:t>
      </w:r>
    </w:p>
    <w:p>
      <w:pPr>
        <w:spacing w:after="0" w:line="240" w:lineRule="auto"/>
        <w:jc w:val="left"/>
        <w:sectPr>
          <w:type w:val="continuous"/>
          <w:pgSz w:w="11910" w:h="16840"/>
          <w:pgMar w:top="1060" w:bottom="1380" w:left="760" w:right="980"/>
          <w:cols w:num="2" w:equalWidth="0">
            <w:col w:w="2584" w:space="4343"/>
            <w:col w:w="3243"/>
          </w:cols>
        </w:sectPr>
      </w:pPr>
    </w:p>
    <w:p>
      <w:pPr>
        <w:spacing w:line="240" w:lineRule="auto" w:before="7"/>
        <w:rPr>
          <w:rFonts w:ascii="宋体" w:hAnsi="宋体" w:cs="宋体" w:eastAsia="宋体" w:hint="default"/>
          <w:sz w:val="2"/>
          <w:szCs w:val="2"/>
        </w:rPr>
      </w:pPr>
    </w:p>
    <w:tbl>
      <w:tblPr>
        <w:tblW w:w="0" w:type="auto"/>
        <w:jc w:val="left"/>
        <w:tblInd w:w="562" w:type="dxa"/>
        <w:tblLayout w:type="fixed"/>
        <w:tblCellMar>
          <w:top w:w="0" w:type="dxa"/>
          <w:left w:w="0" w:type="dxa"/>
          <w:bottom w:w="0" w:type="dxa"/>
          <w:right w:w="0" w:type="dxa"/>
        </w:tblCellMar>
        <w:tblLook w:val="01E0"/>
      </w:tblPr>
      <w:tblGrid>
        <w:gridCol w:w="1634"/>
        <w:gridCol w:w="1592"/>
        <w:gridCol w:w="1591"/>
        <w:gridCol w:w="1486"/>
        <w:gridCol w:w="1253"/>
        <w:gridCol w:w="1697"/>
      </w:tblGrid>
      <w:tr>
        <w:trPr>
          <w:trHeight w:val="281" w:hRule="exact"/>
        </w:trPr>
        <w:tc>
          <w:tcPr>
            <w:tcW w:w="16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3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34"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收回或转回</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697" w:type="dxa"/>
            <w:vMerge/>
            <w:tcBorders>
              <w:left w:val="single" w:sz="4" w:space="0" w:color="000000"/>
              <w:bottom w:val="single" w:sz="4" w:space="0" w:color="000000"/>
              <w:right w:val="single" w:sz="4" w:space="0" w:color="000000"/>
            </w:tcBorders>
          </w:tcPr>
          <w:p>
            <w:pPr/>
          </w:p>
        </w:tc>
      </w:tr>
      <w:tr>
        <w:trPr>
          <w:trHeight w:val="28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87,213,612.79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32,565,865.31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4,916,759.49</w:t>
            </w:r>
          </w:p>
        </w:tc>
        <w:tc>
          <w:tcPr>
            <w:tcW w:w="12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114,862,718.61</w:t>
            </w:r>
          </w:p>
        </w:tc>
      </w:tr>
      <w:tr>
        <w:trPr>
          <w:trHeight w:val="28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87,213,612.79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32,565,865.31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4,916,759.49</w:t>
            </w:r>
          </w:p>
        </w:tc>
        <w:tc>
          <w:tcPr>
            <w:tcW w:w="12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114,862,718.61</w:t>
            </w:r>
          </w:p>
        </w:tc>
      </w:tr>
    </w:tbl>
    <w:p>
      <w:pPr>
        <w:spacing w:line="240" w:lineRule="auto" w:before="3"/>
        <w:rPr>
          <w:rFonts w:ascii="宋体" w:hAnsi="宋体" w:cs="宋体" w:eastAsia="宋体" w:hint="default"/>
          <w:sz w:val="14"/>
          <w:szCs w:val="14"/>
        </w:rPr>
      </w:pPr>
    </w:p>
    <w:p>
      <w:pPr>
        <w:pStyle w:val="BodyText"/>
        <w:spacing w:line="273" w:lineRule="exact" w:before="36"/>
        <w:ind w:left="680" w:right="0"/>
        <w:jc w:val="left"/>
      </w:pPr>
      <w:r>
        <w:rPr/>
        <w:t>其中本期坏账准备收回或转回金额重要的：</w:t>
      </w:r>
    </w:p>
    <w:p>
      <w:pPr>
        <w:pStyle w:val="BodyText"/>
        <w:spacing w:line="273" w:lineRule="exact"/>
        <w:ind w:left="680"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680" w:right="0"/>
        <w:jc w:val="left"/>
        <w:rPr>
          <w:b w:val="0"/>
          <w:bCs w:val="0"/>
        </w:rPr>
      </w:pPr>
      <w:r>
        <w:rPr>
          <w:rFonts w:ascii="宋体" w:hAnsi="宋体" w:cs="宋体" w:eastAsia="宋体" w:hint="default"/>
        </w:rPr>
        <w:t>(4).</w:t>
      </w:r>
      <w:r>
        <w:rPr/>
        <w:t>本期实际核销的应收账款情况</w:t>
      </w:r>
      <w:r>
        <w:rPr>
          <w:b w:val="0"/>
          <w:bCs w:val="0"/>
        </w:rPr>
      </w:r>
    </w:p>
    <w:p>
      <w:pPr>
        <w:pStyle w:val="BodyText"/>
        <w:spacing w:line="240" w:lineRule="auto" w:before="57"/>
        <w:ind w:left="680" w:right="5229"/>
        <w:jc w:val="left"/>
      </w:pPr>
      <w:r>
        <w:rPr/>
        <w:t>□适用</w:t>
      </w:r>
      <w:r>
        <w:rPr>
          <w:spacing w:val="-2"/>
        </w:rPr>
        <w:t> </w:t>
      </w:r>
      <w:r>
        <w:rPr/>
        <w:t>√不适用</w:t>
      </w:r>
      <w:r>
        <w:rPr>
          <w:spacing w:val="-103"/>
        </w:rPr>
        <w:t> </w:t>
      </w:r>
      <w:r>
        <w:rPr>
          <w:spacing w:val="-103"/>
        </w:rPr>
      </w:r>
      <w:r>
        <w:rPr>
          <w:spacing w:val="-2"/>
        </w:rPr>
        <w:t>其中重要的应收账款核销情况</w:t>
      </w:r>
    </w:p>
    <w:p>
      <w:pPr>
        <w:pStyle w:val="BodyText"/>
        <w:spacing w:line="271" w:lineRule="exact"/>
        <w:ind w:left="680"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680" w:right="0"/>
        <w:jc w:val="left"/>
        <w:rPr>
          <w:b w:val="0"/>
          <w:bCs w:val="0"/>
        </w:rPr>
      </w:pPr>
      <w:r>
        <w:rPr>
          <w:rFonts w:ascii="宋体" w:hAnsi="宋体" w:cs="宋体" w:eastAsia="宋体" w:hint="default"/>
        </w:rPr>
        <w:t>(5).</w:t>
      </w:r>
      <w:r>
        <w:rPr/>
        <w:t>按欠款方归集的期末余额前五名的应收账款情况</w:t>
      </w:r>
      <w:r>
        <w:rPr>
          <w:b w:val="0"/>
          <w:bCs w:val="0"/>
        </w:rPr>
      </w:r>
    </w:p>
    <w:p>
      <w:pPr>
        <w:pStyle w:val="BodyText"/>
        <w:spacing w:line="240" w:lineRule="auto" w:before="58"/>
        <w:ind w:left="680" w:right="0"/>
        <w:jc w:val="left"/>
      </w:pPr>
      <w:r>
        <w:rPr/>
        <w:t>√适用 □不适用</w:t>
      </w:r>
    </w:p>
    <w:p>
      <w:pPr>
        <w:spacing w:line="240" w:lineRule="auto" w:before="3"/>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702"/>
        <w:gridCol w:w="1755"/>
        <w:gridCol w:w="1942"/>
        <w:gridCol w:w="1760"/>
        <w:gridCol w:w="1441"/>
        <w:gridCol w:w="1325"/>
      </w:tblGrid>
      <w:tr>
        <w:trPr>
          <w:trHeight w:val="368" w:hRule="exact"/>
        </w:trPr>
        <w:tc>
          <w:tcPr>
            <w:tcW w:w="1702"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1" w:right="0"/>
              <w:jc w:val="left"/>
              <w:rPr>
                <w:rFonts w:ascii="宋体" w:hAnsi="宋体" w:cs="宋体" w:eastAsia="宋体" w:hint="default"/>
                <w:sz w:val="22"/>
                <w:szCs w:val="22"/>
              </w:rPr>
            </w:pPr>
            <w:r>
              <w:rPr>
                <w:rFonts w:ascii="宋体" w:hAnsi="宋体" w:cs="宋体" w:eastAsia="宋体" w:hint="default"/>
                <w:sz w:val="22"/>
                <w:szCs w:val="22"/>
              </w:rPr>
              <w:t>单位名称</w:t>
            </w:r>
          </w:p>
        </w:tc>
        <w:tc>
          <w:tcPr>
            <w:tcW w:w="1755"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2"/>
                <w:szCs w:val="22"/>
              </w:rPr>
            </w:pPr>
            <w:r>
              <w:rPr>
                <w:rFonts w:ascii="宋体" w:hAnsi="宋体" w:cs="宋体" w:eastAsia="宋体" w:hint="default"/>
                <w:sz w:val="22"/>
                <w:szCs w:val="22"/>
              </w:rPr>
              <w:t>与本公司关系</w:t>
            </w:r>
          </w:p>
        </w:tc>
        <w:tc>
          <w:tcPr>
            <w:tcW w:w="1942" w:type="dxa"/>
            <w:vMerge w:val="restart"/>
            <w:tcBorders>
              <w:top w:val="single" w:sz="8" w:space="0" w:color="000000"/>
              <w:left w:val="single" w:sz="8" w:space="0" w:color="000000"/>
              <w:right w:val="single" w:sz="8" w:space="0" w:color="000000"/>
            </w:tcBorders>
          </w:tcPr>
          <w:p>
            <w:pPr>
              <w:pStyle w:val="TableParagraph"/>
              <w:spacing w:line="286" w:lineRule="exact" w:before="105"/>
              <w:ind w:right="0"/>
              <w:jc w:val="center"/>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w w:val="100"/>
                <w:sz w:val="22"/>
                <w:szCs w:val="22"/>
              </w:rPr>
              <w:t>日</w:t>
            </w:r>
          </w:p>
        </w:tc>
        <w:tc>
          <w:tcPr>
            <w:tcW w:w="1760"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年限</w:t>
            </w:r>
          </w:p>
        </w:tc>
        <w:tc>
          <w:tcPr>
            <w:tcW w:w="1441" w:type="dxa"/>
            <w:vMerge w:val="restart"/>
            <w:tcBorders>
              <w:top w:val="single" w:sz="8" w:space="0" w:color="000000"/>
              <w:left w:val="single" w:sz="8" w:space="0" w:color="000000"/>
              <w:right w:val="single" w:sz="8" w:space="0" w:color="000000"/>
            </w:tcBorders>
          </w:tcPr>
          <w:p>
            <w:pPr>
              <w:pStyle w:val="TableParagraph"/>
              <w:spacing w:line="248" w:lineRule="exact"/>
              <w:ind w:left="160" w:right="0"/>
              <w:jc w:val="left"/>
              <w:rPr>
                <w:rFonts w:ascii="宋体" w:hAnsi="宋体" w:cs="宋体" w:eastAsia="宋体" w:hint="default"/>
                <w:sz w:val="22"/>
                <w:szCs w:val="22"/>
              </w:rPr>
            </w:pPr>
            <w:r>
              <w:rPr>
                <w:rFonts w:ascii="宋体" w:hAnsi="宋体" w:cs="宋体" w:eastAsia="宋体" w:hint="default"/>
                <w:sz w:val="22"/>
                <w:szCs w:val="22"/>
              </w:rPr>
              <w:t>占应收账款</w:t>
            </w:r>
          </w:p>
          <w:p>
            <w:pPr>
              <w:pStyle w:val="TableParagraph"/>
              <w:spacing w:line="286" w:lineRule="exact" w:before="27"/>
              <w:ind w:left="544" w:right="157" w:hanging="384"/>
              <w:jc w:val="left"/>
              <w:rPr>
                <w:rFonts w:ascii="宋体" w:hAnsi="宋体" w:cs="宋体" w:eastAsia="宋体" w:hint="default"/>
                <w:sz w:val="22"/>
                <w:szCs w:val="22"/>
              </w:rPr>
            </w:pPr>
            <w:r>
              <w:rPr>
                <w:rFonts w:ascii="宋体" w:hAnsi="宋体" w:cs="宋体" w:eastAsia="宋体" w:hint="default"/>
                <w:sz w:val="22"/>
                <w:szCs w:val="22"/>
              </w:rPr>
              <w:t>总额的比例</w:t>
            </w:r>
            <w:r>
              <w:rPr>
                <w:rFonts w:ascii="宋体" w:hAnsi="宋体" w:cs="宋体" w:eastAsia="宋体" w:hint="default"/>
                <w:w w:val="100"/>
                <w:sz w:val="22"/>
                <w:szCs w:val="22"/>
              </w:rPr>
              <w:t> </w:t>
            </w:r>
            <w:r>
              <w:rPr>
                <w:rFonts w:ascii="宋体" w:hAnsi="宋体" w:cs="宋体" w:eastAsia="宋体" w:hint="default"/>
                <w:sz w:val="22"/>
                <w:szCs w:val="22"/>
              </w:rPr>
              <w:t>(%)</w:t>
            </w:r>
          </w:p>
        </w:tc>
        <w:tc>
          <w:tcPr>
            <w:tcW w:w="1325" w:type="dxa"/>
            <w:tcBorders>
              <w:top w:val="single" w:sz="8" w:space="0" w:color="000000"/>
              <w:left w:val="single" w:sz="8" w:space="0" w:color="000000"/>
              <w:bottom w:val="nil" w:sz="6" w:space="0" w:color="auto"/>
              <w:right w:val="single" w:sz="8" w:space="0" w:color="000000"/>
            </w:tcBorders>
          </w:tcPr>
          <w:p>
            <w:pPr>
              <w:pStyle w:val="TableParagraph"/>
              <w:spacing w:line="249" w:lineRule="exact"/>
              <w:ind w:left="213" w:right="0"/>
              <w:jc w:val="left"/>
              <w:rPr>
                <w:rFonts w:ascii="宋体" w:hAnsi="宋体" w:cs="宋体" w:eastAsia="宋体" w:hint="default"/>
                <w:sz w:val="22"/>
                <w:szCs w:val="22"/>
              </w:rPr>
            </w:pPr>
            <w:r>
              <w:rPr>
                <w:rFonts w:ascii="宋体" w:hAnsi="宋体" w:cs="宋体" w:eastAsia="宋体" w:hint="default"/>
                <w:sz w:val="22"/>
                <w:szCs w:val="22"/>
              </w:rPr>
              <w:t>坏账准备</w:t>
            </w:r>
          </w:p>
        </w:tc>
      </w:tr>
      <w:tr>
        <w:trPr>
          <w:trHeight w:val="508" w:hRule="exact"/>
        </w:trPr>
        <w:tc>
          <w:tcPr>
            <w:tcW w:w="1702" w:type="dxa"/>
            <w:vMerge/>
            <w:tcBorders>
              <w:left w:val="single" w:sz="8" w:space="0" w:color="000000"/>
              <w:bottom w:val="single" w:sz="8" w:space="0" w:color="000000"/>
              <w:right w:val="single" w:sz="8" w:space="0" w:color="000000"/>
            </w:tcBorders>
          </w:tcPr>
          <w:p>
            <w:pPr/>
          </w:p>
        </w:tc>
        <w:tc>
          <w:tcPr>
            <w:tcW w:w="1755" w:type="dxa"/>
            <w:vMerge/>
            <w:tcBorders>
              <w:left w:val="single" w:sz="8" w:space="0" w:color="000000"/>
              <w:bottom w:val="single" w:sz="8" w:space="0" w:color="000000"/>
              <w:right w:val="single" w:sz="8" w:space="0" w:color="000000"/>
            </w:tcBorders>
          </w:tcPr>
          <w:p>
            <w:pPr/>
          </w:p>
        </w:tc>
        <w:tc>
          <w:tcPr>
            <w:tcW w:w="1942" w:type="dxa"/>
            <w:vMerge/>
            <w:tcBorders>
              <w:left w:val="single" w:sz="8" w:space="0" w:color="000000"/>
              <w:bottom w:val="single" w:sz="8" w:space="0" w:color="000000"/>
              <w:right w:val="single" w:sz="8" w:space="0" w:color="000000"/>
            </w:tcBorders>
          </w:tcPr>
          <w:p>
            <w:pPr/>
          </w:p>
        </w:tc>
        <w:tc>
          <w:tcPr>
            <w:tcW w:w="1760" w:type="dxa"/>
            <w:vMerge/>
            <w:tcBorders>
              <w:left w:val="single" w:sz="8" w:space="0" w:color="000000"/>
              <w:bottom w:val="single" w:sz="8" w:space="0" w:color="000000"/>
              <w:right w:val="single" w:sz="8" w:space="0" w:color="000000"/>
            </w:tcBorders>
          </w:tcPr>
          <w:p>
            <w:pPr/>
          </w:p>
        </w:tc>
        <w:tc>
          <w:tcPr>
            <w:tcW w:w="1441" w:type="dxa"/>
            <w:vMerge/>
            <w:tcBorders>
              <w:left w:val="single" w:sz="8" w:space="0" w:color="000000"/>
              <w:bottom w:val="single" w:sz="8" w:space="0" w:color="000000"/>
              <w:right w:val="single" w:sz="8" w:space="0" w:color="000000"/>
            </w:tcBorders>
          </w:tcPr>
          <w:p>
            <w:pPr/>
          </w:p>
        </w:tc>
        <w:tc>
          <w:tcPr>
            <w:tcW w:w="132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2"/>
              <w:ind w:left="213" w:right="0"/>
              <w:jc w:val="left"/>
              <w:rPr>
                <w:rFonts w:ascii="宋体" w:hAnsi="宋体" w:cs="宋体" w:eastAsia="宋体" w:hint="default"/>
                <w:sz w:val="22"/>
                <w:szCs w:val="22"/>
              </w:rPr>
            </w:pPr>
            <w:r>
              <w:rPr>
                <w:rFonts w:ascii="宋体" w:hAnsi="宋体" w:cs="宋体" w:eastAsia="宋体" w:hint="default"/>
                <w:sz w:val="22"/>
                <w:szCs w:val="22"/>
              </w:rPr>
              <w:t>年末余额</w:t>
            </w:r>
          </w:p>
        </w:tc>
      </w:tr>
      <w:tr>
        <w:trPr>
          <w:trHeight w:val="334"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宋体" w:hAnsi="宋体" w:cs="宋体" w:eastAsia="宋体" w:hint="default"/>
                <w:sz w:val="22"/>
                <w:szCs w:val="22"/>
              </w:rPr>
            </w:pPr>
            <w:r>
              <w:rPr>
                <w:rFonts w:ascii="宋体" w:hAnsi="宋体" w:cs="宋体" w:eastAsia="宋体" w:hint="default"/>
                <w:sz w:val="22"/>
                <w:szCs w:val="22"/>
              </w:rPr>
              <w:t>文轩教育科技</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2"/>
                <w:szCs w:val="22"/>
              </w:rPr>
            </w:pPr>
            <w:r>
              <w:rPr>
                <w:rFonts w:ascii="宋体" w:hAnsi="宋体" w:cs="宋体" w:eastAsia="宋体" w:hint="default"/>
                <w:sz w:val="22"/>
                <w:szCs w:val="22"/>
              </w:rPr>
              <w:t>子公司</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2"/>
                <w:szCs w:val="22"/>
              </w:rPr>
            </w:pPr>
            <w:r>
              <w:rPr>
                <w:rFonts w:ascii="宋体"/>
                <w:spacing w:val="-1"/>
                <w:sz w:val="22"/>
              </w:rPr>
              <w:t>205,530,799.83</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456"/>
              <w:jc w:val="righ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4"/>
              <w:jc w:val="right"/>
              <w:rPr>
                <w:rFonts w:ascii="宋体" w:hAnsi="宋体" w:cs="宋体" w:eastAsia="宋体" w:hint="default"/>
                <w:sz w:val="22"/>
                <w:szCs w:val="22"/>
              </w:rPr>
            </w:pPr>
            <w:r>
              <w:rPr>
                <w:rFonts w:ascii="宋体"/>
                <w:sz w:val="22"/>
              </w:rPr>
              <w:t>19.26</w:t>
            </w:r>
          </w:p>
        </w:tc>
        <w:tc>
          <w:tcPr>
            <w:tcW w:w="13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5"/>
              <w:jc w:val="right"/>
              <w:rPr>
                <w:rFonts w:ascii="宋体" w:hAnsi="宋体" w:cs="宋体" w:eastAsia="宋体" w:hint="default"/>
                <w:sz w:val="22"/>
                <w:szCs w:val="22"/>
              </w:rPr>
            </w:pPr>
            <w:r>
              <w:rPr>
                <w:rFonts w:ascii="宋体"/>
                <w:w w:val="100"/>
                <w:sz w:val="22"/>
              </w:rPr>
              <w:t>-</w:t>
            </w:r>
          </w:p>
        </w:tc>
      </w:tr>
      <w:tr>
        <w:trPr>
          <w:trHeight w:val="336"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52" w:lineRule="exact"/>
              <w:ind w:left="98" w:right="0"/>
              <w:jc w:val="left"/>
              <w:rPr>
                <w:rFonts w:ascii="宋体" w:hAnsi="宋体" w:cs="宋体" w:eastAsia="宋体" w:hint="default"/>
                <w:sz w:val="22"/>
                <w:szCs w:val="22"/>
              </w:rPr>
            </w:pPr>
            <w:r>
              <w:rPr>
                <w:rFonts w:ascii="宋体" w:hAnsi="宋体" w:cs="宋体" w:eastAsia="宋体" w:hint="default"/>
                <w:sz w:val="22"/>
                <w:szCs w:val="22"/>
              </w:rPr>
              <w:t>文轩在线</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子公司</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6"/>
              <w:jc w:val="right"/>
              <w:rPr>
                <w:rFonts w:ascii="宋体" w:hAnsi="宋体" w:cs="宋体" w:eastAsia="宋体" w:hint="default"/>
                <w:sz w:val="22"/>
                <w:szCs w:val="22"/>
              </w:rPr>
            </w:pPr>
            <w:r>
              <w:rPr>
                <w:rFonts w:ascii="宋体"/>
                <w:spacing w:val="-1"/>
                <w:sz w:val="22"/>
              </w:rPr>
              <w:t>179,379,072.73</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456"/>
              <w:jc w:val="righ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z w:val="22"/>
              </w:rPr>
              <w:t>16.81</w:t>
            </w:r>
          </w:p>
        </w:tc>
        <w:tc>
          <w:tcPr>
            <w:tcW w:w="1325"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5"/>
              <w:jc w:val="right"/>
              <w:rPr>
                <w:rFonts w:ascii="宋体" w:hAnsi="宋体" w:cs="宋体" w:eastAsia="宋体" w:hint="default"/>
                <w:sz w:val="22"/>
                <w:szCs w:val="22"/>
              </w:rPr>
            </w:pPr>
            <w:r>
              <w:rPr>
                <w:rFonts w:ascii="宋体"/>
                <w:w w:val="100"/>
                <w:sz w:val="22"/>
              </w:rPr>
              <w:t>-</w:t>
            </w:r>
          </w:p>
        </w:tc>
      </w:tr>
    </w:tbl>
    <w:p>
      <w:pPr>
        <w:spacing w:after="0" w:line="266" w:lineRule="exact"/>
        <w:jc w:val="right"/>
        <w:rPr>
          <w:rFonts w:ascii="宋体" w:hAnsi="宋体" w:cs="宋体" w:eastAsia="宋体" w:hint="default"/>
          <w:sz w:val="22"/>
          <w:szCs w:val="22"/>
        </w:rPr>
        <w:sectPr>
          <w:type w:val="continuous"/>
          <w:pgSz w:w="11910" w:h="16840"/>
          <w:pgMar w:top="1060" w:bottom="1380" w:left="7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702"/>
        <w:gridCol w:w="1755"/>
        <w:gridCol w:w="1942"/>
        <w:gridCol w:w="1760"/>
        <w:gridCol w:w="1441"/>
        <w:gridCol w:w="1325"/>
      </w:tblGrid>
      <w:tr>
        <w:trPr>
          <w:trHeight w:val="324" w:hRule="exact"/>
        </w:trPr>
        <w:tc>
          <w:tcPr>
            <w:tcW w:w="1702" w:type="dxa"/>
            <w:tcBorders>
              <w:top w:val="nil" w:sz="6" w:space="0" w:color="auto"/>
              <w:left w:val="single" w:sz="8" w:space="0" w:color="000000"/>
              <w:bottom w:val="single" w:sz="8" w:space="0" w:color="000000"/>
              <w:right w:val="single" w:sz="8" w:space="0" w:color="000000"/>
            </w:tcBorders>
          </w:tcPr>
          <w:p>
            <w:pPr>
              <w:pStyle w:val="TableParagraph"/>
              <w:spacing w:line="249" w:lineRule="exact"/>
              <w:ind w:left="98" w:right="0"/>
              <w:jc w:val="left"/>
              <w:rPr>
                <w:rFonts w:ascii="宋体" w:hAnsi="宋体" w:cs="宋体" w:eastAsia="宋体" w:hint="default"/>
                <w:sz w:val="22"/>
                <w:szCs w:val="22"/>
              </w:rPr>
            </w:pPr>
            <w:r>
              <w:rPr>
                <w:rFonts w:ascii="宋体" w:hAnsi="宋体" w:cs="宋体" w:eastAsia="宋体" w:hint="default"/>
                <w:sz w:val="22"/>
                <w:szCs w:val="22"/>
              </w:rPr>
              <w:t>北京商超</w:t>
            </w:r>
          </w:p>
        </w:tc>
        <w:tc>
          <w:tcPr>
            <w:tcW w:w="1755" w:type="dxa"/>
            <w:tcBorders>
              <w:top w:val="nil" w:sz="6" w:space="0" w:color="auto"/>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2"/>
                <w:szCs w:val="22"/>
              </w:rPr>
            </w:pPr>
            <w:r>
              <w:rPr>
                <w:rFonts w:ascii="宋体" w:hAnsi="宋体" w:cs="宋体" w:eastAsia="宋体" w:hint="default"/>
                <w:sz w:val="22"/>
                <w:szCs w:val="22"/>
              </w:rPr>
              <w:t>子公司</w:t>
            </w:r>
          </w:p>
        </w:tc>
        <w:tc>
          <w:tcPr>
            <w:tcW w:w="1942" w:type="dxa"/>
            <w:tcBorders>
              <w:top w:val="nil" w:sz="6" w:space="0" w:color="auto"/>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2"/>
                <w:szCs w:val="22"/>
              </w:rPr>
            </w:pPr>
            <w:r>
              <w:rPr>
                <w:rFonts w:ascii="宋体"/>
                <w:spacing w:val="-1"/>
                <w:sz w:val="22"/>
              </w:rPr>
              <w:t>102,403,282.99</w:t>
            </w:r>
          </w:p>
        </w:tc>
        <w:tc>
          <w:tcPr>
            <w:tcW w:w="1760" w:type="dxa"/>
            <w:tcBorders>
              <w:top w:val="nil" w:sz="6" w:space="0" w:color="auto"/>
              <w:left w:val="single" w:sz="8" w:space="0" w:color="000000"/>
              <w:bottom w:val="single" w:sz="8" w:space="0" w:color="000000"/>
              <w:right w:val="single" w:sz="8" w:space="0" w:color="000000"/>
            </w:tcBorders>
          </w:tcPr>
          <w:p>
            <w:pPr>
              <w:pStyle w:val="TableParagraph"/>
              <w:spacing w:line="264" w:lineRule="exact"/>
              <w:ind w:right="2"/>
              <w:jc w:val="center"/>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441" w:type="dxa"/>
            <w:tcBorders>
              <w:top w:val="nil" w:sz="6" w:space="0" w:color="auto"/>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2"/>
                <w:szCs w:val="22"/>
              </w:rPr>
            </w:pPr>
            <w:r>
              <w:rPr>
                <w:rFonts w:ascii="宋体"/>
                <w:sz w:val="22"/>
              </w:rPr>
              <w:t>9.6</w:t>
            </w:r>
          </w:p>
        </w:tc>
        <w:tc>
          <w:tcPr>
            <w:tcW w:w="1325" w:type="dxa"/>
            <w:tcBorders>
              <w:top w:val="nil" w:sz="6" w:space="0" w:color="auto"/>
              <w:left w:val="single" w:sz="8" w:space="0" w:color="000000"/>
              <w:bottom w:val="single" w:sz="8" w:space="0" w:color="000000"/>
              <w:right w:val="single" w:sz="8" w:space="0" w:color="000000"/>
            </w:tcBorders>
          </w:tcPr>
          <w:p>
            <w:pPr>
              <w:pStyle w:val="TableParagraph"/>
              <w:spacing w:line="264" w:lineRule="exact"/>
              <w:ind w:right="95"/>
              <w:jc w:val="right"/>
              <w:rPr>
                <w:rFonts w:ascii="宋体" w:hAnsi="宋体" w:cs="宋体" w:eastAsia="宋体" w:hint="default"/>
                <w:sz w:val="22"/>
                <w:szCs w:val="22"/>
              </w:rPr>
            </w:pPr>
            <w:r>
              <w:rPr>
                <w:rFonts w:ascii="宋体"/>
                <w:w w:val="100"/>
                <w:sz w:val="22"/>
              </w:rPr>
              <w:t>-</w:t>
            </w:r>
          </w:p>
        </w:tc>
      </w:tr>
      <w:tr>
        <w:trPr>
          <w:trHeight w:val="336"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宋体" w:hAnsi="宋体" w:cs="宋体" w:eastAsia="宋体" w:hint="default"/>
                <w:sz w:val="22"/>
                <w:szCs w:val="22"/>
              </w:rPr>
            </w:pPr>
            <w:r>
              <w:rPr>
                <w:rFonts w:ascii="宋体" w:hAnsi="宋体" w:cs="宋体" w:eastAsia="宋体" w:hint="default"/>
                <w:sz w:val="22"/>
                <w:szCs w:val="22"/>
              </w:rPr>
              <w:t>合江县教育局</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第三方</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6"/>
              <w:jc w:val="right"/>
              <w:rPr>
                <w:rFonts w:ascii="宋体" w:hAnsi="宋体" w:cs="宋体" w:eastAsia="宋体" w:hint="default"/>
                <w:sz w:val="22"/>
                <w:szCs w:val="22"/>
              </w:rPr>
            </w:pPr>
            <w:r>
              <w:rPr>
                <w:rFonts w:ascii="宋体"/>
                <w:spacing w:val="-1"/>
                <w:sz w:val="22"/>
              </w:rPr>
              <w:t>35,000,000.00</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2"/>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5"/>
              <w:jc w:val="right"/>
              <w:rPr>
                <w:rFonts w:ascii="宋体" w:hAnsi="宋体" w:cs="宋体" w:eastAsia="宋体" w:hint="default"/>
                <w:sz w:val="22"/>
                <w:szCs w:val="22"/>
              </w:rPr>
            </w:pPr>
            <w:r>
              <w:rPr>
                <w:rFonts w:ascii="宋体"/>
                <w:sz w:val="22"/>
              </w:rPr>
              <w:t>3.28</w:t>
            </w:r>
          </w:p>
        </w:tc>
        <w:tc>
          <w:tcPr>
            <w:tcW w:w="1325"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5"/>
              <w:jc w:val="right"/>
              <w:rPr>
                <w:rFonts w:ascii="宋体" w:hAnsi="宋体" w:cs="宋体" w:eastAsia="宋体" w:hint="default"/>
                <w:sz w:val="22"/>
                <w:szCs w:val="22"/>
              </w:rPr>
            </w:pPr>
            <w:r>
              <w:rPr>
                <w:rFonts w:ascii="宋体"/>
                <w:w w:val="100"/>
                <w:sz w:val="22"/>
              </w:rPr>
              <w:t>-</w:t>
            </w:r>
          </w:p>
        </w:tc>
      </w:tr>
      <w:tr>
        <w:trPr>
          <w:trHeight w:val="334"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宋体" w:hAnsi="宋体" w:cs="宋体" w:eastAsia="宋体" w:hint="default"/>
                <w:sz w:val="22"/>
                <w:szCs w:val="22"/>
              </w:rPr>
            </w:pPr>
            <w:r>
              <w:rPr>
                <w:rFonts w:ascii="宋体" w:hAnsi="宋体" w:cs="宋体" w:eastAsia="宋体" w:hint="default"/>
                <w:sz w:val="22"/>
                <w:szCs w:val="22"/>
              </w:rPr>
              <w:t>安岳县教育局</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2"/>
                <w:szCs w:val="22"/>
              </w:rPr>
            </w:pPr>
            <w:r>
              <w:rPr>
                <w:rFonts w:ascii="宋体" w:hAnsi="宋体" w:cs="宋体" w:eastAsia="宋体" w:hint="default"/>
                <w:sz w:val="22"/>
                <w:szCs w:val="22"/>
              </w:rPr>
              <w:t>第三方</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2"/>
                <w:szCs w:val="22"/>
              </w:rPr>
            </w:pPr>
            <w:r>
              <w:rPr>
                <w:rFonts w:ascii="宋体"/>
                <w:spacing w:val="-1"/>
                <w:sz w:val="22"/>
              </w:rPr>
              <w:t>30,113,430.30</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2"/>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5"/>
              <w:jc w:val="right"/>
              <w:rPr>
                <w:rFonts w:ascii="宋体" w:hAnsi="宋体" w:cs="宋体" w:eastAsia="宋体" w:hint="default"/>
                <w:sz w:val="22"/>
                <w:szCs w:val="22"/>
              </w:rPr>
            </w:pPr>
            <w:r>
              <w:rPr>
                <w:rFonts w:ascii="宋体"/>
                <w:sz w:val="22"/>
              </w:rPr>
              <w:t>2.82</w:t>
            </w:r>
          </w:p>
        </w:tc>
        <w:tc>
          <w:tcPr>
            <w:tcW w:w="13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5"/>
              <w:jc w:val="right"/>
              <w:rPr>
                <w:rFonts w:ascii="宋体" w:hAnsi="宋体" w:cs="宋体" w:eastAsia="宋体" w:hint="default"/>
                <w:sz w:val="22"/>
                <w:szCs w:val="22"/>
              </w:rPr>
            </w:pPr>
            <w:r>
              <w:rPr>
                <w:rFonts w:ascii="宋体"/>
                <w:w w:val="100"/>
                <w:sz w:val="22"/>
              </w:rPr>
              <w:t>-</w:t>
            </w:r>
          </w:p>
        </w:tc>
      </w:tr>
      <w:tr>
        <w:trPr>
          <w:trHeight w:val="336"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52" w:lineRule="exact"/>
              <w:ind w:left="98"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755" w:type="dxa"/>
            <w:tcBorders>
              <w:top w:val="single" w:sz="8" w:space="0" w:color="000000"/>
              <w:left w:val="single" w:sz="8" w:space="0" w:color="000000"/>
              <w:bottom w:val="single" w:sz="8" w:space="0" w:color="000000"/>
              <w:right w:val="single" w:sz="8" w:space="0" w:color="000000"/>
            </w:tcBorders>
          </w:tcPr>
          <w:p>
            <w:pP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6"/>
              <w:jc w:val="right"/>
              <w:rPr>
                <w:rFonts w:ascii="宋体" w:hAnsi="宋体" w:cs="宋体" w:eastAsia="宋体" w:hint="default"/>
                <w:sz w:val="22"/>
                <w:szCs w:val="22"/>
              </w:rPr>
            </w:pPr>
            <w:r>
              <w:rPr>
                <w:rFonts w:ascii="宋体"/>
                <w:spacing w:val="-1"/>
                <w:sz w:val="22"/>
              </w:rPr>
              <w:t>552,426,585.85</w:t>
            </w:r>
          </w:p>
        </w:tc>
        <w:tc>
          <w:tcPr>
            <w:tcW w:w="1760" w:type="dxa"/>
            <w:tcBorders>
              <w:top w:val="single" w:sz="8" w:space="0" w:color="000000"/>
              <w:left w:val="single" w:sz="8" w:space="0" w:color="000000"/>
              <w:bottom w:val="single" w:sz="8" w:space="0" w:color="000000"/>
              <w:right w:val="single" w:sz="8" w:space="0" w:color="000000"/>
            </w:tcBorders>
          </w:tcPr>
          <w:p>
            <w:pP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z w:val="22"/>
              </w:rPr>
              <w:t>51.77</w:t>
            </w:r>
          </w:p>
        </w:tc>
        <w:tc>
          <w:tcPr>
            <w:tcW w:w="1325"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5"/>
              <w:jc w:val="right"/>
              <w:rPr>
                <w:rFonts w:ascii="宋体" w:hAnsi="宋体" w:cs="宋体" w:eastAsia="宋体" w:hint="default"/>
                <w:sz w:val="22"/>
                <w:szCs w:val="22"/>
              </w:rPr>
            </w:pPr>
            <w:r>
              <w:rPr>
                <w:rFonts w:ascii="宋体"/>
                <w:w w:val="100"/>
                <w:sz w:val="22"/>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680" w:right="0"/>
        <w:jc w:val="left"/>
        <w:rPr>
          <w:b w:val="0"/>
          <w:bCs w:val="0"/>
        </w:rPr>
      </w:pPr>
      <w:r>
        <w:rPr>
          <w:rFonts w:ascii="宋体" w:hAnsi="宋体" w:cs="宋体" w:eastAsia="宋体" w:hint="default"/>
        </w:rPr>
        <w:t>(6).</w:t>
      </w:r>
      <w:r>
        <w:rPr/>
        <w:t>因金融资产转移而终止确认的应收账款</w:t>
      </w:r>
      <w:r>
        <w:rPr>
          <w:b w:val="0"/>
          <w:bCs w:val="0"/>
        </w:rPr>
      </w:r>
    </w:p>
    <w:p>
      <w:pPr>
        <w:pStyle w:val="BodyText"/>
        <w:spacing w:line="240" w:lineRule="auto" w:before="58"/>
        <w:ind w:left="680" w:right="0"/>
        <w:jc w:val="left"/>
      </w:pPr>
      <w:r>
        <w:rPr/>
        <w:t>□适用 √不适用</w:t>
      </w:r>
    </w:p>
    <w:p>
      <w:pPr>
        <w:spacing w:line="240" w:lineRule="auto" w:before="11"/>
        <w:rPr>
          <w:rFonts w:ascii="宋体" w:hAnsi="宋体" w:cs="宋体" w:eastAsia="宋体" w:hint="default"/>
          <w:sz w:val="22"/>
          <w:szCs w:val="22"/>
        </w:rPr>
      </w:pPr>
    </w:p>
    <w:p>
      <w:pPr>
        <w:pStyle w:val="Heading2"/>
        <w:spacing w:line="240" w:lineRule="auto"/>
        <w:ind w:left="680" w:right="0"/>
        <w:jc w:val="left"/>
        <w:rPr>
          <w:b w:val="0"/>
          <w:bCs w:val="0"/>
        </w:rPr>
      </w:pPr>
      <w:r>
        <w:rPr>
          <w:rFonts w:ascii="宋体" w:hAnsi="宋体" w:cs="宋体" w:eastAsia="宋体" w:hint="default"/>
        </w:rPr>
        <w:t>(7).</w:t>
      </w:r>
      <w:r>
        <w:rPr/>
        <w:t>转移应收账款且继续涉入形成的资产、负债金额</w:t>
      </w:r>
      <w:r>
        <w:rPr>
          <w:b w:val="0"/>
          <w:bCs w:val="0"/>
        </w:rPr>
      </w:r>
    </w:p>
    <w:p>
      <w:pPr>
        <w:pStyle w:val="BodyText"/>
        <w:spacing w:line="240" w:lineRule="auto" w:before="57"/>
        <w:ind w:left="680" w:right="0"/>
        <w:jc w:val="left"/>
      </w:pPr>
      <w:r>
        <w:rPr/>
        <w:t>□适用 √不适用</w:t>
      </w:r>
    </w:p>
    <w:p>
      <w:pPr>
        <w:spacing w:line="240" w:lineRule="auto" w:before="3"/>
        <w:rPr>
          <w:rFonts w:ascii="宋体" w:hAnsi="宋体" w:cs="宋体" w:eastAsia="宋体" w:hint="default"/>
          <w:sz w:val="18"/>
          <w:szCs w:val="18"/>
        </w:rPr>
      </w:pPr>
    </w:p>
    <w:p>
      <w:pPr>
        <w:pStyle w:val="BodyText"/>
        <w:spacing w:line="274" w:lineRule="exact"/>
        <w:ind w:left="680" w:right="0"/>
        <w:jc w:val="left"/>
      </w:pPr>
      <w:r>
        <w:rPr/>
        <w:t>其他说明：</w:t>
      </w:r>
    </w:p>
    <w:p>
      <w:pPr>
        <w:pStyle w:val="BodyText"/>
        <w:spacing w:line="274" w:lineRule="exact"/>
        <w:ind w:left="680"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760" w:right="980"/>
        </w:sectPr>
      </w:pPr>
    </w:p>
    <w:p>
      <w:pPr>
        <w:pStyle w:val="Heading2"/>
        <w:spacing w:line="290" w:lineRule="auto" w:before="36"/>
        <w:ind w:left="680"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68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680" w:right="0"/>
        <w:jc w:val="left"/>
      </w:pPr>
      <w:r>
        <w:rPr/>
        <w:t>单位：元币种：人民币</w:t>
      </w:r>
    </w:p>
    <w:p>
      <w:pPr>
        <w:spacing w:after="0" w:line="240" w:lineRule="auto"/>
        <w:jc w:val="left"/>
        <w:sectPr>
          <w:type w:val="continuous"/>
          <w:pgSz w:w="11910" w:h="16840"/>
          <w:pgMar w:top="1060" w:bottom="1380" w:left="760" w:right="980"/>
          <w:cols w:num="2" w:equalWidth="0">
            <w:col w:w="2258" w:space="4670"/>
            <w:col w:w="3242"/>
          </w:cols>
        </w:sectPr>
      </w:pPr>
    </w:p>
    <w:p>
      <w:pPr>
        <w:spacing w:line="240" w:lineRule="auto" w:before="4"/>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3207"/>
        <w:gridCol w:w="2948"/>
        <w:gridCol w:w="2936"/>
      </w:tblGrid>
      <w:tr>
        <w:trPr>
          <w:trHeight w:val="284"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5"/>
              <w:jc w:val="right"/>
              <w:rPr>
                <w:rFonts w:ascii="宋体" w:hAnsi="宋体" w:cs="宋体" w:eastAsia="宋体" w:hint="default"/>
                <w:sz w:val="21"/>
                <w:szCs w:val="21"/>
              </w:rPr>
            </w:pPr>
            <w:r>
              <w:rPr>
                <w:rFonts w:ascii="宋体" w:hAnsi="宋体" w:cs="宋体" w:eastAsia="宋体" w:hint="default"/>
                <w:sz w:val="21"/>
                <w:szCs w:val="21"/>
              </w:rPr>
              <w:t>项目</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326,203.09</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10,789,780.86</w:t>
            </w:r>
          </w:p>
        </w:tc>
      </w:tr>
      <w:tr>
        <w:trPr>
          <w:trHeight w:val="283"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280,000,000.00</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260,000,000.00</w:t>
            </w:r>
          </w:p>
        </w:tc>
      </w:tr>
      <w:tr>
        <w:trPr>
          <w:trHeight w:val="283"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505,135,596.22</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478,467,828.87</w:t>
            </w:r>
          </w:p>
        </w:tc>
      </w:tr>
      <w:tr>
        <w:trPr>
          <w:trHeight w:val="281"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5"/>
              <w:jc w:val="right"/>
              <w:rPr>
                <w:rFonts w:ascii="宋体" w:hAnsi="宋体" w:cs="宋体" w:eastAsia="宋体" w:hint="default"/>
                <w:sz w:val="21"/>
                <w:szCs w:val="21"/>
              </w:rPr>
            </w:pPr>
            <w:r>
              <w:rPr>
                <w:rFonts w:ascii="宋体" w:hAnsi="宋体" w:cs="宋体" w:eastAsia="宋体" w:hint="default"/>
                <w:sz w:val="21"/>
                <w:szCs w:val="21"/>
              </w:rPr>
              <w:t>合计</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785,461,799.31</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749,257,609.73</w:t>
            </w:r>
          </w:p>
        </w:tc>
      </w:tr>
    </w:tbl>
    <w:p>
      <w:pPr>
        <w:spacing w:line="240" w:lineRule="auto" w:before="7"/>
        <w:rPr>
          <w:rFonts w:ascii="宋体" w:hAnsi="宋体" w:cs="宋体" w:eastAsia="宋体" w:hint="default"/>
          <w:sz w:val="15"/>
          <w:szCs w:val="15"/>
        </w:rPr>
      </w:pPr>
    </w:p>
    <w:p>
      <w:pPr>
        <w:pStyle w:val="BodyText"/>
        <w:spacing w:line="273" w:lineRule="exact" w:before="36"/>
        <w:ind w:left="680" w:right="0"/>
        <w:jc w:val="left"/>
      </w:pPr>
      <w:r>
        <w:rPr/>
        <w:t>其他说明：</w:t>
      </w:r>
    </w:p>
    <w:p>
      <w:pPr>
        <w:pStyle w:val="BodyText"/>
        <w:spacing w:line="273" w:lineRule="exact"/>
        <w:ind w:left="680"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760" w:right="980"/>
        </w:sectPr>
      </w:pPr>
    </w:p>
    <w:p>
      <w:pPr>
        <w:pStyle w:val="Heading2"/>
        <w:spacing w:line="290" w:lineRule="auto" w:before="36"/>
        <w:ind w:left="680" w:right="-14"/>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pStyle w:val="BodyText"/>
        <w:spacing w:line="240" w:lineRule="auto" w:before="12"/>
        <w:ind w:left="680"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680" w:right="0"/>
        <w:jc w:val="left"/>
      </w:pPr>
      <w:r>
        <w:rPr/>
        <w:t>单位：元币种：人民币</w:t>
      </w:r>
    </w:p>
    <w:p>
      <w:pPr>
        <w:spacing w:after="0" w:line="240" w:lineRule="auto"/>
        <w:jc w:val="left"/>
        <w:sectPr>
          <w:type w:val="continuous"/>
          <w:pgSz w:w="11910" w:h="16840"/>
          <w:pgMar w:top="1060" w:bottom="1380" w:left="760" w:right="980"/>
          <w:cols w:num="2" w:equalWidth="0">
            <w:col w:w="2375" w:space="4552"/>
            <w:col w:w="3243"/>
          </w:cols>
        </w:sectPr>
      </w:pPr>
    </w:p>
    <w:p>
      <w:pPr>
        <w:spacing w:line="240" w:lineRule="auto" w:before="4"/>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2840"/>
        <w:gridCol w:w="3116"/>
        <w:gridCol w:w="3133"/>
      </w:tblGrid>
      <w:tr>
        <w:trPr>
          <w:trHeight w:val="28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2"/>
              <w:jc w:val="right"/>
              <w:rPr>
                <w:rFonts w:ascii="宋体" w:hAnsi="宋体" w:cs="宋体" w:eastAsia="宋体" w:hint="default"/>
                <w:sz w:val="21"/>
                <w:szCs w:val="21"/>
              </w:rPr>
            </w:pPr>
            <w:r>
              <w:rPr>
                <w:rFonts w:ascii="宋体" w:hAnsi="宋体" w:cs="宋体" w:eastAsia="宋体" w:hint="default"/>
                <w:sz w:val="21"/>
                <w:szCs w:val="21"/>
              </w:rPr>
              <w:t>项目</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pacing w:val="-1"/>
                <w:sz w:val="21"/>
              </w:rPr>
              <w:t>326,203.09</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10,789,780.86</w:t>
            </w:r>
          </w:p>
        </w:tc>
      </w:tr>
      <w:tr>
        <w:trPr>
          <w:trHeight w:val="28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2"/>
              <w:jc w:val="right"/>
              <w:rPr>
                <w:rFonts w:ascii="宋体" w:hAnsi="宋体" w:cs="宋体" w:eastAsia="宋体" w:hint="default"/>
                <w:sz w:val="21"/>
                <w:szCs w:val="21"/>
              </w:rPr>
            </w:pPr>
            <w:r>
              <w:rPr>
                <w:rFonts w:ascii="宋体" w:hAnsi="宋体" w:cs="宋体" w:eastAsia="宋体" w:hint="default"/>
                <w:sz w:val="21"/>
                <w:szCs w:val="21"/>
              </w:rPr>
              <w:t>合计</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
              <w:jc w:val="right"/>
              <w:rPr>
                <w:rFonts w:ascii="宋体" w:hAnsi="宋体" w:cs="宋体" w:eastAsia="宋体" w:hint="default"/>
                <w:sz w:val="21"/>
                <w:szCs w:val="21"/>
              </w:rPr>
            </w:pPr>
            <w:r>
              <w:rPr>
                <w:rFonts w:ascii="宋体"/>
                <w:spacing w:val="-1"/>
                <w:sz w:val="21"/>
              </w:rPr>
              <w:t>326,203.09</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10,789,780.86</w:t>
            </w:r>
          </w:p>
        </w:tc>
      </w:tr>
    </w:tbl>
    <w:p>
      <w:pPr>
        <w:spacing w:line="240" w:lineRule="auto" w:before="2"/>
        <w:rPr>
          <w:rFonts w:ascii="宋体" w:hAnsi="宋体" w:cs="宋体" w:eastAsia="宋体" w:hint="default"/>
          <w:sz w:val="20"/>
          <w:szCs w:val="20"/>
        </w:rPr>
      </w:pPr>
    </w:p>
    <w:p>
      <w:pPr>
        <w:pStyle w:val="Heading2"/>
        <w:spacing w:line="240" w:lineRule="auto" w:before="36"/>
        <w:ind w:left="680" w:right="0"/>
        <w:jc w:val="left"/>
        <w:rPr>
          <w:b w:val="0"/>
          <w:bCs w:val="0"/>
        </w:rPr>
      </w:pPr>
      <w:r>
        <w:rPr>
          <w:rFonts w:ascii="宋体" w:hAnsi="宋体" w:cs="宋体" w:eastAsia="宋体" w:hint="default"/>
        </w:rPr>
        <w:t>(3).</w:t>
      </w:r>
      <w:r>
        <w:rPr/>
        <w:t>重要逾期利息</w:t>
      </w:r>
      <w:r>
        <w:rPr>
          <w:b w:val="0"/>
          <w:bCs w:val="0"/>
        </w:rPr>
      </w:r>
    </w:p>
    <w:p>
      <w:pPr>
        <w:spacing w:line="290" w:lineRule="auto" w:before="56"/>
        <w:ind w:left="680" w:right="735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12"/>
        <w:ind w:left="680" w:right="0"/>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680" w:right="0"/>
        <w:jc w:val="left"/>
      </w:pPr>
      <w:r>
        <w:rPr/>
        <w:t>其他说明：</w:t>
      </w:r>
    </w:p>
    <w:p>
      <w:pPr>
        <w:pStyle w:val="BodyText"/>
        <w:spacing w:line="274" w:lineRule="exact"/>
        <w:ind w:left="680" w:right="0"/>
        <w:jc w:val="left"/>
      </w:pPr>
      <w:r>
        <w:rPr/>
        <w:t>□适用 √不适用</w:t>
      </w:r>
    </w:p>
    <w:p>
      <w:pPr>
        <w:spacing w:after="0" w:line="274" w:lineRule="exact"/>
        <w:jc w:val="left"/>
        <w:sectPr>
          <w:type w:val="continuous"/>
          <w:pgSz w:w="11910" w:h="16840"/>
          <w:pgMar w:top="1060" w:bottom="1380" w:left="7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20" w:right="1220"/>
        </w:sectPr>
      </w:pPr>
    </w:p>
    <w:p>
      <w:pPr>
        <w:spacing w:line="240" w:lineRule="auto" w:before="1"/>
        <w:rPr>
          <w:rFonts w:ascii="宋体" w:hAnsi="宋体" w:cs="宋体" w:eastAsia="宋体" w:hint="default"/>
          <w:sz w:val="14"/>
          <w:szCs w:val="14"/>
        </w:rPr>
      </w:pPr>
    </w:p>
    <w:p>
      <w:pPr>
        <w:pStyle w:val="Heading2"/>
        <w:spacing w:line="240" w:lineRule="auto"/>
        <w:ind w:right="-18"/>
        <w:jc w:val="left"/>
        <w:rPr>
          <w:b w:val="0"/>
          <w:bCs w:val="0"/>
        </w:rPr>
      </w:pPr>
      <w:r>
        <w:rPr>
          <w:rFonts w:ascii="宋体" w:hAnsi="宋体" w:cs="宋体" w:eastAsia="宋体" w:hint="default"/>
        </w:rPr>
        <w:t>(5).</w:t>
      </w:r>
      <w:r>
        <w:rPr/>
        <w:t>应收股利</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right="0"/>
        <w:jc w:val="left"/>
      </w:pPr>
      <w:r>
        <w:rPr/>
        <w:t>单位：元币种：人民币</w:t>
      </w:r>
    </w:p>
    <w:p>
      <w:pPr>
        <w:spacing w:after="0" w:line="240" w:lineRule="auto"/>
        <w:jc w:val="left"/>
        <w:sectPr>
          <w:type w:val="continuous"/>
          <w:pgSz w:w="11910" w:h="16840"/>
          <w:pgMar w:top="1060" w:bottom="1380" w:left="1220" w:right="1220"/>
          <w:cols w:num="2" w:equalWidth="0">
            <w:col w:w="1798" w:space="5130"/>
            <w:col w:w="2542"/>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488"/>
        <w:gridCol w:w="2871"/>
        <w:gridCol w:w="2885"/>
      </w:tblGrid>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230,000,000.00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200,000,000.00</w:t>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出版印刷</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60,000,000.00</w:t>
            </w: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280,000,000.00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260,000,000.00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before="36"/>
        <w:ind w:right="205"/>
        <w:jc w:val="left"/>
        <w:rPr>
          <w:b w:val="0"/>
          <w:bCs w:val="0"/>
        </w:rPr>
      </w:pPr>
      <w:r>
        <w:rPr>
          <w:rFonts w:ascii="宋体" w:hAnsi="宋体" w:cs="宋体" w:eastAsia="宋体" w:hint="default"/>
        </w:rPr>
        <w:t>(6).</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b w:val="0"/>
          <w:bCs w:val="0"/>
        </w:rPr>
      </w:r>
    </w:p>
    <w:p>
      <w:pPr>
        <w:spacing w:line="290" w:lineRule="auto" w:before="58"/>
        <w:ind w:left="220" w:right="71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14"/>
        <w:ind w:right="205"/>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right="205"/>
        <w:jc w:val="left"/>
      </w:pPr>
      <w:r>
        <w:rPr/>
        <w:t>其他说明：</w:t>
      </w:r>
    </w:p>
    <w:p>
      <w:pPr>
        <w:pStyle w:val="BodyText"/>
        <w:spacing w:line="273" w:lineRule="exact"/>
        <w:ind w:right="20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220" w:right="1220"/>
        </w:sectPr>
      </w:pPr>
    </w:p>
    <w:p>
      <w:pPr>
        <w:pStyle w:val="Heading2"/>
        <w:spacing w:line="240" w:lineRule="auto" w:before="36"/>
        <w:ind w:right="-19"/>
        <w:jc w:val="left"/>
        <w:rPr>
          <w:b w:val="0"/>
          <w:bCs w:val="0"/>
        </w:rPr>
      </w:pPr>
      <w:r>
        <w:rPr/>
        <w:t>其他应收款</w:t>
      </w:r>
      <w:r>
        <w:rPr>
          <w:b w:val="0"/>
          <w:bCs w:val="0"/>
        </w:rPr>
      </w:r>
    </w:p>
    <w:p>
      <w:pPr>
        <w:pStyle w:val="Heading2"/>
        <w:spacing w:line="240" w:lineRule="auto" w:before="58"/>
        <w:ind w:right="-19"/>
        <w:jc w:val="left"/>
        <w:rPr>
          <w:b w:val="0"/>
          <w:bCs w:val="0"/>
        </w:rPr>
      </w:pPr>
      <w:r>
        <w:rPr>
          <w:rFonts w:ascii="宋体" w:hAnsi="宋体" w:cs="宋体" w:eastAsia="宋体" w:hint="default"/>
        </w:rPr>
        <w:t>(1). </w:t>
      </w:r>
      <w:r>
        <w:rPr/>
        <w:t>按账龄披露</w:t>
      </w:r>
      <w:r>
        <w:rPr>
          <w:b w:val="0"/>
          <w:bCs w:val="0"/>
        </w:rPr>
      </w:r>
    </w:p>
    <w:p>
      <w:pPr>
        <w:pStyle w:val="BodyText"/>
        <w:spacing w:line="240" w:lineRule="auto" w:before="56"/>
        <w:ind w:right="-11"/>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060" w:bottom="1380" w:left="1220" w:right="1220"/>
          <w:cols w:num="2" w:equalWidth="0">
            <w:col w:w="1805" w:space="5122"/>
            <w:col w:w="2543"/>
          </w:cols>
        </w:sectPr>
      </w:pPr>
    </w:p>
    <w:p>
      <w:pPr>
        <w:spacing w:line="240" w:lineRule="auto" w:before="4"/>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4633"/>
        <w:gridCol w:w="4458"/>
      </w:tblGrid>
      <w:tr>
        <w:trPr>
          <w:trHeight w:val="283" w:hRule="exact"/>
        </w:trPr>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8"/>
              <w:jc w:val="right"/>
              <w:rPr>
                <w:rFonts w:ascii="宋体" w:hAnsi="宋体" w:cs="宋体" w:eastAsia="宋体" w:hint="default"/>
                <w:sz w:val="21"/>
                <w:szCs w:val="21"/>
              </w:rPr>
            </w:pPr>
            <w:r>
              <w:rPr>
                <w:rFonts w:ascii="宋体" w:hAnsi="宋体" w:cs="宋体" w:eastAsia="宋体" w:hint="default"/>
                <w:sz w:val="21"/>
                <w:szCs w:val="21"/>
              </w:rPr>
              <w:t>账龄</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308,539,414.23</w:t>
            </w:r>
          </w:p>
        </w:tc>
      </w:tr>
      <w:tr>
        <w:trPr>
          <w:trHeight w:val="283" w:hRule="exact"/>
        </w:trPr>
        <w:tc>
          <w:tcPr>
            <w:tcW w:w="9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308,539,414.23</w:t>
            </w:r>
          </w:p>
        </w:tc>
      </w:tr>
      <w:tr>
        <w:trPr>
          <w:trHeight w:val="281" w:hRule="exact"/>
        </w:trPr>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81,487,719.31</w:t>
            </w:r>
          </w:p>
        </w:tc>
      </w:tr>
      <w:tr>
        <w:trPr>
          <w:trHeight w:val="283" w:hRule="exact"/>
        </w:trPr>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32,534,803.16</w:t>
            </w:r>
          </w:p>
        </w:tc>
      </w:tr>
      <w:tr>
        <w:trPr>
          <w:trHeight w:val="283" w:hRule="exact"/>
        </w:trPr>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82,573,659.52</w:t>
            </w:r>
          </w:p>
        </w:tc>
      </w:tr>
      <w:tr>
        <w:trPr>
          <w:trHeight w:val="281" w:hRule="exact"/>
        </w:trPr>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8"/>
              <w:jc w:val="right"/>
              <w:rPr>
                <w:rFonts w:ascii="宋体" w:hAnsi="宋体" w:cs="宋体" w:eastAsia="宋体" w:hint="default"/>
                <w:sz w:val="21"/>
                <w:szCs w:val="21"/>
              </w:rPr>
            </w:pPr>
            <w:r>
              <w:rPr>
                <w:rFonts w:ascii="宋体" w:hAnsi="宋体" w:cs="宋体" w:eastAsia="宋体" w:hint="default"/>
                <w:sz w:val="21"/>
                <w:szCs w:val="21"/>
              </w:rPr>
              <w:t>合计</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505,135,596.22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220" w:right="1220"/>
        </w:sectPr>
      </w:pPr>
    </w:p>
    <w:p>
      <w:pPr>
        <w:pStyle w:val="Heading2"/>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7"/>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060" w:bottom="1380" w:left="1220" w:right="1220"/>
          <w:cols w:num="2" w:equalWidth="0">
            <w:col w:w="2650" w:space="4278"/>
            <w:col w:w="2542"/>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145"/>
        <w:gridCol w:w="3044"/>
        <w:gridCol w:w="3056"/>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应收关联方款项</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477,384,415.63</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456,235,514.34</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29,876,616.46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19,726,012.20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1,874,166.45</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3,231,041.30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4,594,452.36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5,149,724.41</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513,729,650.90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484,342,292.25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05"/>
        <w:jc w:val="left"/>
        <w:rPr>
          <w:b w:val="0"/>
          <w:bCs w:val="0"/>
        </w:rPr>
      </w:pPr>
      <w:r>
        <w:rPr>
          <w:rFonts w:ascii="宋体" w:hAnsi="宋体" w:cs="宋体" w:eastAsia="宋体" w:hint="default"/>
        </w:rPr>
        <w:t>(3).</w:t>
      </w:r>
      <w:r>
        <w:rPr>
          <w:rFonts w:ascii="宋体" w:hAnsi="宋体" w:cs="宋体" w:eastAsia="宋体" w:hint="default"/>
          <w:spacing w:val="1"/>
        </w:rPr>
        <w:t> </w:t>
      </w:r>
      <w:r>
        <w:rPr/>
        <w:t>坏账准备计提情况</w:t>
      </w:r>
      <w:r>
        <w:rPr>
          <w:b w:val="0"/>
          <w:bCs w:val="0"/>
        </w:rPr>
      </w:r>
    </w:p>
    <w:p>
      <w:pPr>
        <w:pStyle w:val="BodyText"/>
        <w:spacing w:line="240" w:lineRule="auto" w:before="59"/>
        <w:ind w:right="205"/>
        <w:jc w:val="left"/>
      </w:pPr>
      <w:r>
        <w:rPr/>
        <w:t>√适用 □不适用</w:t>
      </w:r>
    </w:p>
    <w:p>
      <w:pPr>
        <w:spacing w:after="0" w:line="240" w:lineRule="auto"/>
        <w:jc w:val="left"/>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051" w:val="left" w:leader="none"/>
        </w:tabs>
        <w:spacing w:line="240" w:lineRule="auto" w:before="36"/>
        <w:ind w:left="0" w:right="339"/>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376"/>
        <w:gridCol w:w="1419"/>
        <w:gridCol w:w="1678"/>
        <w:gridCol w:w="2028"/>
        <w:gridCol w:w="1743"/>
      </w:tblGrid>
      <w:tr>
        <w:trPr>
          <w:trHeight w:val="444" w:hRule="exact"/>
        </w:trPr>
        <w:tc>
          <w:tcPr>
            <w:tcW w:w="23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7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7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986" w:hRule="exact"/>
        </w:trPr>
        <w:tc>
          <w:tcPr>
            <w:tcW w:w="237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w:t>
            </w:r>
          </w:p>
          <w:p>
            <w:pPr>
              <w:pStyle w:val="TableParagraph"/>
              <w:spacing w:line="240" w:lineRule="auto"/>
              <w:ind w:left="600" w:right="173" w:hanging="420"/>
              <w:jc w:val="left"/>
              <w:rPr>
                <w:rFonts w:ascii="宋体" w:hAnsi="宋体" w:cs="宋体" w:eastAsia="宋体" w:hint="default"/>
                <w:sz w:val="21"/>
                <w:szCs w:val="21"/>
              </w:rPr>
            </w:pPr>
            <w:r>
              <w:rPr>
                <w:rFonts w:ascii="宋体" w:hAnsi="宋体" w:cs="宋体" w:eastAsia="宋体" w:hint="default"/>
                <w:sz w:val="21"/>
                <w:szCs w:val="21"/>
              </w:rPr>
              <w:t>预期信用损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失</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firstLine="52"/>
              <w:jc w:val="left"/>
              <w:rPr>
                <w:rFonts w:ascii="宋体" w:hAnsi="宋体" w:cs="宋体" w:eastAsia="宋体" w:hint="default"/>
                <w:sz w:val="21"/>
                <w:szCs w:val="21"/>
              </w:rPr>
            </w:pPr>
            <w:r>
              <w:rPr>
                <w:rFonts w:ascii="宋体" w:hAnsi="宋体" w:cs="宋体" w:eastAsia="宋体" w:hint="default"/>
                <w:sz w:val="21"/>
                <w:szCs w:val="21"/>
              </w:rPr>
              <w:t>整个存续期预</w:t>
            </w:r>
          </w:p>
          <w:p>
            <w:pPr>
              <w:pStyle w:val="TableParagraph"/>
              <w:spacing w:line="240" w:lineRule="auto"/>
              <w:ind w:left="148" w:right="149"/>
              <w:jc w:val="left"/>
              <w:rPr>
                <w:rFonts w:ascii="宋体" w:hAnsi="宋体" w:cs="宋体" w:eastAsia="宋体" w:hint="default"/>
                <w:sz w:val="21"/>
                <w:szCs w:val="21"/>
              </w:rPr>
            </w:pPr>
            <w:r>
              <w:rPr>
                <w:rFonts w:ascii="宋体" w:hAnsi="宋体" w:cs="宋体" w:eastAsia="宋体" w:hint="default"/>
                <w:sz w:val="21"/>
                <w:szCs w:val="21"/>
              </w:rPr>
              <w:t>期信用损失</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发生信用减值</w:t>
            </w:r>
            <w:r>
              <w:rPr>
                <w:rFonts w:ascii="宋体" w:hAnsi="宋体" w:cs="宋体" w:eastAsia="宋体" w:hint="default"/>
                <w:sz w:val="21"/>
                <w:szCs w:val="21"/>
              </w:rPr>
              <w:t>)</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746" w:right="113" w:hanging="632"/>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宋体" w:hAnsi="宋体" w:cs="宋体" w:eastAsia="宋体" w:hint="default"/>
                <w:sz w:val="21"/>
                <w:szCs w:val="21"/>
              </w:rPr>
              <w:t>)</w:t>
            </w:r>
          </w:p>
        </w:tc>
        <w:tc>
          <w:tcPr>
            <w:tcW w:w="1743" w:type="dxa"/>
            <w:vMerge/>
            <w:tcBorders>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5,874,463.38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5,874,463.38</w:t>
            </w:r>
          </w:p>
        </w:tc>
      </w:tr>
      <w:tr>
        <w:trPr>
          <w:trHeight w:val="557"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2018</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日余额在本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2,743,103.18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2,743,103.18</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23,511.88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23,511.88</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8,594,054.68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8,594,054.68</w:t>
            </w:r>
          </w:p>
        </w:tc>
      </w:tr>
    </w:tbl>
    <w:p>
      <w:pPr>
        <w:spacing w:line="240" w:lineRule="auto" w:before="7"/>
        <w:rPr>
          <w:rFonts w:ascii="宋体" w:hAnsi="宋体" w:cs="宋体" w:eastAsia="宋体" w:hint="default"/>
          <w:sz w:val="15"/>
          <w:szCs w:val="15"/>
        </w:rPr>
      </w:pPr>
    </w:p>
    <w:p>
      <w:pPr>
        <w:pStyle w:val="BodyText"/>
        <w:spacing w:line="273" w:lineRule="exact" w:before="36"/>
        <w:ind w:right="123"/>
        <w:jc w:val="left"/>
      </w:pPr>
      <w:r>
        <w:rPr/>
        <w:t>对本期发生损失准备变动的其他应收款账面余额显著变动的情况说明：</w:t>
      </w:r>
    </w:p>
    <w:p>
      <w:pPr>
        <w:pStyle w:val="BodyText"/>
        <w:spacing w:line="273" w:lineRule="exact"/>
        <w:ind w:right="123"/>
        <w:jc w:val="left"/>
      </w:pPr>
      <w:r>
        <w:rPr/>
        <w:t>□适用 √不适用</w:t>
      </w:r>
    </w:p>
    <w:p>
      <w:pPr>
        <w:spacing w:line="240" w:lineRule="auto" w:before="9"/>
        <w:rPr>
          <w:rFonts w:ascii="宋体" w:hAnsi="宋体" w:cs="宋体" w:eastAsia="宋体" w:hint="default"/>
          <w:sz w:val="20"/>
          <w:szCs w:val="20"/>
        </w:rPr>
      </w:pPr>
    </w:p>
    <w:p>
      <w:pPr>
        <w:pStyle w:val="BodyText"/>
        <w:spacing w:line="274" w:lineRule="exact"/>
        <w:ind w:right="123"/>
        <w:jc w:val="left"/>
      </w:pPr>
      <w:r>
        <w:rPr/>
        <w:t>本期坏账准备计提金额以及评估金融工具的信用风险是否显著增加的采用依据：</w:t>
      </w:r>
    </w:p>
    <w:p>
      <w:pPr>
        <w:pStyle w:val="BodyText"/>
        <w:spacing w:line="274" w:lineRule="exact"/>
        <w:ind w:right="123"/>
        <w:jc w:val="left"/>
      </w:pPr>
      <w:r>
        <w:rPr/>
        <w:t>□适用 √不适用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0"/>
          <w:pgSz w:w="11910" w:h="16840"/>
          <w:pgMar w:footer="1195" w:header="882" w:top="1120" w:bottom="1380" w:left="1220" w:right="1200"/>
        </w:sectPr>
      </w:pPr>
    </w:p>
    <w:p>
      <w:pPr>
        <w:pStyle w:val="Heading2"/>
        <w:spacing w:line="240" w:lineRule="auto" w:before="36"/>
        <w:ind w:right="-18"/>
        <w:jc w:val="left"/>
        <w:rPr>
          <w:b w:val="0"/>
          <w:bCs w:val="0"/>
        </w:rPr>
      </w:pPr>
      <w:r>
        <w:rPr>
          <w:rFonts w:ascii="宋体" w:hAnsi="宋体" w:cs="宋体" w:eastAsia="宋体" w:hint="default"/>
        </w:rPr>
        <w:t>(4). </w:t>
      </w:r>
      <w:r>
        <w:rPr/>
        <w:t>坏账准备的情况</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060" w:bottom="1380" w:left="1220" w:right="1200"/>
          <w:cols w:num="2" w:equalWidth="0">
            <w:col w:w="2227" w:space="4700"/>
            <w:col w:w="256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10"/>
        <w:gridCol w:w="1697"/>
        <w:gridCol w:w="1486"/>
        <w:gridCol w:w="1328"/>
        <w:gridCol w:w="1438"/>
        <w:gridCol w:w="1694"/>
      </w:tblGrid>
      <w:tr>
        <w:trPr>
          <w:trHeight w:val="283" w:hRule="exact"/>
        </w:trPr>
        <w:tc>
          <w:tcPr>
            <w:tcW w:w="1610"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107"/>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694" w:type="dxa"/>
            <w:vMerge w:val="restart"/>
            <w:tcBorders>
              <w:top w:val="single" w:sz="4" w:space="0" w:color="000000"/>
              <w:left w:val="single" w:sz="4" w:space="0" w:color="000000"/>
              <w:right w:val="single" w:sz="4" w:space="0" w:color="000000"/>
            </w:tcBorders>
          </w:tcPr>
          <w:p>
            <w:pPr>
              <w:pStyle w:val="TableParagraph"/>
              <w:spacing w:line="240" w:lineRule="auto" w:before="107"/>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10"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
              <w:jc w:val="right"/>
              <w:rPr>
                <w:rFonts w:ascii="宋体" w:hAnsi="宋体" w:cs="宋体" w:eastAsia="宋体" w:hint="default"/>
                <w:sz w:val="21"/>
                <w:szCs w:val="21"/>
              </w:rPr>
            </w:pPr>
            <w:r>
              <w:rPr>
                <w:rFonts w:ascii="宋体" w:hAnsi="宋体" w:cs="宋体" w:eastAsia="宋体" w:hint="default"/>
                <w:spacing w:val="-1"/>
                <w:sz w:val="21"/>
                <w:szCs w:val="21"/>
              </w:rPr>
              <w:t>收回或转回</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转销或核销</w:t>
            </w:r>
          </w:p>
        </w:tc>
        <w:tc>
          <w:tcPr>
            <w:tcW w:w="1694" w:type="dxa"/>
            <w:vMerge/>
            <w:tcBorders>
              <w:left w:val="single" w:sz="4" w:space="0" w:color="000000"/>
              <w:bottom w:val="single" w:sz="4" w:space="0" w:color="000000"/>
              <w:right w:val="single" w:sz="4" w:space="0" w:color="000000"/>
            </w:tcBorders>
          </w:tcPr>
          <w:p>
            <w:pPr/>
          </w:p>
        </w:tc>
      </w:tr>
      <w:tr>
        <w:trPr>
          <w:trHeight w:val="283"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5,874,463.38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2,743,103.18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23,511.88</w:t>
            </w:r>
          </w:p>
        </w:tc>
        <w:tc>
          <w:tcPr>
            <w:tcW w:w="14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8,594,054.68</w:t>
            </w:r>
          </w:p>
        </w:tc>
      </w:tr>
      <w:tr>
        <w:trPr>
          <w:trHeight w:val="283"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5,874,463.38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2,743,103.18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23,511.88</w:t>
            </w:r>
          </w:p>
        </w:tc>
        <w:tc>
          <w:tcPr>
            <w:tcW w:w="14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8,594,054.68</w:t>
            </w:r>
          </w:p>
        </w:tc>
      </w:tr>
    </w:tbl>
    <w:p>
      <w:pPr>
        <w:spacing w:line="240" w:lineRule="auto" w:before="5"/>
        <w:rPr>
          <w:rFonts w:ascii="宋体" w:hAnsi="宋体" w:cs="宋体" w:eastAsia="宋体" w:hint="default"/>
          <w:sz w:val="15"/>
          <w:szCs w:val="15"/>
        </w:rPr>
      </w:pPr>
    </w:p>
    <w:p>
      <w:pPr>
        <w:pStyle w:val="BodyText"/>
        <w:spacing w:line="274" w:lineRule="exact" w:before="36"/>
        <w:ind w:right="123"/>
        <w:jc w:val="left"/>
      </w:pPr>
      <w:r>
        <w:rPr/>
        <w:t>其中本期坏账准备转回或收回金额重要的：</w:t>
      </w:r>
    </w:p>
    <w:p>
      <w:pPr>
        <w:pStyle w:val="BodyText"/>
        <w:spacing w:line="274" w:lineRule="exact"/>
        <w:ind w:right="123"/>
        <w:jc w:val="left"/>
      </w:pPr>
      <w:r>
        <w:rPr/>
        <w:t>□适用 √不适用</w:t>
      </w:r>
    </w:p>
    <w:p>
      <w:pPr>
        <w:pStyle w:val="Heading2"/>
        <w:spacing w:line="240" w:lineRule="auto" w:before="56"/>
        <w:ind w:right="123"/>
        <w:jc w:val="left"/>
        <w:rPr>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right="123"/>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220" w:right="1200"/>
        </w:sectPr>
      </w:pPr>
    </w:p>
    <w:p>
      <w:pPr>
        <w:pStyle w:val="Heading2"/>
        <w:spacing w:line="240" w:lineRule="auto" w:before="36"/>
        <w:ind w:right="-17"/>
        <w:jc w:val="left"/>
        <w:rPr>
          <w:b w:val="0"/>
          <w:bCs w:val="0"/>
        </w:rPr>
      </w:pPr>
      <w:r>
        <w:rPr>
          <w:rFonts w:ascii="宋体" w:hAnsi="宋体" w:cs="宋体" w:eastAsia="宋体" w:hint="default"/>
        </w:rPr>
        <w:t>(6).</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060" w:bottom="1380" w:left="1220" w:right="1200"/>
          <w:cols w:num="2" w:equalWidth="0">
            <w:col w:w="5388" w:space="1539"/>
            <w:col w:w="2563"/>
          </w:cols>
        </w:sectPr>
      </w:pPr>
    </w:p>
    <w:p>
      <w:pPr>
        <w:spacing w:line="240" w:lineRule="auto" w:before="4"/>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1154"/>
        <w:gridCol w:w="1829"/>
        <w:gridCol w:w="1603"/>
        <w:gridCol w:w="1412"/>
        <w:gridCol w:w="1717"/>
        <w:gridCol w:w="1375"/>
      </w:tblGrid>
      <w:tr>
        <w:trPr>
          <w:trHeight w:val="82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87" w:right="113"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25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type w:val="continuous"/>
          <w:pgSz w:w="11910" w:h="16840"/>
          <w:pgMar w:top="1060" w:bottom="13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664" w:type="dxa"/>
        <w:tblLayout w:type="fixed"/>
        <w:tblCellMar>
          <w:top w:w="0" w:type="dxa"/>
          <w:left w:w="0" w:type="dxa"/>
          <w:bottom w:w="0" w:type="dxa"/>
          <w:right w:w="0" w:type="dxa"/>
        </w:tblCellMar>
        <w:tblLook w:val="01E0"/>
      </w:tblPr>
      <w:tblGrid>
        <w:gridCol w:w="1154"/>
        <w:gridCol w:w="1829"/>
        <w:gridCol w:w="1603"/>
        <w:gridCol w:w="1412"/>
        <w:gridCol w:w="1717"/>
        <w:gridCol w:w="1375"/>
      </w:tblGrid>
      <w:tr>
        <w:trPr>
          <w:trHeight w:val="281"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教育社</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230,000,000.00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28.97</w:t>
            </w: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印刷物资</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应收子公司款项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199,708,418.05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pacing w:val="-7"/>
                <w:sz w:val="21"/>
                <w:szCs w:val="21"/>
              </w:rPr>
              <w:t>年以内，</w:t>
            </w:r>
            <w:r>
              <w:rPr>
                <w:rFonts w:ascii="宋体" w:hAnsi="宋体" w:cs="宋体" w:eastAsia="宋体" w:hint="default"/>
                <w:spacing w:val="-7"/>
                <w:sz w:val="21"/>
                <w:szCs w:val="21"/>
              </w:rPr>
              <w:t>1-2</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5-6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25.15</w:t>
            </w: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出版印刷</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50,000,000.00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6.3</w:t>
            </w: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天地社</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应收子公司款项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40,415,335.62</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5.09</w:t>
            </w: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读者报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应收子公司款项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35,536,975.25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4.48</w:t>
            </w: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5"/>
              <w:jc w:val="center"/>
              <w:rPr>
                <w:rFonts w:ascii="宋体" w:hAnsi="宋体" w:cs="宋体" w:eastAsia="宋体" w:hint="default"/>
                <w:sz w:val="21"/>
                <w:szCs w:val="21"/>
              </w:rPr>
            </w:pPr>
            <w:r>
              <w:rPr>
                <w:rFonts w:ascii="宋体"/>
                <w:w w:val="100"/>
                <w:sz w:val="21"/>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555,660,728.92</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4"/>
              <w:jc w:val="center"/>
              <w:rPr>
                <w:rFonts w:ascii="宋体" w:hAnsi="宋体" w:cs="宋体" w:eastAsia="宋体" w:hint="default"/>
                <w:sz w:val="21"/>
                <w:szCs w:val="21"/>
              </w:rPr>
            </w:pPr>
            <w:r>
              <w:rPr>
                <w:rFonts w:ascii="宋体"/>
                <w:w w:val="100"/>
                <w:sz w:val="21"/>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69.99</w:t>
            </w:r>
          </w:p>
        </w:tc>
        <w:tc>
          <w:tcPr>
            <w:tcW w:w="13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700" w:right="0"/>
        <w:jc w:val="left"/>
        <w:rPr>
          <w:b w:val="0"/>
          <w:bCs w:val="0"/>
        </w:rPr>
      </w:pPr>
      <w:r>
        <w:rPr>
          <w:rFonts w:ascii="宋体" w:hAnsi="宋体" w:cs="宋体" w:eastAsia="宋体" w:hint="default"/>
        </w:rPr>
        <w:t>(7).</w:t>
      </w:r>
      <w:r>
        <w:rPr>
          <w:rFonts w:ascii="宋体" w:hAnsi="宋体" w:cs="宋体" w:eastAsia="宋体" w:hint="default"/>
          <w:spacing w:val="-1"/>
        </w:rPr>
        <w:t> </w:t>
      </w:r>
      <w:r>
        <w:rPr/>
        <w:t>涉及政府补助的应收款项</w:t>
      </w:r>
      <w:r>
        <w:rPr>
          <w:b w:val="0"/>
          <w:bCs w:val="0"/>
        </w:rPr>
      </w:r>
    </w:p>
    <w:p>
      <w:pPr>
        <w:pStyle w:val="BodyText"/>
        <w:spacing w:line="240" w:lineRule="auto" w:before="59"/>
        <w:ind w:left="700"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700" w:right="0"/>
        <w:jc w:val="left"/>
        <w:rPr>
          <w:b w:val="0"/>
          <w:bCs w:val="0"/>
        </w:rPr>
      </w:pPr>
      <w:r>
        <w:rPr>
          <w:rFonts w:ascii="宋体" w:hAnsi="宋体" w:cs="宋体" w:eastAsia="宋体" w:hint="default"/>
        </w:rPr>
        <w:t>(8).</w:t>
      </w:r>
      <w:r>
        <w:rPr>
          <w:rFonts w:ascii="宋体" w:hAnsi="宋体" w:cs="宋体" w:eastAsia="宋体" w:hint="default"/>
          <w:spacing w:val="-2"/>
        </w:rPr>
        <w:t> </w:t>
      </w:r>
      <w:r>
        <w:rPr/>
        <w:t>因金融资产转移而终止确认的其他应收款</w:t>
      </w:r>
      <w:r>
        <w:rPr>
          <w:b w:val="0"/>
          <w:bCs w:val="0"/>
        </w:rPr>
      </w:r>
    </w:p>
    <w:p>
      <w:pPr>
        <w:pStyle w:val="BodyText"/>
        <w:spacing w:line="240" w:lineRule="auto" w:before="56"/>
        <w:ind w:left="700"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700" w:right="0"/>
        <w:jc w:val="left"/>
        <w:rPr>
          <w:b w:val="0"/>
          <w:bCs w:val="0"/>
        </w:rPr>
      </w:pPr>
      <w:r>
        <w:rPr>
          <w:rFonts w:ascii="宋体" w:hAnsi="宋体" w:cs="宋体" w:eastAsia="宋体" w:hint="default"/>
        </w:rPr>
        <w:t>(9).</w:t>
      </w:r>
      <w:r>
        <w:rPr>
          <w:rFonts w:ascii="宋体" w:hAnsi="宋体" w:cs="宋体" w:eastAsia="宋体" w:hint="default"/>
          <w:spacing w:val="-3"/>
        </w:rPr>
        <w:t> </w:t>
      </w:r>
      <w:r>
        <w:rPr/>
        <w:t>转移其他应收款且继续涉入形成的资产、负债金额</w:t>
      </w:r>
      <w:r>
        <w:rPr>
          <w:b w:val="0"/>
          <w:bCs w:val="0"/>
        </w:rPr>
      </w:r>
    </w:p>
    <w:p>
      <w:pPr>
        <w:pStyle w:val="BodyText"/>
        <w:spacing w:line="240" w:lineRule="auto" w:before="58"/>
        <w:ind w:left="700" w:right="0"/>
        <w:jc w:val="left"/>
      </w:pPr>
      <w:r>
        <w:rPr/>
        <w:t>□适用 √不适用</w:t>
      </w:r>
    </w:p>
    <w:p>
      <w:pPr>
        <w:spacing w:line="240" w:lineRule="auto" w:before="6"/>
        <w:rPr>
          <w:rFonts w:ascii="宋体" w:hAnsi="宋体" w:cs="宋体" w:eastAsia="宋体" w:hint="default"/>
          <w:sz w:val="20"/>
          <w:szCs w:val="20"/>
        </w:rPr>
      </w:pPr>
    </w:p>
    <w:p>
      <w:pPr>
        <w:pStyle w:val="BodyText"/>
        <w:spacing w:line="274" w:lineRule="exact"/>
        <w:ind w:left="700" w:right="0"/>
        <w:jc w:val="left"/>
      </w:pPr>
      <w:r>
        <w:rPr/>
        <w:t>其他说明：</w:t>
      </w:r>
    </w:p>
    <w:p>
      <w:pPr>
        <w:pStyle w:val="BodyText"/>
        <w:spacing w:line="274" w:lineRule="exact"/>
        <w:ind w:left="700"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1"/>
          <w:pgSz w:w="11910" w:h="16840"/>
          <w:pgMar w:footer="1195" w:header="882" w:top="1120" w:bottom="1380" w:left="740" w:right="720"/>
          <w:pgNumType w:start="191"/>
        </w:sectPr>
      </w:pPr>
    </w:p>
    <w:p>
      <w:pPr>
        <w:pStyle w:val="Heading2"/>
        <w:spacing w:line="240" w:lineRule="auto" w:before="36"/>
        <w:ind w:left="700" w:right="-19"/>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70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700" w:right="0"/>
        <w:jc w:val="left"/>
      </w:pPr>
      <w:r>
        <w:rPr/>
        <w:t>单位：元币种：人民币</w:t>
      </w:r>
    </w:p>
    <w:p>
      <w:pPr>
        <w:spacing w:after="0" w:line="240" w:lineRule="auto"/>
        <w:jc w:val="left"/>
        <w:sectPr>
          <w:type w:val="continuous"/>
          <w:pgSz w:w="11910" w:h="16840"/>
          <w:pgMar w:top="1060" w:bottom="1380" w:left="740" w:right="720"/>
          <w:cols w:num="2" w:equalWidth="0">
            <w:col w:w="2393" w:space="4534"/>
            <w:col w:w="3523"/>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68"/>
        <w:gridCol w:w="1568"/>
        <w:gridCol w:w="1190"/>
        <w:gridCol w:w="1568"/>
        <w:gridCol w:w="1567"/>
        <w:gridCol w:w="1191"/>
        <w:gridCol w:w="1565"/>
      </w:tblGrid>
      <w:tr>
        <w:trPr>
          <w:trHeight w:val="283" w:hRule="exact"/>
        </w:trPr>
        <w:tc>
          <w:tcPr>
            <w:tcW w:w="156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568" w:type="dxa"/>
            <w:vMerge/>
            <w:tcBorders>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3,245,853,079.66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 w:right="0"/>
              <w:jc w:val="center"/>
              <w:rPr>
                <w:rFonts w:ascii="宋体" w:hAnsi="宋体" w:cs="宋体" w:eastAsia="宋体" w:hint="default"/>
                <w:sz w:val="18"/>
                <w:szCs w:val="18"/>
              </w:rPr>
            </w:pPr>
            <w:r>
              <w:rPr>
                <w:rFonts w:ascii="宋体"/>
                <w:sz w:val="18"/>
              </w:rPr>
              <w:t>2,072,032.00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3,243,781,047.66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3,010,104,779.66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 w:right="0"/>
              <w:jc w:val="center"/>
              <w:rPr>
                <w:rFonts w:ascii="宋体" w:hAnsi="宋体" w:cs="宋体" w:eastAsia="宋体" w:hint="default"/>
                <w:sz w:val="18"/>
                <w:szCs w:val="18"/>
              </w:rPr>
            </w:pPr>
            <w:r>
              <w:rPr>
                <w:rFonts w:ascii="宋体"/>
                <w:sz w:val="18"/>
              </w:rPr>
              <w:t>2,072,032.00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3,008,032,747.66</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业投资</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237,553,158.69</w:t>
            </w:r>
          </w:p>
        </w:tc>
        <w:tc>
          <w:tcPr>
            <w:tcW w:w="119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237,553,158.69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198,076,613.49</w:t>
            </w:r>
          </w:p>
        </w:tc>
        <w:tc>
          <w:tcPr>
            <w:tcW w:w="1191"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198,076,613.49</w:t>
            </w:r>
          </w:p>
        </w:tc>
      </w:tr>
      <w:tr>
        <w:trPr>
          <w:trHeight w:val="28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pacing w:val="-1"/>
                <w:sz w:val="18"/>
              </w:rPr>
              <w:t>3,483,406,238.35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 w:right="0"/>
              <w:jc w:val="center"/>
              <w:rPr>
                <w:rFonts w:ascii="宋体" w:hAnsi="宋体" w:cs="宋体" w:eastAsia="宋体" w:hint="default"/>
                <w:sz w:val="18"/>
                <w:szCs w:val="18"/>
              </w:rPr>
            </w:pPr>
            <w:r>
              <w:rPr>
                <w:rFonts w:ascii="宋体"/>
                <w:sz w:val="18"/>
              </w:rPr>
              <w:t>2,072,032.00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3,481,334,206.35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3,208,181,393.15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7" w:right="0"/>
              <w:jc w:val="center"/>
              <w:rPr>
                <w:rFonts w:ascii="宋体" w:hAnsi="宋体" w:cs="宋体" w:eastAsia="宋体" w:hint="default"/>
                <w:sz w:val="18"/>
                <w:szCs w:val="18"/>
              </w:rPr>
            </w:pPr>
            <w:r>
              <w:rPr>
                <w:rFonts w:ascii="宋体"/>
                <w:sz w:val="18"/>
              </w:rPr>
              <w:t>2,072,032.00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3,206,109,361.15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740" w:right="720"/>
        </w:sectPr>
      </w:pPr>
    </w:p>
    <w:p>
      <w:pPr>
        <w:pStyle w:val="Heading2"/>
        <w:spacing w:line="240" w:lineRule="auto" w:before="36"/>
        <w:ind w:left="700"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7"/>
        <w:ind w:left="70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700" w:right="0"/>
        <w:jc w:val="left"/>
      </w:pPr>
      <w:r>
        <w:rPr/>
        <w:t>单位：元币种：人民币</w:t>
      </w:r>
    </w:p>
    <w:p>
      <w:pPr>
        <w:spacing w:after="0" w:line="240" w:lineRule="auto"/>
        <w:jc w:val="left"/>
        <w:sectPr>
          <w:type w:val="continuous"/>
          <w:pgSz w:w="11910" w:h="16840"/>
          <w:pgMar w:top="1060" w:bottom="1380" w:left="740" w:right="720"/>
          <w:cols w:num="2" w:equalWidth="0">
            <w:col w:w="2496" w:space="4431"/>
            <w:col w:w="3523"/>
          </w:cols>
        </w:sectPr>
      </w:pPr>
    </w:p>
    <w:p>
      <w:pPr>
        <w:spacing w:line="240" w:lineRule="auto" w:before="4"/>
        <w:rPr>
          <w:rFonts w:ascii="宋体" w:hAnsi="宋体" w:cs="宋体" w:eastAsia="宋体" w:hint="default"/>
          <w:sz w:val="2"/>
          <w:szCs w:val="2"/>
        </w:rPr>
      </w:pPr>
    </w:p>
    <w:tbl>
      <w:tblPr>
        <w:tblW w:w="0" w:type="auto"/>
        <w:jc w:val="left"/>
        <w:tblInd w:w="267" w:type="dxa"/>
        <w:tblLayout w:type="fixed"/>
        <w:tblCellMar>
          <w:top w:w="0" w:type="dxa"/>
          <w:left w:w="0" w:type="dxa"/>
          <w:bottom w:w="0" w:type="dxa"/>
          <w:right w:w="0" w:type="dxa"/>
        </w:tblCellMar>
        <w:tblLook w:val="01E0"/>
      </w:tblPr>
      <w:tblGrid>
        <w:gridCol w:w="1496"/>
        <w:gridCol w:w="1897"/>
        <w:gridCol w:w="1855"/>
        <w:gridCol w:w="387"/>
        <w:gridCol w:w="1896"/>
        <w:gridCol w:w="838"/>
        <w:gridCol w:w="1560"/>
      </w:tblGrid>
      <w:tr>
        <w:trPr>
          <w:trHeight w:val="109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103" w:right="60"/>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201" w:right="202"/>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61" w:right="144" w:hanging="420"/>
              <w:jc w:val="left"/>
              <w:rPr>
                <w:rFonts w:ascii="宋体" w:hAnsi="宋体" w:cs="宋体" w:eastAsia="宋体" w:hint="default"/>
                <w:sz w:val="21"/>
                <w:szCs w:val="21"/>
              </w:rPr>
            </w:pPr>
            <w:r>
              <w:rPr>
                <w:rFonts w:ascii="宋体" w:hAnsi="宋体" w:cs="宋体" w:eastAsia="宋体" w:hint="default"/>
                <w:sz w:val="21"/>
                <w:szCs w:val="21"/>
              </w:rPr>
              <w:t>减值准备期末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新华在线</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40,000,000.00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2,072,032.00</w:t>
            </w:r>
          </w:p>
        </w:tc>
      </w:tr>
      <w:tr>
        <w:trPr>
          <w:trHeight w:val="28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人教时代</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2,106,941.60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2,106,941.60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文轩传媒</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3,990,000.00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3,990,000.00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文轩体育</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124,915,135.82</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124,915,135.82</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文轩教育科技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333,840,776.30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333,840,776.30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新华商</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12,396,162.00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12,396,162.00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艺术投资</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20,680,000.00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20,680,000.00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74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487" w:type="dxa"/>
        <w:tblLayout w:type="fixed"/>
        <w:tblCellMar>
          <w:top w:w="0" w:type="dxa"/>
          <w:left w:w="0" w:type="dxa"/>
          <w:bottom w:w="0" w:type="dxa"/>
          <w:right w:w="0" w:type="dxa"/>
        </w:tblCellMar>
        <w:tblLook w:val="01E0"/>
      </w:tblPr>
      <w:tblGrid>
        <w:gridCol w:w="1496"/>
        <w:gridCol w:w="1897"/>
        <w:gridCol w:w="1855"/>
        <w:gridCol w:w="387"/>
        <w:gridCol w:w="1896"/>
        <w:gridCol w:w="838"/>
        <w:gridCol w:w="1560"/>
      </w:tblGrid>
      <w:tr>
        <w:trPr>
          <w:trHeight w:val="28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文轩在线</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45,000,000.00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45,000,000.00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91,800,000.00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91,800,000.00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文传物流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350,000,000.00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看熊猫</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薇薇广告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4,000,000.00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文轩云图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24,800,400.00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24,800,400.00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出版印刷</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598,185,830.79</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598,185,830.79</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印刷物资</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40,944,463.95</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40,944,463.95</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18,189,167.92</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24,000,000.00</w:t>
            </w: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42,189,167.92</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211,321,291.49</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211,321,291.49</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少儿社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285,039,941.53</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100,000,000.00</w:t>
            </w: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385,039,941.53</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数字社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5,605,427.63</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5,605,427.63</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文艺社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50,731,819.65</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50,731,819.65</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美术社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5,559,756.46</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12,000,000.00</w:t>
            </w: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17,559,756.46</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15,294,897.94</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9,000,000.00</w:t>
            </w: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24,294,897.94</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辞书社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9,809,021.68</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18,000,000.00</w:t>
            </w: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27,809,021.68</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巴蜀社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34,244,860.20</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11,000,000.00</w:t>
            </w: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45,244,860.20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天地社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139,379,050.03</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139,379,050.03</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读者报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866,830.73</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866,830.73</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画报社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7,521,475.38</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7,521,475.38</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文轩投资</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四川新华印刷</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248,599,490.28</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248,599,490.28</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10,500,000.00</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11,748,300.00</w:t>
            </w: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22,248,300.00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文轩国际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文轩全媒</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文轩音乐</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四川文化传播</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30,710,006.28</w:t>
            </w:r>
          </w:p>
        </w:tc>
        <w:tc>
          <w:tcPr>
            <w:tcW w:w="1855"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30,710,006.28</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轩客会</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50,000,000.00</w:t>
            </w: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3,008,032,747.66</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235,748,300.00</w:t>
            </w:r>
          </w:p>
        </w:tc>
        <w:tc>
          <w:tcPr>
            <w:tcW w:w="3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3,243,781,047.66</w:t>
            </w:r>
          </w:p>
        </w:tc>
        <w:tc>
          <w:tcPr>
            <w:tcW w:w="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2,072,032.00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520" w:right="520"/>
        </w:sectPr>
      </w:pPr>
    </w:p>
    <w:p>
      <w:pPr>
        <w:pStyle w:val="Heading2"/>
        <w:spacing w:line="240" w:lineRule="auto" w:before="36"/>
        <w:ind w:left="920" w:right="-1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left="9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920" w:right="0"/>
        <w:jc w:val="left"/>
      </w:pPr>
      <w:r>
        <w:rPr/>
        <w:t>单位：元币种：人民币</w:t>
      </w:r>
    </w:p>
    <w:p>
      <w:pPr>
        <w:spacing w:after="0" w:line="240" w:lineRule="auto"/>
        <w:jc w:val="left"/>
        <w:sectPr>
          <w:type w:val="continuous"/>
          <w:pgSz w:w="11910" w:h="16840"/>
          <w:pgMar w:top="1060" w:bottom="1380" w:left="520" w:right="520"/>
          <w:cols w:num="2" w:equalWidth="0">
            <w:col w:w="3559" w:space="3369"/>
            <w:col w:w="3942"/>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450"/>
        <w:gridCol w:w="1378"/>
        <w:gridCol w:w="1280"/>
        <w:gridCol w:w="425"/>
        <w:gridCol w:w="1275"/>
        <w:gridCol w:w="427"/>
        <w:gridCol w:w="434"/>
        <w:gridCol w:w="1265"/>
        <w:gridCol w:w="423"/>
        <w:gridCol w:w="401"/>
        <w:gridCol w:w="1435"/>
        <w:gridCol w:w="432"/>
      </w:tblGrid>
      <w:tr>
        <w:trPr>
          <w:trHeight w:val="218" w:hRule="exact"/>
        </w:trPr>
        <w:tc>
          <w:tcPr>
            <w:tcW w:w="14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06" w:lineRule="exact"/>
              <w:ind w:left="559" w:right="557"/>
              <w:jc w:val="center"/>
              <w:rPr>
                <w:rFonts w:ascii="宋体" w:hAnsi="宋体" w:cs="宋体" w:eastAsia="宋体" w:hint="default"/>
                <w:sz w:val="16"/>
                <w:szCs w:val="16"/>
              </w:rPr>
            </w:pPr>
            <w:r>
              <w:rPr>
                <w:rFonts w:ascii="宋体" w:hAnsi="宋体" w:cs="宋体" w:eastAsia="宋体" w:hint="default"/>
                <w:sz w:val="16"/>
                <w:szCs w:val="16"/>
              </w:rPr>
              <w:t>投资</w:t>
            </w:r>
            <w:r>
              <w:rPr>
                <w:rFonts w:ascii="宋体" w:hAnsi="宋体" w:cs="宋体" w:eastAsia="宋体" w:hint="default"/>
                <w:w w:val="100"/>
                <w:sz w:val="16"/>
                <w:szCs w:val="16"/>
              </w:rPr>
              <w:t> </w:t>
            </w:r>
            <w:r>
              <w:rPr>
                <w:rFonts w:ascii="宋体" w:hAnsi="宋体" w:cs="宋体" w:eastAsia="宋体" w:hint="default"/>
                <w:sz w:val="16"/>
                <w:szCs w:val="16"/>
              </w:rPr>
              <w:t>单位</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06" w:lineRule="exact"/>
              <w:ind w:left="525" w:right="518"/>
              <w:jc w:val="center"/>
              <w:rPr>
                <w:rFonts w:ascii="宋体" w:hAnsi="宋体" w:cs="宋体" w:eastAsia="宋体" w:hint="default"/>
                <w:sz w:val="16"/>
                <w:szCs w:val="16"/>
              </w:rPr>
            </w:pPr>
            <w:r>
              <w:rPr>
                <w:rFonts w:ascii="宋体" w:hAnsi="宋体" w:cs="宋体" w:eastAsia="宋体" w:hint="default"/>
                <w:sz w:val="16"/>
                <w:szCs w:val="16"/>
              </w:rPr>
              <w:t>期初</w:t>
            </w:r>
            <w:r>
              <w:rPr>
                <w:rFonts w:ascii="宋体" w:hAnsi="宋体" w:cs="宋体" w:eastAsia="宋体" w:hint="default"/>
                <w:w w:val="100"/>
                <w:sz w:val="16"/>
                <w:szCs w:val="16"/>
              </w:rPr>
              <w:t> </w:t>
            </w:r>
            <w:r>
              <w:rPr>
                <w:rFonts w:ascii="宋体" w:hAnsi="宋体" w:cs="宋体" w:eastAsia="宋体" w:hint="default"/>
                <w:sz w:val="16"/>
                <w:szCs w:val="16"/>
              </w:rPr>
              <w:t>余额</w:t>
            </w:r>
          </w:p>
        </w:tc>
        <w:tc>
          <w:tcPr>
            <w:tcW w:w="5930" w:type="dxa"/>
            <w:gridSpan w:val="8"/>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本期增减变动</w:t>
            </w:r>
          </w:p>
        </w:tc>
        <w:tc>
          <w:tcPr>
            <w:tcW w:w="14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06" w:lineRule="exact"/>
              <w:ind w:left="551" w:right="551"/>
              <w:jc w:val="center"/>
              <w:rPr>
                <w:rFonts w:ascii="宋体" w:hAnsi="宋体" w:cs="宋体" w:eastAsia="宋体" w:hint="default"/>
                <w:sz w:val="16"/>
                <w:szCs w:val="16"/>
              </w:rPr>
            </w:pPr>
            <w:r>
              <w:rPr>
                <w:rFonts w:ascii="宋体" w:hAnsi="宋体" w:cs="宋体" w:eastAsia="宋体" w:hint="default"/>
                <w:sz w:val="16"/>
                <w:szCs w:val="16"/>
              </w:rPr>
              <w:t>期末</w:t>
            </w:r>
            <w:r>
              <w:rPr>
                <w:rFonts w:ascii="宋体" w:hAnsi="宋体" w:cs="宋体" w:eastAsia="宋体" w:hint="default"/>
                <w:w w:val="100"/>
                <w:sz w:val="16"/>
                <w:szCs w:val="16"/>
              </w:rPr>
              <w:t> </w:t>
            </w:r>
            <w:r>
              <w:rPr>
                <w:rFonts w:ascii="宋体" w:hAnsi="宋体" w:cs="宋体" w:eastAsia="宋体" w:hint="default"/>
                <w:sz w:val="16"/>
                <w:szCs w:val="16"/>
              </w:rPr>
              <w:t>余额</w:t>
            </w:r>
          </w:p>
        </w:tc>
        <w:tc>
          <w:tcPr>
            <w:tcW w:w="432" w:type="dxa"/>
            <w:vMerge w:val="restart"/>
            <w:tcBorders>
              <w:top w:val="single" w:sz="4" w:space="0" w:color="000000"/>
              <w:left w:val="single" w:sz="4" w:space="0" w:color="000000"/>
              <w:right w:val="single" w:sz="4" w:space="0" w:color="000000"/>
            </w:tcBorders>
          </w:tcPr>
          <w:p>
            <w:pPr>
              <w:pStyle w:val="TableParagraph"/>
              <w:spacing w:line="237" w:lineRule="auto" w:before="83"/>
              <w:ind w:left="129" w:right="131"/>
              <w:jc w:val="both"/>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w w:val="100"/>
                <w:sz w:val="16"/>
                <w:szCs w:val="16"/>
              </w:rPr>
              <w:t> </w:t>
            </w:r>
            <w:r>
              <w:rPr>
                <w:rFonts w:ascii="宋体" w:hAnsi="宋体" w:cs="宋体" w:eastAsia="宋体" w:hint="default"/>
                <w:sz w:val="16"/>
                <w:szCs w:val="16"/>
              </w:rPr>
              <w:t>值</w:t>
            </w:r>
            <w:r>
              <w:rPr>
                <w:rFonts w:ascii="宋体" w:hAnsi="宋体" w:cs="宋体" w:eastAsia="宋体" w:hint="default"/>
                <w:w w:val="100"/>
                <w:sz w:val="16"/>
                <w:szCs w:val="16"/>
              </w:rPr>
              <w:t> </w:t>
            </w:r>
            <w:r>
              <w:rPr>
                <w:rFonts w:ascii="宋体" w:hAnsi="宋体" w:cs="宋体" w:eastAsia="宋体" w:hint="default"/>
                <w:sz w:val="16"/>
                <w:szCs w:val="16"/>
              </w:rPr>
              <w:t>准</w:t>
            </w:r>
            <w:r>
              <w:rPr>
                <w:rFonts w:ascii="宋体" w:hAnsi="宋体" w:cs="宋体" w:eastAsia="宋体" w:hint="default"/>
                <w:w w:val="100"/>
                <w:sz w:val="16"/>
                <w:szCs w:val="16"/>
              </w:rPr>
              <w:t> </w:t>
            </w:r>
            <w:r>
              <w:rPr>
                <w:rFonts w:ascii="宋体" w:hAnsi="宋体" w:cs="宋体" w:eastAsia="宋体" w:hint="default"/>
                <w:sz w:val="16"/>
                <w:szCs w:val="16"/>
              </w:rPr>
              <w:t>备</w:t>
            </w:r>
            <w:r>
              <w:rPr>
                <w:rFonts w:ascii="宋体" w:hAnsi="宋体" w:cs="宋体" w:eastAsia="宋体" w:hint="default"/>
                <w:w w:val="100"/>
                <w:sz w:val="16"/>
                <w:szCs w:val="16"/>
              </w:rPr>
              <w:t> </w:t>
            </w:r>
            <w:r>
              <w:rPr>
                <w:rFonts w:ascii="宋体" w:hAnsi="宋体" w:cs="宋体" w:eastAsia="宋体" w:hint="default"/>
                <w:sz w:val="16"/>
                <w:szCs w:val="16"/>
              </w:rPr>
              <w:t>期</w:t>
            </w:r>
            <w:r>
              <w:rPr>
                <w:rFonts w:ascii="宋体" w:hAnsi="宋体" w:cs="宋体" w:eastAsia="宋体" w:hint="default"/>
                <w:w w:val="100"/>
                <w:sz w:val="16"/>
                <w:szCs w:val="16"/>
              </w:rPr>
              <w:t> </w:t>
            </w:r>
            <w:r>
              <w:rPr>
                <w:rFonts w:ascii="宋体" w:hAnsi="宋体" w:cs="宋体" w:eastAsia="宋体" w:hint="default"/>
                <w:sz w:val="16"/>
                <w:szCs w:val="16"/>
              </w:rPr>
              <w:t>末</w:t>
            </w:r>
            <w:r>
              <w:rPr>
                <w:rFonts w:ascii="宋体" w:hAnsi="宋体" w:cs="宋体" w:eastAsia="宋体" w:hint="default"/>
                <w:w w:val="100"/>
                <w:sz w:val="16"/>
                <w:szCs w:val="16"/>
              </w:rPr>
              <w:t> </w:t>
            </w:r>
            <w:r>
              <w:rPr>
                <w:rFonts w:ascii="宋体" w:hAnsi="宋体" w:cs="宋体" w:eastAsia="宋体" w:hint="default"/>
                <w:sz w:val="16"/>
                <w:szCs w:val="16"/>
              </w:rPr>
              <w:t>余</w:t>
            </w:r>
            <w:r>
              <w:rPr>
                <w:rFonts w:ascii="宋体" w:hAnsi="宋体" w:cs="宋体" w:eastAsia="宋体" w:hint="default"/>
                <w:w w:val="100"/>
                <w:sz w:val="16"/>
                <w:szCs w:val="16"/>
              </w:rPr>
              <w:t> </w:t>
            </w:r>
            <w:r>
              <w:rPr>
                <w:rFonts w:ascii="宋体" w:hAnsi="宋体" w:cs="宋体" w:eastAsia="宋体" w:hint="default"/>
                <w:sz w:val="16"/>
                <w:szCs w:val="16"/>
              </w:rPr>
              <w:t>额</w:t>
            </w:r>
          </w:p>
        </w:tc>
      </w:tr>
      <w:tr>
        <w:trPr>
          <w:trHeight w:val="1668" w:hRule="exact"/>
        </w:trPr>
        <w:tc>
          <w:tcPr>
            <w:tcW w:w="1450"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追加投资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37" w:lineRule="auto"/>
              <w:ind w:left="124" w:right="127"/>
              <w:jc w:val="both"/>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w w:val="100"/>
                <w:sz w:val="16"/>
                <w:szCs w:val="16"/>
              </w:rPr>
              <w:t> </w:t>
            </w:r>
            <w:r>
              <w:rPr>
                <w:rFonts w:ascii="宋体" w:hAnsi="宋体" w:cs="宋体" w:eastAsia="宋体" w:hint="default"/>
                <w:sz w:val="16"/>
                <w:szCs w:val="16"/>
              </w:rPr>
              <w:t>少</w:t>
            </w:r>
            <w:r>
              <w:rPr>
                <w:rFonts w:ascii="宋体" w:hAnsi="宋体" w:cs="宋体" w:eastAsia="宋体" w:hint="default"/>
                <w:w w:val="100"/>
                <w:sz w:val="16"/>
                <w:szCs w:val="16"/>
              </w:rPr>
              <w:t> </w:t>
            </w:r>
            <w:r>
              <w:rPr>
                <w:rFonts w:ascii="宋体" w:hAnsi="宋体" w:cs="宋体" w:eastAsia="宋体" w:hint="default"/>
                <w:sz w:val="16"/>
                <w:szCs w:val="16"/>
              </w:rPr>
              <w:t>投</w:t>
            </w:r>
            <w:r>
              <w:rPr>
                <w:rFonts w:ascii="宋体" w:hAnsi="宋体" w:cs="宋体" w:eastAsia="宋体" w:hint="default"/>
                <w:w w:val="100"/>
                <w:sz w:val="16"/>
                <w:szCs w:val="16"/>
              </w:rPr>
              <w:t> </w:t>
            </w:r>
            <w:r>
              <w:rPr>
                <w:rFonts w:ascii="宋体" w:hAnsi="宋体" w:cs="宋体" w:eastAsia="宋体" w:hint="default"/>
                <w:sz w:val="16"/>
                <w:szCs w:val="16"/>
              </w:rPr>
              <w:t>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2" w:right="149" w:hanging="82"/>
              <w:jc w:val="left"/>
              <w:rPr>
                <w:rFonts w:ascii="宋体" w:hAnsi="宋体" w:cs="宋体" w:eastAsia="宋体" w:hint="default"/>
                <w:sz w:val="16"/>
                <w:szCs w:val="16"/>
              </w:rPr>
            </w:pPr>
            <w:r>
              <w:rPr>
                <w:rFonts w:ascii="宋体" w:hAnsi="宋体" w:cs="宋体" w:eastAsia="宋体" w:hint="default"/>
                <w:sz w:val="16"/>
                <w:szCs w:val="16"/>
              </w:rPr>
              <w:t>权益法下确认</w:t>
            </w:r>
            <w:r>
              <w:rPr>
                <w:rFonts w:ascii="宋体" w:hAnsi="宋体" w:cs="宋体" w:eastAsia="宋体" w:hint="default"/>
                <w:w w:val="100"/>
                <w:sz w:val="16"/>
                <w:szCs w:val="16"/>
              </w:rPr>
              <w:t> </w:t>
            </w:r>
            <w:r>
              <w:rPr>
                <w:rFonts w:ascii="宋体" w:hAnsi="宋体" w:cs="宋体" w:eastAsia="宋体" w:hint="default"/>
                <w:sz w:val="16"/>
                <w:szCs w:val="16"/>
              </w:rPr>
              <w:t>的投资损益</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27" w:right="0"/>
              <w:jc w:val="both"/>
              <w:rPr>
                <w:rFonts w:ascii="宋体" w:hAnsi="宋体" w:cs="宋体" w:eastAsia="宋体" w:hint="default"/>
                <w:sz w:val="16"/>
                <w:szCs w:val="16"/>
              </w:rPr>
            </w:pPr>
            <w:r>
              <w:rPr>
                <w:rFonts w:ascii="宋体" w:hAnsi="宋体" w:cs="宋体" w:eastAsia="宋体" w:hint="default"/>
                <w:w w:val="100"/>
                <w:sz w:val="16"/>
                <w:szCs w:val="16"/>
              </w:rPr>
              <w:t>其</w:t>
            </w:r>
          </w:p>
          <w:p>
            <w:pPr>
              <w:pStyle w:val="TableParagraph"/>
              <w:spacing w:line="237" w:lineRule="auto"/>
              <w:ind w:left="127" w:right="127"/>
              <w:jc w:val="both"/>
              <w:rPr>
                <w:rFonts w:ascii="宋体" w:hAnsi="宋体" w:cs="宋体" w:eastAsia="宋体" w:hint="default"/>
                <w:sz w:val="16"/>
                <w:szCs w:val="16"/>
              </w:rPr>
            </w:pPr>
            <w:r>
              <w:rPr>
                <w:rFonts w:ascii="宋体" w:hAnsi="宋体" w:cs="宋体" w:eastAsia="宋体" w:hint="default"/>
                <w:sz w:val="16"/>
                <w:szCs w:val="16"/>
              </w:rPr>
              <w:t>他</w:t>
            </w:r>
            <w:r>
              <w:rPr>
                <w:rFonts w:ascii="宋体" w:hAnsi="宋体" w:cs="宋体" w:eastAsia="宋体" w:hint="default"/>
                <w:w w:val="100"/>
                <w:sz w:val="16"/>
                <w:szCs w:val="16"/>
              </w:rPr>
              <w:t> </w:t>
            </w:r>
            <w:r>
              <w:rPr>
                <w:rFonts w:ascii="宋体" w:hAnsi="宋体" w:cs="宋体" w:eastAsia="宋体" w:hint="default"/>
                <w:sz w:val="16"/>
                <w:szCs w:val="16"/>
              </w:rPr>
              <w:t>综</w:t>
            </w:r>
            <w:r>
              <w:rPr>
                <w:rFonts w:ascii="宋体" w:hAnsi="宋体" w:cs="宋体" w:eastAsia="宋体" w:hint="default"/>
                <w:w w:val="100"/>
                <w:sz w:val="16"/>
                <w:szCs w:val="16"/>
              </w:rPr>
              <w:t> </w:t>
            </w:r>
            <w:r>
              <w:rPr>
                <w:rFonts w:ascii="宋体" w:hAnsi="宋体" w:cs="宋体" w:eastAsia="宋体" w:hint="default"/>
                <w:sz w:val="16"/>
                <w:szCs w:val="16"/>
              </w:rPr>
              <w:t>合</w:t>
            </w:r>
            <w:r>
              <w:rPr>
                <w:rFonts w:ascii="宋体" w:hAnsi="宋体" w:cs="宋体" w:eastAsia="宋体" w:hint="default"/>
                <w:w w:val="100"/>
                <w:sz w:val="16"/>
                <w:szCs w:val="16"/>
              </w:rPr>
              <w:t> </w:t>
            </w:r>
            <w:r>
              <w:rPr>
                <w:rFonts w:ascii="宋体" w:hAnsi="宋体" w:cs="宋体" w:eastAsia="宋体" w:hint="default"/>
                <w:sz w:val="16"/>
                <w:szCs w:val="16"/>
              </w:rPr>
              <w:t>收</w:t>
            </w:r>
            <w:r>
              <w:rPr>
                <w:rFonts w:ascii="宋体" w:hAnsi="宋体" w:cs="宋体" w:eastAsia="宋体" w:hint="default"/>
                <w:w w:val="100"/>
                <w:sz w:val="16"/>
                <w:szCs w:val="16"/>
              </w:rPr>
              <w:t> </w:t>
            </w:r>
            <w:r>
              <w:rPr>
                <w:rFonts w:ascii="宋体" w:hAnsi="宋体" w:cs="宋体" w:eastAsia="宋体" w:hint="default"/>
                <w:sz w:val="16"/>
                <w:szCs w:val="16"/>
              </w:rPr>
              <w:t>益</w:t>
            </w:r>
            <w:r>
              <w:rPr>
                <w:rFonts w:ascii="宋体" w:hAnsi="宋体" w:cs="宋体" w:eastAsia="宋体" w:hint="default"/>
                <w:w w:val="100"/>
                <w:sz w:val="16"/>
                <w:szCs w:val="16"/>
              </w:rPr>
              <w:t> </w:t>
            </w:r>
            <w:r>
              <w:rPr>
                <w:rFonts w:ascii="宋体" w:hAnsi="宋体" w:cs="宋体" w:eastAsia="宋体" w:hint="default"/>
                <w:sz w:val="16"/>
                <w:szCs w:val="16"/>
              </w:rPr>
              <w:t>调</w:t>
            </w:r>
            <w:r>
              <w:rPr>
                <w:rFonts w:ascii="宋体" w:hAnsi="宋体" w:cs="宋体" w:eastAsia="宋体" w:hint="default"/>
                <w:w w:val="100"/>
                <w:sz w:val="16"/>
                <w:szCs w:val="16"/>
              </w:rPr>
              <w:t> </w:t>
            </w:r>
            <w:r>
              <w:rPr>
                <w:rFonts w:ascii="宋体" w:hAnsi="宋体" w:cs="宋体" w:eastAsia="宋体" w:hint="default"/>
                <w:sz w:val="16"/>
                <w:szCs w:val="16"/>
              </w:rPr>
              <w:t>整</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37" w:lineRule="auto"/>
              <w:ind w:left="131" w:right="131"/>
              <w:jc w:val="both"/>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r>
              <w:rPr>
                <w:rFonts w:ascii="宋体" w:hAnsi="宋体" w:cs="宋体" w:eastAsia="宋体" w:hint="default"/>
                <w:w w:val="100"/>
                <w:sz w:val="16"/>
                <w:szCs w:val="16"/>
              </w:rPr>
              <w:t> </w:t>
            </w:r>
            <w:r>
              <w:rPr>
                <w:rFonts w:ascii="宋体" w:hAnsi="宋体" w:cs="宋体" w:eastAsia="宋体" w:hint="default"/>
                <w:sz w:val="16"/>
                <w:szCs w:val="16"/>
              </w:rPr>
              <w:t>权</w:t>
            </w:r>
            <w:r>
              <w:rPr>
                <w:rFonts w:ascii="宋体" w:hAnsi="宋体" w:cs="宋体" w:eastAsia="宋体" w:hint="default"/>
                <w:w w:val="100"/>
                <w:sz w:val="16"/>
                <w:szCs w:val="16"/>
              </w:rPr>
              <w:t> </w:t>
            </w:r>
            <w:r>
              <w:rPr>
                <w:rFonts w:ascii="宋体" w:hAnsi="宋体" w:cs="宋体" w:eastAsia="宋体" w:hint="default"/>
                <w:sz w:val="16"/>
                <w:szCs w:val="16"/>
              </w:rPr>
              <w:t>益</w:t>
            </w:r>
            <w:r>
              <w:rPr>
                <w:rFonts w:ascii="宋体" w:hAnsi="宋体" w:cs="宋体" w:eastAsia="宋体" w:hint="default"/>
                <w:w w:val="100"/>
                <w:sz w:val="16"/>
                <w:szCs w:val="16"/>
              </w:rPr>
              <w:t> </w:t>
            </w:r>
            <w:r>
              <w:rPr>
                <w:rFonts w:ascii="宋体" w:hAnsi="宋体" w:cs="宋体" w:eastAsia="宋体" w:hint="default"/>
                <w:sz w:val="16"/>
                <w:szCs w:val="16"/>
              </w:rPr>
              <w:t>变</w:t>
            </w:r>
            <w:r>
              <w:rPr>
                <w:rFonts w:ascii="宋体" w:hAnsi="宋体" w:cs="宋体" w:eastAsia="宋体" w:hint="default"/>
                <w:w w:val="100"/>
                <w:sz w:val="16"/>
                <w:szCs w:val="16"/>
              </w:rPr>
              <w:t> </w:t>
            </w:r>
            <w:r>
              <w:rPr>
                <w:rFonts w:ascii="宋体" w:hAnsi="宋体" w:cs="宋体" w:eastAsia="宋体" w:hint="default"/>
                <w:sz w:val="16"/>
                <w:szCs w:val="16"/>
              </w:rPr>
              <w:t>动</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7" w:right="144" w:hanging="82"/>
              <w:jc w:val="left"/>
              <w:rPr>
                <w:rFonts w:ascii="宋体" w:hAnsi="宋体" w:cs="宋体" w:eastAsia="宋体" w:hint="default"/>
                <w:sz w:val="16"/>
                <w:szCs w:val="16"/>
              </w:rPr>
            </w:pPr>
            <w:r>
              <w:rPr>
                <w:rFonts w:ascii="宋体" w:hAnsi="宋体" w:cs="宋体" w:eastAsia="宋体" w:hint="default"/>
                <w:sz w:val="16"/>
                <w:szCs w:val="16"/>
              </w:rPr>
              <w:t>宣告发放现金</w:t>
            </w:r>
            <w:r>
              <w:rPr>
                <w:rFonts w:ascii="宋体" w:hAnsi="宋体" w:cs="宋体" w:eastAsia="宋体" w:hint="default"/>
                <w:w w:val="100"/>
                <w:sz w:val="16"/>
                <w:szCs w:val="16"/>
              </w:rPr>
              <w:t> </w:t>
            </w:r>
            <w:r>
              <w:rPr>
                <w:rFonts w:ascii="宋体" w:hAnsi="宋体" w:cs="宋体" w:eastAsia="宋体" w:hint="default"/>
                <w:sz w:val="16"/>
                <w:szCs w:val="16"/>
              </w:rPr>
              <w:t>股利或利润</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37" w:lineRule="auto"/>
              <w:ind w:left="124" w:right="125"/>
              <w:jc w:val="both"/>
              <w:rPr>
                <w:rFonts w:ascii="宋体" w:hAnsi="宋体" w:cs="宋体" w:eastAsia="宋体" w:hint="default"/>
                <w:sz w:val="16"/>
                <w:szCs w:val="16"/>
              </w:rPr>
            </w:pPr>
            <w:r>
              <w:rPr>
                <w:rFonts w:ascii="宋体" w:hAnsi="宋体" w:cs="宋体" w:eastAsia="宋体" w:hint="default"/>
                <w:sz w:val="16"/>
                <w:szCs w:val="16"/>
              </w:rPr>
              <w:t>计</w:t>
            </w:r>
            <w:r>
              <w:rPr>
                <w:rFonts w:ascii="宋体" w:hAnsi="宋体" w:cs="宋体" w:eastAsia="宋体" w:hint="default"/>
                <w:w w:val="100"/>
                <w:sz w:val="16"/>
                <w:szCs w:val="16"/>
              </w:rPr>
              <w:t> </w:t>
            </w:r>
            <w:r>
              <w:rPr>
                <w:rFonts w:ascii="宋体" w:hAnsi="宋体" w:cs="宋体" w:eastAsia="宋体" w:hint="default"/>
                <w:sz w:val="16"/>
                <w:szCs w:val="16"/>
              </w:rPr>
              <w:t>提</w:t>
            </w:r>
            <w:r>
              <w:rPr>
                <w:rFonts w:ascii="宋体" w:hAnsi="宋体" w:cs="宋体" w:eastAsia="宋体" w:hint="default"/>
                <w:w w:val="100"/>
                <w:sz w:val="16"/>
                <w:szCs w:val="16"/>
              </w:rPr>
              <w:t> </w:t>
            </w:r>
            <w:r>
              <w:rPr>
                <w:rFonts w:ascii="宋体" w:hAnsi="宋体" w:cs="宋体" w:eastAsia="宋体" w:hint="default"/>
                <w:sz w:val="16"/>
                <w:szCs w:val="16"/>
              </w:rPr>
              <w:t>减</w:t>
            </w:r>
            <w:r>
              <w:rPr>
                <w:rFonts w:ascii="宋体" w:hAnsi="宋体" w:cs="宋体" w:eastAsia="宋体" w:hint="default"/>
                <w:w w:val="100"/>
                <w:sz w:val="16"/>
                <w:szCs w:val="16"/>
              </w:rPr>
              <w:t> </w:t>
            </w:r>
            <w:r>
              <w:rPr>
                <w:rFonts w:ascii="宋体" w:hAnsi="宋体" w:cs="宋体" w:eastAsia="宋体" w:hint="default"/>
                <w:sz w:val="16"/>
                <w:szCs w:val="16"/>
              </w:rPr>
              <w:t>值</w:t>
            </w:r>
            <w:r>
              <w:rPr>
                <w:rFonts w:ascii="宋体" w:hAnsi="宋体" w:cs="宋体" w:eastAsia="宋体" w:hint="default"/>
                <w:w w:val="100"/>
                <w:sz w:val="16"/>
                <w:szCs w:val="16"/>
              </w:rPr>
              <w:t> </w:t>
            </w:r>
            <w:r>
              <w:rPr>
                <w:rFonts w:ascii="宋体" w:hAnsi="宋体" w:cs="宋体" w:eastAsia="宋体" w:hint="default"/>
                <w:sz w:val="16"/>
                <w:szCs w:val="16"/>
              </w:rPr>
              <w:t>准</w:t>
            </w:r>
            <w:r>
              <w:rPr>
                <w:rFonts w:ascii="宋体" w:hAnsi="宋体" w:cs="宋体" w:eastAsia="宋体" w:hint="default"/>
                <w:w w:val="100"/>
                <w:sz w:val="16"/>
                <w:szCs w:val="16"/>
              </w:rPr>
              <w:t> </w:t>
            </w:r>
            <w:r>
              <w:rPr>
                <w:rFonts w:ascii="宋体" w:hAnsi="宋体" w:cs="宋体" w:eastAsia="宋体" w:hint="default"/>
                <w:sz w:val="16"/>
                <w:szCs w:val="16"/>
              </w:rPr>
              <w:t>备</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2" w:right="115"/>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p>
        </w:tc>
        <w:tc>
          <w:tcPr>
            <w:tcW w:w="1435" w:type="dxa"/>
            <w:vMerge/>
            <w:tcBorders>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tcPr>
          <w:p>
            <w:pPr/>
          </w:p>
        </w:tc>
      </w:tr>
      <w:tr>
        <w:trPr>
          <w:trHeight w:val="218" w:hRule="exact"/>
        </w:trPr>
        <w:tc>
          <w:tcPr>
            <w:tcW w:w="10624" w:type="dxa"/>
            <w:gridSpan w:val="12"/>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一、合营企业</w:t>
            </w:r>
          </w:p>
        </w:tc>
      </w:tr>
      <w:tr>
        <w:trPr>
          <w:trHeight w:val="21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海南出版社</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131,622,920.10</w:t>
            </w:r>
          </w:p>
        </w:tc>
        <w:tc>
          <w:tcPr>
            <w:tcW w:w="128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16,604,538.54</w:t>
            </w:r>
          </w:p>
        </w:tc>
        <w:tc>
          <w:tcPr>
            <w:tcW w:w="4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148,227,458.64</w:t>
            </w:r>
          </w:p>
        </w:tc>
        <w:tc>
          <w:tcPr>
            <w:tcW w:w="432"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凉山新华文轩教</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育科技有限公司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4,151,258.65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9" w:right="0"/>
              <w:jc w:val="center"/>
              <w:rPr>
                <w:rFonts w:ascii="宋体" w:hAnsi="宋体" w:cs="宋体" w:eastAsia="宋体" w:hint="default"/>
                <w:sz w:val="16"/>
                <w:szCs w:val="16"/>
              </w:rPr>
            </w:pPr>
            <w:r>
              <w:rPr>
                <w:rFonts w:ascii="宋体"/>
                <w:sz w:val="16"/>
              </w:rPr>
              <w:t>14,700,000.00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686,244.41</w:t>
            </w:r>
          </w:p>
        </w:tc>
        <w:tc>
          <w:tcPr>
            <w:tcW w:w="4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19,537,503.06</w:t>
            </w:r>
          </w:p>
        </w:tc>
        <w:tc>
          <w:tcPr>
            <w:tcW w:w="432"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135,774,178.75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9" w:right="0"/>
              <w:jc w:val="center"/>
              <w:rPr>
                <w:rFonts w:ascii="宋体" w:hAnsi="宋体" w:cs="宋体" w:eastAsia="宋体" w:hint="default"/>
                <w:sz w:val="16"/>
                <w:szCs w:val="16"/>
              </w:rPr>
            </w:pPr>
            <w:r>
              <w:rPr>
                <w:rFonts w:ascii="宋体"/>
                <w:sz w:val="16"/>
              </w:rPr>
              <w:t>14,700,000.00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17,290,782.95</w:t>
            </w:r>
          </w:p>
        </w:tc>
        <w:tc>
          <w:tcPr>
            <w:tcW w:w="4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167,764,961.70</w:t>
            </w:r>
          </w:p>
        </w:tc>
        <w:tc>
          <w:tcPr>
            <w:tcW w:w="432" w:type="dxa"/>
            <w:tcBorders>
              <w:top w:val="single" w:sz="4" w:space="0" w:color="000000"/>
              <w:left w:val="single" w:sz="4" w:space="0" w:color="000000"/>
              <w:bottom w:val="single" w:sz="4" w:space="0" w:color="000000"/>
              <w:right w:val="single" w:sz="4" w:space="0" w:color="000000"/>
            </w:tcBorders>
          </w:tcPr>
          <w:p>
            <w:pPr/>
          </w:p>
        </w:tc>
      </w:tr>
      <w:tr>
        <w:trPr>
          <w:trHeight w:val="219" w:hRule="exact"/>
        </w:trPr>
        <w:tc>
          <w:tcPr>
            <w:tcW w:w="10624" w:type="dxa"/>
            <w:gridSpan w:val="12"/>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二、联营企业</w:t>
            </w:r>
          </w:p>
        </w:tc>
      </w:tr>
      <w:tr>
        <w:trPr>
          <w:trHeight w:val="21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商务印书馆</w:t>
            </w:r>
            <w:r>
              <w:rPr>
                <w:rFonts w:ascii="宋体" w:hAnsi="宋体" w:cs="宋体" w:eastAsia="宋体" w:hint="default"/>
                <w:sz w:val="16"/>
                <w:szCs w:val="16"/>
              </w:rPr>
              <w:t>(</w:t>
            </w:r>
            <w:r>
              <w:rPr>
                <w:rFonts w:ascii="宋体" w:hAnsi="宋体" w:cs="宋体" w:eastAsia="宋体" w:hint="default"/>
                <w:sz w:val="16"/>
                <w:szCs w:val="16"/>
              </w:rPr>
              <w:t>成</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2,435,042.07</w:t>
            </w:r>
          </w:p>
        </w:tc>
        <w:tc>
          <w:tcPr>
            <w:tcW w:w="128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191,840.76</w:t>
            </w:r>
          </w:p>
        </w:tc>
        <w:tc>
          <w:tcPr>
            <w:tcW w:w="4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2,626,882.83</w:t>
            </w:r>
          </w:p>
        </w:tc>
        <w:tc>
          <w:tcPr>
            <w:tcW w:w="4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520" w:right="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450"/>
        <w:gridCol w:w="1378"/>
        <w:gridCol w:w="1280"/>
        <w:gridCol w:w="425"/>
        <w:gridCol w:w="1275"/>
        <w:gridCol w:w="427"/>
        <w:gridCol w:w="434"/>
        <w:gridCol w:w="1265"/>
        <w:gridCol w:w="423"/>
        <w:gridCol w:w="401"/>
        <w:gridCol w:w="1435"/>
        <w:gridCol w:w="432"/>
      </w:tblGrid>
      <w:tr>
        <w:trPr>
          <w:trHeight w:val="216"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都</w:t>
            </w:r>
            <w:r>
              <w:rPr>
                <w:rFonts w:ascii="宋体" w:hAnsi="宋体" w:cs="宋体" w:eastAsia="宋体" w:hint="default"/>
                <w:sz w:val="16"/>
                <w:szCs w:val="16"/>
              </w:rPr>
              <w:t>)</w:t>
            </w:r>
            <w:r>
              <w:rPr>
                <w:rFonts w:ascii="宋体" w:hAnsi="宋体" w:cs="宋体" w:eastAsia="宋体" w:hint="default"/>
                <w:sz w:val="16"/>
                <w:szCs w:val="16"/>
              </w:rPr>
              <w:t>有限公司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人民东方</w:t>
            </w:r>
            <w:r>
              <w:rPr>
                <w:rFonts w:ascii="宋体" w:hAnsi="宋体" w:cs="宋体" w:eastAsia="宋体" w:hint="default"/>
                <w:sz w:val="16"/>
                <w:szCs w:val="16"/>
              </w:rPr>
              <w:t>(</w:t>
            </w:r>
            <w:r>
              <w:rPr>
                <w:rFonts w:ascii="宋体" w:hAnsi="宋体" w:cs="宋体" w:eastAsia="宋体" w:hint="default"/>
                <w:sz w:val="16"/>
                <w:szCs w:val="16"/>
              </w:rPr>
              <w:t>北京</w:t>
            </w:r>
            <w:r>
              <w:rPr>
                <w:rFonts w:ascii="宋体" w:hAnsi="宋体" w:cs="宋体" w:eastAsia="宋体" w:hint="default"/>
                <w:sz w:val="16"/>
                <w:szCs w:val="16"/>
              </w:rPr>
              <w:t>)</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书业有限公司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7"/>
              <w:jc w:val="right"/>
              <w:rPr>
                <w:rFonts w:ascii="宋体" w:hAnsi="宋体" w:cs="宋体" w:eastAsia="宋体" w:hint="default"/>
                <w:sz w:val="16"/>
                <w:szCs w:val="16"/>
              </w:rPr>
            </w:pPr>
            <w:r>
              <w:rPr>
                <w:rFonts w:ascii="宋体"/>
                <w:spacing w:val="-2"/>
                <w:sz w:val="16"/>
              </w:rPr>
              <w:t>10,620,350.30</w:t>
            </w:r>
          </w:p>
        </w:tc>
        <w:tc>
          <w:tcPr>
            <w:tcW w:w="128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2,702,454.78</w:t>
            </w:r>
          </w:p>
        </w:tc>
        <w:tc>
          <w:tcPr>
            <w:tcW w:w="4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2,400,000.00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10,922,805.08</w:t>
            </w:r>
          </w:p>
        </w:tc>
        <w:tc>
          <w:tcPr>
            <w:tcW w:w="432"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贵州文轩</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1"/>
                <w:sz w:val="16"/>
              </w:rPr>
              <w:t>0.00</w:t>
            </w:r>
          </w:p>
        </w:tc>
        <w:tc>
          <w:tcPr>
            <w:tcW w:w="432"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明博教育科技股</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份有限公司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32,007,766.13</w:t>
            </w:r>
          </w:p>
        </w:tc>
        <w:tc>
          <w:tcPr>
            <w:tcW w:w="128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4,987,119.63</w:t>
            </w:r>
          </w:p>
        </w:tc>
        <w:tc>
          <w:tcPr>
            <w:tcW w:w="4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36,994,885.76</w:t>
            </w:r>
          </w:p>
        </w:tc>
        <w:tc>
          <w:tcPr>
            <w:tcW w:w="432"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幼儿教育</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2,364,306.48</w:t>
            </w:r>
          </w:p>
        </w:tc>
        <w:tc>
          <w:tcPr>
            <w:tcW w:w="128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1,608,473.29</w:t>
            </w:r>
          </w:p>
        </w:tc>
        <w:tc>
          <w:tcPr>
            <w:tcW w:w="4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3,972,779.77</w:t>
            </w:r>
          </w:p>
        </w:tc>
        <w:tc>
          <w:tcPr>
            <w:tcW w:w="432"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新华影轩</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14,874,969.76</w:t>
            </w:r>
          </w:p>
        </w:tc>
        <w:tc>
          <w:tcPr>
            <w:tcW w:w="128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395,873.79</w:t>
            </w:r>
          </w:p>
        </w:tc>
        <w:tc>
          <w:tcPr>
            <w:tcW w:w="4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15,270,843.55</w:t>
            </w:r>
          </w:p>
        </w:tc>
        <w:tc>
          <w:tcPr>
            <w:tcW w:w="432"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7"/>
              <w:jc w:val="right"/>
              <w:rPr>
                <w:rFonts w:ascii="宋体" w:hAnsi="宋体" w:cs="宋体" w:eastAsia="宋体" w:hint="default"/>
                <w:sz w:val="16"/>
                <w:szCs w:val="16"/>
              </w:rPr>
            </w:pPr>
            <w:r>
              <w:rPr>
                <w:rFonts w:ascii="宋体"/>
                <w:spacing w:val="-2"/>
                <w:sz w:val="16"/>
              </w:rPr>
              <w:t>62,302,434.74</w:t>
            </w:r>
          </w:p>
        </w:tc>
        <w:tc>
          <w:tcPr>
            <w:tcW w:w="128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9,885,762.25</w:t>
            </w:r>
          </w:p>
        </w:tc>
        <w:tc>
          <w:tcPr>
            <w:tcW w:w="4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2,400,000.00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69,788,196.99</w:t>
            </w:r>
          </w:p>
        </w:tc>
        <w:tc>
          <w:tcPr>
            <w:tcW w:w="432"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198,076,613.49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24" w:right="0"/>
              <w:jc w:val="left"/>
              <w:rPr>
                <w:rFonts w:ascii="宋体" w:hAnsi="宋体" w:cs="宋体" w:eastAsia="宋体" w:hint="default"/>
                <w:sz w:val="16"/>
                <w:szCs w:val="16"/>
              </w:rPr>
            </w:pPr>
            <w:r>
              <w:rPr>
                <w:rFonts w:ascii="宋体"/>
                <w:sz w:val="16"/>
              </w:rPr>
              <w:t>14,700,000.00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27,176,545.20</w:t>
            </w:r>
          </w:p>
        </w:tc>
        <w:tc>
          <w:tcPr>
            <w:tcW w:w="4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2,400,000.00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237,553,158.69</w:t>
            </w:r>
          </w:p>
        </w:tc>
        <w:tc>
          <w:tcPr>
            <w:tcW w:w="4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520" w:right="520"/>
        </w:sectPr>
      </w:pPr>
    </w:p>
    <w:p>
      <w:pPr>
        <w:pStyle w:val="Heading2"/>
        <w:spacing w:line="240" w:lineRule="auto" w:before="36"/>
        <w:ind w:left="920" w:right="-18"/>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8"/>
        <w:ind w:left="920" w:right="-18"/>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spacing w:line="240" w:lineRule="auto" w:before="57"/>
        <w:ind w:left="9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920" w:right="0"/>
        <w:jc w:val="left"/>
      </w:pPr>
      <w:r>
        <w:rPr/>
        <w:t>单位：元币种：人民币</w:t>
      </w:r>
    </w:p>
    <w:p>
      <w:pPr>
        <w:spacing w:after="0" w:line="240" w:lineRule="auto"/>
        <w:jc w:val="left"/>
        <w:sectPr>
          <w:type w:val="continuous"/>
          <w:pgSz w:w="11910" w:h="16840"/>
          <w:pgMar w:top="1060" w:bottom="1380" w:left="520" w:right="520"/>
          <w:cols w:num="2" w:equalWidth="0">
            <w:col w:w="3770" w:space="3157"/>
            <w:col w:w="3943"/>
          </w:cols>
        </w:sectPr>
      </w:pPr>
    </w:p>
    <w:p>
      <w:pPr>
        <w:spacing w:line="240" w:lineRule="auto" w:before="4"/>
        <w:rPr>
          <w:rFonts w:ascii="宋体" w:hAnsi="宋体" w:cs="宋体" w:eastAsia="宋体" w:hint="default"/>
          <w:sz w:val="2"/>
          <w:szCs w:val="2"/>
        </w:rPr>
      </w:pPr>
    </w:p>
    <w:tbl>
      <w:tblPr>
        <w:tblW w:w="0" w:type="auto"/>
        <w:jc w:val="left"/>
        <w:tblInd w:w="807" w:type="dxa"/>
        <w:tblLayout w:type="fixed"/>
        <w:tblCellMar>
          <w:top w:w="0" w:type="dxa"/>
          <w:left w:w="0" w:type="dxa"/>
          <w:bottom w:w="0" w:type="dxa"/>
          <w:right w:w="0" w:type="dxa"/>
        </w:tblCellMar>
        <w:tblLook w:val="01E0"/>
      </w:tblPr>
      <w:tblGrid>
        <w:gridCol w:w="1658"/>
        <w:gridCol w:w="1897"/>
        <w:gridCol w:w="1896"/>
        <w:gridCol w:w="1896"/>
        <w:gridCol w:w="1897"/>
      </w:tblGrid>
      <w:tr>
        <w:trPr>
          <w:trHeight w:val="283" w:hRule="exact"/>
        </w:trPr>
        <w:tc>
          <w:tcPr>
            <w:tcW w:w="165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658"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6,371,359,690.08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4,424,006,158.91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5,765,867,257.44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4,099,440,336.16</w:t>
            </w:r>
          </w:p>
        </w:tc>
      </w:tr>
      <w:tr>
        <w:trPr>
          <w:trHeight w:val="283"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115,986,681.12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5,634,167.70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121,545,207.22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8,577,495.08</w:t>
            </w:r>
          </w:p>
        </w:tc>
      </w:tr>
      <w:tr>
        <w:trPr>
          <w:trHeight w:val="283"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6,487,346,371.20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4,429,640,326.61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5,887,412,464.66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4,108,017,831.24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920" w:right="4413"/>
        <w:jc w:val="left"/>
        <w:rPr>
          <w:b w:val="0"/>
          <w:bCs w:val="0"/>
        </w:rPr>
      </w:pPr>
      <w:r>
        <w:rPr>
          <w:rFonts w:ascii="宋体" w:hAnsi="宋体" w:cs="宋体" w:eastAsia="宋体" w:hint="default"/>
        </w:rPr>
        <w:t>(2).</w:t>
      </w:r>
      <w:r>
        <w:rPr>
          <w:rFonts w:ascii="宋体" w:hAnsi="宋体" w:cs="宋体" w:eastAsia="宋体" w:hint="default"/>
          <w:spacing w:val="-2"/>
        </w:rPr>
        <w:t> </w:t>
      </w:r>
      <w:r>
        <w:rPr/>
        <w:t>合同产生的收入的情况</w:t>
      </w:r>
      <w:r>
        <w:rPr>
          <w:b w:val="0"/>
          <w:bCs w:val="0"/>
        </w:rPr>
      </w:r>
    </w:p>
    <w:p>
      <w:pPr>
        <w:pStyle w:val="BodyText"/>
        <w:spacing w:line="240" w:lineRule="auto" w:before="56"/>
        <w:ind w:left="920" w:right="7718"/>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2"/>
        <w:spacing w:line="240" w:lineRule="auto"/>
        <w:ind w:left="920" w:right="7718"/>
        <w:jc w:val="left"/>
        <w:rPr>
          <w:b w:val="0"/>
          <w:bCs w:val="0"/>
        </w:rPr>
      </w:pPr>
      <w:r>
        <w:rPr>
          <w:rFonts w:ascii="宋体" w:hAnsi="宋体" w:cs="宋体" w:eastAsia="宋体" w:hint="default"/>
        </w:rPr>
        <w:t>(3). </w:t>
      </w:r>
      <w:r>
        <w:rPr/>
        <w:t>履约义务的说明</w:t>
      </w:r>
      <w:r>
        <w:rPr>
          <w:b w:val="0"/>
          <w:bCs w:val="0"/>
        </w:rPr>
      </w:r>
    </w:p>
    <w:p>
      <w:pPr>
        <w:pStyle w:val="BodyText"/>
        <w:spacing w:line="240" w:lineRule="auto" w:before="56"/>
        <w:ind w:left="920" w:right="7718"/>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920" w:right="4413"/>
        <w:jc w:val="left"/>
        <w:rPr>
          <w:b w:val="0"/>
          <w:bCs w:val="0"/>
        </w:rPr>
      </w:pPr>
      <w:r>
        <w:rPr>
          <w:rFonts w:ascii="宋体" w:hAnsi="宋体" w:cs="宋体" w:eastAsia="宋体" w:hint="default"/>
        </w:rPr>
        <w:t>(4).</w:t>
      </w:r>
      <w:r>
        <w:rPr>
          <w:rFonts w:ascii="宋体" w:hAnsi="宋体" w:cs="宋体" w:eastAsia="宋体" w:hint="default"/>
          <w:spacing w:val="-4"/>
        </w:rPr>
        <w:t> </w:t>
      </w:r>
      <w:r>
        <w:rPr/>
        <w:t>分摊至剩余履约义务的说明</w:t>
      </w:r>
      <w:r>
        <w:rPr>
          <w:b w:val="0"/>
          <w:bCs w:val="0"/>
        </w:rPr>
      </w:r>
    </w:p>
    <w:p>
      <w:pPr>
        <w:pStyle w:val="BodyText"/>
        <w:spacing w:line="501" w:lineRule="auto" w:before="58"/>
        <w:ind w:left="920" w:right="8351"/>
        <w:jc w:val="left"/>
      </w:pPr>
      <w:r>
        <w:rPr/>
        <w:t>□适用 √不适用</w:t>
      </w:r>
      <w:r>
        <w:rPr>
          <w:w w:val="100"/>
        </w:rPr>
        <w:t> </w:t>
      </w:r>
      <w:r>
        <w:rPr/>
        <w:t>其他说明：</w:t>
      </w:r>
    </w:p>
    <w:p>
      <w:pPr>
        <w:spacing w:line="240" w:lineRule="auto" w:before="8"/>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80" w:left="520" w:right="520"/>
        </w:sectPr>
      </w:pPr>
    </w:p>
    <w:p>
      <w:pPr>
        <w:pStyle w:val="Heading2"/>
        <w:spacing w:line="240" w:lineRule="auto" w:before="36"/>
        <w:ind w:left="920"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9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920" w:right="0"/>
        <w:jc w:val="left"/>
      </w:pPr>
      <w:r>
        <w:rPr/>
        <w:t>单位：元币种：人民币</w:t>
      </w:r>
    </w:p>
    <w:p>
      <w:pPr>
        <w:spacing w:after="0" w:line="240" w:lineRule="auto"/>
        <w:jc w:val="left"/>
        <w:sectPr>
          <w:type w:val="continuous"/>
          <w:pgSz w:w="11910" w:h="16840"/>
          <w:pgMar w:top="1060" w:bottom="1380" w:left="520" w:right="520"/>
          <w:cols w:num="2" w:equalWidth="0">
            <w:col w:w="2498" w:space="4430"/>
            <w:col w:w="3942"/>
          </w:cols>
        </w:sectPr>
      </w:pPr>
    </w:p>
    <w:p>
      <w:pPr>
        <w:spacing w:line="240" w:lineRule="auto" w:before="4"/>
        <w:rPr>
          <w:rFonts w:ascii="宋体" w:hAnsi="宋体" w:cs="宋体" w:eastAsia="宋体" w:hint="default"/>
          <w:sz w:val="2"/>
          <w:szCs w:val="2"/>
        </w:rPr>
      </w:pPr>
    </w:p>
    <w:tbl>
      <w:tblPr>
        <w:tblW w:w="0" w:type="auto"/>
        <w:jc w:val="left"/>
        <w:tblInd w:w="807" w:type="dxa"/>
        <w:tblLayout w:type="fixed"/>
        <w:tblCellMar>
          <w:top w:w="0" w:type="dxa"/>
          <w:left w:w="0" w:type="dxa"/>
          <w:bottom w:w="0" w:type="dxa"/>
          <w:right w:w="0" w:type="dxa"/>
        </w:tblCellMar>
        <w:tblLook w:val="01E0"/>
      </w:tblPr>
      <w:tblGrid>
        <w:gridCol w:w="5497"/>
        <w:gridCol w:w="1843"/>
        <w:gridCol w:w="1904"/>
      </w:tblGrid>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280,000,000.00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260,000,000.00</w:t>
            </w: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27,176,545.20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13,423,993.37</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218,848,600.88</w:t>
            </w:r>
          </w:p>
        </w:tc>
      </w:tr>
      <w:tr>
        <w:trPr>
          <w:trHeight w:val="55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以公允价值计量且其变动计入当期损益的金融资产在持有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期间的投资收益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处置以公允价值计量且其变动计入当期损益的金融资产取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得的投资收益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48,309,466.48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24,368,718.78</w:t>
            </w:r>
          </w:p>
        </w:tc>
      </w:tr>
      <w:tr>
        <w:trPr>
          <w:trHeight w:val="28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520" w:right="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5497"/>
        <w:gridCol w:w="1843"/>
        <w:gridCol w:w="1904"/>
      </w:tblGrid>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53,647,638.99</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丧失控制权后，剩余股权按公允价值重新计量产生的利得</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其他权益工具投资持有期间取得的股利收入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43,588,800.00</w:t>
            </w: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债权投资持有期间取得的利息收入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其他债权投资持有期间取得的利息收入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399,074,811.68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570,288,952.02</w:t>
            </w:r>
          </w:p>
        </w:tc>
      </w:tr>
    </w:tbl>
    <w:p>
      <w:pPr>
        <w:spacing w:line="240" w:lineRule="auto" w:before="12"/>
        <w:rPr>
          <w:rFonts w:ascii="宋体" w:hAnsi="宋体" w:cs="宋体" w:eastAsia="宋体" w:hint="default"/>
          <w:sz w:val="19"/>
          <w:szCs w:val="19"/>
        </w:rPr>
      </w:pPr>
    </w:p>
    <w:p>
      <w:pPr>
        <w:pStyle w:val="Heading2"/>
        <w:spacing w:line="240" w:lineRule="auto" w:before="36"/>
        <w:ind w:right="205"/>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40" w:lineRule="auto" w:before="58"/>
        <w:ind w:right="20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20" w:right="1220"/>
        </w:sectPr>
      </w:pPr>
    </w:p>
    <w:p>
      <w:pPr>
        <w:pStyle w:val="Heading2"/>
        <w:tabs>
          <w:tab w:pos="1060" w:val="left" w:leader="none"/>
        </w:tabs>
        <w:spacing w:line="240" w:lineRule="auto" w:before="36"/>
        <w:ind w:right="-18"/>
        <w:jc w:val="left"/>
        <w:rPr>
          <w:b w:val="0"/>
          <w:bCs w:val="0"/>
        </w:rPr>
      </w:pPr>
      <w:r>
        <w:rPr/>
        <w:t>十八、</w:t>
        <w:tab/>
        <w:t>补充资料</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2" w:val="left" w:leader="none"/>
        </w:tabs>
        <w:spacing w:line="240" w:lineRule="auto" w:before="58"/>
        <w:ind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2"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220" w:right="1220"/>
          <w:cols w:num="2" w:equalWidth="0">
            <w:col w:w="2964" w:space="3752"/>
            <w:col w:w="275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922"/>
        <w:gridCol w:w="1844"/>
        <w:gridCol w:w="1478"/>
      </w:tblGrid>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1,430,208.01</w:t>
            </w: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25,082,079.56</w:t>
            </w: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资时应享有被投资单位可辨认净资产公允价值产生的收益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w:t>
            </w:r>
          </w:p>
          <w:p>
            <w:pPr>
              <w:pStyle w:val="TableParagraph"/>
              <w:spacing w:line="237" w:lineRule="auto"/>
              <w:ind w:left="103" w:right="130"/>
              <w:jc w:val="both"/>
              <w:rPr>
                <w:rFonts w:ascii="宋体" w:hAnsi="宋体" w:cs="宋体" w:eastAsia="宋体" w:hint="default"/>
                <w:sz w:val="21"/>
                <w:szCs w:val="21"/>
              </w:rPr>
            </w:pPr>
            <w:r>
              <w:rPr>
                <w:rFonts w:ascii="宋体" w:hAnsi="宋体" w:cs="宋体" w:eastAsia="宋体" w:hint="default"/>
                <w:spacing w:val="-2"/>
                <w:sz w:val="21"/>
                <w:szCs w:val="21"/>
              </w:rPr>
              <w:t>性金融资产、衍生金融资产、交易性金融负债、衍生金融负债</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产生的公允价值变动损益，以及处置交易性金融资产、衍生金</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融资产、交易性金融负债、衍生金融负债和其他债权投资取得</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的投资收益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56,203,775.16</w:t>
            </w: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单独进行减值测试的应收款项、合同资产减值准备转回</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整对当期损益的影响</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5922"/>
        <w:gridCol w:w="1844"/>
        <w:gridCol w:w="1478"/>
      </w:tblGrid>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-14,928,383.11</w:t>
            </w: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-1,514,682.25</w:t>
            </w: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-1,679,018.75</w:t>
            </w: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64,593,978.62</w:t>
            </w:r>
          </w:p>
        </w:tc>
        <w:tc>
          <w:tcPr>
            <w:tcW w:w="14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645" w:right="107"/>
        <w:jc w:val="left"/>
      </w:pPr>
      <w:r>
        <w:rPr/>
        <w:t>对公司根据《公开发行证券的公司信息披露解释性公告第</w:t>
      </w:r>
      <w:r>
        <w:rPr>
          <w:spacing w:val="-61"/>
        </w:rPr>
        <w:t> </w:t>
      </w:r>
      <w:r>
        <w:rPr>
          <w:rFonts w:ascii="宋体" w:hAnsi="宋体" w:cs="宋体" w:eastAsia="宋体" w:hint="default"/>
        </w:rPr>
        <w:t>1</w:t>
      </w:r>
      <w:r>
        <w:rPr>
          <w:rFonts w:ascii="宋体" w:hAnsi="宋体" w:cs="宋体" w:eastAsia="宋体" w:hint="default"/>
          <w:spacing w:val="-61"/>
        </w:rPr>
        <w:t> </w:t>
      </w:r>
      <w:r>
        <w:rPr/>
        <w:t>号——非经常性损益》定义界定的</w:t>
      </w:r>
    </w:p>
    <w:p>
      <w:pPr>
        <w:pStyle w:val="BodyText"/>
        <w:spacing w:line="357" w:lineRule="auto" w:before="133"/>
        <w:ind w:right="107"/>
        <w:jc w:val="left"/>
      </w:pPr>
      <w:r>
        <w:rPr/>
        <w:t>非经常性损益项目，以及把《公开发行证券的公司信息披露解释性公告第</w:t>
      </w:r>
      <w:r>
        <w:rPr>
          <w:spacing w:val="-1"/>
        </w:rPr>
        <w:t> </w:t>
      </w:r>
      <w:r>
        <w:rPr>
          <w:rFonts w:ascii="宋体" w:hAnsi="宋体" w:cs="宋体" w:eastAsia="宋体" w:hint="default"/>
        </w:rPr>
        <w:t>1</w:t>
      </w:r>
      <w:r>
        <w:rPr>
          <w:rFonts w:ascii="宋体" w:hAnsi="宋体" w:cs="宋体" w:eastAsia="宋体" w:hint="default"/>
          <w:spacing w:val="-15"/>
        </w:rPr>
        <w:t> </w:t>
      </w:r>
      <w:r>
        <w:rPr/>
        <w:t>号——非经常性损益》</w:t>
      </w:r>
      <w:r>
        <w:rPr>
          <w:spacing w:val="-97"/>
        </w:rPr>
        <w:t> </w:t>
      </w:r>
      <w:r>
        <w:rPr>
          <w:spacing w:val="-97"/>
        </w:rPr>
      </w:r>
      <w:r>
        <w:rPr/>
        <w:t>中列举的非经常性损益项目界定为经常性损益的项目，应说明原因。</w:t>
      </w:r>
    </w:p>
    <w:p>
      <w:pPr>
        <w:pStyle w:val="BodyText"/>
        <w:spacing w:line="240" w:lineRule="auto" w:before="31"/>
        <w:ind w:right="205"/>
        <w:jc w:val="left"/>
      </w:pPr>
      <w:r>
        <w:rPr/>
        <w:t>√适用 □不适用</w:t>
      </w:r>
    </w:p>
    <w:p>
      <w:pPr>
        <w:pStyle w:val="BodyText"/>
        <w:tabs>
          <w:tab w:pos="1051" w:val="left" w:leader="none"/>
        </w:tabs>
        <w:spacing w:line="271" w:lineRule="exact"/>
        <w:ind w:left="0" w:right="213"/>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220"/>
        <w:gridCol w:w="1774"/>
        <w:gridCol w:w="3188"/>
      </w:tblGrid>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82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的金融资产取得的投资收益</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558,399.83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本公司的子公司文轩投资主营业</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务为投资，其该等收益不作为非</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经常性损益。</w:t>
            </w:r>
          </w:p>
        </w:tc>
      </w:tr>
      <w:tr>
        <w:trPr>
          <w:trHeight w:val="82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持有以公允价值计量且其变动计入当期损益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的金融资产取得的投资收益</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45,483,325.72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本公司的子公司文轩投资主营业</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务为投资，其该等收益不作为非</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经常性损益。</w:t>
            </w:r>
          </w:p>
        </w:tc>
      </w:tr>
    </w:tbl>
    <w:p>
      <w:pPr>
        <w:pStyle w:val="Heading2"/>
        <w:spacing w:line="240" w:lineRule="auto" w:before="26"/>
        <w:ind w:right="205"/>
        <w:jc w:val="left"/>
        <w:rPr>
          <w:b w:val="0"/>
          <w:bCs w:val="0"/>
        </w:rPr>
      </w:pPr>
      <w:r>
        <w:rPr>
          <w:rFonts w:ascii="宋体" w:hAnsi="宋体" w:cs="宋体" w:eastAsia="宋体" w:hint="default"/>
        </w:rPr>
        <w:t>2</w:t>
      </w:r>
      <w:r>
        <w:rPr/>
        <w:t>、</w:t>
      </w:r>
      <w:r>
        <w:rPr>
          <w:spacing w:val="-1"/>
        </w:rPr>
        <w:t> </w:t>
      </w:r>
      <w:r>
        <w:rPr/>
        <w:t>净资产收益率及每股收益</w:t>
      </w:r>
      <w:r>
        <w:rPr>
          <w:b w:val="0"/>
          <w:bCs w:val="0"/>
        </w:rPr>
      </w:r>
    </w:p>
    <w:p>
      <w:pPr>
        <w:pStyle w:val="BodyText"/>
        <w:spacing w:line="240" w:lineRule="auto" w:before="56"/>
        <w:ind w:right="205"/>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29"/>
        <w:gridCol w:w="1699"/>
        <w:gridCol w:w="2122"/>
        <w:gridCol w:w="2194"/>
      </w:tblGrid>
      <w:tr>
        <w:trPr>
          <w:trHeight w:val="281" w:hRule="exact"/>
        </w:trPr>
        <w:tc>
          <w:tcPr>
            <w:tcW w:w="3229" w:type="dxa"/>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14"/>
              <w:ind w:left="268" w:right="103"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2" w:hRule="exact"/>
        </w:trPr>
        <w:tc>
          <w:tcPr>
            <w:tcW w:w="3229"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0"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7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11.49</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10.69</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0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right="20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05"/>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2" w:val="left" w:leader="none"/>
        </w:tabs>
        <w:spacing w:line="240" w:lineRule="auto" w:before="58"/>
        <w:ind w:right="205"/>
        <w:jc w:val="left"/>
      </w:pPr>
      <w:r>
        <w:rPr/>
        <w:t>□适用</w:t>
        <w:tab/>
        <w:t>√不适用</w:t>
      </w:r>
    </w:p>
    <w:p>
      <w:pPr>
        <w:spacing w:after="0" w:line="240" w:lineRule="auto"/>
        <w:jc w:val="left"/>
        <w:sectPr>
          <w:pgSz w:w="11910" w:h="16840"/>
          <w:pgMar w:header="882" w:footer="1195" w:top="1120" w:bottom="13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0"/>
        <w:ind w:left="3161" w:right="3179"/>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4" w:type="dxa"/>
        <w:tblLayout w:type="fixed"/>
        <w:tblCellMar>
          <w:top w:w="0" w:type="dxa"/>
          <w:left w:w="0" w:type="dxa"/>
          <w:bottom w:w="0" w:type="dxa"/>
          <w:right w:w="0" w:type="dxa"/>
        </w:tblCellMar>
        <w:tblLook w:val="01E0"/>
      </w:tblPr>
      <w:tblGrid>
        <w:gridCol w:w="2345"/>
        <w:gridCol w:w="6743"/>
      </w:tblGrid>
      <w:tr>
        <w:trPr>
          <w:trHeight w:val="554"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7"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载有公司法定代表人、主管会计工作负责人、会计机构负责人（会计主管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人员）签名并盖章的财务报表。</w:t>
            </w:r>
          </w:p>
        </w:tc>
      </w:tr>
      <w:tr>
        <w:trPr>
          <w:trHeight w:val="283"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w:t>
            </w:r>
          </w:p>
        </w:tc>
      </w:tr>
      <w:tr>
        <w:trPr>
          <w:trHeight w:val="554"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7"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公告原稿。</w:t>
            </w:r>
          </w:p>
        </w:tc>
      </w:tr>
    </w:tbl>
    <w:p>
      <w:pPr>
        <w:pStyle w:val="BodyText"/>
        <w:spacing w:line="314" w:lineRule="auto" w:before="42"/>
        <w:ind w:left="5433" w:right="151" w:firstLine="2259"/>
        <w:jc w:val="left"/>
      </w:pPr>
      <w:r>
        <w:rPr>
          <w:spacing w:val="-1"/>
        </w:rPr>
        <w:t>董事长：何志勇</w:t>
      </w:r>
      <w:r>
        <w:rPr>
          <w:w w:val="100"/>
        </w:rPr>
        <w:t> </w:t>
      </w:r>
      <w:r>
        <w:rPr/>
        <w:t>董事会批准报送日期：</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140"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140" w:right="0"/>
        <w:jc w:val="left"/>
      </w:pPr>
      <w:r>
        <w:rPr/>
        <w:t>□适用 √不适用</w:t>
      </w:r>
    </w:p>
    <w:sectPr>
      <w:pgSz w:w="11910" w:h="16840"/>
      <w:pgMar w:header="882" w:footer="1195" w:top="1120" w:bottom="13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124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124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124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124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124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124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124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124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124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124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769989pt;margin-top:524.546021pt;width:33.4pt;height:11pt;mso-position-horizontal-relative:page;mso-position-vertical-relative:page;z-index:-1124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78</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809998pt;margin-top:771.169983pt;width:28.8pt;height:11pt;mso-position-horizontal-relative:page;mso-position-vertical-relative:page;z-index:-1124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769989pt;margin-top:524.546021pt;width:32.4pt;height:11pt;mso-position-horizontal-relative:page;mso-position-vertical-relative:page;z-index:-1124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769989pt;margin-top:524.546021pt;width:33.4pt;height:11pt;mso-position-horizontal-relative:page;mso-position-vertical-relative:page;z-index:-1124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124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124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124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69983pt;width:36.950pt;height:11pt;mso-position-horizontal-relative:page;mso-position-vertical-relative:page;z-index:-1124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1124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69983pt;width:36.950pt;height:11pt;mso-position-horizontal-relative:page;mso-position-vertical-relative:page;z-index:-1124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1124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69983pt;width:36.950pt;height:11pt;mso-position-horizontal-relative:page;mso-position-vertical-relative:page;z-index:-1124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124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1124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48999pt;margin-top:524.546021pt;width:37.950pt;height:11pt;mso-position-horizontal-relative:page;mso-position-vertical-relative:page;z-index:-1124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127</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1124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1123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69983pt;width:36.950pt;height:11pt;mso-position-horizontal-relative:page;mso-position-vertical-relative:page;z-index:-1123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1123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69983pt;width:36.950pt;height:11pt;mso-position-horizontal-relative:page;mso-position-vertical-relative:page;z-index:-1123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1123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69983pt;width:36.950pt;height:11pt;mso-position-horizontal-relative:page;mso-position-vertical-relative:page;z-index:-1123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1123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124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69983pt;width:36.950pt;height:11pt;mso-position-horizontal-relative:page;mso-position-vertical-relative:page;z-index:-1123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1123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69983pt;width:36.950pt;height:11pt;mso-position-horizontal-relative:page;mso-position-vertical-relative:page;z-index:-1123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1123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2"/>
                    <w:sz w:val="18"/>
                  </w:rPr>
                  <w:t> </w:t>
                </w:r>
                <w:r>
                  <w:rPr>
                    <w:rFonts w:ascii="Calibri"/>
                    <w:b/>
                    <w:sz w:val="18"/>
                  </w:rPr>
                  <w:t>196</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69983pt;width:36.950pt;height:11pt;mso-position-horizontal-relative:page;mso-position-vertical-relative:page;z-index:-1123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1123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124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124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124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124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2496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63.410004pt;margin-top:42.985607pt;width:67.55pt;height:12pt;mso-position-horizontal-relative:page;mso-position-vertical-relative:page;z-index:-1124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20006pt;width:664.2pt;height:.1pt;mso-position-horizontal-relative:page;mso-position-vertical-relative:page;z-index:-1124512" coordorigin="1769,1118" coordsize="13284,2">
          <v:shape style="position:absolute;left:1769;top:1118;width:13284;height:2" coordorigin="1769,1118" coordsize="13284,0" path="m1769,1118l15053,1118e" filled="false" stroked="true" strokeweight=".72pt" strokecolor="#000000">
            <v:path arrowok="t"/>
          </v:shape>
          <w10:wrap type="none"/>
        </v:group>
      </w:pict>
    </w:r>
    <w:r>
      <w:rPr/>
      <w:pict>
        <v:shape style="position:absolute;margin-left:386.769989pt;margin-top:43.105633pt;width:67.55pt;height:12pt;mso-position-horizontal-relative:page;mso-position-vertical-relative:page;z-index:-1124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84pt;margin-top:55.919983pt;width:453.2pt;height:.1pt;mso-position-horizontal-relative:page;mso-position-vertical-relative:page;z-index:-1124392" coordorigin="1412,1118" coordsize="9064,2">
          <v:shape style="position:absolute;left:1412;top:1118;width:9064;height:2" coordorigin="1412,1118" coordsize="9064,0" path="m1412,1118l10475,1118e" filled="false" stroked="true" strokeweight=".72pt" strokecolor="#000000">
            <v:path arrowok="t"/>
          </v:shape>
          <w10:wrap type="none"/>
        </v:group>
      </w:pict>
    </w:r>
    <w:r>
      <w:rPr/>
      <w:pict>
        <v:shape style="position:absolute;margin-left:263.410004pt;margin-top:43.105606pt;width:67.55pt;height:12pt;mso-position-horizontal-relative:page;mso-position-vertical-relative:page;z-index:-1124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20006pt;width:664.2pt;height:.1pt;mso-position-horizontal-relative:page;mso-position-vertical-relative:page;z-index:-1124128" coordorigin="1769,1118" coordsize="13284,2">
          <v:shape style="position:absolute;left:1769;top:1118;width:13284;height:2" coordorigin="1769,1118" coordsize="13284,0" path="m1769,1118l15053,1118e" filled="false" stroked="true" strokeweight=".72pt" strokecolor="#000000">
            <v:path arrowok="t"/>
          </v:shape>
          <w10:wrap type="none"/>
        </v:group>
      </w:pict>
    </w:r>
    <w:r>
      <w:rPr/>
      <w:pict>
        <v:shape style="position:absolute;margin-left:386.769989pt;margin-top:43.105633pt;width:67.55pt;height:12pt;mso-position-horizontal-relative:page;mso-position-vertical-relative:page;z-index:-1124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84pt;margin-top:55.919983pt;width:453.2pt;height:.1pt;mso-position-horizontal-relative:page;mso-position-vertical-relative:page;z-index:-1124056" coordorigin="1412,1118" coordsize="9064,2">
          <v:shape style="position:absolute;left:1412;top:1118;width:9064;height:2" coordorigin="1412,1118" coordsize="9064,0" path="m1412,1118l10475,1118e" filled="false" stroked="true" strokeweight=".72pt" strokecolor="#000000">
            <v:path arrowok="t"/>
          </v:shape>
          <w10:wrap type="none"/>
        </v:group>
      </w:pict>
    </w:r>
    <w:r>
      <w:rPr/>
      <w:pict>
        <v:shape style="position:absolute;margin-left:263.410004pt;margin-top:43.105606pt;width:67.55pt;height:12pt;mso-position-horizontal-relative:page;mso-position-vertical-relative:page;z-index:-11240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20"/>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220"/>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mailto:xh-dsb@winshare.com.cn" TargetMode="External"/><Relationship Id="rId9" Type="http://schemas.openxmlformats.org/officeDocument/2006/relationships/hyperlink" Target="http://www.winshare.com.cn/" TargetMode="External"/><Relationship Id="rId10" Type="http://schemas.openxmlformats.org/officeDocument/2006/relationships/hyperlink" Target="http://www.sse.com.cn/"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2.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hyperlink" Target="http://www.see.com.cn/" TargetMode="Externa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header" Target="header3.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header" Target="header4.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footer" Target="footer30.xml"/><Relationship Id="rId45" Type="http://schemas.openxmlformats.org/officeDocument/2006/relationships/header" Target="header5.xml"/><Relationship Id="rId46" Type="http://schemas.openxmlformats.org/officeDocument/2006/relationships/footer" Target="footer31.xml"/><Relationship Id="rId47" Type="http://schemas.openxmlformats.org/officeDocument/2006/relationships/header" Target="header6.xml"/><Relationship Id="rId48" Type="http://schemas.openxmlformats.org/officeDocument/2006/relationships/footer" Target="footer32.xml"/><Relationship Id="rId49" Type="http://schemas.openxmlformats.org/officeDocument/2006/relationships/footer" Target="footer33.xml"/><Relationship Id="rId50" Type="http://schemas.openxmlformats.org/officeDocument/2006/relationships/footer" Target="footer34.xml"/><Relationship Id="rId51" Type="http://schemas.openxmlformats.org/officeDocument/2006/relationships/footer" Target="footer35.xml"/><Relationship Id="rId52" Type="http://schemas.openxmlformats.org/officeDocument/2006/relationships/footer" Target="footer36.xml"/><Relationship Id="rId53" Type="http://schemas.openxmlformats.org/officeDocument/2006/relationships/footer" Target="footer37.xml"/><Relationship Id="rId54" Type="http://schemas.openxmlformats.org/officeDocument/2006/relationships/footer" Target="footer38.xml"/><Relationship Id="rId55" Type="http://schemas.openxmlformats.org/officeDocument/2006/relationships/footer" Target="footer39.xml"/><Relationship Id="rId56" Type="http://schemas.openxmlformats.org/officeDocument/2006/relationships/footer" Target="footer40.xml"/><Relationship Id="rId57" Type="http://schemas.openxmlformats.org/officeDocument/2006/relationships/footer" Target="footer41.xml"/><Relationship Id="rId58" Type="http://schemas.openxmlformats.org/officeDocument/2006/relationships/footer" Target="footer42.xml"/><Relationship Id="rId59" Type="http://schemas.openxmlformats.org/officeDocument/2006/relationships/footer" Target="footer43.xml"/><Relationship Id="rId60" Type="http://schemas.openxmlformats.org/officeDocument/2006/relationships/footer" Target="footer44.xml"/><Relationship Id="rId61" Type="http://schemas.openxmlformats.org/officeDocument/2006/relationships/footer" Target="footer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2020-05-04T20:22:57Z</dcterms:created>
  <dcterms:modified xsi:type="dcterms:W3CDTF">2020-05-04T20:22:57Z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Creator">
    <vt:lpwstr>Microsoft® Office Word 2007</vt:lpwstr>
  </property>
  <property fmtid="{D5CDD505-2E9C-101B-9397-08002B2CF9AE}" pid="4" name="LastSaved">
    <vt:filetime>2020-05-04T00:00:00Z</vt:filetime>
  </property>
</Properties>
</file>