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Default Extension="png" ContentType="image/png"/>
  <Override PartName="/word/header17.xml" ContentType="application/vnd.openxmlformats-officedocument.wordprocessingml.header+xml"/>
  <Override PartName="/word/footer47.xml" ContentType="application/vnd.openxmlformats-officedocument.wordprocessingml.footer+xml"/>
  <Override PartName="/word/header18.xml" ContentType="application/vnd.openxmlformats-officedocument.wordprocessingml.header+xml"/>
  <Override PartName="/word/footer48.xml" ContentType="application/vnd.openxmlformats-officedocument.wordprocessingml.footer+xml"/>
  <Override PartName="/word/header19.xml" ContentType="application/vnd.openxmlformats-officedocument.wordprocessingml.header+xml"/>
  <Override PartName="/word/footer49.xml" ContentType="application/vnd.openxmlformats-officedocument.wordprocessingml.footer+xml"/>
  <Override PartName="/word/header20.xml" ContentType="application/vnd.openxmlformats-officedocument.wordprocessingml.head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4.xml" ContentType="application/vnd.openxmlformats-officedocument.wordprocessingml.header+xml"/>
  <Override PartName="/word/footer58.xml" ContentType="application/vnd.openxmlformats-officedocument.wordprocessingml.footer+xml"/>
  <Override PartName="/word/header25.xml" ContentType="application/vnd.openxmlformats-officedocument.wordprocessingml.head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1056" w:lineRule="exact"/>
        <w:ind w:left="1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590185" cy="670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90185" cy="670559"/>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2"/>
        <w:tabs>
          <w:tab w:pos="2459" w:val="left" w:leader="none"/>
        </w:tabs>
        <w:spacing w:line="240" w:lineRule="auto" w:before="36"/>
        <w:ind w:left="138" w:right="2543"/>
        <w:jc w:val="left"/>
        <w:rPr>
          <w:b w:val="0"/>
          <w:bCs w:val="0"/>
        </w:rPr>
      </w:pPr>
      <w:r>
        <w:rPr>
          <w:color w:val="FF0000"/>
          <w:w w:val="95"/>
        </w:rPr>
        <w:t>公司代码：</w:t>
      </w:r>
      <w:r>
        <w:rPr>
          <w:rFonts w:ascii="宋体" w:hAnsi="宋体" w:cs="宋体" w:eastAsia="宋体" w:hint="default"/>
          <w:color w:val="FF0000"/>
          <w:w w:val="95"/>
        </w:rPr>
        <w:t>603000</w:t>
        <w:tab/>
      </w:r>
      <w:r>
        <w:rPr>
          <w:color w:val="FF0000"/>
        </w:rPr>
        <w:t>公司简称：人民网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5" w:lineRule="auto" w:before="176"/>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5"/>
          <w:szCs w:val="15"/>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pStyle w:val="Heading2"/>
        <w:spacing w:line="357" w:lineRule="auto" w:before="201"/>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left="138" w:right="2543"/>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四、公司负责人牛一兵、主管会计工作负责人李奇及会计机构负责人（会计主管人员）张煜晓声</w:t>
      </w:r>
      <w:r>
        <w:rPr>
          <w:spacing w:val="-87"/>
        </w:rPr>
        <w:t> </w:t>
      </w:r>
      <w:r>
        <w:rPr>
          <w:spacing w:val="-87"/>
        </w:rPr>
      </w:r>
      <w:r>
        <w:rPr/>
        <w:t>明：保证年度报告中财务报告的真实、准确、完整。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经第二届董事会第二十二次会议审议，公司</w:t>
      </w:r>
      <w:r>
        <w:rPr>
          <w:rFonts w:ascii="宋体" w:hAnsi="宋体" w:cs="宋体" w:eastAsia="宋体" w:hint="default"/>
          <w:spacing w:val="-2"/>
          <w:sz w:val="21"/>
          <w:szCs w:val="21"/>
        </w:rPr>
        <w:t>2015</w:t>
      </w:r>
      <w:r>
        <w:rPr>
          <w:rFonts w:ascii="宋体" w:hAnsi="宋体" w:cs="宋体" w:eastAsia="宋体" w:hint="default"/>
          <w:spacing w:val="-2"/>
          <w:sz w:val="21"/>
          <w:szCs w:val="21"/>
        </w:rPr>
        <w:t>年度的利润分配方案拟定如下：公司拟以总</w:t>
      </w:r>
    </w:p>
    <w:p>
      <w:pPr>
        <w:pStyle w:val="BodyText"/>
        <w:spacing w:line="314" w:lineRule="auto" w:before="85"/>
        <w:ind w:right="128"/>
        <w:jc w:val="both"/>
      </w:pPr>
      <w:r>
        <w:rPr>
          <w:spacing w:val="-3"/>
        </w:rPr>
        <w:t>股本</w:t>
      </w:r>
      <w:r>
        <w:rPr>
          <w:rFonts w:ascii="宋体" w:hAnsi="宋体" w:cs="宋体" w:eastAsia="宋体" w:hint="default"/>
          <w:spacing w:val="-3"/>
        </w:rPr>
        <w:t>1,105,691,056</w:t>
      </w:r>
      <w:r>
        <w:rPr>
          <w:spacing w:val="-3"/>
        </w:rPr>
        <w:t>股为基数，每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0.75</w:t>
      </w:r>
      <w:r>
        <w:rPr>
          <w:spacing w:val="-3"/>
        </w:rPr>
        <w:t>元（含税），共计分配现金股利人</w:t>
      </w:r>
      <w:r>
        <w:rPr>
          <w:spacing w:val="-55"/>
        </w:rPr>
        <w:t> </w:t>
      </w:r>
      <w:r>
        <w:rPr>
          <w:spacing w:val="-55"/>
        </w:rPr>
      </w:r>
      <w:r>
        <w:rPr>
          <w:spacing w:val="-4"/>
        </w:rPr>
        <w:t>民币</w:t>
      </w:r>
      <w:r>
        <w:rPr>
          <w:rFonts w:ascii="宋体" w:hAnsi="宋体" w:cs="宋体" w:eastAsia="宋体" w:hint="default"/>
          <w:spacing w:val="-4"/>
        </w:rPr>
        <w:t>82,926,829.20</w:t>
      </w:r>
      <w:r>
        <w:rPr>
          <w:spacing w:val="-4"/>
        </w:rPr>
        <w:t>元，剩余未分配利润将结转下一年度。上述利润分配方案尚需提交股东大会审</w:t>
      </w:r>
      <w:r>
        <w:rPr>
          <w:spacing w:val="-11"/>
        </w:rPr>
        <w:t> </w:t>
      </w:r>
      <w:r>
        <w:rPr>
          <w:spacing w:val="-11"/>
        </w:rPr>
      </w:r>
      <w:r>
        <w:rPr/>
        <w:t>议通过。</w:t>
      </w:r>
    </w:p>
    <w:p>
      <w:pPr>
        <w:spacing w:line="240" w:lineRule="auto" w:before="2"/>
        <w:rPr>
          <w:rFonts w:ascii="宋体" w:hAnsi="宋体" w:cs="宋体" w:eastAsia="宋体" w:hint="default"/>
          <w:sz w:val="23"/>
          <w:szCs w:val="23"/>
        </w:rPr>
      </w:pPr>
    </w:p>
    <w:p>
      <w:pPr>
        <w:pStyle w:val="Heading2"/>
        <w:spacing w:line="422" w:lineRule="auto"/>
        <w:ind w:left="558" w:right="6336" w:hanging="420"/>
        <w:jc w:val="left"/>
        <w:rPr>
          <w:rFonts w:ascii="宋体" w:hAnsi="宋体" w:cs="宋体" w:eastAsia="宋体" w:hint="default"/>
          <w:b w:val="0"/>
          <w:bCs w:val="0"/>
        </w:rPr>
      </w:pPr>
      <w:r>
        <w:rPr/>
        <w:t>六、</w:t>
      </w:r>
      <w:r>
        <w:rPr>
          <w:spacing w:val="-24"/>
        </w:rPr>
        <w:t> </w:t>
      </w:r>
      <w:r>
        <w:rPr/>
        <w:t>前瞻性陈述的风险声明</w:t>
      </w:r>
      <w:r>
        <w:rPr>
          <w:w w:val="100"/>
        </w:rPr>
        <w:t> </w:t>
      </w:r>
      <w:r>
        <w:rPr>
          <w:rFonts w:ascii="宋体" w:hAnsi="宋体" w:cs="宋体" w:eastAsia="宋体" w:hint="default"/>
          <w:b w:val="0"/>
          <w:bCs w:val="0"/>
        </w:rPr>
        <w:t>无</w:t>
      </w:r>
    </w:p>
    <w:p>
      <w:pPr>
        <w:spacing w:line="240" w:lineRule="auto" w:before="13"/>
        <w:rPr>
          <w:rFonts w:ascii="宋体" w:hAnsi="宋体" w:cs="宋体" w:eastAsia="宋体" w:hint="default"/>
          <w:sz w:val="15"/>
          <w:szCs w:val="15"/>
        </w:rPr>
      </w:pPr>
    </w:p>
    <w:p>
      <w:pPr>
        <w:pStyle w:val="Heading2"/>
        <w:spacing w:line="422" w:lineRule="auto"/>
        <w:ind w:left="55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5" w:lineRule="auto"/>
        <w:ind w:left="558" w:right="36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69"/>
        <w:ind w:left="138" w:right="2543"/>
        <w:jc w:val="left"/>
        <w:rPr>
          <w:b w:val="0"/>
          <w:bCs w:val="0"/>
        </w:rPr>
      </w:pPr>
      <w:r>
        <w:rPr/>
        <w:t>九、</w:t>
        <w:tab/>
        <w:t>重大风险提示</w:t>
      </w:r>
      <w:r>
        <w:rPr>
          <w:b w:val="0"/>
          <w:bCs w:val="0"/>
        </w:rPr>
      </w:r>
    </w:p>
    <w:p>
      <w:pPr>
        <w:pStyle w:val="BodyText"/>
        <w:spacing w:line="240" w:lineRule="auto" w:before="135"/>
        <w:ind w:left="558" w:right="2543"/>
        <w:jc w:val="left"/>
      </w:pPr>
      <w:r>
        <w:rPr/>
        <w:t>详见报告第四节</w:t>
      </w:r>
      <w:r>
        <w:rPr>
          <w:spacing w:val="-4"/>
        </w:rPr>
        <w:t> </w:t>
      </w:r>
      <w:r>
        <w:rPr/>
        <w:t>管理层讨论与分析之公司可能面对的风险。</w:t>
      </w:r>
    </w:p>
    <w:p>
      <w:pPr>
        <w:spacing w:line="240" w:lineRule="auto" w:before="6"/>
        <w:rPr>
          <w:rFonts w:ascii="宋体" w:hAnsi="宋体" w:cs="宋体" w:eastAsia="宋体" w:hint="default"/>
          <w:sz w:val="20"/>
          <w:szCs w:val="20"/>
        </w:rPr>
      </w:pPr>
    </w:p>
    <w:p>
      <w:pPr>
        <w:pStyle w:val="Heading2"/>
        <w:spacing w:line="357" w:lineRule="auto"/>
        <w:ind w:left="558" w:right="7939" w:hanging="420"/>
        <w:jc w:val="left"/>
        <w:rPr>
          <w:rFonts w:ascii="宋体" w:hAnsi="宋体" w:cs="宋体" w:eastAsia="宋体" w:hint="default"/>
          <w:b w:val="0"/>
          <w:bCs w:val="0"/>
        </w:rPr>
      </w:pPr>
      <w:r>
        <w:rPr/>
        <w:t>十、</w:t>
      </w:r>
      <w:r>
        <w:rPr>
          <w:spacing w:val="60"/>
        </w:rPr>
        <w:t> </w:t>
      </w:r>
      <w:r>
        <w:rPr/>
        <w:t>其他</w:t>
      </w:r>
      <w:r>
        <w:rPr>
          <w:w w:val="100"/>
        </w:rPr>
        <w:t> </w:t>
      </w:r>
      <w:r>
        <w:rPr>
          <w:rFonts w:ascii="宋体" w:hAnsi="宋体" w:cs="宋体" w:eastAsia="宋体" w:hint="default"/>
          <w:b w:val="0"/>
          <w:bCs w:val="0"/>
        </w:rPr>
        <w:t>无</w:t>
      </w:r>
    </w:p>
    <w:p>
      <w:pPr>
        <w:spacing w:after="0" w:line="357" w:lineRule="auto"/>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940"/>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668"/>
        <w:gridCol w:w="1136"/>
        <w:gridCol w:w="6246"/>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hyperlink r:id="rId8">
              <w:r>
                <w:rPr>
                  <w:rFonts w:ascii="宋体"/>
                  <w:sz w:val="21"/>
                </w:rPr>
                <w:t>www.people.cn</w:t>
              </w:r>
            </w:hyperlink>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人民在线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环球在线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人民视讯文化有限公司，公司控股子公司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海外网传媒有限公司，公司控股子公司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金台创业投资有限公司，公司控股子公司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网聚汇音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北京网聚汇音文化传媒有限公司，公司控股子公司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掌乐科技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北京掌乐科技有限公司，公司控股子公司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捷游互动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上海谷羽网络科技有限责任公司，公司控股子公司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古羌科技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成都古羌科技有限公司，公司控股子公司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人民澳客传媒科技有限公司，公司控股子公司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文华在线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北京文华在线教育科技股份有限公司，公司联营企业</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Calibri" w:hAnsi="Calibri" w:cs="Calibri" w:eastAsia="Calibri" w:hint="default"/>
                <w:sz w:val="21"/>
                <w:szCs w:val="21"/>
              </w:rPr>
              <w:t>(</w:t>
            </w:r>
            <w:r>
              <w:rPr>
                <w:rFonts w:ascii="宋体" w:hAnsi="宋体" w:cs="宋体" w:eastAsia="宋体" w:hint="default"/>
                <w:sz w:val="21"/>
                <w:szCs w:val="21"/>
              </w:rPr>
              <w:t>上海</w:t>
            </w:r>
            <w:r>
              <w:rPr>
                <w:rFonts w:ascii="Calibri" w:hAnsi="Calibri" w:cs="Calibri" w:eastAsia="Calibri" w:hint="default"/>
                <w:sz w:val="21"/>
                <w:szCs w:val="21"/>
              </w:rPr>
              <w:t>)</w:t>
            </w:r>
            <w:r>
              <w:rPr>
                <w:rFonts w:ascii="宋体" w:hAnsi="宋体" w:cs="宋体" w:eastAsia="宋体" w:hint="default"/>
                <w:sz w:val="21"/>
                <w:szCs w:val="21"/>
              </w:rPr>
              <w:t>有限公司，公司控股子公司</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网星传媒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网际星辰文化传媒（北京）有限公司，公司控股子公司</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人民幼禾教育科技有限公司，公司联营企业</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人民浙报传媒投资有限公司，公司合营企业</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元、万元、亿元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3717" w:val="left" w:leader="none"/>
        </w:tabs>
        <w:spacing w:line="240" w:lineRule="auto"/>
        <w:ind w:left="2457" w:right="12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3"/>
        <w:rPr>
          <w:rFonts w:ascii="黑体" w:hAnsi="黑体" w:cs="黑体" w:eastAsia="黑体" w:hint="default"/>
          <w:b/>
          <w:bCs/>
          <w:sz w:val="24"/>
          <w:szCs w:val="24"/>
        </w:rPr>
      </w:pPr>
    </w:p>
    <w:p>
      <w:pPr>
        <w:pStyle w:val="Heading2"/>
        <w:spacing w:line="240" w:lineRule="auto" w:before="36"/>
        <w:ind w:right="294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010"/>
        <w:gridCol w:w="5886"/>
      </w:tblGrid>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r>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People.cn</w:t>
            </w:r>
            <w:r>
              <w:rPr>
                <w:rFonts w:ascii="宋体"/>
                <w:spacing w:val="1"/>
                <w:sz w:val="21"/>
              </w:rPr>
              <w:t> </w:t>
            </w:r>
            <w:r>
              <w:rPr>
                <w:rFonts w:ascii="宋体"/>
                <w:sz w:val="21"/>
              </w:rPr>
              <w:t>CO.,LTD</w:t>
            </w:r>
          </w:p>
        </w:tc>
      </w:tr>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牛一兵</w:t>
            </w:r>
          </w:p>
        </w:tc>
      </w:tr>
    </w:tbl>
    <w:p>
      <w:pPr>
        <w:spacing w:line="240" w:lineRule="auto" w:before="12"/>
        <w:rPr>
          <w:rFonts w:ascii="宋体" w:hAnsi="宋体" w:cs="宋体" w:eastAsia="宋体" w:hint="default"/>
          <w:b/>
          <w:bCs/>
          <w:sz w:val="6"/>
          <w:szCs w:val="6"/>
        </w:rPr>
      </w:pPr>
    </w:p>
    <w:p>
      <w:pPr>
        <w:pStyle w:val="Heading2"/>
        <w:spacing w:line="240" w:lineRule="auto" w:before="36"/>
        <w:ind w:right="294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010"/>
        <w:gridCol w:w="2976"/>
        <w:gridCol w:w="2909"/>
      </w:tblGrid>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王习习</w:t>
            </w:r>
          </w:p>
        </w:tc>
      </w:tr>
      <w:tr>
        <w:trPr>
          <w:trHeight w:val="28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010-65369999</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010-65369999</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010-65369999</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010-65369999</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9">
              <w:r>
                <w:rPr>
                  <w:rFonts w:ascii="宋体"/>
                  <w:sz w:val="21"/>
                </w:rPr>
                <w:t>ir@people.cn</w:t>
              </w:r>
            </w:hyperlink>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12"/>
        <w:rPr>
          <w:rFonts w:ascii="宋体" w:hAnsi="宋体" w:cs="宋体" w:eastAsia="宋体" w:hint="default"/>
          <w:b/>
          <w:bCs/>
          <w:sz w:val="6"/>
          <w:szCs w:val="6"/>
        </w:rPr>
      </w:pPr>
    </w:p>
    <w:p>
      <w:pPr>
        <w:pStyle w:val="Heading2"/>
        <w:spacing w:line="240" w:lineRule="auto" w:before="36"/>
        <w:ind w:right="2940"/>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010"/>
        <w:gridCol w:w="5886"/>
      </w:tblGrid>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z w:val="21"/>
                <w:szCs w:val="21"/>
              </w:rPr>
              <w:t>28</w:t>
            </w:r>
            <w:r>
              <w:rPr>
                <w:rFonts w:ascii="宋体" w:hAnsi="宋体" w:cs="宋体" w:eastAsia="宋体" w:hint="default"/>
                <w:sz w:val="21"/>
                <w:szCs w:val="21"/>
              </w:rPr>
              <w:t>号</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234</w:t>
            </w:r>
            <w:r>
              <w:rPr>
                <w:rFonts w:ascii="宋体" w:hAnsi="宋体" w:cs="宋体" w:eastAsia="宋体" w:hint="default"/>
                <w:sz w:val="21"/>
                <w:szCs w:val="21"/>
              </w:rPr>
              <w:t>号</w:t>
            </w:r>
          </w:p>
        </w:tc>
      </w:tr>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100026</w:t>
            </w:r>
          </w:p>
        </w:tc>
      </w:tr>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100733</w:t>
            </w:r>
          </w:p>
        </w:tc>
      </w:tr>
      <w:tr>
        <w:trPr>
          <w:trHeight w:val="3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www.people.cn</w:t>
              </w:r>
            </w:hyperlink>
          </w:p>
        </w:tc>
      </w:tr>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12"/>
        <w:rPr>
          <w:rFonts w:ascii="宋体" w:hAnsi="宋体" w:cs="宋体" w:eastAsia="宋体" w:hint="default"/>
          <w:b/>
          <w:bCs/>
          <w:sz w:val="6"/>
          <w:szCs w:val="6"/>
        </w:rPr>
      </w:pPr>
    </w:p>
    <w:p>
      <w:pPr>
        <w:pStyle w:val="Heading2"/>
        <w:spacing w:line="240" w:lineRule="auto" w:before="36"/>
        <w:ind w:right="294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5984"/>
        <w:gridCol w:w="2912"/>
      </w:tblGrid>
      <w:tr>
        <w:trPr>
          <w:trHeight w:val="302" w:hRule="exact"/>
        </w:trPr>
        <w:tc>
          <w:tcPr>
            <w:tcW w:w="5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5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hyperlink r:id="rId10">
              <w:r>
                <w:rPr>
                  <w:rFonts w:ascii="宋体"/>
                  <w:sz w:val="21"/>
                </w:rPr>
                <w:t>www.sse.com.cn</w:t>
              </w:r>
            </w:hyperlink>
          </w:p>
        </w:tc>
      </w:tr>
      <w:tr>
        <w:trPr>
          <w:trHeight w:val="305" w:hRule="exact"/>
        </w:trPr>
        <w:tc>
          <w:tcPr>
            <w:tcW w:w="5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6"/>
          <w:szCs w:val="6"/>
        </w:rPr>
      </w:pPr>
    </w:p>
    <w:p>
      <w:pPr>
        <w:pStyle w:val="Heading2"/>
        <w:spacing w:line="240" w:lineRule="auto" w:before="36"/>
        <w:ind w:right="2940"/>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306"/>
        <w:gridCol w:w="2413"/>
        <w:gridCol w:w="1618"/>
        <w:gridCol w:w="1779"/>
        <w:gridCol w:w="1781"/>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603000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b/>
          <w:bCs/>
          <w:sz w:val="15"/>
          <w:szCs w:val="15"/>
        </w:rPr>
      </w:pPr>
    </w:p>
    <w:p>
      <w:pPr>
        <w:pStyle w:val="Heading2"/>
        <w:spacing w:line="240" w:lineRule="auto" w:before="36"/>
        <w:ind w:right="2940"/>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5"/>
        <w:gridCol w:w="2410"/>
        <w:gridCol w:w="5255"/>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37" w:lineRule="auto" w:before="114"/>
              <w:ind w:left="103" w:right="69"/>
              <w:jc w:val="both"/>
              <w:rPr>
                <w:rFonts w:ascii="宋体" w:hAnsi="宋体" w:cs="宋体" w:eastAsia="宋体" w:hint="default"/>
                <w:sz w:val="21"/>
                <w:szCs w:val="21"/>
              </w:rPr>
            </w:pPr>
            <w:r>
              <w:rPr>
                <w:rFonts w:ascii="宋体" w:hAnsi="宋体" w:cs="宋体" w:eastAsia="宋体" w:hint="default"/>
                <w:spacing w:val="21"/>
                <w:sz w:val="21"/>
                <w:szCs w:val="21"/>
              </w:rPr>
              <w:t>公司聘请的</w:t>
            </w:r>
            <w:r>
              <w:rPr>
                <w:rFonts w:ascii="宋体" w:hAnsi="宋体" w:cs="宋体" w:eastAsia="宋体" w:hint="default"/>
                <w:spacing w:val="-93"/>
                <w:sz w:val="21"/>
                <w:szCs w:val="21"/>
              </w:rPr>
              <w:t> </w:t>
            </w:r>
            <w:r>
              <w:rPr>
                <w:rFonts w:ascii="宋体" w:hAnsi="宋体" w:cs="宋体" w:eastAsia="宋体" w:hint="default"/>
                <w:spacing w:val="21"/>
                <w:sz w:val="21"/>
                <w:szCs w:val="21"/>
              </w:rPr>
              <w:t>会计师事务</w:t>
            </w:r>
            <w:r>
              <w:rPr>
                <w:rFonts w:ascii="宋体" w:hAnsi="宋体" w:cs="宋体" w:eastAsia="宋体" w:hint="default"/>
                <w:spacing w:val="-93"/>
                <w:sz w:val="21"/>
                <w:szCs w:val="21"/>
              </w:rPr>
              <w:t> </w:t>
            </w:r>
            <w:r>
              <w:rPr>
                <w:rFonts w:ascii="宋体" w:hAnsi="宋体" w:cs="宋体" w:eastAsia="宋体" w:hint="default"/>
                <w:sz w:val="21"/>
                <w:szCs w:val="21"/>
              </w:rPr>
              <w:t>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13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号院</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号楼中海地产广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场西塔</w:t>
            </w:r>
            <w:r>
              <w:rPr>
                <w:rFonts w:ascii="宋体" w:hAnsi="宋体" w:cs="宋体" w:eastAsia="宋体" w:hint="default"/>
                <w:spacing w:val="-53"/>
                <w:sz w:val="21"/>
                <w:szCs w:val="21"/>
              </w:rPr>
              <w:t> </w:t>
            </w:r>
            <w:r>
              <w:rPr>
                <w:rFonts w:ascii="宋体" w:hAnsi="宋体" w:cs="宋体" w:eastAsia="宋体" w:hint="default"/>
                <w:sz w:val="21"/>
                <w:szCs w:val="21"/>
              </w:rPr>
              <w:t>5-11</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黄简、崔迎</w:t>
            </w:r>
          </w:p>
        </w:tc>
      </w:tr>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31"/>
              <w:ind w:left="103" w:right="69"/>
              <w:jc w:val="both"/>
              <w:rPr>
                <w:rFonts w:ascii="宋体" w:hAnsi="宋体" w:cs="宋体" w:eastAsia="宋体" w:hint="default"/>
                <w:sz w:val="21"/>
                <w:szCs w:val="21"/>
              </w:rPr>
            </w:pPr>
            <w:r>
              <w:rPr>
                <w:rFonts w:ascii="宋体" w:hAnsi="宋体" w:cs="宋体" w:eastAsia="宋体" w:hint="default"/>
                <w:spacing w:val="21"/>
                <w:sz w:val="21"/>
                <w:szCs w:val="21"/>
              </w:rPr>
              <w:t>报告期内履</w:t>
            </w:r>
            <w:r>
              <w:rPr>
                <w:rFonts w:ascii="宋体" w:hAnsi="宋体" w:cs="宋体" w:eastAsia="宋体" w:hint="default"/>
                <w:spacing w:val="-93"/>
                <w:sz w:val="21"/>
                <w:szCs w:val="21"/>
              </w:rPr>
              <w:t> </w:t>
            </w:r>
            <w:r>
              <w:rPr>
                <w:rFonts w:ascii="宋体" w:hAnsi="宋体" w:cs="宋体" w:eastAsia="宋体" w:hint="default"/>
                <w:spacing w:val="21"/>
                <w:sz w:val="21"/>
                <w:szCs w:val="21"/>
              </w:rPr>
              <w:t>行持续督导</w:t>
            </w:r>
            <w:r>
              <w:rPr>
                <w:rFonts w:ascii="宋体" w:hAnsi="宋体" w:cs="宋体" w:eastAsia="宋体" w:hint="default"/>
                <w:spacing w:val="-93"/>
                <w:sz w:val="21"/>
                <w:szCs w:val="21"/>
              </w:rPr>
              <w:t> </w:t>
            </w:r>
            <w:r>
              <w:rPr>
                <w:rFonts w:ascii="宋体" w:hAnsi="宋体" w:cs="宋体" w:eastAsia="宋体" w:hint="default"/>
                <w:spacing w:val="21"/>
                <w:sz w:val="21"/>
                <w:szCs w:val="21"/>
              </w:rPr>
              <w:t>职责的保荐</w:t>
            </w:r>
            <w:r>
              <w:rPr>
                <w:rFonts w:ascii="宋体" w:hAnsi="宋体" w:cs="宋体" w:eastAsia="宋体" w:hint="default"/>
                <w:spacing w:val="-93"/>
                <w:sz w:val="21"/>
                <w:szCs w:val="21"/>
              </w:rPr>
              <w:t> </w:t>
            </w:r>
            <w:r>
              <w:rPr>
                <w:rFonts w:ascii="宋体" w:hAnsi="宋体" w:cs="宋体" w:eastAsia="宋体" w:hint="default"/>
                <w:sz w:val="21"/>
                <w:szCs w:val="21"/>
              </w:rPr>
              <w:t>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1" w:hRule="exact"/>
        </w:trPr>
        <w:tc>
          <w:tcPr>
            <w:tcW w:w="13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号中信证券大厦</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13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程杰、屠正锋</w:t>
            </w:r>
          </w:p>
        </w:tc>
      </w:tr>
      <w:tr>
        <w:trPr>
          <w:trHeight w:val="1100" w:hRule="exact"/>
        </w:trPr>
        <w:tc>
          <w:tcPr>
            <w:tcW w:w="13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截至报告期末，持续督导期已届满，鉴于公司募集资金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尚未使用完毕，保荐代表人仍对公司涉及募集资金使用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的事项履行持续督导义务。</w:t>
            </w:r>
          </w:p>
        </w:tc>
      </w:tr>
    </w:tbl>
    <w:p>
      <w:pPr>
        <w:spacing w:after="0" w:line="237"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9"/>
        <w:gridCol w:w="1897"/>
        <w:gridCol w:w="1935"/>
        <w:gridCol w:w="1373"/>
        <w:gridCol w:w="1897"/>
      </w:tblGrid>
      <w:tr>
        <w:trPr>
          <w:trHeight w:val="60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0" w:right="103" w:firstLine="52"/>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1,604,762,288.77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1,584,059,382.48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1,027,906,693.57</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274,280,594.31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330,222,551.16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272,866,529.28</w:t>
            </w:r>
          </w:p>
        </w:tc>
      </w:tr>
      <w:tr>
        <w:trPr>
          <w:trHeight w:val="82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东的扣除非经常性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损益的净利润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184,337,212.10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264,094,495.00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271,732,486.60</w:t>
            </w:r>
          </w:p>
        </w:tc>
      </w:tr>
      <w:tr>
        <w:trPr>
          <w:trHeight w:val="55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364,992,469.15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365,184,219.28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256,727,084.69</w:t>
            </w:r>
          </w:p>
        </w:tc>
      </w:tr>
      <w:tr>
        <w:trPr>
          <w:trHeight w:val="828" w:hRule="exact"/>
        </w:trPr>
        <w:tc>
          <w:tcPr>
            <w:tcW w:w="19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16" w:right="149"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2,694,643,635.99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2,535,475,925.96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2,297,135,370.61</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3,603,560,236.02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3,515,547,102.75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2,788,090,762.36</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1,105,691,056.00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552,845,528.00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276,422,764.00</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330"/>
        <w:gridCol w:w="1133"/>
        <w:gridCol w:w="2554"/>
        <w:gridCol w:w="1001"/>
      </w:tblGrid>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本期比上年同期增减</w:t>
            </w:r>
            <w:r>
              <w:rPr>
                <w:rFonts w:ascii="宋体" w:hAnsi="宋体" w:cs="宋体" w:eastAsia="宋体" w:hint="default"/>
                <w:spacing w:val="-1"/>
                <w:sz w:val="21"/>
                <w:szCs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3.34</w:t>
            </w:r>
            <w:r>
              <w:rPr>
                <w:rFonts w:ascii="宋体" w:hAnsi="宋体" w:cs="宋体" w:eastAsia="宋体" w:hint="default"/>
                <w:spacing w:val="-1"/>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12.31</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11.04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4.01</w:t>
            </w:r>
            <w:r>
              <w:rPr>
                <w:rFonts w:ascii="宋体" w:hAnsi="宋体" w:cs="宋体" w:eastAsia="宋体" w:hint="default"/>
                <w:spacing w:val="-1"/>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12.26</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940"/>
        <w:jc w:val="left"/>
      </w:pPr>
      <w:r>
        <w:rPr/>
        <w:t>报告期末公司前三年主要会计数据和财务指标的说明</w:t>
      </w:r>
    </w:p>
    <w:p>
      <w:pPr>
        <w:pStyle w:val="BodyText"/>
        <w:spacing w:line="272" w:lineRule="exact"/>
        <w:ind w:left="638" w:right="126"/>
        <w:jc w:val="left"/>
      </w:pPr>
      <w:r>
        <w:rPr/>
        <w:t>根据股东大会决议，公司于</w:t>
      </w:r>
      <w:r>
        <w:rPr>
          <w:spacing w:val="-53"/>
        </w:rPr>
        <w:t> </w:t>
      </w:r>
      <w:r>
        <w:rPr>
          <w:rFonts w:ascii="宋体" w:hAnsi="宋体" w:cs="宋体" w:eastAsia="宋体" w:hint="default"/>
        </w:rPr>
        <w:t>2013</w:t>
      </w:r>
      <w:r>
        <w:rPr>
          <w:rFonts w:ascii="宋体" w:hAnsi="宋体" w:cs="宋体" w:eastAsia="宋体" w:hint="default"/>
          <w:spacing w:val="-53"/>
        </w:rPr>
        <w:t> </w:t>
      </w:r>
      <w:r>
        <w:rPr/>
        <w:t>年度及</w:t>
      </w:r>
      <w:r>
        <w:rPr>
          <w:spacing w:val="-55"/>
        </w:rPr>
        <w:t> </w:t>
      </w:r>
      <w:r>
        <w:rPr>
          <w:rFonts w:ascii="宋体" w:hAnsi="宋体" w:cs="宋体" w:eastAsia="宋体" w:hint="default"/>
        </w:rPr>
        <w:t>2014</w:t>
      </w:r>
      <w:r>
        <w:rPr>
          <w:rFonts w:ascii="宋体" w:hAnsi="宋体" w:cs="宋体" w:eastAsia="宋体" w:hint="default"/>
          <w:spacing w:val="-55"/>
        </w:rPr>
        <w:t> </w:t>
      </w:r>
      <w:r>
        <w:rPr/>
        <w:t>年度均实施了资本公积金转增股本的利润分配</w:t>
      </w:r>
    </w:p>
    <w:p>
      <w:pPr>
        <w:pStyle w:val="BodyText"/>
        <w:spacing w:line="240" w:lineRule="auto"/>
        <w:ind w:left="218" w:right="234"/>
        <w:jc w:val="left"/>
      </w:pPr>
      <w:r>
        <w:rPr/>
        <w:t>方案，经会计师事务所审计，对</w:t>
      </w:r>
      <w:r>
        <w:rPr>
          <w:spacing w:val="-54"/>
        </w:rPr>
        <w:t> </w:t>
      </w:r>
      <w:r>
        <w:rPr>
          <w:rFonts w:ascii="宋体" w:hAnsi="宋体" w:cs="宋体" w:eastAsia="宋体" w:hint="default"/>
        </w:rPr>
        <w:t>2013</w:t>
      </w:r>
      <w:r>
        <w:rPr>
          <w:rFonts w:ascii="宋体" w:hAnsi="宋体" w:cs="宋体" w:eastAsia="宋体" w:hint="default"/>
          <w:spacing w:val="-54"/>
        </w:rPr>
        <w:t> </w:t>
      </w:r>
      <w:r>
        <w:rPr/>
        <w:t>年及</w:t>
      </w:r>
      <w:r>
        <w:rPr>
          <w:spacing w:val="-54"/>
        </w:rPr>
        <w:t> </w:t>
      </w:r>
      <w:r>
        <w:rPr>
          <w:rFonts w:ascii="宋体" w:hAnsi="宋体" w:cs="宋体" w:eastAsia="宋体" w:hint="default"/>
        </w:rPr>
        <w:t>2014</w:t>
      </w:r>
      <w:r>
        <w:rPr>
          <w:rFonts w:ascii="宋体" w:hAnsi="宋体" w:cs="宋体" w:eastAsia="宋体" w:hint="default"/>
          <w:spacing w:val="-54"/>
        </w:rPr>
        <w:t> </w:t>
      </w:r>
      <w:r>
        <w:rPr/>
        <w:t>年主要财务指标中的基本每股收益、稀释每股收</w:t>
      </w:r>
      <w:r>
        <w:rPr>
          <w:w w:val="100"/>
        </w:rPr>
        <w:t> </w:t>
      </w:r>
      <w:r>
        <w:rPr/>
        <w:t>益以及扣除非经常性损益后的基本每股收益进行了重新计算，计算结果列示如上。</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126"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94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4"/>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64" w:lineRule="auto"/>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不适用</w:t>
      </w:r>
    </w:p>
    <w:p>
      <w:pPr>
        <w:spacing w:after="0" w:line="264"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2940"/>
        <w:jc w:val="left"/>
        <w:rPr>
          <w:b w:val="0"/>
          <w:bCs w:val="0"/>
        </w:rPr>
      </w:pPr>
      <w:r>
        <w:rPr/>
        <w:t>九、 </w:t>
      </w:r>
      <w:r>
        <w:rPr>
          <w:rFonts w:ascii="宋体" w:hAnsi="宋体" w:cs="宋体" w:eastAsia="宋体" w:hint="default"/>
        </w:rPr>
        <w:t>2015</w:t>
      </w:r>
      <w:r>
        <w:rPr>
          <w:rFonts w:ascii="宋体" w:hAnsi="宋体" w:cs="宋体" w:eastAsia="宋体" w:hint="default"/>
          <w:spacing w:val="-86"/>
        </w:rPr>
        <w:t> </w:t>
      </w:r>
      <w:r>
        <w:rPr/>
        <w:t>年分季度主要财务数据</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385,111,548.13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340,261,885.84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341,077,828.87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538,311,025.93</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17,749,253.08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40,530,379.37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89,356,060.09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126,644,901.77</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16,572,472.93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26,959,321.69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58,874,482.92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81,930,934.56</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-83,274,720.44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100,636,272.56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72,142,897.24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275,488,019.79</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40"/>
        <w:jc w:val="left"/>
      </w:pPr>
      <w:r>
        <w:rPr/>
        <w:t>季度数据与已披露定期报告数据差异说明</w:t>
      </w:r>
    </w:p>
    <w:p>
      <w:pPr>
        <w:pStyle w:val="BodyText"/>
        <w:spacing w:line="274" w:lineRule="exact"/>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77"/>
        <w:gridCol w:w="1582"/>
        <w:gridCol w:w="732"/>
        <w:gridCol w:w="1582"/>
        <w:gridCol w:w="1476"/>
      </w:tblGrid>
      <w:tr>
        <w:trPr>
          <w:trHeight w:val="828"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5" w:right="101"/>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-105,599.77</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37,138.90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-410,083.47</w:t>
            </w: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3,760,242.89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3,240,850.08</w:t>
            </w:r>
          </w:p>
        </w:tc>
      </w:tr>
      <w:tr>
        <w:trPr>
          <w:trHeight w:val="1099"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11,428,154.44</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27,822,999.90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7"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业的投资成本小于取得投资时应享有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被投资单位可辨认净资产公允价值产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77"/>
        <w:gridCol w:w="1582"/>
        <w:gridCol w:w="732"/>
        <w:gridCol w:w="1582"/>
        <w:gridCol w:w="1476"/>
      </w:tblGrid>
      <w:tr>
        <w:trPr>
          <w:trHeight w:val="828"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15"/>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5" w:right="101"/>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164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2"/>
                <w:sz w:val="21"/>
                <w:szCs w:val="21"/>
              </w:rPr>
              <w:t>期保值业务外，持有交易性金融资产、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z w:val="21"/>
                <w:szCs w:val="21"/>
              </w:rPr>
              <w:t>损益，以及处置交易性金融资产、交</w:t>
            </w:r>
            <w:r>
              <w:rPr>
                <w:rFonts w:ascii="宋体" w:hAnsi="宋体" w:cs="宋体" w:eastAsia="宋体" w:hint="default"/>
                <w:w w:val="100"/>
                <w:sz w:val="21"/>
                <w:szCs w:val="21"/>
              </w:rPr>
              <w:t> </w:t>
            </w:r>
            <w:r>
              <w:rPr>
                <w:rFonts w:ascii="宋体" w:hAnsi="宋体" w:cs="宋体" w:eastAsia="宋体" w:hint="default"/>
                <w:sz w:val="21"/>
                <w:szCs w:val="21"/>
              </w:rPr>
              <w:t>易性金融负债和可供出售金融资产取</w:t>
            </w:r>
            <w:r>
              <w:rPr>
                <w:rFonts w:ascii="宋体" w:hAnsi="宋体" w:cs="宋体" w:eastAsia="宋体" w:hint="default"/>
                <w:w w:val="100"/>
                <w:sz w:val="21"/>
                <w:szCs w:val="21"/>
              </w:rPr>
              <w:t> </w:t>
            </w:r>
            <w:r>
              <w:rPr>
                <w:rFonts w:ascii="宋体" w:hAnsi="宋体" w:cs="宋体" w:eastAsia="宋体" w:hint="default"/>
                <w:sz w:val="21"/>
                <w:szCs w:val="21"/>
              </w:rPr>
              <w:t>得的投资收益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83,479,218.44</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35,548,571.95</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资性房地产公允价值变动产生的损益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对当期损益进行一次性调整对当期损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-1,868,537.16</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2,299,755.53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-624,720.61</w:t>
            </w: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-918,181.30</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-838,508.85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-711,790.80</w:t>
            </w:r>
          </w:p>
        </w:tc>
      </w:tr>
      <w:tr>
        <w:trPr>
          <w:trHeight w:val="28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-2,071,672.44</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-2,502,144.16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-860,212.52</w:t>
            </w:r>
          </w:p>
        </w:tc>
      </w:tr>
      <w:tr>
        <w:trPr>
          <w:trHeight w:val="28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89,943,382.21</w:t>
            </w:r>
          </w:p>
        </w:tc>
        <w:tc>
          <w:tcPr>
            <w:tcW w:w="73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66,128,056.16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1,134,042.68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before="36"/>
        <w:ind w:right="2940"/>
        <w:jc w:val="left"/>
        <w:rPr>
          <w:b w:val="0"/>
          <w:bCs w:val="0"/>
        </w:rPr>
      </w:pPr>
      <w:r>
        <w:rPr/>
        <w:t>十一、</w:t>
        <w:tab/>
        <w:t>采用公允价值计量的项目</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64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83" w:right="148"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认购浙报传媒非公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开发行股票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23,828,900.00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-23,828,900.00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16,254,262.46</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认购联众首次公开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18,993,465.22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-18,993,465.22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35,421,079.63</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42,822,365.22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-42,822,365.22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51,675,342.09</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940"/>
        <w:jc w:val="left"/>
        <w:rPr>
          <w:b w:val="0"/>
          <w:bCs w:val="0"/>
        </w:rPr>
      </w:pPr>
      <w:r>
        <w:rPr/>
        <w:t>十二、</w:t>
        <w:tab/>
        <w:t>其他</w:t>
      </w:r>
      <w:r>
        <w:rPr>
          <w:b w:val="0"/>
          <w:bCs w:val="0"/>
        </w:rPr>
      </w:r>
    </w:p>
    <w:p>
      <w:pPr>
        <w:pStyle w:val="BodyText"/>
        <w:spacing w:line="240" w:lineRule="auto" w:before="58"/>
        <w:ind w:left="638" w:right="2940"/>
        <w:jc w:val="left"/>
      </w:pPr>
      <w:r>
        <w:rPr>
          <w:w w:val="100"/>
        </w:rPr>
        <w:t>无</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一、报告期内公司所从事的主要业务、经营模式及行业情况说明</w:t>
      </w:r>
      <w:r>
        <w:rPr>
          <w:b w:val="0"/>
          <w:bCs w:val="0"/>
        </w:rPr>
      </w:r>
    </w:p>
    <w:p>
      <w:pPr>
        <w:pStyle w:val="BodyText"/>
        <w:spacing w:line="272" w:lineRule="exact" w:before="86"/>
        <w:ind w:left="558" w:right="0"/>
        <w:jc w:val="left"/>
      </w:pPr>
      <w:r>
        <w:rPr/>
        <w:t>（一）公司主要业务及经营模式说明</w:t>
      </w:r>
      <w:r>
        <w:rPr>
          <w:w w:val="100"/>
        </w:rPr>
        <w:t> </w:t>
      </w:r>
      <w:r>
        <w:rPr>
          <w:spacing w:val="-2"/>
        </w:rPr>
        <w:t>公司是由人民日报社控股的传媒文化上市公司，也是国际互联网上最大的综合性网络媒体之</w:t>
      </w:r>
    </w:p>
    <w:p>
      <w:pPr>
        <w:pStyle w:val="BodyText"/>
        <w:spacing w:line="272" w:lineRule="exact" w:before="1"/>
        <w:ind w:right="127"/>
        <w:jc w:val="both"/>
      </w:pPr>
      <w:r>
        <w:rPr>
          <w:spacing w:val="-2"/>
        </w:rPr>
        <w:t>一。作为国家重点新闻网站的排头兵，人民网形成了新闻采写、网络评论、在线访谈、微博发布</w:t>
      </w:r>
      <w:r>
        <w:rPr>
          <w:spacing w:val="-25"/>
        </w:rPr>
        <w:t> </w:t>
      </w:r>
      <w:r>
        <w:rPr>
          <w:spacing w:val="-25"/>
        </w:rPr>
      </w:r>
      <w:r>
        <w:rPr>
          <w:spacing w:val="-2"/>
        </w:rPr>
        <w:t>互相配合的快速、权威、深度新闻报道模式，用文字、图片、视频、微博、客户端等多种手段，</w:t>
      </w:r>
    </w:p>
    <w:p>
      <w:pPr>
        <w:pStyle w:val="BodyText"/>
        <w:spacing w:line="272" w:lineRule="exact" w:before="1"/>
        <w:ind w:right="127"/>
        <w:jc w:val="both"/>
      </w:pPr>
      <w:r>
        <w:rPr/>
        <w:t>每天</w:t>
      </w:r>
      <w:r>
        <w:rPr>
          <w:spacing w:val="-30"/>
        </w:rPr>
        <w:t> </w:t>
      </w:r>
      <w:r>
        <w:rPr>
          <w:rFonts w:ascii="宋体" w:hAnsi="宋体" w:cs="宋体" w:eastAsia="宋体" w:hint="default"/>
        </w:rPr>
        <w:t>24</w:t>
      </w:r>
      <w:r>
        <w:rPr>
          <w:rFonts w:ascii="宋体" w:hAnsi="宋体" w:cs="宋体" w:eastAsia="宋体" w:hint="default"/>
          <w:spacing w:val="-30"/>
        </w:rPr>
        <w:t> </w:t>
      </w:r>
      <w:r>
        <w:rPr>
          <w:spacing w:val="-4"/>
        </w:rPr>
        <w:t>小时在第一时间向全球发布丰富多彩的信息。报告期内，公司从事的主要业务包括以下类</w:t>
      </w:r>
      <w:r>
        <w:rPr>
          <w:spacing w:val="-96"/>
        </w:rPr>
        <w:t> </w:t>
      </w:r>
      <w:r>
        <w:rPr>
          <w:spacing w:val="-96"/>
        </w:rPr>
      </w:r>
      <w:r>
        <w:rPr/>
        <w:t>型：</w:t>
      </w:r>
    </w:p>
    <w:p>
      <w:pPr>
        <w:pStyle w:val="BodyText"/>
        <w:spacing w:line="272" w:lineRule="exact" w:before="1"/>
        <w:ind w:right="128" w:firstLine="419"/>
        <w:jc w:val="both"/>
      </w:pPr>
      <w:r>
        <w:rPr>
          <w:rFonts w:ascii="宋体" w:hAnsi="宋体" w:cs="宋体" w:eastAsia="宋体" w:hint="default"/>
          <w:spacing w:val="-4"/>
        </w:rPr>
        <w:t>1</w:t>
      </w:r>
      <w:r>
        <w:rPr>
          <w:spacing w:val="-4"/>
        </w:rPr>
        <w:t>、广告及宣传服务：公司依托于人民网、环球网、海外网等网页运营平台，在网站主页及其</w:t>
      </w:r>
      <w:r>
        <w:rPr>
          <w:w w:val="100"/>
        </w:rPr>
        <w:t> </w:t>
      </w:r>
      <w:r>
        <w:rPr>
          <w:spacing w:val="-2"/>
        </w:rPr>
        <w:t>各频道、互动社区等页面上通过文字链、图片、多媒体等表现形式为客户提供广告服务，广告客</w:t>
      </w:r>
    </w:p>
    <w:p>
      <w:pPr>
        <w:pStyle w:val="BodyText"/>
        <w:spacing w:line="272" w:lineRule="exact" w:before="1"/>
        <w:ind w:left="558" w:right="0" w:hanging="420"/>
        <w:jc w:val="left"/>
      </w:pPr>
      <w:r>
        <w:rPr/>
        <w:t>户涉及金融、房地产、食品、家电、通信等多个行业和领域。</w:t>
      </w:r>
      <w:r>
        <w:rPr>
          <w:w w:val="100"/>
        </w:rPr>
        <w:t> </w:t>
      </w:r>
      <w:r>
        <w:rPr>
          <w:rFonts w:ascii="宋体" w:hAnsi="宋体" w:cs="宋体" w:eastAsia="宋体" w:hint="default"/>
          <w:spacing w:val="-4"/>
        </w:rPr>
        <w:t>2</w:t>
      </w:r>
      <w:r>
        <w:rPr>
          <w:spacing w:val="-4"/>
        </w:rPr>
        <w:t>、移动增值业务：公司拥有跨地区增值电信业务经营许可证和包括手机视听节目内容服务在</w:t>
      </w:r>
    </w:p>
    <w:p>
      <w:pPr>
        <w:pStyle w:val="BodyText"/>
        <w:spacing w:line="272" w:lineRule="exact" w:before="1"/>
        <w:ind w:right="130"/>
        <w:jc w:val="both"/>
      </w:pPr>
      <w:r>
        <w:rPr/>
        <w:t>内的信息网络传播视听节目许可证等经营资质，拥有</w:t>
      </w:r>
      <w:r>
        <w:rPr>
          <w:spacing w:val="-54"/>
        </w:rPr>
        <w:t> </w:t>
      </w:r>
      <w:r>
        <w:rPr>
          <w:rFonts w:ascii="宋体" w:hAnsi="宋体" w:cs="宋体" w:eastAsia="宋体" w:hint="default"/>
        </w:rPr>
        <w:t>WAP</w:t>
      </w:r>
      <w:r>
        <w:rPr>
          <w:rFonts w:ascii="宋体" w:hAnsi="宋体" w:cs="宋体" w:eastAsia="宋体" w:hint="default"/>
          <w:spacing w:val="-56"/>
        </w:rPr>
        <w:t> </w:t>
      </w:r>
      <w:r>
        <w:rPr/>
        <w:t>门户网站、手机视频、手机阅读、手机</w:t>
      </w:r>
      <w:r>
        <w:rPr>
          <w:w w:val="100"/>
        </w:rPr>
        <w:t> </w:t>
      </w:r>
      <w:r>
        <w:rPr>
          <w:spacing w:val="-2"/>
        </w:rPr>
        <w:t>音乐、手机动漫等多项移动增值业务。通过自身运营及与电信运营商合作的方式，在移动互联网</w:t>
      </w:r>
    </w:p>
    <w:p>
      <w:pPr>
        <w:pStyle w:val="BodyText"/>
        <w:spacing w:line="272" w:lineRule="exact" w:before="1"/>
        <w:ind w:left="0" w:right="128"/>
        <w:jc w:val="right"/>
      </w:pPr>
      <w:r>
        <w:rPr>
          <w:spacing w:val="-7"/>
        </w:rPr>
        <w:t>领域，通过文字、图片、视频等多种形式，向用户提供新闻、舆情、生活、娱乐等内容信息服务。</w:t>
      </w:r>
      <w:r>
        <w:rPr>
          <w:spacing w:val="-35"/>
        </w:rPr>
        <w:t> </w:t>
      </w:r>
      <w:r>
        <w:rPr>
          <w:spacing w:val="-35"/>
        </w:rPr>
      </w:r>
      <w:r>
        <w:rPr>
          <w:rFonts w:ascii="宋体" w:hAnsi="宋体" w:cs="宋体" w:eastAsia="宋体" w:hint="default"/>
          <w:spacing w:val="-4"/>
        </w:rPr>
        <w:t>3</w:t>
      </w:r>
      <w:r>
        <w:rPr>
          <w:spacing w:val="-4"/>
        </w:rPr>
        <w:t>、信息服务：公司拥有电信与信息服务业务经营许可证、互联网新闻信息服务许可证等信息</w:t>
      </w:r>
    </w:p>
    <w:p>
      <w:pPr>
        <w:pStyle w:val="BodyText"/>
        <w:spacing w:line="272" w:lineRule="exact" w:before="1"/>
        <w:ind w:right="128"/>
        <w:jc w:val="both"/>
      </w:pPr>
      <w:r>
        <w:rPr>
          <w:spacing w:val="-4"/>
        </w:rPr>
        <w:t>服务类经营资质，已形成完整的“信息采编</w:t>
      </w:r>
      <w:r>
        <w:rPr>
          <w:rFonts w:ascii="宋体" w:hAnsi="宋体" w:cs="宋体" w:eastAsia="宋体" w:hint="default"/>
          <w:spacing w:val="-4"/>
        </w:rPr>
        <w:t>-</w:t>
      </w:r>
      <w:r>
        <w:rPr>
          <w:spacing w:val="-4"/>
        </w:rPr>
        <w:t>策划</w:t>
      </w:r>
      <w:r>
        <w:rPr>
          <w:rFonts w:ascii="宋体" w:hAnsi="宋体" w:cs="宋体" w:eastAsia="宋体" w:hint="default"/>
          <w:spacing w:val="-4"/>
        </w:rPr>
        <w:t>-</w:t>
      </w:r>
      <w:r>
        <w:rPr>
          <w:spacing w:val="-4"/>
        </w:rPr>
        <w:t>信息发布</w:t>
      </w:r>
      <w:r>
        <w:rPr>
          <w:rFonts w:ascii="宋体" w:hAnsi="宋体" w:cs="宋体" w:eastAsia="宋体" w:hint="default"/>
          <w:spacing w:val="-4"/>
        </w:rPr>
        <w:t>-</w:t>
      </w:r>
      <w:r>
        <w:rPr>
          <w:spacing w:val="-4"/>
        </w:rPr>
        <w:t>信息服务”的一体化经营产业链，通</w:t>
      </w:r>
      <w:r>
        <w:rPr>
          <w:spacing w:val="-30"/>
        </w:rPr>
        <w:t> </w:t>
      </w:r>
      <w:r>
        <w:rPr>
          <w:spacing w:val="-30"/>
        </w:rPr>
      </w:r>
      <w:r>
        <w:rPr>
          <w:spacing w:val="-2"/>
        </w:rPr>
        <w:t>过新闻信息版权销售以及网络舆情咨询研究、数据库等其他信息增值服务形式，实现了公司优质</w:t>
      </w:r>
      <w:r>
        <w:rPr>
          <w:spacing w:val="-25"/>
        </w:rPr>
        <w:t> </w:t>
      </w:r>
      <w:r>
        <w:rPr>
          <w:spacing w:val="-25"/>
        </w:rPr>
      </w:r>
      <w:r>
        <w:rPr/>
        <w:t>原创新闻内容的进一步传播。</w:t>
      </w:r>
    </w:p>
    <w:p>
      <w:pPr>
        <w:pStyle w:val="BodyText"/>
        <w:spacing w:line="272" w:lineRule="exact" w:before="1"/>
        <w:ind w:right="129" w:firstLine="419"/>
        <w:jc w:val="both"/>
      </w:pPr>
      <w:r>
        <w:rPr>
          <w:rFonts w:ascii="宋体" w:hAnsi="宋体" w:cs="宋体" w:eastAsia="宋体" w:hint="default"/>
          <w:spacing w:val="-4"/>
        </w:rPr>
        <w:t>4</w:t>
      </w:r>
      <w:r>
        <w:rPr>
          <w:spacing w:val="-4"/>
        </w:rPr>
        <w:t>、互联网彩票服务：公司下属控股子公司人民澳客通过运营澳客网向用户提供互联网彩票服</w:t>
      </w:r>
      <w:r>
        <w:rPr>
          <w:w w:val="100"/>
        </w:rPr>
        <w:t> </w:t>
      </w:r>
      <w:r>
        <w:rPr/>
        <w:t>务。</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月末，为响应有关部门要求，该公司已暂停体彩、福彩的彩票在线委托业务。</w:t>
      </w:r>
    </w:p>
    <w:p>
      <w:pPr>
        <w:pStyle w:val="BodyText"/>
        <w:spacing w:line="272" w:lineRule="exact" w:before="1"/>
        <w:ind w:right="128" w:firstLine="419"/>
        <w:jc w:val="both"/>
      </w:pPr>
      <w:r>
        <w:rPr>
          <w:rFonts w:ascii="宋体" w:hAnsi="宋体" w:cs="宋体" w:eastAsia="宋体" w:hint="default"/>
          <w:spacing w:val="-4"/>
        </w:rPr>
        <w:t>5</w:t>
      </w:r>
      <w:r>
        <w:rPr>
          <w:spacing w:val="-4"/>
        </w:rPr>
        <w:t>、技术服务：公司依托完备的技术设施、专业的技术人员、先进的管理理念，面向社会用户</w:t>
      </w:r>
      <w:r>
        <w:rPr>
          <w:w w:val="100"/>
        </w:rPr>
        <w:t> </w:t>
      </w:r>
      <w:r>
        <w:rPr/>
        <w:t>提供网站建设、主机托管、网络接入、产品研发等多项专业技术服务。</w:t>
      </w:r>
    </w:p>
    <w:p>
      <w:pPr>
        <w:pStyle w:val="BodyText"/>
        <w:spacing w:line="272" w:lineRule="exact" w:before="2"/>
        <w:ind w:left="558" w:right="0"/>
        <w:jc w:val="left"/>
      </w:pPr>
      <w:r>
        <w:rPr/>
        <w:t>（二）公司所属行业情况说明</w:t>
      </w:r>
      <w:r>
        <w:rPr>
          <w:w w:val="100"/>
        </w:rPr>
        <w:t> </w:t>
      </w:r>
      <w:r>
        <w:rPr>
          <w:spacing w:val="-4"/>
        </w:rPr>
        <w:t>根据证监会上市公司行业分类结果，我公司属于信息传输、软件和信息技术服务业</w:t>
      </w:r>
      <w:r>
        <w:rPr>
          <w:rFonts w:ascii="宋体" w:hAnsi="宋体" w:cs="宋体" w:eastAsia="宋体" w:hint="default"/>
          <w:spacing w:val="-4"/>
        </w:rPr>
        <w:t>(I)</w:t>
      </w:r>
      <w:r>
        <w:rPr>
          <w:spacing w:val="-4"/>
        </w:rPr>
        <w:t>门类中</w:t>
      </w:r>
    </w:p>
    <w:p>
      <w:pPr>
        <w:pStyle w:val="BodyText"/>
        <w:spacing w:line="249" w:lineRule="exact"/>
        <w:ind w:right="0"/>
        <w:jc w:val="both"/>
      </w:pPr>
      <w:r>
        <w:rPr/>
        <w:t>的互联网和相关服务大类。</w:t>
      </w:r>
    </w:p>
    <w:p>
      <w:pPr>
        <w:spacing w:line="240" w:lineRule="auto" w:before="3"/>
        <w:rPr>
          <w:rFonts w:ascii="宋体" w:hAnsi="宋体" w:cs="宋体" w:eastAsia="宋体" w:hint="default"/>
          <w:sz w:val="25"/>
          <w:szCs w:val="25"/>
        </w:rPr>
      </w:pPr>
    </w:p>
    <w:p>
      <w:pPr>
        <w:spacing w:line="290" w:lineRule="auto" w:before="0"/>
        <w:ind w:left="558" w:right="4099" w:hanging="42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报告期内公司主要资产科目未发生重大变化。</w:t>
      </w:r>
    </w:p>
    <w:p>
      <w:pPr>
        <w:spacing w:line="240" w:lineRule="auto" w:before="11"/>
        <w:rPr>
          <w:rFonts w:ascii="宋体" w:hAnsi="宋体" w:cs="宋体" w:eastAsia="宋体" w:hint="default"/>
          <w:sz w:val="21"/>
          <w:szCs w:val="21"/>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4"/>
          <w:sz w:val="21"/>
          <w:szCs w:val="21"/>
        </w:rPr>
        <w:t>1</w:t>
      </w:r>
      <w:r>
        <w:rPr>
          <w:rFonts w:ascii="宋体" w:hAnsi="宋体" w:cs="宋体" w:eastAsia="宋体" w:hint="default"/>
          <w:spacing w:val="-4"/>
          <w:sz w:val="21"/>
          <w:szCs w:val="21"/>
        </w:rPr>
        <w:t>、品牌优势：人民网是世界十大报纸之一《人民日报》建设的以新闻为主的大型网上信息交</w:t>
      </w:r>
    </w:p>
    <w:p>
      <w:pPr>
        <w:pStyle w:val="BodyText"/>
        <w:spacing w:line="226" w:lineRule="exact"/>
        <w:ind w:right="0"/>
        <w:jc w:val="both"/>
      </w:pPr>
      <w:r>
        <w:rPr>
          <w:w w:val="100"/>
        </w:rPr>
        <w:t>互平</w:t>
      </w:r>
      <w:r>
        <w:rPr>
          <w:spacing w:val="-3"/>
          <w:w w:val="100"/>
        </w:rPr>
        <w:t>台</w:t>
      </w:r>
      <w:r>
        <w:rPr>
          <w:spacing w:val="-101"/>
          <w:w w:val="100"/>
        </w:rPr>
        <w:t>，</w:t>
      </w:r>
      <w:r>
        <w:rPr>
          <w:w w:val="100"/>
        </w:rPr>
        <w:t>是人</w:t>
      </w:r>
      <w:r>
        <w:rPr>
          <w:spacing w:val="-3"/>
          <w:w w:val="100"/>
        </w:rPr>
        <w:t>民</w:t>
      </w:r>
      <w:r>
        <w:rPr>
          <w:w w:val="100"/>
        </w:rPr>
        <w:t>日</w:t>
      </w:r>
      <w:r>
        <w:rPr>
          <w:spacing w:val="-3"/>
          <w:w w:val="100"/>
        </w:rPr>
        <w:t>报</w:t>
      </w:r>
      <w:r>
        <w:rPr>
          <w:w w:val="100"/>
        </w:rPr>
        <w:t>社</w:t>
      </w:r>
      <w:r>
        <w:rPr>
          <w:spacing w:val="-3"/>
          <w:w w:val="100"/>
        </w:rPr>
        <w:t>控股</w:t>
      </w:r>
      <w:r>
        <w:rPr>
          <w:w w:val="100"/>
        </w:rPr>
        <w:t>的传</w:t>
      </w:r>
      <w:r>
        <w:rPr>
          <w:spacing w:val="-3"/>
          <w:w w:val="100"/>
        </w:rPr>
        <w:t>媒</w:t>
      </w:r>
      <w:r>
        <w:rPr>
          <w:w w:val="100"/>
        </w:rPr>
        <w:t>文</w:t>
      </w:r>
      <w:r>
        <w:rPr>
          <w:spacing w:val="-3"/>
          <w:w w:val="100"/>
        </w:rPr>
        <w:t>化</w:t>
      </w:r>
      <w:r>
        <w:rPr>
          <w:w w:val="100"/>
        </w:rPr>
        <w:t>上</w:t>
      </w:r>
      <w:r>
        <w:rPr>
          <w:spacing w:val="-3"/>
          <w:w w:val="100"/>
        </w:rPr>
        <w:t>市</w:t>
      </w:r>
      <w:r>
        <w:rPr>
          <w:w w:val="100"/>
        </w:rPr>
        <w:t>公</w:t>
      </w:r>
      <w:r>
        <w:rPr>
          <w:spacing w:val="-3"/>
          <w:w w:val="100"/>
        </w:rPr>
        <w:t>司</w:t>
      </w:r>
      <w:r>
        <w:rPr>
          <w:spacing w:val="-99"/>
          <w:w w:val="100"/>
        </w:rPr>
        <w:t>，</w:t>
      </w:r>
      <w:r>
        <w:rPr>
          <w:spacing w:val="-3"/>
          <w:w w:val="100"/>
        </w:rPr>
        <w:t>也是</w:t>
      </w:r>
      <w:r>
        <w:rPr>
          <w:w w:val="100"/>
        </w:rPr>
        <w:t>国际</w:t>
      </w:r>
      <w:r>
        <w:rPr>
          <w:spacing w:val="-3"/>
          <w:w w:val="100"/>
        </w:rPr>
        <w:t>互</w:t>
      </w:r>
      <w:r>
        <w:rPr>
          <w:w w:val="100"/>
        </w:rPr>
        <w:t>联</w:t>
      </w:r>
      <w:r>
        <w:rPr>
          <w:spacing w:val="-3"/>
          <w:w w:val="100"/>
        </w:rPr>
        <w:t>网</w:t>
      </w:r>
      <w:r>
        <w:rPr>
          <w:w w:val="100"/>
        </w:rPr>
        <w:t>上</w:t>
      </w:r>
      <w:r>
        <w:rPr>
          <w:spacing w:val="-3"/>
          <w:w w:val="100"/>
        </w:rPr>
        <w:t>最</w:t>
      </w:r>
      <w:r>
        <w:rPr>
          <w:w w:val="100"/>
        </w:rPr>
        <w:t>大</w:t>
      </w:r>
      <w:r>
        <w:rPr>
          <w:spacing w:val="-3"/>
          <w:w w:val="100"/>
        </w:rPr>
        <w:t>的</w:t>
      </w:r>
      <w:r>
        <w:rPr>
          <w:w w:val="100"/>
        </w:rPr>
        <w:t>综</w:t>
      </w:r>
      <w:r>
        <w:rPr>
          <w:spacing w:val="-3"/>
          <w:w w:val="100"/>
        </w:rPr>
        <w:t>合</w:t>
      </w:r>
      <w:r>
        <w:rPr>
          <w:w w:val="100"/>
        </w:rPr>
        <w:t>性网</w:t>
      </w:r>
      <w:r>
        <w:rPr>
          <w:spacing w:val="-3"/>
          <w:w w:val="100"/>
        </w:rPr>
        <w:t>络</w:t>
      </w:r>
      <w:r>
        <w:rPr>
          <w:w w:val="100"/>
        </w:rPr>
        <w:t>媒</w:t>
      </w:r>
      <w:r>
        <w:rPr>
          <w:spacing w:val="-3"/>
          <w:w w:val="100"/>
        </w:rPr>
        <w:t>体</w:t>
      </w:r>
      <w:r>
        <w:rPr>
          <w:w w:val="100"/>
        </w:rPr>
        <w:t>之</w:t>
      </w:r>
      <w:r>
        <w:rPr>
          <w:spacing w:val="-3"/>
          <w:w w:val="100"/>
        </w:rPr>
        <w:t>一</w:t>
      </w:r>
      <w:r>
        <w:rPr>
          <w:w w:val="100"/>
        </w:rPr>
        <w:t>。</w:t>
      </w:r>
    </w:p>
    <w:p>
      <w:pPr>
        <w:pStyle w:val="BodyText"/>
        <w:spacing w:line="237" w:lineRule="auto" w:before="2"/>
        <w:ind w:right="137"/>
        <w:jc w:val="both"/>
      </w:pPr>
      <w:r>
        <w:rPr>
          <w:spacing w:val="-2"/>
        </w:rPr>
        <w:t>作为国家重点新闻网站的排头兵和第一家采编与经营整体上市的媒体企业，人民网一直秉承“权</w:t>
      </w:r>
      <w:r>
        <w:rPr>
          <w:spacing w:val="-25"/>
        </w:rPr>
        <w:t> </w:t>
      </w:r>
      <w:r>
        <w:rPr>
          <w:spacing w:val="-25"/>
        </w:rPr>
      </w:r>
      <w:r>
        <w:rPr>
          <w:spacing w:val="-2"/>
        </w:rPr>
        <w:t>威性、大众化、公信力”的办网宗旨，形成了新闻采写、网络评论、在线访谈、微博发布互相配</w:t>
      </w:r>
      <w:r>
        <w:rPr>
          <w:spacing w:val="-25"/>
        </w:rPr>
        <w:t> </w:t>
      </w:r>
      <w:r>
        <w:rPr>
          <w:spacing w:val="-25"/>
        </w:rPr>
      </w:r>
      <w:r>
        <w:rPr/>
        <w:t>合的快速、权威、深度新闻报道模式，网民覆盖</w:t>
      </w:r>
      <w:r>
        <w:rPr>
          <w:spacing w:val="-57"/>
        </w:rPr>
        <w:t> </w:t>
      </w:r>
      <w:r>
        <w:rPr>
          <w:rFonts w:ascii="宋体" w:hAnsi="宋体" w:cs="宋体" w:eastAsia="宋体" w:hint="default"/>
        </w:rPr>
        <w:t>200</w:t>
      </w:r>
      <w:r>
        <w:rPr>
          <w:rFonts w:ascii="宋体" w:hAnsi="宋体" w:cs="宋体" w:eastAsia="宋体" w:hint="default"/>
          <w:spacing w:val="-56"/>
        </w:rPr>
        <w:t> </w:t>
      </w:r>
      <w:r>
        <w:rPr/>
        <w:t>多个国家和地区，品牌的知名度、影响力、</w:t>
      </w:r>
      <w:r>
        <w:rPr>
          <w:w w:val="100"/>
        </w:rPr>
        <w:t> </w:t>
      </w:r>
      <w:r>
        <w:rPr>
          <w:spacing w:val="-2"/>
        </w:rPr>
        <w:t>公信力在互联网业界中拥有独特的优势。公司主办了“中国人大新闻网”、“中国政协新闻网”</w:t>
      </w:r>
      <w:r>
        <w:rPr>
          <w:spacing w:val="-26"/>
        </w:rPr>
        <w:t> </w:t>
      </w:r>
      <w:r>
        <w:rPr>
          <w:spacing w:val="-26"/>
        </w:rPr>
      </w:r>
      <w:r>
        <w:rPr>
          <w:spacing w:val="-2"/>
        </w:rPr>
        <w:t>等多个专业性新闻网站，承办了一系列党的主题教育活动官方网站以及党的十八大新闻中心官方</w:t>
      </w:r>
      <w:r>
        <w:rPr>
          <w:spacing w:val="-25"/>
        </w:rPr>
        <w:t> </w:t>
      </w:r>
      <w:r>
        <w:rPr>
          <w:spacing w:val="-25"/>
        </w:rPr>
      </w:r>
      <w:r>
        <w:rPr>
          <w:spacing w:val="-2"/>
        </w:rPr>
        <w:t>网站；并成功建设了多个中央部委网站；拥有“中国共产党新闻网”、“强国论坛”、“地方领</w:t>
      </w:r>
      <w:r>
        <w:rPr>
          <w:spacing w:val="-24"/>
        </w:rPr>
        <w:t> </w:t>
      </w:r>
      <w:r>
        <w:rPr>
          <w:spacing w:val="-24"/>
        </w:rPr>
      </w:r>
      <w:r>
        <w:rPr>
          <w:spacing w:val="-2"/>
        </w:rPr>
        <w:t>导留言板”、“人民微博”、“人民电视”、“人民网舆情监测室”等众多优秀品牌栏目。</w:t>
      </w:r>
      <w:r>
        <w:rPr>
          <w:rFonts w:ascii="宋体" w:hAnsi="宋体" w:cs="宋体" w:eastAsia="宋体" w:hint="default"/>
          <w:spacing w:val="-2"/>
        </w:rPr>
        <w:t>2015</w:t>
      </w:r>
      <w:r>
        <w:rPr>
          <w:rFonts w:ascii="宋体" w:hAnsi="宋体" w:cs="宋体" w:eastAsia="宋体" w:hint="default"/>
          <w:spacing w:val="-21"/>
        </w:rPr>
        <w:t> </w:t>
      </w:r>
      <w:r>
        <w:rPr>
          <w:spacing w:val="-2"/>
        </w:rPr>
        <w:t>年，人民网继续突出宣传中央领导同志重要活动、重要讲话精神，原创栏目“学习路上”荣获第</w:t>
      </w:r>
      <w:r>
        <w:rPr>
          <w:spacing w:val="-25"/>
        </w:rPr>
        <w:t> </w:t>
      </w:r>
      <w:r>
        <w:rPr>
          <w:spacing w:val="-25"/>
        </w:rPr>
      </w:r>
      <w:r>
        <w:rPr>
          <w:spacing w:val="-2"/>
        </w:rPr>
        <w:t>二十五届中国新闻奖网络专题类一等奖，中央网信办授予人民网“宣传习总书记系列重要讲话精</w:t>
      </w:r>
      <w:r>
        <w:rPr>
          <w:spacing w:val="-25"/>
        </w:rPr>
        <w:t> </w:t>
      </w:r>
      <w:r>
        <w:rPr>
          <w:spacing w:val="-25"/>
        </w:rPr>
      </w:r>
      <w:r>
        <w:rPr/>
        <w:t>神表现突出一等奖”。</w:t>
      </w:r>
    </w:p>
    <w:p>
      <w:pPr>
        <w:pStyle w:val="BodyText"/>
        <w:spacing w:line="237" w:lineRule="auto"/>
        <w:ind w:right="127" w:firstLine="419"/>
        <w:jc w:val="both"/>
      </w:pPr>
      <w:r>
        <w:rPr>
          <w:rFonts w:ascii="宋体" w:hAnsi="宋体" w:cs="宋体" w:eastAsia="宋体" w:hint="default"/>
          <w:spacing w:val="-4"/>
        </w:rPr>
        <w:t>2</w:t>
      </w:r>
      <w:r>
        <w:rPr>
          <w:spacing w:val="-4"/>
        </w:rPr>
        <w:t>、新闻内容优势：人民网是国内领先的以新闻为核心的综合信息服务运营商，是拥有独立采</w:t>
      </w:r>
      <w:r>
        <w:rPr>
          <w:w w:val="100"/>
        </w:rPr>
        <w:t> </w:t>
      </w:r>
      <w:r>
        <w:rPr>
          <w:spacing w:val="-2"/>
        </w:rPr>
        <w:t>编权的中央重点新闻网站。公司秉承人民日报的传统新闻采编内容优势，结合互联网及移动互联</w:t>
      </w:r>
      <w:r>
        <w:rPr>
          <w:spacing w:val="-25"/>
        </w:rPr>
        <w:t> </w:t>
      </w:r>
      <w:r>
        <w:rPr>
          <w:spacing w:val="-25"/>
        </w:rPr>
      </w:r>
      <w:r>
        <w:rPr>
          <w:spacing w:val="-2"/>
        </w:rPr>
        <w:t>网的新技术、新应用，通过网络平台及移动端产品，向广大用户提供及时、深度、权威的新闻信</w:t>
      </w:r>
      <w:r>
        <w:rPr>
          <w:spacing w:val="-25"/>
        </w:rPr>
        <w:t> </w:t>
      </w:r>
      <w:r>
        <w:rPr>
          <w:spacing w:val="-25"/>
        </w:rPr>
      </w:r>
      <w:r>
        <w:rPr/>
        <w:t>息。</w:t>
      </w:r>
      <w:r>
        <w:rPr>
          <w:rFonts w:ascii="宋体" w:hAnsi="宋体" w:cs="宋体" w:eastAsia="宋体" w:hint="default"/>
        </w:rPr>
        <w:t>2015 </w:t>
      </w:r>
      <w:r>
        <w:rPr>
          <w:spacing w:val="-3"/>
        </w:rPr>
        <w:t>年，公司积极策划重大主题活动宣传报道，在重要主题报道、重点专题报道、重大突发</w:t>
      </w:r>
      <w:r>
        <w:rPr>
          <w:spacing w:val="-97"/>
        </w:rPr>
        <w:t> </w:t>
      </w:r>
      <w:r>
        <w:rPr>
          <w:spacing w:val="-97"/>
        </w:rPr>
      </w:r>
      <w:r>
        <w:rPr>
          <w:spacing w:val="-3"/>
        </w:rPr>
        <w:t>报道方面出新出彩，有声有色。组织报道全国两会、</w:t>
      </w:r>
      <w:r>
        <w:rPr>
          <w:rFonts w:ascii="宋体" w:hAnsi="宋体" w:cs="宋体" w:eastAsia="宋体" w:hint="default"/>
          <w:spacing w:val="-3"/>
        </w:rPr>
        <w:t>9.3 </w:t>
      </w:r>
      <w:r>
        <w:rPr>
          <w:spacing w:val="-3"/>
        </w:rPr>
        <w:t>阅兵、西藏自治区成立 </w:t>
      </w:r>
      <w:r>
        <w:rPr>
          <w:rFonts w:ascii="宋体" w:hAnsi="宋体" w:cs="宋体" w:eastAsia="宋体" w:hint="default"/>
        </w:rPr>
        <w:t>50</w:t>
      </w:r>
      <w:r>
        <w:rPr>
          <w:rFonts w:ascii="宋体" w:hAnsi="宋体" w:cs="宋体" w:eastAsia="宋体" w:hint="default"/>
          <w:spacing w:val="-78"/>
        </w:rPr>
        <w:t> </w:t>
      </w:r>
      <w:r>
        <w:rPr>
          <w:spacing w:val="-3"/>
        </w:rPr>
        <w:t>周年、新疆维</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right="127"/>
        <w:jc w:val="both"/>
      </w:pPr>
      <w:r>
        <w:rPr/>
        <w:t>吾尔自治区成立</w:t>
      </w:r>
      <w:r>
        <w:rPr>
          <w:spacing w:val="-22"/>
        </w:rPr>
        <w:t> </w:t>
      </w:r>
      <w:r>
        <w:rPr>
          <w:rFonts w:ascii="宋体" w:hAnsi="宋体" w:cs="宋体" w:eastAsia="宋体" w:hint="default"/>
        </w:rPr>
        <w:t>60</w:t>
      </w:r>
      <w:r>
        <w:rPr>
          <w:rFonts w:ascii="宋体" w:hAnsi="宋体" w:cs="宋体" w:eastAsia="宋体" w:hint="default"/>
          <w:spacing w:val="-25"/>
        </w:rPr>
        <w:t> </w:t>
      </w:r>
      <w:r>
        <w:rPr>
          <w:spacing w:val="-5"/>
        </w:rPr>
        <w:t>周年、十八届五中全会等重大主题活动报道，力求速度、深度、力度，形成了</w:t>
      </w:r>
      <w:r>
        <w:rPr>
          <w:spacing w:val="-94"/>
        </w:rPr>
        <w:t> </w:t>
      </w:r>
      <w:r>
        <w:rPr>
          <w:spacing w:val="-94"/>
        </w:rPr>
      </w:r>
      <w:r>
        <w:rPr>
          <w:spacing w:val="-3"/>
        </w:rPr>
        <w:t>“以快讯、侧记、记者观察等原创报道为基础，图解、</w:t>
      </w:r>
      <w:r>
        <w:rPr>
          <w:rFonts w:ascii="宋体" w:hAnsi="宋体" w:cs="宋体" w:eastAsia="宋体" w:hint="default"/>
          <w:spacing w:val="-3"/>
        </w:rPr>
        <w:t>H5</w:t>
      </w:r>
      <w:r>
        <w:rPr>
          <w:spacing w:val="-3"/>
        </w:rPr>
        <w:t>、视频等多种形式为依托，</w:t>
      </w:r>
      <w:r>
        <w:rPr>
          <w:rFonts w:ascii="宋体" w:hAnsi="宋体" w:cs="宋体" w:eastAsia="宋体" w:hint="default"/>
          <w:spacing w:val="-3"/>
        </w:rPr>
        <w:t>PC </w:t>
      </w:r>
      <w:r>
        <w:rPr>
          <w:spacing w:val="-3"/>
        </w:rPr>
        <w:t>端、手机</w:t>
      </w:r>
      <w:r>
        <w:rPr>
          <w:spacing w:val="-74"/>
        </w:rPr>
        <w:t> </w:t>
      </w:r>
      <w:r>
        <w:rPr>
          <w:spacing w:val="-74"/>
        </w:rPr>
      </w:r>
      <w:r>
        <w:rPr>
          <w:spacing w:val="-6"/>
        </w:rPr>
        <w:t>人民网、海外媒体等多种平台为渠道”的常态报道模式。在重大事件报道方面，人民网导向正确，</w:t>
      </w:r>
      <w:r>
        <w:rPr>
          <w:spacing w:val="-51"/>
        </w:rPr>
        <w:t> </w:t>
      </w:r>
      <w:r>
        <w:rPr>
          <w:spacing w:val="-51"/>
        </w:rPr>
      </w:r>
      <w:r>
        <w:rPr/>
        <w:t>报道迅速，客观准确，充分展示了人民网的传播力和公信力。</w:t>
      </w:r>
    </w:p>
    <w:p>
      <w:pPr>
        <w:pStyle w:val="BodyText"/>
        <w:spacing w:line="237" w:lineRule="auto"/>
        <w:ind w:right="129" w:firstLine="419"/>
        <w:jc w:val="both"/>
      </w:pPr>
      <w:r>
        <w:rPr>
          <w:rFonts w:ascii="宋体" w:hAnsi="宋体" w:cs="宋体" w:eastAsia="宋体" w:hint="default"/>
          <w:spacing w:val="-4"/>
        </w:rPr>
        <w:t>3</w:t>
      </w:r>
      <w:r>
        <w:rPr>
          <w:spacing w:val="-4"/>
        </w:rPr>
        <w:t>、客户资源及渠道优势：公司所运营网站的受众群体以及公司的品牌形象决定了广告客户多</w:t>
      </w:r>
      <w:r>
        <w:rPr>
          <w:w w:val="100"/>
        </w:rPr>
        <w:t> </w:t>
      </w:r>
      <w:r>
        <w:rPr>
          <w:spacing w:val="-2"/>
        </w:rPr>
        <w:t>为大型、知名企业或者政府单位，为公司业务建立了独特的渠道优势。公司信息服务业务主要包</w:t>
      </w:r>
      <w:r>
        <w:rPr>
          <w:spacing w:val="-25"/>
        </w:rPr>
        <w:t> </w:t>
      </w:r>
      <w:r>
        <w:rPr>
          <w:spacing w:val="-25"/>
        </w:rPr>
      </w:r>
      <w:r>
        <w:rPr>
          <w:spacing w:val="-2"/>
        </w:rPr>
        <w:t>括为政府或企事业单位提供网络舆情研究咨询、数据库或网站合作等信息服务，亦形成了一定的</w:t>
      </w:r>
      <w:r>
        <w:rPr>
          <w:spacing w:val="-25"/>
        </w:rPr>
        <w:t> </w:t>
      </w:r>
      <w:r>
        <w:rPr>
          <w:spacing w:val="-25"/>
        </w:rPr>
      </w:r>
      <w:r>
        <w:rPr>
          <w:spacing w:val="-2"/>
        </w:rPr>
        <w:t>客户资源优势。报告期内，公司围绕人民网平台优势资源开展核心业务，拓宽业务板块，大力开</w:t>
      </w:r>
      <w:r>
        <w:rPr>
          <w:spacing w:val="-25"/>
        </w:rPr>
        <w:t> </w:t>
      </w:r>
      <w:r>
        <w:rPr>
          <w:spacing w:val="-25"/>
        </w:rPr>
      </w:r>
      <w:r>
        <w:rPr>
          <w:spacing w:val="-2"/>
        </w:rPr>
        <w:t>发移动端、微博、微信等相关产品；通过众多地方子、分公司及海外公司，在加强优质信息输出</w:t>
      </w:r>
      <w:r>
        <w:rPr>
          <w:spacing w:val="-25"/>
        </w:rPr>
        <w:t> </w:t>
      </w:r>
      <w:r>
        <w:rPr>
          <w:spacing w:val="-25"/>
        </w:rPr>
      </w:r>
      <w:r>
        <w:rPr>
          <w:spacing w:val="-2"/>
        </w:rPr>
        <w:t>与传播的同时，充分开发广告宣传业务；在移动互联网领域，进一步优化产品体验、提升技术实</w:t>
      </w:r>
      <w:r>
        <w:rPr>
          <w:spacing w:val="-25"/>
        </w:rPr>
        <w:t> </w:t>
      </w:r>
      <w:r>
        <w:rPr>
          <w:spacing w:val="-25"/>
        </w:rPr>
      </w:r>
      <w:r>
        <w:rPr/>
        <w:t>力，利用与各电信运营商建立的良好合作关系优势，开拓业务发展空间。</w:t>
      </w:r>
    </w:p>
    <w:p>
      <w:pPr>
        <w:pStyle w:val="BodyText"/>
        <w:spacing w:line="272" w:lineRule="exact"/>
        <w:ind w:left="558" w:right="0"/>
        <w:jc w:val="left"/>
      </w:pPr>
      <w:r>
        <w:rPr>
          <w:rFonts w:ascii="宋体" w:hAnsi="宋体" w:cs="宋体" w:eastAsia="宋体" w:hint="default"/>
          <w:spacing w:val="-5"/>
        </w:rPr>
        <w:t>4</w:t>
      </w:r>
      <w:r>
        <w:rPr>
          <w:spacing w:val="-5"/>
        </w:rPr>
        <w:t>、受众优势：人民网除中文版本外，还拥有</w:t>
      </w:r>
      <w:r>
        <w:rPr>
          <w:spacing w:val="-38"/>
        </w:rPr>
        <w:t> </w:t>
      </w:r>
      <w:r>
        <w:rPr>
          <w:rFonts w:ascii="宋体" w:hAnsi="宋体" w:cs="宋体" w:eastAsia="宋体" w:hint="default"/>
        </w:rPr>
        <w:t>7</w:t>
      </w:r>
      <w:r>
        <w:rPr>
          <w:rFonts w:ascii="宋体" w:hAnsi="宋体" w:cs="宋体" w:eastAsia="宋体" w:hint="default"/>
          <w:spacing w:val="-41"/>
        </w:rPr>
        <w:t> </w:t>
      </w:r>
      <w:r>
        <w:rPr/>
        <w:t>种少数民族语言及</w:t>
      </w:r>
      <w:r>
        <w:rPr>
          <w:spacing w:val="-38"/>
        </w:rPr>
        <w:t> </w:t>
      </w:r>
      <w:r>
        <w:rPr>
          <w:rFonts w:ascii="宋体" w:hAnsi="宋体" w:cs="宋体" w:eastAsia="宋体" w:hint="default"/>
        </w:rPr>
        <w:t>9</w:t>
      </w:r>
      <w:r>
        <w:rPr>
          <w:rFonts w:ascii="宋体" w:hAnsi="宋体" w:cs="宋体" w:eastAsia="宋体" w:hint="default"/>
          <w:spacing w:val="-41"/>
        </w:rPr>
        <w:t> </w:t>
      </w:r>
      <w:r>
        <w:rPr>
          <w:spacing w:val="-5"/>
        </w:rPr>
        <w:t>种外文版本，用文字、图</w:t>
      </w:r>
    </w:p>
    <w:p>
      <w:pPr>
        <w:pStyle w:val="BodyText"/>
        <w:spacing w:line="273" w:lineRule="exact"/>
        <w:ind w:right="0"/>
        <w:jc w:val="both"/>
      </w:pPr>
      <w:r>
        <w:rPr>
          <w:spacing w:val="-6"/>
        </w:rPr>
        <w:t>片、视频、微博、客户端等多种手段，每天 </w:t>
      </w:r>
      <w:r>
        <w:rPr>
          <w:rFonts w:ascii="宋体" w:hAnsi="宋体" w:cs="宋体" w:eastAsia="宋体" w:hint="default"/>
        </w:rPr>
        <w:t>24</w:t>
      </w:r>
      <w:r>
        <w:rPr>
          <w:rFonts w:ascii="宋体" w:hAnsi="宋体" w:cs="宋体" w:eastAsia="宋体" w:hint="default"/>
          <w:spacing w:val="-22"/>
        </w:rPr>
        <w:t> </w:t>
      </w:r>
      <w:r>
        <w:rPr>
          <w:spacing w:val="-3"/>
        </w:rPr>
        <w:t>小时在第一时间向全球发布丰富多彩的信息，内容</w:t>
      </w:r>
    </w:p>
    <w:p>
      <w:pPr>
        <w:pStyle w:val="BodyText"/>
        <w:spacing w:line="237" w:lineRule="auto" w:before="2"/>
        <w:ind w:right="128"/>
        <w:jc w:val="both"/>
      </w:pPr>
      <w:r>
        <w:rPr/>
        <w:t>涉及政治、经济、社会、文化等各个领域，网民覆盖</w:t>
      </w:r>
      <w:r>
        <w:rPr>
          <w:spacing w:val="-54"/>
        </w:rPr>
        <w:t> </w:t>
      </w:r>
      <w:r>
        <w:rPr>
          <w:rFonts w:ascii="宋体" w:hAnsi="宋体" w:cs="宋体" w:eastAsia="宋体" w:hint="default"/>
        </w:rPr>
        <w:t>200</w:t>
      </w:r>
      <w:r>
        <w:rPr>
          <w:rFonts w:ascii="宋体" w:hAnsi="宋体" w:cs="宋体" w:eastAsia="宋体" w:hint="default"/>
          <w:spacing w:val="-56"/>
        </w:rPr>
        <w:t> </w:t>
      </w:r>
      <w:r>
        <w:rPr/>
        <w:t>多个国家和地区。近年来，人民网和旗</w:t>
      </w:r>
      <w:r>
        <w:rPr>
          <w:w w:val="100"/>
        </w:rPr>
        <w:t> </w:t>
      </w:r>
      <w:r>
        <w:rPr>
          <w:spacing w:val="-2"/>
        </w:rPr>
        <w:t>下环球网、海外网独立访问者数量持续保持增长趋势，形成了广泛而稳定的受众群体，积极开展</w:t>
      </w:r>
      <w:r>
        <w:rPr>
          <w:spacing w:val="-27"/>
        </w:rPr>
        <w:t> </w:t>
      </w:r>
      <w:r>
        <w:rPr>
          <w:spacing w:val="-27"/>
        </w:rPr>
      </w:r>
      <w:r>
        <w:rPr>
          <w:spacing w:val="-2"/>
        </w:rPr>
        <w:t>多元化业务，利用移动互联网、微博、微信等平台进一步提升传播力及影响力，为提升公司媒体</w:t>
      </w:r>
      <w:r>
        <w:rPr>
          <w:spacing w:val="-25"/>
        </w:rPr>
        <w:t> </w:t>
      </w:r>
      <w:r>
        <w:rPr>
          <w:spacing w:val="-25"/>
        </w:rPr>
      </w:r>
      <w:r>
        <w:rPr>
          <w:spacing w:val="-4"/>
        </w:rPr>
        <w:t>价值奠定基础。截至 </w:t>
      </w:r>
      <w:r>
        <w:rPr>
          <w:rFonts w:ascii="宋体" w:hAnsi="宋体" w:cs="宋体" w:eastAsia="宋体" w:hint="default"/>
        </w:rPr>
        <w:t>2015</w:t>
      </w:r>
      <w:r>
        <w:rPr>
          <w:rFonts w:ascii="宋体" w:hAnsi="宋体" w:cs="宋体" w:eastAsia="宋体" w:hint="default"/>
          <w:spacing w:val="-42"/>
        </w:rPr>
        <w:t> </w:t>
      </w:r>
      <w:r>
        <w:rPr>
          <w:spacing w:val="-4"/>
        </w:rPr>
        <w:t>年末，人民网在人民微博、新浪微博、腾讯微博三大平台的法人微博粉</w:t>
      </w:r>
    </w:p>
    <w:p>
      <w:pPr>
        <w:pStyle w:val="BodyText"/>
        <w:spacing w:line="237" w:lineRule="auto" w:before="1"/>
        <w:ind w:right="130"/>
        <w:jc w:val="both"/>
      </w:pPr>
      <w:r>
        <w:rPr/>
        <w:t>丝总量逾</w:t>
      </w:r>
      <w:r>
        <w:rPr>
          <w:spacing w:val="-53"/>
        </w:rPr>
        <w:t> </w:t>
      </w:r>
      <w:r>
        <w:rPr>
          <w:rFonts w:ascii="宋体" w:hAnsi="宋体" w:cs="宋体" w:eastAsia="宋体" w:hint="default"/>
        </w:rPr>
        <w:t>6,500</w:t>
      </w:r>
      <w:r>
        <w:rPr>
          <w:rFonts w:ascii="宋体" w:hAnsi="宋体" w:cs="宋体" w:eastAsia="宋体" w:hint="default"/>
          <w:spacing w:val="-55"/>
        </w:rPr>
        <w:t> </w:t>
      </w:r>
      <w:r>
        <w:rPr/>
        <w:t>万，在中国网络媒体中排名第一。在中央网信办《网络传播》杂志发布的“</w:t>
      </w:r>
      <w:r>
        <w:rPr>
          <w:rFonts w:ascii="宋体" w:hAnsi="宋体" w:cs="宋体" w:eastAsia="宋体" w:hint="default"/>
        </w:rPr>
        <w:t>2015</w:t>
      </w:r>
      <w:r>
        <w:rPr>
          <w:rFonts w:ascii="宋体" w:hAnsi="宋体" w:cs="宋体" w:eastAsia="宋体" w:hint="default"/>
          <w:w w:val="100"/>
        </w:rPr>
        <w:t> </w:t>
      </w:r>
      <w:r>
        <w:rPr>
          <w:spacing w:val="-3"/>
        </w:rPr>
        <w:t>下半年中国新闻网站综合传播力总榜”中，人民网位列前三甲，环球网进入前十强；在“</w:t>
      </w:r>
      <w:r>
        <w:rPr>
          <w:rFonts w:ascii="宋体" w:hAnsi="宋体" w:cs="宋体" w:eastAsia="宋体" w:hint="default"/>
          <w:spacing w:val="-3"/>
        </w:rPr>
        <w:t>2015 </w:t>
      </w:r>
      <w:r>
        <w:rPr/>
        <w:t>下</w:t>
      </w:r>
      <w:r>
        <w:rPr>
          <w:spacing w:val="-76"/>
        </w:rPr>
        <w:t> </w:t>
      </w:r>
      <w:r>
        <w:rPr>
          <w:spacing w:val="-2"/>
        </w:rPr>
        <w:t>半年两微传播力总榜”中，人民网居首位。报告期内，人民网继续积极推进全球化布局，在日本</w:t>
      </w:r>
      <w:r>
        <w:rPr>
          <w:spacing w:val="-25"/>
        </w:rPr>
        <w:t> </w:t>
      </w:r>
      <w:r>
        <w:rPr>
          <w:spacing w:val="-25"/>
        </w:rPr>
      </w:r>
      <w:r>
        <w:rPr>
          <w:spacing w:val="-2"/>
        </w:rPr>
        <w:t>东京、美国纽约、美国旧金山、韩国首尔、英国伦敦、俄罗斯莫斯科、南非约翰内斯堡、澳大利</w:t>
      </w:r>
      <w:r>
        <w:rPr>
          <w:spacing w:val="-25"/>
        </w:rPr>
        <w:t> </w:t>
      </w:r>
      <w:r>
        <w:rPr>
          <w:spacing w:val="-25"/>
        </w:rPr>
      </w:r>
      <w:r>
        <w:rPr>
          <w:spacing w:val="-2"/>
        </w:rPr>
        <w:t>亚悉尼、法国巴黎、北欧瑞典以及香港成立分站并设立演播室，以进一步提升国际传播力和影响</w:t>
      </w:r>
      <w:r>
        <w:rPr>
          <w:spacing w:val="-25"/>
        </w:rPr>
        <w:t> </w:t>
      </w:r>
      <w:r>
        <w:rPr>
          <w:spacing w:val="-25"/>
        </w:rPr>
      </w:r>
      <w:r>
        <w:rPr/>
        <w:t>力。</w:t>
      </w:r>
    </w:p>
    <w:p>
      <w:pPr>
        <w:spacing w:after="0" w:line="237" w:lineRule="auto"/>
        <w:jc w:val="both"/>
        <w:sectPr>
          <w:footerReference w:type="default" r:id="rId11"/>
          <w:pgSz w:w="11910" w:h="16840"/>
          <w:pgMar w:footer="1195" w:header="880"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940"/>
        <w:jc w:val="left"/>
        <w:rPr>
          <w:b w:val="0"/>
          <w:bCs w:val="0"/>
        </w:rPr>
      </w:pPr>
      <w:r>
        <w:rPr/>
        <w:t>一、管理层讨论与分析</w:t>
      </w:r>
      <w:r>
        <w:rPr>
          <w:b w:val="0"/>
          <w:bCs w:val="0"/>
        </w:rPr>
      </w:r>
    </w:p>
    <w:p>
      <w:pPr>
        <w:pStyle w:val="BodyText"/>
        <w:spacing w:line="237" w:lineRule="auto" w:before="61"/>
        <w:ind w:left="218" w:right="228" w:firstLine="419"/>
        <w:jc w:val="both"/>
      </w:pPr>
      <w:r>
        <w:rPr>
          <w:rFonts w:ascii="宋体" w:hAnsi="宋体" w:cs="宋体" w:eastAsia="宋体" w:hint="default"/>
        </w:rPr>
        <w:t>2015</w:t>
      </w:r>
      <w:r>
        <w:rPr>
          <w:rFonts w:ascii="宋体" w:hAnsi="宋体" w:cs="宋体" w:eastAsia="宋体" w:hint="default"/>
          <w:spacing w:val="-9"/>
        </w:rPr>
        <w:t> </w:t>
      </w:r>
      <w:r>
        <w:rPr>
          <w:spacing w:val="-3"/>
        </w:rPr>
        <w:t>年，国内经济整体呈现稳中趋缓的态势，随着媒体融合的不断深化，互联网信息技术及</w:t>
      </w:r>
      <w:r>
        <w:rPr>
          <w:w w:val="100"/>
        </w:rPr>
        <w:t> </w:t>
      </w:r>
      <w:r>
        <w:rPr>
          <w:spacing w:val="-2"/>
        </w:rPr>
        <w:t>应用的快速变革，信息传播模式日趋多元化，互联网媒体之间的竞争日益白热化。人民网在经历</w:t>
      </w:r>
      <w:r>
        <w:rPr>
          <w:spacing w:val="-25"/>
        </w:rPr>
        <w:t> </w:t>
      </w:r>
      <w:r>
        <w:rPr>
          <w:spacing w:val="-25"/>
        </w:rPr>
      </w:r>
      <w:r>
        <w:rPr>
          <w:spacing w:val="-2"/>
        </w:rPr>
        <w:t>上市前后多年的业绩快速增长后，也在经营发展中面临着一定的困难和挑战。公司管理团队直面</w:t>
      </w:r>
      <w:r>
        <w:rPr>
          <w:spacing w:val="-25"/>
        </w:rPr>
        <w:t> </w:t>
      </w:r>
      <w:r>
        <w:rPr>
          <w:spacing w:val="-25"/>
        </w:rPr>
      </w:r>
      <w:r>
        <w:rPr>
          <w:spacing w:val="-2"/>
        </w:rPr>
        <w:t>问题、化危为机，带领全体员工共同努力，探索和创新发展模式，基本实现了年中设立的“稳定</w:t>
      </w:r>
      <w:r>
        <w:rPr>
          <w:spacing w:val="-25"/>
        </w:rPr>
        <w:t> </w:t>
      </w:r>
      <w:r>
        <w:rPr>
          <w:spacing w:val="-25"/>
        </w:rPr>
      </w:r>
      <w:r>
        <w:rPr/>
        <w:t>队伍、稳定宣传、稳定经营”的目标。</w:t>
      </w:r>
    </w:p>
    <w:p>
      <w:pPr>
        <w:pStyle w:val="BodyText"/>
        <w:spacing w:line="237" w:lineRule="auto"/>
        <w:ind w:left="218" w:right="228" w:firstLine="419"/>
        <w:jc w:val="both"/>
      </w:pPr>
      <w:r>
        <w:rPr>
          <w:spacing w:val="-3"/>
        </w:rPr>
        <w:t>新闻宣传方面，人民网在“原创、独家、深度”上孜孜以求，做到线上与线下、</w:t>
      </w:r>
      <w:r>
        <w:rPr>
          <w:rFonts w:ascii="宋体" w:hAnsi="宋体" w:cs="宋体" w:eastAsia="宋体" w:hint="default"/>
          <w:spacing w:val="-3"/>
        </w:rPr>
        <w:t>PC</w:t>
      </w:r>
      <w:r>
        <w:rPr>
          <w:rFonts w:ascii="宋体" w:hAnsi="宋体" w:cs="宋体" w:eastAsia="宋体" w:hint="default"/>
          <w:spacing w:val="-13"/>
        </w:rPr>
        <w:t> </w:t>
      </w:r>
      <w:r>
        <w:rPr/>
        <w:t>端与移动</w:t>
      </w:r>
      <w:r>
        <w:rPr>
          <w:w w:val="100"/>
        </w:rPr>
        <w:t> </w:t>
      </w:r>
      <w:r>
        <w:rPr>
          <w:spacing w:val="-2"/>
        </w:rPr>
        <w:t>端、国内与国外、总网与地方频道协同作战，共同发力，一体策划，多元呈现，形成了特色明显</w:t>
      </w:r>
      <w:r>
        <w:rPr>
          <w:spacing w:val="-25"/>
        </w:rPr>
        <w:t> </w:t>
      </w:r>
      <w:r>
        <w:rPr>
          <w:spacing w:val="-25"/>
        </w:rPr>
      </w:r>
      <w:r>
        <w:rPr>
          <w:spacing w:val="-4"/>
        </w:rPr>
        <w:t>的报道风格，新闻传播力、公信力、影响力进一步提升。截至 </w:t>
      </w:r>
      <w:r>
        <w:rPr>
          <w:rFonts w:ascii="宋体" w:hAnsi="宋体" w:cs="宋体" w:eastAsia="宋体" w:hint="default"/>
        </w:rPr>
        <w:t>2015</w:t>
      </w:r>
      <w:r>
        <w:rPr>
          <w:rFonts w:ascii="宋体" w:hAnsi="宋体" w:cs="宋体" w:eastAsia="宋体" w:hint="default"/>
          <w:spacing w:val="-43"/>
        </w:rPr>
        <w:t> </w:t>
      </w:r>
      <w:r>
        <w:rPr>
          <w:spacing w:val="-4"/>
        </w:rPr>
        <w:t>年末，人民网在人民微博、新</w:t>
      </w:r>
    </w:p>
    <w:p>
      <w:pPr>
        <w:pStyle w:val="BodyText"/>
        <w:spacing w:line="237" w:lineRule="auto" w:before="1"/>
        <w:ind w:left="218" w:right="227"/>
        <w:jc w:val="both"/>
      </w:pPr>
      <w:r>
        <w:rPr/>
        <w:t>浪微博、腾讯微博三大平台的法人微博粉丝总量逾</w:t>
      </w:r>
      <w:r>
        <w:rPr>
          <w:spacing w:val="-56"/>
        </w:rPr>
        <w:t> </w:t>
      </w:r>
      <w:r>
        <w:rPr>
          <w:rFonts w:ascii="宋体" w:hAnsi="宋体" w:cs="宋体" w:eastAsia="宋体" w:hint="default"/>
        </w:rPr>
        <w:t>6,500</w:t>
      </w:r>
      <w:r>
        <w:rPr>
          <w:rFonts w:ascii="宋体" w:hAnsi="宋体" w:cs="宋体" w:eastAsia="宋体" w:hint="default"/>
          <w:spacing w:val="-56"/>
        </w:rPr>
        <w:t> </w:t>
      </w:r>
      <w:r>
        <w:rPr/>
        <w:t>万，在中国网络媒体中排名第一。在中</w:t>
      </w:r>
      <w:r>
        <w:rPr>
          <w:w w:val="100"/>
        </w:rPr>
        <w:t> </w:t>
      </w:r>
      <w:r>
        <w:rPr>
          <w:spacing w:val="-3"/>
        </w:rPr>
        <w:t>央网信办《网络传播》杂志发布的“2015</w:t>
      </w:r>
      <w:r>
        <w:rPr>
          <w:spacing w:val="-46"/>
        </w:rPr>
        <w:t> </w:t>
      </w:r>
      <w:r>
        <w:rPr/>
        <w:t>下半年中国新闻网站综合传播力总榜”中，人民网位列</w:t>
      </w:r>
      <w:r>
        <w:rPr>
          <w:spacing w:val="-102"/>
        </w:rPr>
        <w:t> </w:t>
      </w:r>
      <w:r>
        <w:rPr>
          <w:spacing w:val="-102"/>
        </w:rPr>
      </w:r>
      <w:r>
        <w:rPr/>
        <w:t>前三甲，下属网站环球网进入前十强。</w:t>
      </w:r>
    </w:p>
    <w:p>
      <w:pPr>
        <w:pStyle w:val="BodyText"/>
        <w:spacing w:line="274" w:lineRule="exact" w:before="22"/>
        <w:ind w:left="218" w:right="227" w:firstLine="419"/>
        <w:jc w:val="both"/>
      </w:pPr>
      <w:r>
        <w:rPr>
          <w:spacing w:val="-2"/>
        </w:rPr>
        <w:t>经营发展方面，公司整合集团优势，协同总网及各子、分公司共同发展。围绕网站平台优势</w:t>
      </w:r>
      <w:r>
        <w:rPr>
          <w:w w:val="100"/>
        </w:rPr>
        <w:t> </w:t>
      </w:r>
      <w:r>
        <w:rPr>
          <w:spacing w:val="-4"/>
        </w:rPr>
        <w:t>资源，拓宽业务板块，开展特色业务，继续大力推进移动互联网发展。截至 </w:t>
      </w:r>
      <w:r>
        <w:rPr>
          <w:rFonts w:ascii="宋体" w:hAnsi="宋体" w:cs="宋体" w:eastAsia="宋体" w:hint="default"/>
        </w:rPr>
        <w:t>2015</w:t>
      </w:r>
      <w:r>
        <w:rPr>
          <w:rFonts w:ascii="宋体" w:hAnsi="宋体" w:cs="宋体" w:eastAsia="宋体" w:hint="default"/>
          <w:spacing w:val="-41"/>
        </w:rPr>
        <w:t> </w:t>
      </w:r>
      <w:r>
        <w:rPr>
          <w:spacing w:val="-4"/>
        </w:rPr>
        <w:t>年末，人民网集</w:t>
      </w:r>
    </w:p>
    <w:p>
      <w:pPr>
        <w:pStyle w:val="BodyText"/>
        <w:spacing w:line="245" w:lineRule="exact"/>
        <w:ind w:left="218" w:right="126"/>
        <w:jc w:val="left"/>
      </w:pPr>
      <w:r>
        <w:rPr/>
        <w:t>团总资产达人民币</w:t>
      </w:r>
      <w:r>
        <w:rPr>
          <w:spacing w:val="-55"/>
        </w:rPr>
        <w:t> </w:t>
      </w:r>
      <w:r>
        <w:rPr>
          <w:rFonts w:ascii="宋体" w:hAnsi="宋体" w:cs="宋体" w:eastAsia="宋体" w:hint="default"/>
        </w:rPr>
        <w:t>36.04</w:t>
      </w:r>
      <w:r>
        <w:rPr>
          <w:rFonts w:ascii="宋体" w:hAnsi="宋体" w:cs="宋体" w:eastAsia="宋体" w:hint="default"/>
          <w:spacing w:val="-57"/>
        </w:rPr>
        <w:t> </w:t>
      </w:r>
      <w:r>
        <w:rPr/>
        <w:t>亿元，归属于上市公司股东的净资产为人民币</w:t>
      </w:r>
      <w:r>
        <w:rPr>
          <w:spacing w:val="-55"/>
        </w:rPr>
        <w:t> </w:t>
      </w:r>
      <w:r>
        <w:rPr>
          <w:rFonts w:ascii="宋体" w:hAnsi="宋体" w:cs="宋体" w:eastAsia="宋体" w:hint="default"/>
        </w:rPr>
        <w:t>26.95</w:t>
      </w:r>
      <w:r>
        <w:rPr>
          <w:rFonts w:ascii="宋体" w:hAnsi="宋体" w:cs="宋体" w:eastAsia="宋体" w:hint="default"/>
          <w:spacing w:val="-54"/>
        </w:rPr>
        <w:t> </w:t>
      </w:r>
      <w:r>
        <w:rPr/>
        <w:t>亿元。报告期内，</w:t>
      </w:r>
    </w:p>
    <w:p>
      <w:pPr>
        <w:pStyle w:val="BodyText"/>
        <w:spacing w:line="274" w:lineRule="exact"/>
        <w:ind w:left="218" w:right="2940"/>
        <w:jc w:val="left"/>
      </w:pPr>
      <w:r>
        <w:rPr/>
        <w:t>公司实现营业总收入人民币</w:t>
      </w:r>
      <w:r>
        <w:rPr>
          <w:spacing w:val="-55"/>
        </w:rPr>
        <w:t> </w:t>
      </w:r>
      <w:r>
        <w:rPr>
          <w:rFonts w:ascii="宋体" w:hAnsi="宋体" w:cs="宋体" w:eastAsia="宋体" w:hint="default"/>
        </w:rPr>
        <w:t>16.05</w:t>
      </w:r>
      <w:r>
        <w:rPr>
          <w:rFonts w:ascii="宋体" w:hAnsi="宋体" w:cs="宋体" w:eastAsia="宋体" w:hint="default"/>
          <w:spacing w:val="-55"/>
        </w:rPr>
        <w:t> </w:t>
      </w:r>
      <w:r>
        <w:rPr/>
        <w:t>亿元，较去年同期略有增长。</w:t>
      </w:r>
    </w:p>
    <w:p>
      <w:pPr>
        <w:spacing w:line="240" w:lineRule="auto" w:before="0"/>
        <w:rPr>
          <w:rFonts w:ascii="宋体" w:hAnsi="宋体" w:cs="宋体" w:eastAsia="宋体" w:hint="default"/>
          <w:sz w:val="25"/>
          <w:szCs w:val="25"/>
        </w:rPr>
      </w:pPr>
    </w:p>
    <w:p>
      <w:pPr>
        <w:pStyle w:val="Heading2"/>
        <w:spacing w:line="240" w:lineRule="auto"/>
        <w:ind w:right="2940"/>
        <w:jc w:val="left"/>
        <w:rPr>
          <w:b w:val="0"/>
          <w:bCs w:val="0"/>
        </w:rPr>
      </w:pPr>
      <w:r>
        <w:rPr/>
        <w:t>二、报告期内主要经营情况</w:t>
      </w:r>
      <w:r>
        <w:rPr>
          <w:b w:val="0"/>
          <w:bCs w:val="0"/>
        </w:rPr>
      </w:r>
    </w:p>
    <w:p>
      <w:pPr>
        <w:pStyle w:val="BodyText"/>
        <w:spacing w:line="237" w:lineRule="auto" w:before="61"/>
        <w:ind w:left="218" w:right="228" w:firstLine="419"/>
        <w:jc w:val="both"/>
      </w:pPr>
      <w:r>
        <w:rPr>
          <w:rFonts w:ascii="宋体" w:hAnsi="宋体" w:cs="宋体" w:eastAsia="宋体" w:hint="default"/>
        </w:rPr>
        <w:t>2015 </w:t>
      </w:r>
      <w:r>
        <w:rPr>
          <w:spacing w:val="-5"/>
        </w:rPr>
        <w:t>年，随着我国经济发展进入新常态以及信息技术的快速变革，</w:t>
      </w:r>
      <w:r>
        <w:rPr>
          <w:rFonts w:ascii="宋体" w:hAnsi="宋体" w:cs="宋体" w:eastAsia="宋体" w:hint="default"/>
          <w:spacing w:val="-5"/>
        </w:rPr>
        <w:t>PC</w:t>
      </w:r>
      <w:r>
        <w:rPr>
          <w:rFonts w:ascii="宋体" w:hAnsi="宋体" w:cs="宋体" w:eastAsia="宋体" w:hint="default"/>
          <w:spacing w:val="-67"/>
        </w:rPr>
        <w:t> </w:t>
      </w:r>
      <w:r>
        <w:rPr/>
        <w:t>互联网向移动互联网加</w:t>
      </w:r>
      <w:r>
        <w:rPr>
          <w:w w:val="100"/>
        </w:rPr>
        <w:t> </w:t>
      </w:r>
      <w:r>
        <w:rPr>
          <w:spacing w:val="-2"/>
        </w:rPr>
        <w:t>剧转型，互联网企业竞争日趋激烈，公司在经营工作上面临着严峻的考验。报告期内，公司经营</w:t>
      </w:r>
      <w:r>
        <w:rPr>
          <w:spacing w:val="-25"/>
        </w:rPr>
        <w:t> </w:t>
      </w:r>
      <w:r>
        <w:rPr>
          <w:spacing w:val="-25"/>
        </w:rPr>
      </w:r>
      <w:r>
        <w:rPr>
          <w:spacing w:val="-2"/>
        </w:rPr>
        <w:t>部门各业务线紧跟时势，通过改革创新工作方式，利用自身平台优势资源拓宽业务版块，继续加</w:t>
      </w:r>
      <w:r>
        <w:rPr>
          <w:spacing w:val="-25"/>
        </w:rPr>
        <w:t> </w:t>
      </w:r>
      <w:r>
        <w:rPr>
          <w:spacing w:val="-25"/>
        </w:rPr>
      </w:r>
      <w:r>
        <w:rPr>
          <w:spacing w:val="-2"/>
        </w:rPr>
        <w:t>速向移动端转型；在外延方面加大对参股、控股公司的管理力度，推动各资本运作项目迈上新台</w:t>
      </w:r>
      <w:r>
        <w:rPr>
          <w:spacing w:val="-25"/>
        </w:rPr>
        <w:t> </w:t>
      </w:r>
      <w:r>
        <w:rPr>
          <w:spacing w:val="-25"/>
        </w:rPr>
      </w:r>
      <w:r>
        <w:rPr>
          <w:spacing w:val="-2"/>
        </w:rPr>
        <w:t>阶；在经营管理层面规范各个环节的业务流程、业务机制，进一步提升了公司整体经营工作的稳</w:t>
      </w:r>
      <w:r>
        <w:rPr>
          <w:spacing w:val="-26"/>
        </w:rPr>
        <w:t> </w:t>
      </w:r>
      <w:r>
        <w:rPr>
          <w:spacing w:val="-26"/>
        </w:rPr>
      </w:r>
      <w:r>
        <w:rPr/>
        <w:t>定性及变现能力。</w:t>
      </w:r>
    </w:p>
    <w:p>
      <w:pPr>
        <w:pStyle w:val="BodyText"/>
        <w:spacing w:line="272" w:lineRule="exact"/>
        <w:ind w:left="638" w:right="126"/>
        <w:jc w:val="left"/>
      </w:pPr>
      <w:r>
        <w:rPr>
          <w:rFonts w:ascii="宋体" w:hAnsi="宋体" w:cs="宋体" w:eastAsia="宋体" w:hint="default"/>
          <w:w w:val="100"/>
        </w:rPr>
        <w:t>2015</w:t>
      </w:r>
      <w:r>
        <w:rPr>
          <w:rFonts w:ascii="宋体" w:hAnsi="宋体" w:cs="宋体" w:eastAsia="宋体" w:hint="default"/>
          <w:spacing w:val="-55"/>
        </w:rPr>
        <w:t> </w:t>
      </w:r>
      <w:r>
        <w:rPr>
          <w:w w:val="100"/>
        </w:rPr>
        <w:t>年</w:t>
      </w:r>
      <w:r>
        <w:rPr>
          <w:spacing w:val="-85"/>
          <w:w w:val="100"/>
        </w:rPr>
        <w:t>，</w:t>
      </w:r>
      <w:r>
        <w:rPr>
          <w:spacing w:val="-3"/>
          <w:w w:val="100"/>
        </w:rPr>
        <w:t>公</w:t>
      </w:r>
      <w:r>
        <w:rPr>
          <w:w w:val="100"/>
        </w:rPr>
        <w:t>司</w:t>
      </w:r>
      <w:r>
        <w:rPr>
          <w:spacing w:val="-3"/>
          <w:w w:val="100"/>
        </w:rPr>
        <w:t>实</w:t>
      </w:r>
      <w:r>
        <w:rPr>
          <w:w w:val="100"/>
        </w:rPr>
        <w:t>现</w:t>
      </w:r>
      <w:r>
        <w:rPr>
          <w:spacing w:val="-3"/>
          <w:w w:val="100"/>
        </w:rPr>
        <w:t>营</w:t>
      </w:r>
      <w:r>
        <w:rPr>
          <w:w w:val="100"/>
        </w:rPr>
        <w:t>业</w:t>
      </w:r>
      <w:r>
        <w:rPr>
          <w:spacing w:val="-3"/>
          <w:w w:val="100"/>
        </w:rPr>
        <w:t>总</w:t>
      </w:r>
      <w:r>
        <w:rPr>
          <w:w w:val="100"/>
        </w:rPr>
        <w:t>收入</w:t>
      </w:r>
      <w:r>
        <w:rPr>
          <w:spacing w:val="-3"/>
          <w:w w:val="100"/>
        </w:rPr>
        <w:t>人民</w:t>
      </w:r>
      <w:r>
        <w:rPr>
          <w:w w:val="100"/>
        </w:rPr>
        <w:t>币</w:t>
      </w:r>
      <w:r>
        <w:rPr>
          <w:spacing w:val="-52"/>
        </w:rPr>
        <w:t> </w:t>
      </w:r>
      <w:r>
        <w:rPr>
          <w:rFonts w:ascii="宋体" w:hAnsi="宋体" w:cs="宋体" w:eastAsia="宋体" w:hint="default"/>
          <w:w w:val="100"/>
        </w:rPr>
        <w:t>16</w:t>
      </w:r>
      <w:r>
        <w:rPr>
          <w:rFonts w:ascii="宋体" w:hAnsi="宋体" w:cs="宋体" w:eastAsia="宋体" w:hint="default"/>
          <w:spacing w:val="-3"/>
          <w:w w:val="100"/>
        </w:rPr>
        <w:t>.</w:t>
      </w:r>
      <w:r>
        <w:rPr>
          <w:rFonts w:ascii="宋体" w:hAnsi="宋体" w:cs="宋体" w:eastAsia="宋体" w:hint="default"/>
          <w:w w:val="100"/>
        </w:rPr>
        <w:t>05</w:t>
      </w:r>
      <w:r>
        <w:rPr>
          <w:rFonts w:ascii="宋体" w:hAnsi="宋体" w:cs="宋体" w:eastAsia="宋体" w:hint="default"/>
          <w:spacing w:val="-53"/>
        </w:rPr>
        <w:t> </w:t>
      </w:r>
      <w:r>
        <w:rPr>
          <w:spacing w:val="-3"/>
          <w:w w:val="100"/>
        </w:rPr>
        <w:t>亿</w:t>
      </w:r>
      <w:r>
        <w:rPr>
          <w:w w:val="100"/>
        </w:rPr>
        <w:t>元</w:t>
      </w:r>
      <w:r>
        <w:rPr>
          <w:spacing w:val="-87"/>
          <w:w w:val="100"/>
        </w:rPr>
        <w:t>，</w:t>
      </w:r>
      <w:r>
        <w:rPr>
          <w:spacing w:val="-3"/>
          <w:w w:val="100"/>
        </w:rPr>
        <w:t>实</w:t>
      </w:r>
      <w:r>
        <w:rPr>
          <w:w w:val="100"/>
        </w:rPr>
        <w:t>现上</w:t>
      </w:r>
      <w:r>
        <w:rPr>
          <w:spacing w:val="-3"/>
          <w:w w:val="100"/>
        </w:rPr>
        <w:t>市</w:t>
      </w:r>
      <w:r>
        <w:rPr>
          <w:w w:val="100"/>
        </w:rPr>
        <w:t>后</w:t>
      </w:r>
      <w:r>
        <w:rPr>
          <w:spacing w:val="-3"/>
          <w:w w:val="100"/>
        </w:rPr>
        <w:t>连</w:t>
      </w:r>
      <w:r>
        <w:rPr>
          <w:w w:val="100"/>
        </w:rPr>
        <w:t>续</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年</w:t>
      </w:r>
      <w:r>
        <w:rPr>
          <w:spacing w:val="-3"/>
          <w:w w:val="100"/>
        </w:rPr>
        <w:t>的</w:t>
      </w:r>
      <w:r>
        <w:rPr>
          <w:w w:val="100"/>
        </w:rPr>
        <w:t>正</w:t>
      </w:r>
      <w:r>
        <w:rPr>
          <w:spacing w:val="-3"/>
          <w:w w:val="100"/>
        </w:rPr>
        <w:t>比</w:t>
      </w:r>
      <w:r>
        <w:rPr>
          <w:w w:val="100"/>
        </w:rPr>
        <w:t>例增</w:t>
      </w:r>
      <w:r>
        <w:rPr>
          <w:spacing w:val="-3"/>
          <w:w w:val="100"/>
        </w:rPr>
        <w:t>长</w:t>
      </w:r>
      <w:r>
        <w:rPr>
          <w:spacing w:val="-85"/>
          <w:w w:val="100"/>
        </w:rPr>
        <w:t>。</w:t>
      </w:r>
      <w:r>
        <w:rPr>
          <w:spacing w:val="-3"/>
          <w:w w:val="100"/>
        </w:rPr>
        <w:t>其</w:t>
      </w:r>
      <w:r>
        <w:rPr>
          <w:w w:val="100"/>
        </w:rPr>
        <w:t>中，</w:t>
      </w:r>
    </w:p>
    <w:p>
      <w:pPr>
        <w:pStyle w:val="BodyText"/>
        <w:spacing w:line="237" w:lineRule="auto"/>
        <w:ind w:left="218" w:right="126"/>
        <w:jc w:val="left"/>
      </w:pPr>
      <w:r>
        <w:rPr/>
        <w:t>广告及宣传服务收入人民币</w:t>
      </w:r>
      <w:r>
        <w:rPr>
          <w:spacing w:val="-45"/>
        </w:rPr>
        <w:t> </w:t>
      </w:r>
      <w:r>
        <w:rPr>
          <w:rFonts w:ascii="宋体" w:hAnsi="宋体" w:cs="宋体" w:eastAsia="宋体" w:hint="default"/>
        </w:rPr>
        <w:t>7.27</w:t>
      </w:r>
      <w:r>
        <w:rPr>
          <w:rFonts w:ascii="宋体" w:hAnsi="宋体" w:cs="宋体" w:eastAsia="宋体" w:hint="default"/>
          <w:spacing w:val="-45"/>
        </w:rPr>
        <w:t> </w:t>
      </w:r>
      <w:r>
        <w:rPr/>
        <w:t>亿元，同比增长</w:t>
      </w:r>
      <w:r>
        <w:rPr>
          <w:spacing w:val="-43"/>
        </w:rPr>
        <w:t> </w:t>
      </w:r>
      <w:r>
        <w:rPr>
          <w:rFonts w:ascii="宋体" w:hAnsi="宋体" w:cs="宋体" w:eastAsia="宋体" w:hint="default"/>
        </w:rPr>
        <w:t>27.24%</w:t>
      </w:r>
      <w:r>
        <w:rPr/>
        <w:t>；移动增值业务收入人民币</w:t>
      </w:r>
      <w:r>
        <w:rPr>
          <w:spacing w:val="-39"/>
        </w:rPr>
        <w:t> </w:t>
      </w:r>
      <w:r>
        <w:rPr>
          <w:rFonts w:ascii="宋体" w:hAnsi="宋体" w:cs="宋体" w:eastAsia="宋体" w:hint="default"/>
        </w:rPr>
        <w:t>5.22</w:t>
      </w:r>
      <w:r>
        <w:rPr>
          <w:rFonts w:ascii="宋体" w:hAnsi="宋体" w:cs="宋体" w:eastAsia="宋体" w:hint="default"/>
          <w:spacing w:val="-41"/>
        </w:rPr>
        <w:t> </w:t>
      </w:r>
      <w:r>
        <w:rPr/>
        <w:t>亿元，</w:t>
      </w:r>
      <w:r>
        <w:rPr>
          <w:spacing w:val="-103"/>
        </w:rPr>
        <w:t> </w:t>
      </w:r>
      <w:r>
        <w:rPr>
          <w:spacing w:val="-103"/>
        </w:rPr>
      </w:r>
      <w:r>
        <w:rPr/>
        <w:t>同比增长</w:t>
      </w:r>
      <w:r>
        <w:rPr>
          <w:spacing w:val="-55"/>
        </w:rPr>
        <w:t> </w:t>
      </w:r>
      <w:r>
        <w:rPr>
          <w:rFonts w:ascii="宋体" w:hAnsi="宋体" w:cs="宋体" w:eastAsia="宋体" w:hint="default"/>
        </w:rPr>
        <w:t>21.48%</w:t>
      </w:r>
      <w:r>
        <w:rPr/>
        <w:t>；信息服务收入为人民币</w:t>
      </w:r>
      <w:r>
        <w:rPr>
          <w:spacing w:val="-55"/>
        </w:rPr>
        <w:t> </w:t>
      </w:r>
      <w:r>
        <w:rPr>
          <w:rFonts w:ascii="宋体" w:hAnsi="宋体" w:cs="宋体" w:eastAsia="宋体" w:hint="default"/>
        </w:rPr>
        <w:t>2.67</w:t>
      </w:r>
      <w:r>
        <w:rPr>
          <w:rFonts w:ascii="宋体" w:hAnsi="宋体" w:cs="宋体" w:eastAsia="宋体" w:hint="default"/>
          <w:spacing w:val="-55"/>
        </w:rPr>
        <w:t> </w:t>
      </w:r>
      <w:r>
        <w:rPr/>
        <w:t>亿元，同比略有下降；互联网彩票服务业务收入</w:t>
      </w:r>
      <w:r>
        <w:rPr>
          <w:w w:val="100"/>
        </w:rPr>
        <w:t> </w:t>
      </w:r>
      <w:r>
        <w:rPr/>
        <w:t>人民币</w:t>
      </w:r>
      <w:r>
        <w:rPr>
          <w:spacing w:val="-55"/>
        </w:rPr>
        <w:t> </w:t>
      </w:r>
      <w:r>
        <w:rPr>
          <w:rFonts w:ascii="宋体" w:hAnsi="宋体" w:cs="宋体" w:eastAsia="宋体" w:hint="default"/>
        </w:rPr>
        <w:t>4,670.86</w:t>
      </w:r>
      <w:r>
        <w:rPr>
          <w:rFonts w:ascii="宋体" w:hAnsi="宋体" w:cs="宋体" w:eastAsia="宋体" w:hint="default"/>
          <w:spacing w:val="-55"/>
        </w:rPr>
        <w:t> </w:t>
      </w:r>
      <w:r>
        <w:rPr/>
        <w:t>万元，同比下降</w:t>
      </w:r>
      <w:r>
        <w:rPr>
          <w:spacing w:val="-54"/>
        </w:rPr>
        <w:t> </w:t>
      </w:r>
      <w:r>
        <w:rPr>
          <w:rFonts w:ascii="宋体" w:hAnsi="宋体" w:cs="宋体" w:eastAsia="宋体" w:hint="default"/>
        </w:rPr>
        <w:t>83.65%</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2"/>
          <w:pgSz w:w="11910" w:h="16840"/>
          <w:pgMar w:footer="1195" w:header="880" w:top="1120" w:bottom="1380" w:left="1580" w:right="1040"/>
          <w:pgNumType w:start="11"/>
        </w:sectPr>
      </w:pPr>
    </w:p>
    <w:p>
      <w:pPr>
        <w:pStyle w:val="Heading2"/>
        <w:spacing w:line="240" w:lineRule="auto" w:before="36"/>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1,604,762,288.77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1,584,059,382.48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774,055,707.65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682,187,075.25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309,798,785.64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287,642,940.49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239,869,461.35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202,679,730.70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-2,925,783.79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2,928,244.48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-199.92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364,992,469.15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365,184,219.28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-492,051,462.04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-769,988,909.85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36.10</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-140,546,605.15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83,612,582.03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-268.09</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41,279,058.46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19,312,610.25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113.74</w:t>
            </w:r>
          </w:p>
        </w:tc>
      </w:tr>
    </w:tbl>
    <w:p>
      <w:pPr>
        <w:spacing w:line="240" w:lineRule="auto" w:before="11"/>
        <w:rPr>
          <w:rFonts w:ascii="宋体" w:hAnsi="宋体" w:cs="宋体" w:eastAsia="宋体" w:hint="default"/>
          <w:sz w:val="18"/>
          <w:szCs w:val="18"/>
        </w:rPr>
      </w:pPr>
    </w:p>
    <w:p>
      <w:pPr>
        <w:pStyle w:val="Heading2"/>
        <w:tabs>
          <w:tab w:pos="637" w:val="left" w:leader="none"/>
        </w:tabs>
        <w:spacing w:line="240" w:lineRule="auto" w:before="36"/>
        <w:ind w:right="2940"/>
        <w:jc w:val="left"/>
        <w:rPr>
          <w:b w:val="0"/>
          <w:bCs w:val="0"/>
        </w:rPr>
      </w:pPr>
      <w:r>
        <w:rPr>
          <w:rFonts w:ascii="宋体" w:hAnsi="宋体" w:cs="宋体" w:eastAsia="宋体" w:hint="default"/>
          <w:w w:val="95"/>
        </w:rPr>
        <w:t>1.</w:t>
        <w:tab/>
      </w:r>
      <w:r>
        <w:rPr/>
        <w:t>收入和成本分析</w:t>
      </w:r>
      <w:r>
        <w:rPr>
          <w:b w:val="0"/>
          <w:bCs w:val="0"/>
        </w:rPr>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Heading2"/>
        <w:spacing w:line="240" w:lineRule="auto" w:before="36"/>
        <w:ind w:right="294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283"/>
        <w:gridCol w:w="1707"/>
        <w:gridCol w:w="1699"/>
        <w:gridCol w:w="848"/>
        <w:gridCol w:w="1135"/>
        <w:gridCol w:w="1133"/>
        <w:gridCol w:w="142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127"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941,026,277.44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459,245,514.07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5.12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522,189,664.62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236,490,007.52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2.04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5"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141,546,346.71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78,320,186.06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6"/>
                <w:sz w:val="21"/>
                <w:szCs w:val="21"/>
              </w:rPr>
              <w:t> </w:t>
            </w:r>
            <w:r>
              <w:rPr>
                <w:rFonts w:ascii="宋体" w:hAnsi="宋体" w:cs="宋体" w:eastAsia="宋体" w:hint="default"/>
                <w:sz w:val="21"/>
                <w:szCs w:val="21"/>
              </w:rPr>
              <w:t>18.35</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127"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727,450,463.85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365,349,265.86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6"/>
                <w:sz w:val="21"/>
                <w:szCs w:val="21"/>
              </w:rPr>
              <w:t> </w:t>
            </w:r>
            <w:r>
              <w:rPr>
                <w:rFonts w:ascii="宋体" w:hAnsi="宋体" w:cs="宋体" w:eastAsia="宋体" w:hint="default"/>
                <w:sz w:val="21"/>
                <w:szCs w:val="21"/>
              </w:rPr>
              <w:t>8.30</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4"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522,189,664.62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236,490,007.52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2.04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267,349,398.50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147,669,833.12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2.27</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票服务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46,708,616.58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14,118,363.05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0.75</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3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127"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1,594,171,172.30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768,877,398.98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5.20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10,591,116.47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5,178,308.67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83"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40" w:lineRule="auto" w:before="36"/>
        <w:ind w:left="218" w:right="2940"/>
        <w:jc w:val="left"/>
      </w:pPr>
      <w:r>
        <w:rPr/>
        <w:t>主营业务分行业、分产品、分地区情况的说明</w:t>
      </w:r>
    </w:p>
    <w:p>
      <w:pPr>
        <w:pStyle w:val="BodyText"/>
        <w:spacing w:line="237" w:lineRule="auto" w:before="119"/>
        <w:ind w:left="218" w:right="237" w:firstLine="419"/>
        <w:jc w:val="both"/>
      </w:pPr>
      <w:r>
        <w:rPr>
          <w:spacing w:val="-2"/>
        </w:rPr>
        <w:t>报告期内，公司主营业务以广告及宣传服务业务、移动增值业务、信息服务业务、互联网彩</w:t>
      </w:r>
      <w:r>
        <w:rPr>
          <w:w w:val="100"/>
        </w:rPr>
        <w:t> </w:t>
      </w:r>
      <w:r>
        <w:rPr/>
        <w:t>票服务四类业务为主，上述四类业务收入占营业收入的比例保持在</w:t>
      </w:r>
      <w:r>
        <w:rPr>
          <w:spacing w:val="-55"/>
        </w:rPr>
        <w:t> </w:t>
      </w:r>
      <w:r>
        <w:rPr>
          <w:rFonts w:ascii="宋体" w:hAnsi="宋体" w:cs="宋体" w:eastAsia="宋体" w:hint="default"/>
        </w:rPr>
        <w:t>97%</w:t>
      </w:r>
      <w:r>
        <w:rPr/>
        <w:t>以上，报告期内，公司在</w:t>
      </w:r>
      <w:r>
        <w:rPr>
          <w:w w:val="100"/>
        </w:rPr>
        <w:t> </w:t>
      </w:r>
      <w:r>
        <w:rPr>
          <w:spacing w:val="-2"/>
        </w:rPr>
        <w:t>子公司人民澳客互联网彩票委托业务暂停的情况下，依然保持了营业务收入的正增长趋势，主要</w:t>
      </w:r>
      <w:r>
        <w:rPr>
          <w:spacing w:val="-25"/>
        </w:rPr>
        <w:t> </w:t>
      </w:r>
      <w:r>
        <w:rPr>
          <w:spacing w:val="-25"/>
        </w:rPr>
      </w:r>
      <w:r>
        <w:rPr/>
        <w:t>原因如下：</w:t>
      </w:r>
    </w:p>
    <w:p>
      <w:pPr>
        <w:pStyle w:val="BodyText"/>
        <w:spacing w:line="240" w:lineRule="auto" w:before="116"/>
        <w:ind w:left="638" w:right="2940"/>
        <w:jc w:val="left"/>
      </w:pPr>
      <w:r>
        <w:rPr/>
        <w:t>（</w:t>
      </w:r>
      <w:r>
        <w:rPr>
          <w:rFonts w:ascii="宋体" w:hAnsi="宋体" w:cs="宋体" w:eastAsia="宋体" w:hint="default"/>
        </w:rPr>
        <w:t>1</w:t>
      </w:r>
      <w:r>
        <w:rPr/>
        <w:t>）广告及宣传服务：</w:t>
      </w:r>
    </w:p>
    <w:p>
      <w:pPr>
        <w:pStyle w:val="BodyText"/>
        <w:spacing w:line="237" w:lineRule="auto" w:before="121"/>
        <w:ind w:left="218" w:right="227" w:firstLine="419"/>
        <w:jc w:val="both"/>
      </w:pPr>
      <w:r>
        <w:rPr>
          <w:spacing w:val="-2"/>
        </w:rPr>
        <w:t>根据根据艾瑞咨询发布的中国网络广告核心数据显示，</w:t>
      </w:r>
      <w:r>
        <w:rPr>
          <w:rFonts w:ascii="宋体" w:hAnsi="宋体" w:cs="宋体" w:eastAsia="宋体" w:hint="default"/>
          <w:spacing w:val="-2"/>
        </w:rPr>
        <w:t>2015</w:t>
      </w:r>
      <w:r>
        <w:rPr>
          <w:rFonts w:ascii="宋体" w:hAnsi="宋体" w:cs="宋体" w:eastAsia="宋体" w:hint="default"/>
          <w:spacing w:val="-19"/>
        </w:rPr>
        <w:t> </w:t>
      </w:r>
      <w:r>
        <w:rPr>
          <w:spacing w:val="-3"/>
        </w:rPr>
        <w:t>年，互联网广告市场规模已超过</w:t>
      </w:r>
      <w:r>
        <w:rPr>
          <w:w w:val="100"/>
        </w:rPr>
        <w:t> </w:t>
      </w:r>
      <w:r>
        <w:rPr/>
        <w:t>人民币</w:t>
      </w:r>
      <w:r>
        <w:rPr>
          <w:spacing w:val="-55"/>
        </w:rPr>
        <w:t> </w:t>
      </w:r>
      <w:r>
        <w:rPr>
          <w:rFonts w:ascii="宋体" w:hAnsi="宋体" w:cs="宋体" w:eastAsia="宋体" w:hint="default"/>
        </w:rPr>
        <w:t>2,000</w:t>
      </w:r>
      <w:r>
        <w:rPr>
          <w:rFonts w:ascii="宋体" w:hAnsi="宋体" w:cs="宋体" w:eastAsia="宋体" w:hint="default"/>
          <w:spacing w:val="-55"/>
        </w:rPr>
        <w:t> </w:t>
      </w:r>
      <w:r>
        <w:rPr/>
        <w:t>亿元，增速持续放缓，其中移动广告市场规模已超过人民币</w:t>
      </w:r>
      <w:r>
        <w:rPr>
          <w:spacing w:val="-55"/>
        </w:rPr>
        <w:t> </w:t>
      </w:r>
      <w:r>
        <w:rPr>
          <w:rFonts w:ascii="宋体" w:hAnsi="宋体" w:cs="宋体" w:eastAsia="宋体" w:hint="default"/>
        </w:rPr>
        <w:t>900</w:t>
      </w:r>
      <w:r>
        <w:rPr>
          <w:rFonts w:ascii="宋体" w:hAnsi="宋体" w:cs="宋体" w:eastAsia="宋体" w:hint="default"/>
          <w:spacing w:val="-54"/>
        </w:rPr>
        <w:t> </w:t>
      </w:r>
      <w:r>
        <w:rPr/>
        <w:t>亿元，增速连续</w:t>
      </w:r>
      <w:r>
        <w:rPr>
          <w:spacing w:val="-55"/>
        </w:rPr>
        <w:t> </w:t>
      </w:r>
      <w:r>
        <w:rPr>
          <w:rFonts w:ascii="宋体" w:hAnsi="宋体" w:cs="宋体" w:eastAsia="宋体" w:hint="default"/>
        </w:rPr>
        <w:t>3</w:t>
      </w:r>
      <w:r>
        <w:rPr>
          <w:rFonts w:ascii="宋体" w:hAnsi="宋体" w:cs="宋体" w:eastAsia="宋体" w:hint="default"/>
          <w:w w:val="100"/>
        </w:rPr>
        <w:t> </w:t>
      </w:r>
      <w:r>
        <w:rPr/>
        <w:t>年超过 </w:t>
      </w:r>
      <w:r>
        <w:rPr>
          <w:rFonts w:ascii="宋体" w:hAnsi="宋体" w:cs="宋体" w:eastAsia="宋体" w:hint="default"/>
          <w:spacing w:val="-3"/>
        </w:rPr>
        <w:t>150%</w:t>
      </w:r>
      <w:r>
        <w:rPr>
          <w:spacing w:val="-3"/>
        </w:rPr>
        <w:t>，发展势头十分强劲，而传统领域的门户网站品牌图形广告、文字链广告的市场份额</w:t>
      </w:r>
      <w:r>
        <w:rPr>
          <w:spacing w:val="-85"/>
        </w:rPr>
        <w:t> </w:t>
      </w:r>
      <w:r>
        <w:rPr>
          <w:spacing w:val="-85"/>
        </w:rPr>
      </w:r>
      <w:r>
        <w:rPr>
          <w:spacing w:val="-3"/>
        </w:rPr>
        <w:t>持续受到挤压，给公司广告及宣传业务的发展带来严峻挑战。</w:t>
      </w:r>
      <w:r>
        <w:rPr>
          <w:rFonts w:ascii="宋体" w:hAnsi="宋体" w:cs="宋体" w:eastAsia="宋体" w:hint="default"/>
          <w:spacing w:val="-3"/>
        </w:rPr>
        <w:t>2015 </w:t>
      </w:r>
      <w:r>
        <w:rPr>
          <w:spacing w:val="-3"/>
        </w:rPr>
        <w:t>年，公司对广告业务部门进行</w:t>
      </w:r>
      <w:r>
        <w:rPr>
          <w:spacing w:val="-74"/>
        </w:rPr>
        <w:t> </w:t>
      </w:r>
      <w:r>
        <w:rPr>
          <w:spacing w:val="-74"/>
        </w:rPr>
      </w:r>
      <w:r>
        <w:rPr>
          <w:spacing w:val="-4"/>
        </w:rPr>
        <w:t>行业调整，形成了</w:t>
      </w:r>
      <w:r>
        <w:rPr>
          <w:spacing w:val="-34"/>
        </w:rPr>
        <w:t> </w:t>
      </w:r>
      <w:r>
        <w:rPr>
          <w:rFonts w:ascii="宋体" w:hAnsi="宋体" w:cs="宋体" w:eastAsia="宋体" w:hint="default"/>
        </w:rPr>
        <w:t>9</w:t>
      </w:r>
      <w:r>
        <w:rPr>
          <w:rFonts w:ascii="宋体" w:hAnsi="宋体" w:cs="宋体" w:eastAsia="宋体" w:hint="default"/>
          <w:spacing w:val="-37"/>
        </w:rPr>
        <w:t> </w:t>
      </w:r>
      <w:r>
        <w:rPr>
          <w:spacing w:val="-5"/>
        </w:rPr>
        <w:t>个行业、</w:t>
      </w:r>
      <w:r>
        <w:rPr>
          <w:rFonts w:ascii="宋体" w:hAnsi="宋体" w:cs="宋体" w:eastAsia="宋体" w:hint="default"/>
          <w:spacing w:val="-5"/>
        </w:rPr>
        <w:t>3</w:t>
      </w:r>
      <w:r>
        <w:rPr>
          <w:rFonts w:ascii="宋体" w:hAnsi="宋体" w:cs="宋体" w:eastAsia="宋体" w:hint="default"/>
          <w:spacing w:val="-37"/>
        </w:rPr>
        <w:t> </w:t>
      </w:r>
      <w:r>
        <w:rPr>
          <w:spacing w:val="-5"/>
        </w:rPr>
        <w:t>个事业部、</w:t>
      </w:r>
      <w:r>
        <w:rPr>
          <w:rFonts w:ascii="宋体" w:hAnsi="宋体" w:cs="宋体" w:eastAsia="宋体" w:hint="default"/>
          <w:spacing w:val="-5"/>
        </w:rPr>
        <w:t>2</w:t>
      </w:r>
      <w:r>
        <w:rPr>
          <w:rFonts w:ascii="宋体" w:hAnsi="宋体" w:cs="宋体" w:eastAsia="宋体" w:hint="default"/>
          <w:spacing w:val="-34"/>
        </w:rPr>
        <w:t> </w:t>
      </w:r>
      <w:r>
        <w:rPr>
          <w:spacing w:val="-4"/>
        </w:rPr>
        <w:t>个经营中心的全新格局，调整之后，业务覆盖更加广</w:t>
      </w:r>
      <w:r>
        <w:rPr>
          <w:spacing w:val="-98"/>
        </w:rPr>
        <w:t> </w:t>
      </w:r>
      <w:r>
        <w:rPr>
          <w:spacing w:val="-98"/>
        </w:rPr>
      </w:r>
      <w:r>
        <w:rPr>
          <w:spacing w:val="-2"/>
        </w:rPr>
        <w:t>泛，合作强度更加深入，有助于广告业务的灵活开展。在业务开拓方面，公司通过加强资源整合</w:t>
      </w:r>
      <w:r>
        <w:rPr>
          <w:spacing w:val="-25"/>
        </w:rPr>
        <w:t> </w:t>
      </w:r>
      <w:r>
        <w:rPr>
          <w:spacing w:val="-25"/>
        </w:rPr>
      </w:r>
      <w:r>
        <w:rPr>
          <w:spacing w:val="-4"/>
        </w:rPr>
        <w:t>拓宽业务板块；在各行业端继续深化业务线，创造业务机会；充分利用</w:t>
      </w:r>
      <w:r>
        <w:rPr>
          <w:spacing w:val="-27"/>
        </w:rPr>
        <w:t> </w:t>
      </w:r>
      <w:r>
        <w:rPr>
          <w:rFonts w:ascii="宋体" w:hAnsi="宋体" w:cs="宋体" w:eastAsia="宋体" w:hint="default"/>
        </w:rPr>
        <w:t>31</w:t>
      </w:r>
      <w:r>
        <w:rPr>
          <w:rFonts w:ascii="宋体" w:hAnsi="宋体" w:cs="宋体" w:eastAsia="宋体" w:hint="default"/>
          <w:spacing w:val="-27"/>
        </w:rPr>
        <w:t> </w:t>
      </w:r>
      <w:r>
        <w:rPr>
          <w:spacing w:val="-4"/>
        </w:rPr>
        <w:t>个省市的地方公司，加</w:t>
      </w:r>
      <w:r>
        <w:rPr>
          <w:spacing w:val="-95"/>
        </w:rPr>
        <w:t> </w:t>
      </w:r>
      <w:r>
        <w:rPr>
          <w:spacing w:val="-95"/>
        </w:rPr>
      </w:r>
      <w:r>
        <w:rPr>
          <w:spacing w:val="-2"/>
        </w:rPr>
        <w:t>强人民网品牌形象输出，抓住地区特色，搞活地方业务；在激烈的市场竞争中实现了广告及宣传</w:t>
      </w:r>
      <w:r>
        <w:rPr>
          <w:spacing w:val="-25"/>
        </w:rPr>
        <w:t> </w:t>
      </w:r>
      <w:r>
        <w:rPr>
          <w:spacing w:val="-25"/>
        </w:rPr>
      </w:r>
      <w:r>
        <w:rPr/>
        <w:t>业务的稳定增长，收入同比上升</w:t>
      </w:r>
      <w:r>
        <w:rPr>
          <w:spacing w:val="-56"/>
        </w:rPr>
        <w:t> </w:t>
      </w:r>
      <w:r>
        <w:rPr>
          <w:rFonts w:ascii="宋体" w:hAnsi="宋体" w:cs="宋体" w:eastAsia="宋体" w:hint="default"/>
        </w:rPr>
        <w:t>27.24%</w:t>
      </w:r>
      <w:r>
        <w:rPr/>
        <w:t>。</w:t>
      </w:r>
    </w:p>
    <w:p>
      <w:pPr>
        <w:spacing w:after="0" w:line="23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558" w:right="2940"/>
        <w:jc w:val="left"/>
      </w:pPr>
      <w:r>
        <w:rPr/>
        <w:t>（</w:t>
      </w:r>
      <w:r>
        <w:rPr>
          <w:rFonts w:ascii="宋体" w:hAnsi="宋体" w:cs="宋体" w:eastAsia="宋体" w:hint="default"/>
        </w:rPr>
        <w:t>2</w:t>
      </w:r>
      <w:r>
        <w:rPr/>
        <w:t>）移动增值业务：</w:t>
      </w:r>
    </w:p>
    <w:p>
      <w:pPr>
        <w:pStyle w:val="BodyText"/>
        <w:spacing w:line="237" w:lineRule="auto" w:before="121"/>
        <w:ind w:right="307" w:firstLine="419"/>
        <w:jc w:val="both"/>
      </w:pPr>
      <w:r>
        <w:rPr>
          <w:rFonts w:ascii="宋体" w:hAnsi="宋体" w:cs="宋体" w:eastAsia="宋体" w:hint="default"/>
          <w:spacing w:val="-8"/>
        </w:rPr>
        <w:t>2015</w:t>
      </w:r>
      <w:r>
        <w:rPr>
          <w:spacing w:val="-8"/>
        </w:rPr>
        <w:t>年，移动互联网行业继续保持高速增长，根据中国互联网络信息中心（</w:t>
      </w:r>
      <w:r>
        <w:rPr>
          <w:rFonts w:ascii="宋体" w:hAnsi="宋体" w:cs="宋体" w:eastAsia="宋体" w:hint="default"/>
          <w:spacing w:val="-8"/>
        </w:rPr>
        <w:t>CNNIC</w:t>
      </w:r>
      <w:r>
        <w:rPr>
          <w:spacing w:val="-8"/>
        </w:rPr>
        <w:t>）报告显示，</w:t>
      </w:r>
      <w:r>
        <w:rPr>
          <w:w w:val="100"/>
        </w:rPr>
        <w:t> </w:t>
      </w:r>
      <w:r>
        <w:rPr>
          <w:spacing w:val="-2"/>
        </w:rPr>
        <w:t>年末国内手机用户规模已达</w:t>
      </w:r>
      <w:r>
        <w:rPr>
          <w:rFonts w:ascii="宋体" w:hAnsi="宋体" w:cs="宋体" w:eastAsia="宋体" w:hint="default"/>
          <w:spacing w:val="-2"/>
        </w:rPr>
        <w:t>6.20</w:t>
      </w:r>
      <w:r>
        <w:rPr>
          <w:spacing w:val="-2"/>
        </w:rPr>
        <w:t>亿，增速维持</w:t>
      </w:r>
      <w:r>
        <w:rPr>
          <w:rFonts w:ascii="宋体" w:hAnsi="宋体" w:cs="宋体" w:eastAsia="宋体" w:hint="default"/>
          <w:spacing w:val="-2"/>
        </w:rPr>
        <w:t>10%</w:t>
      </w:r>
      <w:r>
        <w:rPr>
          <w:spacing w:val="-2"/>
        </w:rPr>
        <w:t>以上，使用手机上网人群已占到全体网民的</w:t>
      </w:r>
      <w:r>
        <w:rPr>
          <w:rFonts w:ascii="宋体" w:hAnsi="宋体" w:cs="宋体" w:eastAsia="宋体" w:hint="default"/>
          <w:spacing w:val="-2"/>
        </w:rPr>
        <w:t>90%</w:t>
      </w:r>
      <w:r>
        <w:rPr>
          <w:rFonts w:ascii="宋体" w:hAnsi="宋体" w:cs="宋体" w:eastAsia="宋体" w:hint="default"/>
          <w:spacing w:val="-20"/>
        </w:rPr>
        <w:t> </w:t>
      </w:r>
      <w:r>
        <w:rPr>
          <w:spacing w:val="-2"/>
        </w:rPr>
        <w:t>以上。报告期内，公司继续将大力发展移动互联网业务作为战略发展方向之一，加强移动端内容</w:t>
      </w:r>
      <w:r>
        <w:rPr>
          <w:spacing w:val="-25"/>
        </w:rPr>
        <w:t> </w:t>
      </w:r>
      <w:r>
        <w:rPr>
          <w:spacing w:val="-25"/>
        </w:rPr>
      </w:r>
      <w:r>
        <w:rPr>
          <w:spacing w:val="-2"/>
        </w:rPr>
        <w:t>建设，着力打造原则精品栏目，对手机人民网进行页面优化改版，进一步提升了用户体验，移动</w:t>
      </w:r>
      <w:r>
        <w:rPr>
          <w:spacing w:val="-25"/>
        </w:rPr>
        <w:t> </w:t>
      </w:r>
      <w:r>
        <w:rPr>
          <w:spacing w:val="-25"/>
        </w:rPr>
      </w:r>
      <w:r>
        <w:rPr>
          <w:spacing w:val="-2"/>
        </w:rPr>
        <w:t>端页面浏览量及访问者数再创新高。公司在移动增值业务上继续加大投入，吸引优秀人才，从产</w:t>
      </w:r>
      <w:r>
        <w:rPr>
          <w:spacing w:val="-25"/>
        </w:rPr>
        <w:t> </w:t>
      </w:r>
      <w:r>
        <w:rPr>
          <w:spacing w:val="-25"/>
        </w:rPr>
      </w:r>
      <w:r>
        <w:rPr>
          <w:spacing w:val="-2"/>
        </w:rPr>
        <w:t>品规划、需求定义、产品设计以及后台服务器等方面提升技术支撑，技术力量进一步增强，公司</w:t>
      </w:r>
      <w:r>
        <w:rPr>
          <w:spacing w:val="-26"/>
        </w:rPr>
        <w:t> </w:t>
      </w:r>
      <w:r>
        <w:rPr>
          <w:spacing w:val="-26"/>
        </w:rPr>
      </w:r>
      <w:r>
        <w:rPr>
          <w:spacing w:val="-2"/>
        </w:rPr>
        <w:t>无线事业部积极拓展内容审核业务，实现了人民网审核能力的对外输出。报告期内，公司实现移</w:t>
      </w:r>
      <w:r>
        <w:rPr>
          <w:spacing w:val="-25"/>
        </w:rPr>
        <w:t> </w:t>
      </w:r>
      <w:r>
        <w:rPr>
          <w:spacing w:val="-25"/>
        </w:rPr>
      </w:r>
      <w:r>
        <w:rPr/>
        <w:t>动增值业务收入人民币</w:t>
      </w:r>
      <w:r>
        <w:rPr>
          <w:rFonts w:ascii="宋体" w:hAnsi="宋体" w:cs="宋体" w:eastAsia="宋体" w:hint="default"/>
        </w:rPr>
        <w:t>5.22</w:t>
      </w:r>
      <w:r>
        <w:rPr/>
        <w:t>亿元，同比增长</w:t>
      </w:r>
      <w:r>
        <w:rPr>
          <w:rFonts w:ascii="宋体" w:hAnsi="宋体" w:cs="宋体" w:eastAsia="宋体" w:hint="default"/>
        </w:rPr>
        <w:t>21.48%</w:t>
      </w:r>
      <w:r>
        <w:rPr/>
        <w:t>。</w:t>
      </w:r>
    </w:p>
    <w:p>
      <w:pPr>
        <w:pStyle w:val="BodyText"/>
        <w:spacing w:line="240" w:lineRule="auto" w:before="119"/>
        <w:ind w:left="558" w:right="2940"/>
        <w:jc w:val="left"/>
      </w:pPr>
      <w:r>
        <w:rPr/>
        <w:t>（</w:t>
      </w:r>
      <w:r>
        <w:rPr>
          <w:rFonts w:ascii="宋体" w:hAnsi="宋体" w:cs="宋体" w:eastAsia="宋体" w:hint="default"/>
        </w:rPr>
        <w:t>3</w:t>
      </w:r>
      <w:r>
        <w:rPr/>
        <w:t>）信息服务业务：</w:t>
      </w:r>
    </w:p>
    <w:p>
      <w:pPr>
        <w:pStyle w:val="BodyText"/>
        <w:spacing w:line="275" w:lineRule="exact" w:before="116"/>
        <w:ind w:left="558" w:right="126"/>
        <w:jc w:val="left"/>
      </w:pPr>
      <w:r>
        <w:rPr>
          <w:rFonts w:ascii="宋体" w:hAnsi="宋体" w:cs="宋体" w:eastAsia="宋体" w:hint="default"/>
        </w:rPr>
        <w:t>2015</w:t>
      </w:r>
      <w:r>
        <w:rPr>
          <w:rFonts w:ascii="宋体" w:hAnsi="宋体" w:cs="宋体" w:eastAsia="宋体" w:hint="default"/>
          <w:spacing w:val="15"/>
        </w:rPr>
        <w:t> </w:t>
      </w:r>
      <w:r>
        <w:rPr>
          <w:spacing w:val="-3"/>
        </w:rPr>
        <w:t>年，公司信息服务业务收入较去年同期略有下降，主要由于原控股子公司文华在线接受</w:t>
      </w:r>
    </w:p>
    <w:p>
      <w:pPr>
        <w:pStyle w:val="BodyText"/>
        <w:spacing w:line="237" w:lineRule="auto" w:before="2"/>
        <w:ind w:right="0"/>
        <w:jc w:val="left"/>
      </w:pPr>
      <w:r>
        <w:rPr>
          <w:spacing w:val="-4"/>
        </w:rPr>
        <w:t>投资方增资，本公司持股比例相应稀释，不再具备控制权，公司自</w:t>
      </w:r>
      <w:r>
        <w:rPr>
          <w:spacing w:val="-47"/>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8</w:t>
      </w:r>
      <w:r>
        <w:rPr>
          <w:rFonts w:ascii="宋体" w:hAnsi="宋体" w:cs="宋体" w:eastAsia="宋体" w:hint="default"/>
          <w:spacing w:val="-49"/>
        </w:rPr>
        <w:t> </w:t>
      </w:r>
      <w:r>
        <w:rPr>
          <w:spacing w:val="-4"/>
        </w:rPr>
        <w:t>月起，不再将文华在</w:t>
      </w:r>
      <w:r>
        <w:rPr>
          <w:spacing w:val="-76"/>
        </w:rPr>
        <w:t> </w:t>
      </w:r>
      <w:r>
        <w:rPr>
          <w:spacing w:val="-76"/>
        </w:rPr>
      </w:r>
      <w:r>
        <w:rPr>
          <w:spacing w:val="-6"/>
          <w:w w:val="100"/>
        </w:rPr>
        <w:t>线纳入合并范围，导致报告期内该公司实现的信息服务业务收入同比下降显著。在舆情业务领域，</w:t>
      </w:r>
      <w:r>
        <w:rPr>
          <w:w w:val="100"/>
        </w:rPr>
        <w:t> </w:t>
      </w:r>
      <w:r>
        <w:rPr/>
        <w:t>子公司人民在线坚持“以舆情业务为核心，以创新为动力，以人才为保障，以技术为支撑，向互</w:t>
      </w:r>
      <w:r>
        <w:rPr>
          <w:w w:val="100"/>
        </w:rPr>
        <w:t> </w:t>
      </w:r>
      <w:r>
        <w:rPr/>
        <w:t>联网及其信息服务领域延伸，向咨询公司转型”的工作方针，在研究、技术、服务、营销等方面</w:t>
      </w:r>
      <w:r>
        <w:rPr>
          <w:w w:val="100"/>
        </w:rPr>
        <w:t> </w:t>
      </w:r>
      <w:r>
        <w:rPr>
          <w:spacing w:val="-8"/>
          <w:w w:val="100"/>
        </w:rPr>
        <w:t>的综合实力得到了进一步增强，取得了较为突出的成绩，报告期内，人民在线营业收入增长</w:t>
      </w:r>
      <w:r>
        <w:rPr>
          <w:spacing w:val="-44"/>
          <w:w w:val="100"/>
        </w:rPr>
        <w:t> </w:t>
      </w:r>
      <w:r>
        <w:rPr>
          <w:rFonts w:ascii="宋体" w:hAnsi="宋体" w:cs="宋体" w:eastAsia="宋体" w:hint="default"/>
          <w:spacing w:val="-1"/>
          <w:w w:val="100"/>
        </w:rPr>
        <w:t>16.34%</w:t>
      </w:r>
      <w:r>
        <w:rPr>
          <w:spacing w:val="-1"/>
          <w:w w:val="100"/>
        </w:rPr>
        <w:t>。</w:t>
      </w:r>
      <w:r>
        <w:rPr>
          <w:spacing w:val="-102"/>
          <w:w w:val="100"/>
        </w:rPr>
        <w:t> </w:t>
      </w:r>
      <w:r>
        <w:rPr>
          <w:rFonts w:ascii="宋体" w:hAnsi="宋体" w:cs="宋体" w:eastAsia="宋体" w:hint="default"/>
        </w:rPr>
        <w:t>2015</w:t>
      </w:r>
      <w:r>
        <w:rPr>
          <w:rFonts w:ascii="宋体" w:hAnsi="宋体" w:cs="宋体" w:eastAsia="宋体" w:hint="default"/>
          <w:spacing w:val="-43"/>
        </w:rPr>
        <w:t> </w:t>
      </w:r>
      <w:r>
        <w:rPr>
          <w:spacing w:val="-3"/>
        </w:rPr>
        <w:t>年，人民网自身的信息服务业务也取得了进一步发展，在巩固数据库业务、加强承建网站建</w:t>
      </w:r>
      <w:r>
        <w:rPr>
          <w:spacing w:val="-46"/>
        </w:rPr>
        <w:t> </w:t>
      </w:r>
      <w:r>
        <w:rPr>
          <w:spacing w:val="-46"/>
        </w:rPr>
      </w:r>
      <w:r>
        <w:rPr/>
        <w:t>设和运维服务的同时，公司资讯部增强营销力方面的投入，加强客户端、订制网站等产品推广，</w:t>
      </w:r>
      <w:r>
        <w:rPr>
          <w:w w:val="100"/>
        </w:rPr>
        <w:t> </w:t>
      </w:r>
      <w:r>
        <w:rPr/>
        <w:t>实施业务的精准开发，实现了相关业务收入的稳定增长。</w:t>
      </w:r>
    </w:p>
    <w:p>
      <w:pPr>
        <w:pStyle w:val="BodyText"/>
        <w:spacing w:line="240" w:lineRule="auto" w:before="116"/>
        <w:ind w:left="558" w:right="2940"/>
        <w:jc w:val="left"/>
      </w:pPr>
      <w:r>
        <w:rPr/>
        <w:t>（</w:t>
      </w:r>
      <w:r>
        <w:rPr>
          <w:rFonts w:ascii="宋体" w:hAnsi="宋体" w:cs="宋体" w:eastAsia="宋体" w:hint="default"/>
        </w:rPr>
        <w:t>4</w:t>
      </w:r>
      <w:r>
        <w:rPr/>
        <w:t>）互联网彩票服务：</w:t>
      </w:r>
    </w:p>
    <w:p>
      <w:pPr>
        <w:pStyle w:val="BodyText"/>
        <w:spacing w:line="237" w:lineRule="auto" w:before="121"/>
        <w:ind w:right="30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4"/>
        </w:rPr>
        <w:t> </w:t>
      </w:r>
      <w:r>
        <w:rPr>
          <w:rFonts w:ascii="宋体" w:hAnsi="宋体" w:cs="宋体" w:eastAsia="宋体" w:hint="default"/>
        </w:rPr>
        <w:t>2</w:t>
      </w:r>
      <w:r>
        <w:rPr>
          <w:rFonts w:ascii="宋体" w:hAnsi="宋体" w:cs="宋体" w:eastAsia="宋体" w:hint="default"/>
          <w:spacing w:val="-36"/>
        </w:rPr>
        <w:t> </w:t>
      </w:r>
      <w:r>
        <w:rPr>
          <w:spacing w:val="-3"/>
        </w:rPr>
        <w:t>月末，国家体育总局发布《体育总局关于切实落实彩票资金专项审计意见加强体育</w:t>
      </w:r>
      <w:r>
        <w:rPr>
          <w:w w:val="100"/>
        </w:rPr>
        <w:t> </w:t>
      </w:r>
      <w:r>
        <w:rPr/>
        <w:t>彩票管理工作的通知》，要求切实贯彻落实《财政部 民政部</w:t>
      </w:r>
      <w:r>
        <w:rPr>
          <w:spacing w:val="-4"/>
        </w:rPr>
        <w:t> </w:t>
      </w:r>
      <w:r>
        <w:rPr/>
        <w:t>国家体育总局关于开展擅自利用互</w:t>
      </w:r>
      <w:r>
        <w:rPr>
          <w:w w:val="100"/>
        </w:rPr>
        <w:t> </w:t>
      </w:r>
      <w:r>
        <w:rPr>
          <w:spacing w:val="-2"/>
        </w:rPr>
        <w:t>联网销售彩票行为自查自纠工作有关问题的通知》。为积极响应上述《通知》要求，公司下属控</w:t>
      </w:r>
      <w:r>
        <w:rPr>
          <w:spacing w:val="-25"/>
        </w:rPr>
        <w:t> </w:t>
      </w:r>
      <w:r>
        <w:rPr>
          <w:spacing w:val="-25"/>
        </w:rPr>
      </w:r>
      <w:r>
        <w:rPr/>
        <w:t>股子公司人民澳客自</w:t>
      </w:r>
      <w:r>
        <w:rPr>
          <w:spacing w:val="-41"/>
        </w:rPr>
        <w:t> </w:t>
      </w:r>
      <w:r>
        <w:rPr>
          <w:rFonts w:ascii="宋体" w:hAnsi="宋体" w:cs="宋体" w:eastAsia="宋体" w:hint="default"/>
        </w:rPr>
        <w:t>2</w:t>
      </w:r>
      <w:r>
        <w:rPr>
          <w:rFonts w:ascii="宋体" w:hAnsi="宋体" w:cs="宋体" w:eastAsia="宋体" w:hint="default"/>
          <w:spacing w:val="-42"/>
        </w:rPr>
        <w:t> </w:t>
      </w:r>
      <w:r>
        <w:rPr/>
        <w:t>月</w:t>
      </w:r>
      <w:r>
        <w:rPr>
          <w:spacing w:val="-43"/>
        </w:rPr>
        <w:t> </w:t>
      </w:r>
      <w:r>
        <w:rPr>
          <w:rFonts w:ascii="宋体" w:hAnsi="宋体" w:cs="宋体" w:eastAsia="宋体" w:hint="default"/>
        </w:rPr>
        <w:t>28</w:t>
      </w:r>
      <w:r>
        <w:rPr>
          <w:rFonts w:ascii="宋体" w:hAnsi="宋体" w:cs="宋体" w:eastAsia="宋体" w:hint="default"/>
          <w:spacing w:val="-41"/>
        </w:rPr>
        <w:t> </w:t>
      </w:r>
      <w:r>
        <w:rPr>
          <w:spacing w:val="-5"/>
        </w:rPr>
        <w:t>日起，暂停体彩、福彩的彩票委托业务。导致报告期内互联网彩票服</w:t>
      </w:r>
      <w:r>
        <w:rPr>
          <w:spacing w:val="-101"/>
        </w:rPr>
        <w:t> </w:t>
      </w:r>
      <w:r>
        <w:rPr>
          <w:spacing w:val="-101"/>
        </w:rPr>
      </w:r>
      <w:r>
        <w:rPr/>
        <w:t>务收入出现同比大幅下降。</w:t>
      </w:r>
    </w:p>
    <w:p>
      <w:pPr>
        <w:spacing w:after="0" w:line="237" w:lineRule="auto"/>
        <w:jc w:val="both"/>
        <w:sectPr>
          <w:pgSz w:w="11910" w:h="16840"/>
          <w:pgMar w:header="880" w:footer="1195" w:top="1120" w:bottom="1380" w:left="1660" w:right="960"/>
        </w:sectPr>
      </w:pPr>
    </w:p>
    <w:p>
      <w:pPr>
        <w:spacing w:before="20"/>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224" w:right="163"/>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58"/>
        <w:ind w:left="0" w:right="215"/>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3685"/>
        <w:gridCol w:w="1704"/>
        <w:gridCol w:w="992"/>
        <w:gridCol w:w="1699"/>
        <w:gridCol w:w="1136"/>
        <w:gridCol w:w="1418"/>
        <w:gridCol w:w="2213"/>
      </w:tblGrid>
      <w:tr>
        <w:trPr>
          <w:trHeight w:val="283"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7"/>
              <w:jc w:val="right"/>
              <w:rPr>
                <w:rFonts w:ascii="宋体" w:hAnsi="宋体" w:cs="宋体" w:eastAsia="宋体" w:hint="default"/>
                <w:sz w:val="21"/>
                <w:szCs w:val="21"/>
              </w:rPr>
            </w:pPr>
            <w:r>
              <w:rPr>
                <w:rFonts w:ascii="宋体" w:hAnsi="宋体" w:cs="宋体" w:eastAsia="宋体" w:hint="default"/>
                <w:sz w:val="21"/>
                <w:szCs w:val="21"/>
              </w:rPr>
              <w:t>分行业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40" w:lineRule="auto"/>
              <w:ind w:left="122" w:right="120"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4"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230" w:right="17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92" w:right="88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代理费、人工成本、编辑费、网络运行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383,018,627.09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sz w:val="21"/>
              </w:rPr>
              <w:t>338,581,831.91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13.12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236,490,007.52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sz w:val="21"/>
              </w:rPr>
              <w:t>203,426,374.60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版权成本、渠道成本、人工成本、网络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运行维护成本、折旧及摊销、房租等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154,547,073.04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140,178,868.74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281"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7"/>
              <w:jc w:val="right"/>
              <w:rPr>
                <w:rFonts w:ascii="宋体" w:hAnsi="宋体" w:cs="宋体" w:eastAsia="宋体" w:hint="default"/>
                <w:sz w:val="21"/>
                <w:szCs w:val="21"/>
              </w:rPr>
            </w:pPr>
            <w:r>
              <w:rPr>
                <w:rFonts w:ascii="宋体" w:hAnsi="宋体" w:cs="宋体" w:eastAsia="宋体" w:hint="default"/>
                <w:sz w:val="21"/>
                <w:szCs w:val="21"/>
              </w:rPr>
              <w:t>分产品</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72" w:lineRule="exact" w:before="26"/>
              <w:ind w:left="122" w:right="120"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6"/>
              <w:ind w:left="194"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6"/>
              <w:ind w:left="230" w:right="17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2" w:right="88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代理费、人工成本、编辑费、网络运行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322,087,904.67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239,673,593.04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34.39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236,490,007.52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203,426,374.60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版权成本、人工成本、编辑费、网络运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行维护成本、折旧及摊销、房租等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130,000,471.89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142,681,499.81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票服务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网络运行维护成本、推广成本、人力成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本、活动成本等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4,118,363.05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88,512,727.81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-95.35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详见下述成本分析情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w:t>
            </w:r>
          </w:p>
        </w:tc>
      </w:tr>
    </w:tbl>
    <w:p>
      <w:pPr>
        <w:spacing w:line="240" w:lineRule="auto" w:before="5"/>
        <w:rPr>
          <w:rFonts w:ascii="宋体" w:hAnsi="宋体" w:cs="宋体" w:eastAsia="宋体" w:hint="default"/>
          <w:sz w:val="15"/>
          <w:szCs w:val="15"/>
        </w:rPr>
      </w:pPr>
    </w:p>
    <w:p>
      <w:pPr>
        <w:pStyle w:val="BodyText"/>
        <w:spacing w:line="240" w:lineRule="auto" w:before="36"/>
        <w:ind w:left="644" w:right="163" w:hanging="421"/>
        <w:jc w:val="left"/>
      </w:pPr>
      <w:r>
        <w:rPr/>
        <w:t>成本分析其他情况说明</w:t>
      </w:r>
      <w:r>
        <w:rPr>
          <w:w w:val="100"/>
        </w:rPr>
        <w:t> </w:t>
      </w:r>
      <w:r>
        <w:rPr>
          <w:spacing w:val="-2"/>
        </w:rPr>
        <w:t>报告期内，随着公司营业规模扩大，互联网信息及移动增值服务收入增长，相应运维成本、人工成本等都较上一年有所增加，</w:t>
      </w:r>
      <w:r>
        <w:rPr>
          <w:rFonts w:ascii="宋体" w:hAnsi="宋体" w:cs="宋体" w:eastAsia="宋体" w:hint="default"/>
          <w:spacing w:val="-2"/>
        </w:rPr>
        <w:t>2015</w:t>
      </w:r>
      <w:r>
        <w:rPr>
          <w:rFonts w:ascii="宋体" w:hAnsi="宋体" w:cs="宋体" w:eastAsia="宋体" w:hint="default"/>
          <w:spacing w:val="32"/>
        </w:rPr>
        <w:t> </w:t>
      </w:r>
      <w:r>
        <w:rPr>
          <w:spacing w:val="-3"/>
        </w:rPr>
        <w:t>年，公司营业成</w:t>
      </w:r>
    </w:p>
    <w:p>
      <w:pPr>
        <w:pStyle w:val="BodyText"/>
        <w:spacing w:line="272" w:lineRule="exact" w:before="24"/>
        <w:ind w:left="224" w:right="0"/>
        <w:jc w:val="left"/>
      </w:pPr>
      <w:r>
        <w:rPr/>
        <w:t>本为人民币</w:t>
      </w:r>
      <w:r>
        <w:rPr>
          <w:spacing w:val="-37"/>
        </w:rPr>
        <w:t> </w:t>
      </w:r>
      <w:r>
        <w:rPr>
          <w:rFonts w:ascii="宋体" w:hAnsi="宋体" w:cs="宋体" w:eastAsia="宋体" w:hint="default"/>
        </w:rPr>
        <w:t>77,405.57</w:t>
      </w:r>
      <w:r>
        <w:rPr>
          <w:rFonts w:ascii="宋体" w:hAnsi="宋体" w:cs="宋体" w:eastAsia="宋体" w:hint="default"/>
          <w:spacing w:val="-39"/>
        </w:rPr>
        <w:t> </w:t>
      </w:r>
      <w:r>
        <w:rPr/>
        <w:t>万元，同比增长</w:t>
      </w:r>
      <w:r>
        <w:rPr>
          <w:spacing w:val="-37"/>
        </w:rPr>
        <w:t> </w:t>
      </w:r>
      <w:r>
        <w:rPr>
          <w:rFonts w:ascii="宋体" w:hAnsi="宋体" w:cs="宋体" w:eastAsia="宋体" w:hint="default"/>
        </w:rPr>
        <w:t>13.47%</w:t>
      </w:r>
      <w:r>
        <w:rPr/>
        <w:t>。其中，广告及宣传服务成本同比增长较大，主要由于公司对子公司业务进行战略部署，前期投入较高；</w:t>
      </w:r>
      <w:r>
        <w:rPr>
          <w:spacing w:val="-100"/>
        </w:rPr>
        <w:t> </w:t>
      </w:r>
      <w:r>
        <w:rPr>
          <w:spacing w:val="-100"/>
        </w:rPr>
      </w:r>
      <w:r>
        <w:rPr/>
        <w:t>互联网彩票服务成本出现大幅下降，主要由于报告期内，子公司人民澳客互联网彩票在线委托业务依政策要求暂停所致。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63"/>
        <w:ind w:left="6478" w:right="6476" w:firstLine="0"/>
        <w:jc w:val="center"/>
        <w:rPr>
          <w:rFonts w:ascii="Calibri" w:hAnsi="Calibri" w:cs="Calibri" w:eastAsia="Calibri" w:hint="default"/>
          <w:sz w:val="18"/>
          <w:szCs w:val="18"/>
        </w:rPr>
      </w:pPr>
      <w:r>
        <w:rPr>
          <w:rFonts w:ascii="Calibri"/>
          <w:b/>
          <w:sz w:val="18"/>
        </w:rPr>
        <w:t>14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headerReference w:type="default" r:id="rId13"/>
          <w:footerReference w:type="default" r:id="rId14"/>
          <w:pgSz w:w="16840" w:h="11910" w:orient="landscape"/>
          <w:pgMar w:header="0" w:footer="0" w:top="800" w:bottom="2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5"/>
          <w:szCs w:val="15"/>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218" w:right="288" w:firstLine="419"/>
        <w:jc w:val="left"/>
      </w:pPr>
      <w:r>
        <w:rPr/>
        <w:t>报告期内，公司销售费用为人民币</w:t>
      </w:r>
      <w:r>
        <w:rPr>
          <w:spacing w:val="-54"/>
        </w:rPr>
        <w:t> </w:t>
      </w:r>
      <w:r>
        <w:rPr>
          <w:rFonts w:ascii="宋体" w:hAnsi="宋体" w:cs="宋体" w:eastAsia="宋体" w:hint="default"/>
        </w:rPr>
        <w:t>30,979.88</w:t>
      </w:r>
      <w:r>
        <w:rPr>
          <w:rFonts w:ascii="宋体" w:hAnsi="宋体" w:cs="宋体" w:eastAsia="宋体" w:hint="default"/>
          <w:spacing w:val="-56"/>
        </w:rPr>
        <w:t> </w:t>
      </w:r>
      <w:r>
        <w:rPr/>
        <w:t>万元，同比增长</w:t>
      </w:r>
      <w:r>
        <w:rPr>
          <w:spacing w:val="-54"/>
        </w:rPr>
        <w:t> </w:t>
      </w:r>
      <w:r>
        <w:rPr>
          <w:rFonts w:ascii="宋体" w:hAnsi="宋体" w:cs="宋体" w:eastAsia="宋体" w:hint="default"/>
        </w:rPr>
        <w:t>7.70%</w:t>
      </w:r>
      <w:r>
        <w:rPr/>
        <w:t>，主要由于职工薪酬、</w:t>
      </w:r>
      <w:r>
        <w:rPr>
          <w:w w:val="100"/>
        </w:rPr>
        <w:t> </w:t>
      </w:r>
      <w:r>
        <w:rPr/>
        <w:t>市场推广等费用随公司业务规模扩大相应增长；</w:t>
      </w:r>
    </w:p>
    <w:p>
      <w:pPr>
        <w:pStyle w:val="BodyText"/>
        <w:spacing w:line="274" w:lineRule="exact" w:before="22"/>
        <w:ind w:left="218" w:right="126" w:firstLine="419"/>
        <w:jc w:val="left"/>
      </w:pPr>
      <w:r>
        <w:rPr/>
        <w:t>公司管理费用为人民币</w:t>
      </w:r>
      <w:r>
        <w:rPr>
          <w:spacing w:val="-39"/>
        </w:rPr>
        <w:t> </w:t>
      </w:r>
      <w:r>
        <w:rPr>
          <w:rFonts w:ascii="宋体" w:hAnsi="宋体" w:cs="宋体" w:eastAsia="宋体" w:hint="default"/>
        </w:rPr>
        <w:t>23,986.95</w:t>
      </w:r>
      <w:r>
        <w:rPr>
          <w:rFonts w:ascii="宋体" w:hAnsi="宋体" w:cs="宋体" w:eastAsia="宋体" w:hint="default"/>
          <w:spacing w:val="-40"/>
        </w:rPr>
        <w:t> </w:t>
      </w:r>
      <w:r>
        <w:rPr>
          <w:spacing w:val="-5"/>
        </w:rPr>
        <w:t>万元，同比增长</w:t>
      </w:r>
      <w:r>
        <w:rPr>
          <w:spacing w:val="-40"/>
        </w:rPr>
        <w:t> </w:t>
      </w:r>
      <w:r>
        <w:rPr>
          <w:rFonts w:ascii="宋体" w:hAnsi="宋体" w:cs="宋体" w:eastAsia="宋体" w:hint="default"/>
          <w:spacing w:val="-3"/>
        </w:rPr>
        <w:t>18.35%</w:t>
      </w:r>
      <w:r>
        <w:rPr>
          <w:spacing w:val="-3"/>
        </w:rPr>
        <w:t>，主要由于公司规模扩大各项相关</w:t>
      </w:r>
      <w:r>
        <w:rPr>
          <w:w w:val="100"/>
        </w:rPr>
        <w:t> </w:t>
      </w:r>
      <w:r>
        <w:rPr/>
        <w:t>费用相应增加；</w:t>
      </w:r>
    </w:p>
    <w:p>
      <w:pPr>
        <w:pStyle w:val="BodyText"/>
        <w:spacing w:line="245" w:lineRule="exact"/>
        <w:ind w:left="638" w:right="0"/>
        <w:jc w:val="left"/>
      </w:pPr>
      <w:r>
        <w:rPr/>
        <w:t>财务费用为人民币</w:t>
      </w:r>
      <w:r>
        <w:rPr>
          <w:rFonts w:ascii="宋体" w:hAnsi="宋体" w:cs="宋体" w:eastAsia="宋体" w:hint="default"/>
        </w:rPr>
        <w:t>-292.58</w:t>
      </w:r>
      <w:r>
        <w:rPr>
          <w:rFonts w:ascii="宋体" w:hAnsi="宋体" w:cs="宋体" w:eastAsia="宋体" w:hint="default"/>
          <w:spacing w:val="-53"/>
        </w:rPr>
        <w:t> </w:t>
      </w:r>
      <w:r>
        <w:rPr/>
        <w:t>万元，主要为报告期内利息收入，与上年同期比较减少</w:t>
      </w:r>
      <w:r>
        <w:rPr>
          <w:spacing w:val="-53"/>
        </w:rPr>
        <w:t> </w:t>
      </w:r>
      <w:r>
        <w:rPr>
          <w:rFonts w:ascii="宋体" w:hAnsi="宋体" w:cs="宋体" w:eastAsia="宋体" w:hint="default"/>
        </w:rPr>
        <w:t>199.92%</w:t>
      </w:r>
      <w:r>
        <w:rPr/>
        <w:t>，</w:t>
      </w:r>
    </w:p>
    <w:p>
      <w:pPr>
        <w:pStyle w:val="BodyText"/>
        <w:spacing w:line="272" w:lineRule="exact" w:before="27"/>
        <w:ind w:left="218" w:right="126"/>
        <w:jc w:val="left"/>
      </w:pPr>
      <w:r>
        <w:rPr>
          <w:spacing w:val="-2"/>
        </w:rPr>
        <w:t>主要由于报告期内，公司下属子公司人民澳客互联网彩票委托业务暂停，对应财务费用手续费大</w:t>
      </w:r>
      <w:r>
        <w:rPr>
          <w:spacing w:val="-25"/>
        </w:rPr>
        <w:t> </w:t>
      </w:r>
      <w:r>
        <w:rPr>
          <w:spacing w:val="-25"/>
        </w:rPr>
      </w:r>
      <w:r>
        <w:rPr/>
        <w:t>幅减少。</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5"/>
          <w:footerReference w:type="default" r:id="rId16"/>
          <w:pgSz w:w="11910" w:h="16840"/>
          <w:pgMar w:header="882" w:footer="0" w:top="1120" w:bottom="280" w:left="1580" w:right="1040"/>
        </w:sectPr>
      </w:pPr>
    </w:p>
    <w:p>
      <w:pPr>
        <w:pStyle w:val="Heading2"/>
        <w:tabs>
          <w:tab w:pos="637" w:val="left" w:leader="none"/>
        </w:tabs>
        <w:spacing w:line="292" w:lineRule="auto" w:before="36"/>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8"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38,808,638.63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2,470,419.83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41,279,058.46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w:t>
            </w:r>
          </w:p>
        </w:tc>
      </w:tr>
    </w:tbl>
    <w:p>
      <w:pPr>
        <w:spacing w:line="240" w:lineRule="auto" w:before="2"/>
        <w:rPr>
          <w:rFonts w:ascii="宋体" w:hAnsi="宋体" w:cs="宋体" w:eastAsia="宋体" w:hint="default"/>
          <w:sz w:val="20"/>
          <w:szCs w:val="20"/>
        </w:rPr>
      </w:pPr>
    </w:p>
    <w:p>
      <w:pPr>
        <w:pStyle w:val="Heading2"/>
        <w:spacing w:line="240" w:lineRule="auto" w:before="36"/>
        <w:ind w:right="2940"/>
        <w:jc w:val="left"/>
        <w:rPr>
          <w:b w:val="0"/>
          <w:bCs w:val="0"/>
        </w:rPr>
      </w:pPr>
      <w:r>
        <w:rPr/>
        <w:t>情况说明</w:t>
      </w:r>
      <w:r>
        <w:rPr>
          <w:b w:val="0"/>
          <w:bCs w:val="0"/>
        </w:rPr>
      </w:r>
    </w:p>
    <w:p>
      <w:pPr>
        <w:pStyle w:val="BodyText"/>
        <w:spacing w:line="240" w:lineRule="auto" w:before="56"/>
        <w:ind w:left="218" w:right="126" w:firstLine="419"/>
        <w:jc w:val="left"/>
      </w:pPr>
      <w:r>
        <w:rPr>
          <w:spacing w:val="-2"/>
        </w:rPr>
        <w:t>报告期内，公司研发支出主要由人民在线、古羌科技、人民澳客、微屏软件、网际星辰等子</w:t>
      </w:r>
      <w:r>
        <w:rPr>
          <w:w w:val="100"/>
        </w:rPr>
        <w:t> </w:t>
      </w:r>
      <w:r>
        <w:rPr/>
        <w:t>公司投入其从事的信息及技术领域研发项目。</w:t>
      </w:r>
    </w:p>
    <w:p>
      <w:pPr>
        <w:spacing w:line="240" w:lineRule="auto" w:before="1"/>
        <w:rPr>
          <w:rFonts w:ascii="宋体" w:hAnsi="宋体" w:cs="宋体" w:eastAsia="宋体" w:hint="default"/>
          <w:sz w:val="25"/>
          <w:szCs w:val="25"/>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4.</w:t>
        <w:tab/>
      </w:r>
      <w:r>
        <w:rPr/>
        <w:t>现金流</w:t>
      </w:r>
      <w:r>
        <w:rPr>
          <w:b w:val="0"/>
          <w:bCs w:val="0"/>
        </w:rPr>
      </w:r>
    </w:p>
    <w:p>
      <w:pPr>
        <w:pStyle w:val="BodyText"/>
        <w:spacing w:line="272" w:lineRule="exact" w:before="86"/>
        <w:ind w:left="218" w:right="233" w:firstLine="419"/>
        <w:jc w:val="left"/>
      </w:pPr>
      <w:r>
        <w:rPr/>
        <w:t>报告期内，公司经营活动产生的现金流量净额为人民币</w:t>
      </w:r>
      <w:r>
        <w:rPr>
          <w:spacing w:val="-53"/>
        </w:rPr>
        <w:t> </w:t>
      </w:r>
      <w:r>
        <w:rPr>
          <w:rFonts w:ascii="宋体" w:hAnsi="宋体" w:cs="宋体" w:eastAsia="宋体" w:hint="default"/>
        </w:rPr>
        <w:t>36,499.25</w:t>
      </w:r>
      <w:r>
        <w:rPr>
          <w:rFonts w:ascii="宋体" w:hAnsi="宋体" w:cs="宋体" w:eastAsia="宋体" w:hint="default"/>
          <w:spacing w:val="-56"/>
        </w:rPr>
        <w:t> </w:t>
      </w:r>
      <w:r>
        <w:rPr/>
        <w:t>万元，与去年同期基本持</w:t>
      </w:r>
      <w:r>
        <w:rPr>
          <w:w w:val="100"/>
        </w:rPr>
        <w:t> </w:t>
      </w:r>
      <w:r>
        <w:rPr/>
        <w:t>平；</w:t>
      </w:r>
    </w:p>
    <w:p>
      <w:pPr>
        <w:pStyle w:val="BodyText"/>
        <w:spacing w:line="272" w:lineRule="exact" w:before="1"/>
        <w:ind w:left="218" w:right="343" w:firstLine="419"/>
        <w:jc w:val="left"/>
      </w:pPr>
      <w:r>
        <w:rPr/>
        <w:t>投资活动产生的现金流量净额为人民币</w:t>
      </w:r>
      <w:r>
        <w:rPr>
          <w:rFonts w:ascii="宋体" w:hAnsi="宋体" w:cs="宋体" w:eastAsia="宋体" w:hint="default"/>
        </w:rPr>
        <w:t>-49,205.15</w:t>
      </w:r>
      <w:r>
        <w:rPr>
          <w:rFonts w:ascii="宋体" w:hAnsi="宋体" w:cs="宋体" w:eastAsia="宋体" w:hint="default"/>
          <w:spacing w:val="-58"/>
        </w:rPr>
        <w:t> </w:t>
      </w:r>
      <w:r>
        <w:rPr/>
        <w:t>万元，同比下降</w:t>
      </w:r>
      <w:r>
        <w:rPr>
          <w:spacing w:val="-56"/>
        </w:rPr>
        <w:t> </w:t>
      </w:r>
      <w:r>
        <w:rPr>
          <w:rFonts w:ascii="宋体" w:hAnsi="宋体" w:cs="宋体" w:eastAsia="宋体" w:hint="default"/>
        </w:rPr>
        <w:t>36.10%</w:t>
      </w:r>
      <w:r>
        <w:rPr/>
        <w:t>，主要由于公司</w:t>
      </w:r>
      <w:r>
        <w:rPr>
          <w:w w:val="100"/>
        </w:rPr>
        <w:t> </w:t>
      </w:r>
      <w:r>
        <w:rPr>
          <w:rFonts w:ascii="宋体" w:hAnsi="宋体" w:cs="宋体" w:eastAsia="宋体" w:hint="default"/>
        </w:rPr>
        <w:t>2014</w:t>
      </w:r>
      <w:r>
        <w:rPr>
          <w:rFonts w:ascii="宋体" w:hAnsi="宋体" w:cs="宋体" w:eastAsia="宋体" w:hint="default"/>
          <w:spacing w:val="-55"/>
        </w:rPr>
        <w:t> </w:t>
      </w:r>
      <w:r>
        <w:rPr/>
        <w:t>年资产购建项目资金支出较多所致；</w:t>
      </w:r>
    </w:p>
    <w:p>
      <w:pPr>
        <w:pStyle w:val="BodyText"/>
        <w:spacing w:line="272" w:lineRule="exact" w:before="1"/>
        <w:ind w:left="218" w:right="126" w:firstLine="419"/>
        <w:jc w:val="left"/>
      </w:pPr>
      <w:r>
        <w:rPr/>
        <w:t>筹资活动现金流量净额为人民币</w:t>
      </w:r>
      <w:r>
        <w:rPr>
          <w:rFonts w:ascii="宋体" w:hAnsi="宋体" w:cs="宋体" w:eastAsia="宋体" w:hint="default"/>
        </w:rPr>
        <w:t>-14,054.66</w:t>
      </w:r>
      <w:r>
        <w:rPr>
          <w:rFonts w:ascii="宋体" w:hAnsi="宋体" w:cs="宋体" w:eastAsia="宋体" w:hint="default"/>
          <w:spacing w:val="-26"/>
        </w:rPr>
        <w:t> </w:t>
      </w:r>
      <w:r>
        <w:rPr>
          <w:spacing w:val="-4"/>
        </w:rPr>
        <w:t>万元，由流入变为流出，主要由于下属子公司古</w:t>
      </w:r>
      <w:r>
        <w:rPr>
          <w:w w:val="100"/>
        </w:rPr>
        <w:t> </w:t>
      </w:r>
      <w:r>
        <w:rPr>
          <w:spacing w:val="-2"/>
        </w:rPr>
        <w:t>羌科技、人民澳客、人民视讯、微屏软件等在报告期内进行利润分配，支付给少数股东的股利增</w:t>
      </w:r>
    </w:p>
    <w:p>
      <w:pPr>
        <w:pStyle w:val="BodyText"/>
        <w:spacing w:line="249" w:lineRule="exact"/>
        <w:ind w:left="218" w:right="2940"/>
        <w:jc w:val="left"/>
      </w:pPr>
      <w:r>
        <w:rPr/>
        <w:t>加所致。</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0"/>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63"/>
        <w:ind w:left="0" w:right="17" w:firstLine="0"/>
        <w:jc w:val="center"/>
        <w:rPr>
          <w:rFonts w:ascii="Calibri" w:hAnsi="Calibri" w:cs="Calibri" w:eastAsia="Calibri" w:hint="default"/>
          <w:sz w:val="18"/>
          <w:szCs w:val="18"/>
        </w:rPr>
      </w:pPr>
      <w:r>
        <w:rPr>
          <w:rFonts w:ascii="Calibri"/>
          <w:b/>
          <w:sz w:val="18"/>
        </w:rPr>
        <w:t>15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20"/>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
          <w:footerReference w:type="default" r:id="rId18"/>
          <w:pgSz w:w="16840" w:h="11910" w:orient="landscape"/>
          <w:pgMar w:header="0" w:footer="0" w:top="800" w:bottom="280" w:left="1300" w:right="1220"/>
        </w:sectPr>
      </w:pPr>
    </w:p>
    <w:p>
      <w:pPr>
        <w:pStyle w:val="Heading2"/>
        <w:spacing w:line="240" w:lineRule="auto" w:before="181"/>
        <w:ind w:left="224"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19"/>
          <w:szCs w:val="19"/>
        </w:rPr>
      </w:pPr>
    </w:p>
    <w:p>
      <w:pPr>
        <w:pStyle w:val="Heading2"/>
        <w:spacing w:line="240" w:lineRule="auto"/>
        <w:ind w:left="223" w:right="-16"/>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spacing w:line="240" w:lineRule="auto"/>
        <w:ind w:left="224" w:right="0"/>
        <w:jc w:val="left"/>
      </w:pPr>
      <w:r>
        <w:rPr/>
        <w:t>单位：元</w:t>
      </w:r>
    </w:p>
    <w:p>
      <w:pPr>
        <w:spacing w:after="0" w:line="240" w:lineRule="auto"/>
        <w:jc w:val="left"/>
        <w:sectPr>
          <w:type w:val="continuous"/>
          <w:pgSz w:w="16840" w:h="11910" w:orient="landscape"/>
          <w:pgMar w:top="1120" w:bottom="1380" w:left="1300" w:right="1220"/>
          <w:cols w:num="3" w:equalWidth="0">
            <w:col w:w="2546" w:space="3652"/>
            <w:col w:w="1703" w:space="5133"/>
            <w:col w:w="12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9"/>
        <w:gridCol w:w="1699"/>
        <w:gridCol w:w="1275"/>
        <w:gridCol w:w="1702"/>
        <w:gridCol w:w="1275"/>
        <w:gridCol w:w="1562"/>
        <w:gridCol w:w="5048"/>
      </w:tblGrid>
      <w:tr>
        <w:trPr>
          <w:trHeight w:val="82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40" w:lineRule="auto"/>
              <w:ind w:left="160" w:right="101"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40" w:lineRule="auto"/>
              <w:ind w:left="160" w:right="101"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40" w:lineRule="auto"/>
              <w:ind w:left="199" w:right="141" w:hanging="53"/>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9"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24,752,267.61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63,254,886.49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-60.87</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出现较大幅度下降的主要原因是由于前期预付演播室</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建设款项、装修款项转入固定资产及长期待摊费用所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致。</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575,174,215.01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393,697,366.33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出现较大幅度增长的主要原因是由于公司 </w:t>
            </w:r>
            <w:r>
              <w:rPr>
                <w:rFonts w:ascii="宋体" w:hAnsi="宋体" w:cs="宋体" w:eastAsia="宋体" w:hint="default"/>
                <w:sz w:val="21"/>
                <w:szCs w:val="21"/>
              </w:rPr>
              <w:t>2015</w:t>
            </w:r>
            <w:r>
              <w:rPr>
                <w:rFonts w:ascii="宋体" w:hAnsi="宋体" w:cs="宋体" w:eastAsia="宋体" w:hint="default"/>
                <w:spacing w:val="1"/>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理财产品余额较去年同期更高。</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可供出售金融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61,572,365.22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-69.55</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出现较大幅度下降的主要原因是由于公司于报告期内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处置了持有的浙报传媒股票。</w:t>
            </w:r>
          </w:p>
        </w:tc>
      </w:tr>
      <w:tr>
        <w:trPr>
          <w:trHeight w:val="82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113,222,219.05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25,497,296.00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0.73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344.06</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出现较大幅度增长的主要原因是由于本报告期合并范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2"/>
                <w:sz w:val="21"/>
                <w:szCs w:val="21"/>
              </w:rPr>
              <w:t>围减少，原子公司文华在线不再纳入合并范围，导致</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合并报表长期股权投资增加。</w:t>
            </w:r>
          </w:p>
        </w:tc>
      </w:tr>
      <w:tr>
        <w:trPr>
          <w:trHeight w:val="55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48,213,721.53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6,920,225.95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596.71</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出现较大幅度增长的主要原因是由于本报告期末，预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付装修工程款项转入长期待摊费用。</w:t>
            </w:r>
          </w:p>
        </w:tc>
      </w:tr>
      <w:tr>
        <w:trPr>
          <w:trHeight w:val="82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67,584,014.99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180,252,799.22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-62.51</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由于本报告期内，公司按照股权收购协议支付了微屏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软件、古羌科技股权收购款，导致该科目余额出现较</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大幅度下降。</w:t>
            </w:r>
          </w:p>
        </w:tc>
      </w:tr>
      <w:tr>
        <w:trPr>
          <w:trHeight w:val="82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18,100,179.60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156,862.75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11,438.86</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由于本报告期内，下属子公司人民在线、海外网收到</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文化产业发展专项资金项目款，导致该科目余额出现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较大幅度增长。</w:t>
            </w:r>
          </w:p>
        </w:tc>
      </w:tr>
    </w:tbl>
    <w:p>
      <w:pPr>
        <w:pStyle w:val="BodyText"/>
        <w:spacing w:line="240" w:lineRule="exact"/>
        <w:ind w:left="224" w:right="163"/>
        <w:jc w:val="left"/>
      </w:pPr>
      <w:r>
        <w:rPr/>
        <w:t>其他说明</w:t>
      </w:r>
    </w:p>
    <w:p>
      <w:pPr>
        <w:pStyle w:val="BodyText"/>
        <w:spacing w:line="274" w:lineRule="exact"/>
        <w:ind w:left="224" w:right="163"/>
        <w:jc w:val="left"/>
      </w:pPr>
      <w:r>
        <w:rPr/>
        <w:t>以上为报告期末同比发生重大变动的主要资产负债表项目及其变动原因说明。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63"/>
        <w:ind w:left="6478" w:right="6476" w:firstLine="0"/>
        <w:jc w:val="center"/>
        <w:rPr>
          <w:rFonts w:ascii="Calibri" w:hAnsi="Calibri" w:cs="Calibri" w:eastAsia="Calibri" w:hint="default"/>
          <w:sz w:val="18"/>
          <w:szCs w:val="18"/>
        </w:rPr>
      </w:pPr>
      <w:r>
        <w:rPr>
          <w:rFonts w:ascii="Calibri"/>
          <w:b/>
          <w:sz w:val="18"/>
        </w:rPr>
        <w:t>16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spacing w:line="264" w:lineRule="auto" w:before="0"/>
        <w:ind w:left="558" w:right="254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pacing w:val="-2"/>
          <w:sz w:val="21"/>
          <w:szCs w:val="21"/>
        </w:rPr>
        <w:t>详见本节对行业竞争格局和发展趋势的讨论分析。</w:t>
      </w:r>
    </w:p>
    <w:p>
      <w:pPr>
        <w:spacing w:line="240" w:lineRule="auto" w:before="8"/>
        <w:rPr>
          <w:rFonts w:ascii="宋体" w:hAnsi="宋体" w:cs="宋体" w:eastAsia="宋体" w:hint="default"/>
          <w:sz w:val="23"/>
          <w:szCs w:val="23"/>
        </w:rPr>
      </w:pPr>
    </w:p>
    <w:p>
      <w:pPr>
        <w:pStyle w:val="Heading2"/>
        <w:spacing w:line="240" w:lineRule="auto"/>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tabs>
          <w:tab w:pos="7493" w:val="left" w:leader="none"/>
        </w:tabs>
        <w:spacing w:line="290" w:lineRule="auto" w:before="32"/>
        <w:ind w:left="558" w:right="137"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100"/>
          <w:sz w:val="21"/>
          <w:szCs w:val="21"/>
        </w:rPr>
        <w:t> </w:t>
      </w:r>
      <w:r>
        <w:rPr>
          <w:rFonts w:ascii="宋体" w:hAnsi="宋体" w:cs="宋体" w:eastAsia="宋体" w:hint="default"/>
          <w:spacing w:val="-2"/>
          <w:sz w:val="21"/>
          <w:szCs w:val="21"/>
        </w:rPr>
        <w:t>关于公司报告期内对外股权投资情况，请参见本报告第十一节、财务报告</w:t>
        <w:tab/>
      </w:r>
      <w:r>
        <w:rPr>
          <w:rFonts w:ascii="宋体" w:hAnsi="宋体" w:cs="宋体" w:eastAsia="宋体" w:hint="default"/>
          <w:spacing w:val="-1"/>
          <w:sz w:val="21"/>
          <w:szCs w:val="21"/>
        </w:rPr>
        <w:t>长期股权投资。</w:t>
      </w:r>
    </w:p>
    <w:p>
      <w:pPr>
        <w:spacing w:line="240" w:lineRule="auto" w:before="11"/>
        <w:rPr>
          <w:rFonts w:ascii="宋体" w:hAnsi="宋体" w:cs="宋体" w:eastAsia="宋体" w:hint="default"/>
          <w:sz w:val="21"/>
          <w:szCs w:val="21"/>
        </w:rPr>
      </w:pPr>
    </w:p>
    <w:p>
      <w:pPr>
        <w:pStyle w:val="Heading2"/>
        <w:spacing w:line="290" w:lineRule="auto"/>
        <w:ind w:left="558" w:right="7051" w:hanging="42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重大的股权投资</w:t>
      </w:r>
      <w:r>
        <w:rPr>
          <w:w w:val="100"/>
        </w:rPr>
        <w:t> </w:t>
      </w:r>
      <w:r>
        <w:rPr>
          <w:rFonts w:ascii="宋体" w:hAnsi="宋体" w:cs="宋体" w:eastAsia="宋体" w:hint="default"/>
          <w:b w:val="0"/>
          <w:bCs w:val="0"/>
        </w:rPr>
        <w:t>不适用</w:t>
      </w:r>
    </w:p>
    <w:p>
      <w:pPr>
        <w:spacing w:line="240" w:lineRule="auto" w:before="12"/>
        <w:rPr>
          <w:rFonts w:ascii="宋体" w:hAnsi="宋体" w:cs="宋体" w:eastAsia="宋体" w:hint="default"/>
          <w:sz w:val="21"/>
          <w:szCs w:val="21"/>
        </w:rPr>
      </w:pPr>
    </w:p>
    <w:p>
      <w:pPr>
        <w:pStyle w:val="Heading2"/>
        <w:spacing w:line="290" w:lineRule="auto"/>
        <w:ind w:left="558" w:right="6839" w:hanging="42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2"/>
        <w:spacing w:line="240" w:lineRule="auto"/>
        <w:ind w:left="138" w:right="2543"/>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2" w:lineRule="exact" w:before="86"/>
        <w:ind w:right="0" w:firstLine="419"/>
        <w:jc w:val="left"/>
      </w:pPr>
      <w:r>
        <w:rPr>
          <w:rFonts w:ascii="宋体" w:hAnsi="宋体" w:cs="宋体" w:eastAsia="宋体" w:hint="default"/>
        </w:rPr>
        <w:t>2015</w:t>
      </w:r>
      <w:r>
        <w:rPr>
          <w:rFonts w:ascii="宋体" w:hAnsi="宋体" w:cs="宋体" w:eastAsia="宋体" w:hint="default"/>
          <w:spacing w:val="-4"/>
        </w:rPr>
        <w:t> </w:t>
      </w:r>
      <w:r>
        <w:rPr>
          <w:spacing w:val="-3"/>
        </w:rPr>
        <w:t>年，公司及子公司出售了所持浙报传媒及联众的全部股份，报告期末不存在以公允价值</w:t>
      </w:r>
      <w:r>
        <w:rPr>
          <w:w w:val="100"/>
        </w:rPr>
        <w:t> </w:t>
      </w:r>
      <w:r>
        <w:rPr/>
        <w:t>计量的金融资产。</w:t>
      </w:r>
    </w:p>
    <w:p>
      <w:pPr>
        <w:spacing w:line="240" w:lineRule="auto" w:before="4"/>
        <w:rPr>
          <w:rFonts w:ascii="宋体" w:hAnsi="宋体" w:cs="宋体" w:eastAsia="宋体" w:hint="default"/>
          <w:sz w:val="23"/>
          <w:szCs w:val="23"/>
        </w:rPr>
      </w:pPr>
    </w:p>
    <w:p>
      <w:pPr>
        <w:pStyle w:val="Heading2"/>
        <w:spacing w:line="264" w:lineRule="auto"/>
        <w:ind w:left="558" w:right="6629" w:hanging="420"/>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重大资产和股权出售</w:t>
      </w:r>
      <w:r>
        <w:rPr>
          <w:w w:val="100"/>
        </w:rPr>
        <w:t> </w:t>
      </w:r>
      <w:r>
        <w:rPr>
          <w:rFonts w:ascii="宋体" w:hAnsi="宋体" w:cs="宋体" w:eastAsia="宋体" w:hint="default"/>
          <w:b w:val="0"/>
          <w:bCs w:val="0"/>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63"/>
        <w:ind w:left="0" w:right="0"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headerReference w:type="default" r:id="rId19"/>
          <w:footerReference w:type="default" r:id="rId20"/>
          <w:pgSz w:w="11910" w:h="16840"/>
          <w:pgMar w:header="880" w:footer="0" w:top="1120" w:bottom="280" w:left="1660" w:right="1140"/>
        </w:sectPr>
      </w:pPr>
    </w:p>
    <w:p>
      <w:pPr>
        <w:spacing w:before="20"/>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line="312" w:lineRule="auto" w:before="36"/>
        <w:ind w:left="224" w:right="431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七</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主要控股参股公司分析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报告期内，公司主要控股、参股公司基本信息及主要财务数据信息如下表所示：</w:t>
      </w: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084"/>
        <w:gridCol w:w="1304"/>
        <w:gridCol w:w="742"/>
        <w:gridCol w:w="739"/>
        <w:gridCol w:w="1582"/>
        <w:gridCol w:w="1687"/>
        <w:gridCol w:w="1685"/>
        <w:gridCol w:w="1687"/>
        <w:gridCol w:w="1580"/>
      </w:tblGrid>
      <w:tr>
        <w:trPr>
          <w:trHeight w:val="281"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85"/>
              <w:ind w:left="6" w:right="0"/>
              <w:jc w:val="center"/>
              <w:rPr>
                <w:rFonts w:ascii="宋体" w:hAnsi="宋体" w:cs="宋体" w:eastAsia="宋体" w:hint="default"/>
                <w:sz w:val="21"/>
                <w:szCs w:val="21"/>
              </w:rPr>
            </w:pPr>
            <w:r>
              <w:rPr>
                <w:rFonts w:ascii="宋体" w:hAnsi="宋体" w:cs="宋体" w:eastAsia="宋体" w:hint="default"/>
                <w:sz w:val="21"/>
                <w:szCs w:val="21"/>
              </w:rPr>
              <w:t>（单位：元）</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40" w:lineRule="auto" w:before="85"/>
              <w:ind w:left="7" w:right="0"/>
              <w:jc w:val="center"/>
              <w:rPr>
                <w:rFonts w:ascii="宋体" w:hAnsi="宋体" w:cs="宋体" w:eastAsia="宋体" w:hint="default"/>
                <w:sz w:val="21"/>
                <w:szCs w:val="21"/>
              </w:rPr>
            </w:pPr>
            <w:r>
              <w:rPr>
                <w:rFonts w:ascii="宋体" w:hAnsi="宋体" w:cs="宋体" w:eastAsia="宋体" w:hint="default"/>
                <w:sz w:val="21"/>
                <w:szCs w:val="21"/>
              </w:rPr>
              <w:t>（单位：元）</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（单位：元）</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before="85"/>
              <w:ind w:left="7" w:right="0"/>
              <w:jc w:val="center"/>
              <w:rPr>
                <w:rFonts w:ascii="宋体" w:hAnsi="宋体" w:cs="宋体" w:eastAsia="宋体" w:hint="default"/>
                <w:sz w:val="21"/>
                <w:szCs w:val="21"/>
              </w:rPr>
            </w:pPr>
            <w:r>
              <w:rPr>
                <w:rFonts w:ascii="宋体" w:hAnsi="宋体" w:cs="宋体" w:eastAsia="宋体" w:hint="default"/>
                <w:sz w:val="21"/>
                <w:szCs w:val="21"/>
              </w:rPr>
              <w:t>（单位：元）</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（单位：元）</w:t>
            </w:r>
          </w:p>
        </w:tc>
      </w:tr>
      <w:tr>
        <w:trPr>
          <w:trHeight w:val="449" w:hRule="exact"/>
        </w:trPr>
        <w:tc>
          <w:tcPr>
            <w:tcW w:w="3084"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82"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舆情信息服</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145,183,826.79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87,894,974.59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151,423,730.89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18,668,312.89</w:t>
            </w:r>
          </w:p>
        </w:tc>
      </w:tr>
      <w:tr>
        <w:trPr>
          <w:trHeight w:val="55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环球时报在线</w:t>
            </w:r>
            <w:r>
              <w:rPr>
                <w:rFonts w:ascii="宋体" w:hAnsi="宋体" w:cs="宋体" w:eastAsia="宋体" w:hint="default"/>
                <w:spacing w:val="8"/>
                <w:sz w:val="21"/>
                <w:szCs w:val="21"/>
              </w:rPr>
              <w:t>(</w:t>
            </w:r>
            <w:r>
              <w:rPr>
                <w:rFonts w:ascii="宋体" w:hAnsi="宋体" w:cs="宋体" w:eastAsia="宋体" w:hint="default"/>
                <w:spacing w:val="8"/>
                <w:sz w:val="21"/>
                <w:szCs w:val="21"/>
              </w:rPr>
              <w:t>北京</w:t>
            </w:r>
            <w:r>
              <w:rPr>
                <w:rFonts w:ascii="宋体" w:hAnsi="宋体" w:cs="宋体" w:eastAsia="宋体" w:hint="default"/>
                <w:spacing w:val="8"/>
                <w:sz w:val="21"/>
                <w:szCs w:val="21"/>
              </w:rPr>
              <w:t>)</w:t>
            </w:r>
            <w:r>
              <w:rPr>
                <w:rFonts w:ascii="宋体" w:hAnsi="宋体" w:cs="宋体" w:eastAsia="宋体" w:hint="default"/>
                <w:spacing w:val="8"/>
                <w:sz w:val="21"/>
                <w:szCs w:val="21"/>
              </w:rPr>
              <w:t>文化传播</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信息技术服</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50,000,000.00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sz w:val="21"/>
              </w:rPr>
              <w:t>60,194,034.19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33,863,901.29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122,268,661.32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sz w:val="21"/>
              </w:rPr>
              <w:t>8,009,882.66</w:t>
            </w: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手机视频服</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51.00</w:t>
            </w:r>
          </w:p>
        </w:tc>
        <w:tc>
          <w:tcPr>
            <w:tcW w:w="7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30,000,000.00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139,933,503.31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93,308,940.17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150,573,735.63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30,882,951.76</w:t>
            </w: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信息技术服</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69.25</w:t>
            </w:r>
          </w:p>
        </w:tc>
        <w:tc>
          <w:tcPr>
            <w:tcW w:w="7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139,831,885.09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110,852,348.06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129,415,160.84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42,958,794.62</w:t>
            </w: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信息技术服</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36.67</w:t>
            </w:r>
          </w:p>
        </w:tc>
        <w:tc>
          <w:tcPr>
            <w:tcW w:w="7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54,545,500.00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294,534,208.07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283,912,827.98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46,708,616.58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35,441,972.84</w:t>
            </w:r>
          </w:p>
        </w:tc>
      </w:tr>
      <w:tr>
        <w:trPr>
          <w:trHeight w:val="55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信息技术服</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sz w:val="21"/>
              </w:rPr>
              <w:t>7.00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28.00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10,000,000.00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125,594,738.57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106,061,863.94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145,177,938.50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85,291,283.27</w:t>
            </w:r>
          </w:p>
        </w:tc>
      </w:tr>
    </w:tbl>
    <w:p>
      <w:pPr>
        <w:pStyle w:val="BodyText"/>
        <w:spacing w:line="272" w:lineRule="exact" w:before="114"/>
        <w:ind w:left="224" w:right="163" w:firstLine="420"/>
        <w:jc w:val="left"/>
      </w:pPr>
      <w:r>
        <w:rPr/>
        <w:t>注：本公司收购成都古羌科技有限公司时，北京中天华资产评估有限责任公司出具的基准日为</w:t>
      </w:r>
      <w:r>
        <w:rPr>
          <w:spacing w:val="-54"/>
        </w:rPr>
        <w:t> </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spacing w:val="-3"/>
        </w:rPr>
        <w:t>日的中天华资评报字（</w:t>
      </w:r>
      <w:r>
        <w:rPr>
          <w:rFonts w:ascii="宋体" w:hAnsi="宋体" w:cs="宋体" w:eastAsia="宋体" w:hint="default"/>
          <w:spacing w:val="-3"/>
        </w:rPr>
        <w:t>2013</w:t>
      </w:r>
      <w:r>
        <w:rPr>
          <w:spacing w:val="-3"/>
        </w:rPr>
        <w:t>）第</w:t>
      </w:r>
      <w:r>
        <w:rPr>
          <w:spacing w:val="-53"/>
        </w:rPr>
        <w:t> </w:t>
      </w:r>
      <w:r>
        <w:rPr>
          <w:rFonts w:ascii="宋体" w:hAnsi="宋体" w:cs="宋体" w:eastAsia="宋体" w:hint="default"/>
        </w:rPr>
        <w:t>1282</w:t>
      </w:r>
      <w:r>
        <w:rPr>
          <w:rFonts w:ascii="宋体" w:hAnsi="宋体" w:cs="宋体" w:eastAsia="宋体" w:hint="default"/>
          <w:w w:val="100"/>
        </w:rPr>
        <w:t> </w:t>
      </w:r>
      <w:r>
        <w:rPr/>
        <w:t>号《资产评估报告》公司存在可辨认净资产增值，重要的非全资子公司的主要财务信息披露中已按增值后价值披露。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6478" w:right="6476" w:firstLine="0"/>
        <w:jc w:val="center"/>
        <w:rPr>
          <w:rFonts w:ascii="Calibri" w:hAnsi="Calibri" w:cs="Calibri" w:eastAsia="Calibri" w:hint="default"/>
          <w:sz w:val="18"/>
          <w:szCs w:val="18"/>
        </w:rPr>
      </w:pPr>
      <w:r>
        <w:rPr>
          <w:rFonts w:ascii="Calibri"/>
          <w:b/>
          <w:sz w:val="18"/>
        </w:rPr>
        <w:t>18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headerReference w:type="default" r:id="rId21"/>
          <w:footerReference w:type="default" r:id="rId22"/>
          <w:pgSz w:w="16840" w:h="11910" w:orient="landscape"/>
          <w:pgMar w:header="0" w:footer="0" w:top="800" w:bottom="2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2"/>
        <w:spacing w:line="264" w:lineRule="auto"/>
        <w:ind w:left="558" w:right="5591" w:hanging="420"/>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41"/>
        </w:rPr>
        <w:t> </w:t>
      </w:r>
      <w:r>
        <w:rPr/>
        <w:t>公司控制的结构化主体情况</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3"/>
          <w:szCs w:val="23"/>
        </w:rPr>
      </w:pPr>
    </w:p>
    <w:p>
      <w:pPr>
        <w:pStyle w:val="Heading2"/>
        <w:spacing w:line="240" w:lineRule="auto"/>
        <w:ind w:left="138" w:right="2543"/>
        <w:jc w:val="left"/>
        <w:rPr>
          <w:b w:val="0"/>
          <w:bCs w:val="0"/>
        </w:rPr>
      </w:pPr>
      <w:r>
        <w:rPr/>
        <w:t>三、公司关于公司未来发展的讨论与分析</w:t>
      </w:r>
      <w:r>
        <w:rPr>
          <w:b w:val="0"/>
          <w:bCs w:val="0"/>
        </w:rPr>
      </w:r>
    </w:p>
    <w:p>
      <w:pPr>
        <w:pStyle w:val="Heading2"/>
        <w:spacing w:line="240" w:lineRule="auto" w:before="58"/>
        <w:ind w:left="138" w:right="254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pStyle w:val="BodyText"/>
        <w:spacing w:line="237" w:lineRule="auto" w:before="32"/>
        <w:ind w:right="132" w:firstLine="419"/>
        <w:jc w:val="both"/>
      </w:pPr>
      <w:r>
        <w:rPr>
          <w:rFonts w:ascii="宋体" w:hAnsi="宋体" w:cs="宋体" w:eastAsia="宋体" w:hint="default"/>
        </w:rPr>
        <w:t>2015</w:t>
      </w:r>
      <w:r>
        <w:rPr>
          <w:rFonts w:ascii="宋体" w:hAnsi="宋体" w:cs="宋体" w:eastAsia="宋体" w:hint="default"/>
          <w:spacing w:val="-13"/>
        </w:rPr>
        <w:t> </w:t>
      </w:r>
      <w:r>
        <w:rPr>
          <w:spacing w:val="-3"/>
        </w:rPr>
        <w:t>年，是“十二五”规划的收官之年，“十二五”期间，是中国互联网蓬勃发展、硕果累</w:t>
      </w:r>
      <w:r>
        <w:rPr>
          <w:w w:val="100"/>
        </w:rPr>
        <w:t> </w:t>
      </w:r>
      <w:r>
        <w:rPr>
          <w:spacing w:val="-2"/>
        </w:rPr>
        <w:t>累的五年。网络基础设施建设提速，互联网基础环境不断优化，移动互联网快速发展，网络文化</w:t>
      </w:r>
      <w:r>
        <w:rPr>
          <w:spacing w:val="-25"/>
        </w:rPr>
        <w:t> </w:t>
      </w:r>
      <w:r>
        <w:rPr>
          <w:spacing w:val="-25"/>
        </w:rPr>
      </w:r>
      <w:r>
        <w:rPr>
          <w:spacing w:val="-2"/>
        </w:rPr>
        <w:t>全面繁荣，网络空间日渐清朗，为国内互联网文化企业提供了难得的发展机遇。与此同时，随着</w:t>
      </w:r>
      <w:r>
        <w:rPr>
          <w:spacing w:val="-25"/>
        </w:rPr>
        <w:t> </w:t>
      </w:r>
      <w:r>
        <w:rPr>
          <w:spacing w:val="-25"/>
        </w:rPr>
      </w:r>
      <w:r>
        <w:rPr>
          <w:spacing w:val="-2"/>
        </w:rPr>
        <w:t>新技术的广泛应用，信息交流方式不断变革，用户资讯需求日趋多样化，社交媒体、自媒体等新</w:t>
      </w:r>
      <w:r>
        <w:rPr>
          <w:spacing w:val="-25"/>
        </w:rPr>
        <w:t> </w:t>
      </w:r>
      <w:r>
        <w:rPr>
          <w:spacing w:val="-25"/>
        </w:rPr>
      </w:r>
      <w:r>
        <w:rPr>
          <w:spacing w:val="-2"/>
        </w:rPr>
        <w:t>媒体形式不断崛起。且随着媒体融合发展，绝大多数传统新闻机构向互联网领域不断深入探索，</w:t>
      </w:r>
      <w:r>
        <w:rPr>
          <w:spacing w:val="-25"/>
        </w:rPr>
        <w:t> </w:t>
      </w:r>
      <w:r>
        <w:rPr>
          <w:spacing w:val="-25"/>
        </w:rPr>
      </w:r>
      <w:r>
        <w:rPr>
          <w:spacing w:val="-2"/>
        </w:rPr>
        <w:t>也已形成“一站两微一端”的立体格局。传统互联网新闻媒体企业普遍面临增速持续放缓、市场</w:t>
      </w:r>
      <w:r>
        <w:rPr>
          <w:spacing w:val="-25"/>
        </w:rPr>
        <w:t> </w:t>
      </w:r>
      <w:r>
        <w:rPr>
          <w:spacing w:val="-25"/>
        </w:rPr>
      </w:r>
      <w:r>
        <w:rPr/>
        <w:t>份额逐渐压缩的严峻挑战。</w:t>
      </w:r>
    </w:p>
    <w:p>
      <w:pPr>
        <w:pStyle w:val="BodyText"/>
        <w:spacing w:line="237" w:lineRule="auto" w:before="1"/>
        <w:ind w:right="137" w:firstLine="419"/>
        <w:jc w:val="both"/>
      </w:pPr>
      <w:r>
        <w:rPr>
          <w:spacing w:val="-2"/>
        </w:rPr>
        <w:t>中央发布的“十三五”规划纲要指出，为推进文化事业和文化产业双轮驱动，丰富文化产品</w:t>
      </w:r>
      <w:r>
        <w:rPr>
          <w:w w:val="100"/>
        </w:rPr>
        <w:t> </w:t>
      </w:r>
      <w:r>
        <w:rPr>
          <w:spacing w:val="-2"/>
        </w:rPr>
        <w:t>和服务，需要加快发展现代文化产业，建设现代传媒体系，继续深化文化体制改革。在融合发展</w:t>
      </w:r>
      <w:r>
        <w:rPr>
          <w:spacing w:val="-25"/>
        </w:rPr>
        <w:t> </w:t>
      </w:r>
      <w:r>
        <w:rPr>
          <w:spacing w:val="-25"/>
        </w:rPr>
      </w:r>
      <w:r>
        <w:rPr>
          <w:spacing w:val="-2"/>
        </w:rPr>
        <w:t>的大布局中，人民网作为人民日报社的新媒体旗舰，将积极贯彻落实融合发展理念，始终坚持正</w:t>
      </w:r>
      <w:r>
        <w:rPr>
          <w:spacing w:val="-25"/>
        </w:rPr>
        <w:t> </w:t>
      </w:r>
      <w:r>
        <w:rPr>
          <w:spacing w:val="-25"/>
        </w:rPr>
      </w:r>
      <w:r>
        <w:rPr>
          <w:spacing w:val="-2"/>
        </w:rPr>
        <w:t>确的舆论导向，弘扬主旋律、传播正能量；通过改革创新工作方式，强化差异化优势，继续深耕</w:t>
      </w:r>
      <w:r>
        <w:rPr>
          <w:spacing w:val="-26"/>
        </w:rPr>
        <w:t> </w:t>
      </w:r>
      <w:r>
        <w:rPr>
          <w:spacing w:val="-26"/>
        </w:rPr>
      </w:r>
      <w:r>
        <w:rPr>
          <w:spacing w:val="-2"/>
        </w:rPr>
        <w:t>互联网服务业并加速向移动端转型；利用上市公司资源优势，继续加强兼并重组等投融资业务，</w:t>
      </w:r>
      <w:r>
        <w:rPr>
          <w:spacing w:val="-25"/>
        </w:rPr>
        <w:t> </w:t>
      </w:r>
      <w:r>
        <w:rPr>
          <w:spacing w:val="-25"/>
        </w:rPr>
      </w:r>
      <w:r>
        <w:rPr>
          <w:spacing w:val="-2"/>
        </w:rPr>
        <w:t>积极开拓外延式发展，加快打造全媒体产业链。最终致力于成为一个拥有采编资质，每天发布大</w:t>
      </w:r>
      <w:r>
        <w:rPr>
          <w:spacing w:val="-25"/>
        </w:rPr>
        <w:t> </w:t>
      </w:r>
      <w:r>
        <w:rPr>
          <w:spacing w:val="-25"/>
        </w:rPr>
      </w:r>
      <w:r>
        <w:rPr>
          <w:spacing w:val="-2"/>
        </w:rPr>
        <w:t>量优质新闻信息的内容生产平台；成为一个拥有全媒体形态，着眼国际化发展的互动传播平台；</w:t>
      </w:r>
      <w:r>
        <w:rPr>
          <w:spacing w:val="-25"/>
        </w:rPr>
        <w:t> </w:t>
      </w:r>
      <w:r>
        <w:rPr>
          <w:spacing w:val="-25"/>
        </w:rPr>
      </w:r>
      <w:r>
        <w:rPr>
          <w:spacing w:val="-2"/>
        </w:rPr>
        <w:t>成为一个具有优良资产结构、可以有效对接市场的资本运营平台；成为一个拥有丰富价值、开放</w:t>
      </w:r>
      <w:r>
        <w:rPr>
          <w:spacing w:val="-25"/>
        </w:rPr>
        <w:t> </w:t>
      </w:r>
      <w:r>
        <w:rPr>
          <w:spacing w:val="-25"/>
        </w:rPr>
      </w:r>
      <w:r>
        <w:rPr>
          <w:spacing w:val="-2"/>
        </w:rPr>
        <w:t>共享的资源交换平台。努力打造一个多语种、多终端、全媒体、全球化、全覆盖的国际一流新闻</w:t>
      </w:r>
      <w:r>
        <w:rPr>
          <w:spacing w:val="-25"/>
        </w:rPr>
        <w:t> </w:t>
      </w:r>
      <w:r>
        <w:rPr>
          <w:spacing w:val="-25"/>
        </w:rPr>
      </w:r>
      <w:r>
        <w:rPr/>
        <w:t>媒体。</w:t>
      </w:r>
    </w:p>
    <w:p>
      <w:pPr>
        <w:spacing w:line="240" w:lineRule="auto" w:before="4"/>
        <w:rPr>
          <w:rFonts w:ascii="宋体" w:hAnsi="宋体" w:cs="宋体" w:eastAsia="宋体" w:hint="default"/>
          <w:sz w:val="25"/>
          <w:szCs w:val="25"/>
        </w:rPr>
      </w:pPr>
    </w:p>
    <w:p>
      <w:pPr>
        <w:spacing w:line="312"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7"/>
          <w:sz w:val="21"/>
          <w:szCs w:val="21"/>
        </w:rPr>
        <w:t>人民网作为国家重点新闻网站，始终坚持权威性、公信力、大众化的办网宗旨，弘扬主旋律、</w:t>
      </w:r>
    </w:p>
    <w:p>
      <w:pPr>
        <w:pStyle w:val="BodyText"/>
        <w:spacing w:line="209" w:lineRule="exact"/>
        <w:ind w:right="0"/>
        <w:jc w:val="left"/>
      </w:pPr>
      <w:r>
        <w:rPr/>
        <w:t>传播正能量，是国内主流媒体网站的核心代表，是对外讲好中国故事、传播中国声音的重要力量</w:t>
      </w:r>
    </w:p>
    <w:p>
      <w:pPr>
        <w:pStyle w:val="BodyText"/>
        <w:spacing w:line="237" w:lineRule="auto"/>
        <w:ind w:right="137"/>
        <w:jc w:val="both"/>
      </w:pPr>
      <w:r>
        <w:rPr>
          <w:spacing w:val="-2"/>
        </w:rPr>
        <w:t>和桥梁。按照“人民网是人民日报的互联网媒体，是生产、传播优秀文化产品的国家级企业，是</w:t>
      </w:r>
      <w:r>
        <w:rPr>
          <w:spacing w:val="-26"/>
        </w:rPr>
        <w:t> </w:t>
      </w:r>
      <w:r>
        <w:rPr>
          <w:spacing w:val="-26"/>
        </w:rPr>
      </w:r>
      <w:r>
        <w:rPr>
          <w:spacing w:val="-2"/>
        </w:rPr>
        <w:t>同行业领军的上市公司，是人民日报融合发展下的新媒体旗舰”的四个定位，强化导向管理、提</w:t>
      </w:r>
      <w:r>
        <w:rPr>
          <w:spacing w:val="-25"/>
        </w:rPr>
        <w:t> </w:t>
      </w:r>
      <w:r>
        <w:rPr>
          <w:spacing w:val="-25"/>
        </w:rPr>
      </w:r>
      <w:r>
        <w:rPr>
          <w:spacing w:val="-2"/>
        </w:rPr>
        <w:t>升传播能力，努力打造一个多语种、多终端、全媒体、全球化、全覆盖的国际一流新闻媒体。积</w:t>
      </w:r>
      <w:r>
        <w:rPr>
          <w:spacing w:val="-25"/>
        </w:rPr>
        <w:t> </w:t>
      </w:r>
      <w:r>
        <w:rPr>
          <w:spacing w:val="-25"/>
        </w:rPr>
      </w:r>
      <w:r>
        <w:rPr>
          <w:spacing w:val="-2"/>
        </w:rPr>
        <w:t>极探索新形势下的经营模式，凭借独特市场优势加快打造传媒产业，深耕互联网服务业，加强兼</w:t>
      </w:r>
      <w:r>
        <w:rPr>
          <w:spacing w:val="-25"/>
        </w:rPr>
        <w:t> </w:t>
      </w:r>
      <w:r>
        <w:rPr>
          <w:spacing w:val="-25"/>
        </w:rPr>
      </w:r>
      <w:r>
        <w:rPr/>
        <w:t>并重组等投融资业务，增强公司盈利能力，实现可持续发展。</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72" w:lineRule="exact" w:before="60"/>
        <w:ind w:right="128" w:firstLine="419"/>
        <w:jc w:val="both"/>
      </w:pPr>
      <w:r>
        <w:rPr>
          <w:rFonts w:ascii="宋体" w:hAnsi="宋体" w:cs="宋体" w:eastAsia="宋体" w:hint="default"/>
        </w:rPr>
        <w:t>2016</w:t>
      </w:r>
      <w:r>
        <w:rPr>
          <w:rFonts w:ascii="宋体" w:hAnsi="宋体" w:cs="宋体" w:eastAsia="宋体" w:hint="default"/>
          <w:spacing w:val="-16"/>
        </w:rPr>
        <w:t> </w:t>
      </w:r>
      <w:r>
        <w:rPr>
          <w:spacing w:val="-8"/>
        </w:rPr>
        <w:t>年，是人民网全面转型、改革创新的关键之年，公司将明确定位，发挥优势，抓住机遇，</w:t>
      </w:r>
      <w:r>
        <w:rPr>
          <w:w w:val="100"/>
        </w:rPr>
        <w:t> </w:t>
      </w:r>
      <w:r>
        <w:rPr/>
        <w:t>乘势而上，重点做好以下三方面工作：</w:t>
      </w:r>
    </w:p>
    <w:p>
      <w:pPr>
        <w:pStyle w:val="BodyText"/>
        <w:spacing w:line="247" w:lineRule="exact"/>
        <w:ind w:left="558" w:right="2543"/>
        <w:jc w:val="left"/>
      </w:pPr>
      <w:r>
        <w:rPr>
          <w:rFonts w:ascii="宋体" w:hAnsi="宋体" w:cs="宋体" w:eastAsia="宋体" w:hint="default"/>
        </w:rPr>
        <w:t>1</w:t>
      </w:r>
      <w:r>
        <w:rPr/>
        <w:t>、完善导向管理，全面提升新闻内容品质</w:t>
      </w:r>
    </w:p>
    <w:p>
      <w:pPr>
        <w:pStyle w:val="BodyText"/>
        <w:spacing w:line="240" w:lineRule="auto"/>
        <w:ind w:right="128" w:firstLine="419"/>
        <w:jc w:val="both"/>
      </w:pPr>
      <w:r>
        <w:rPr>
          <w:spacing w:val="-4"/>
        </w:rPr>
        <w:t>（</w:t>
      </w:r>
      <w:r>
        <w:rPr>
          <w:rFonts w:ascii="宋体" w:hAnsi="宋体" w:cs="宋体" w:eastAsia="宋体" w:hint="default"/>
          <w:spacing w:val="-4"/>
        </w:rPr>
        <w:t>1</w:t>
      </w:r>
      <w:r>
        <w:rPr>
          <w:spacing w:val="-4"/>
        </w:rPr>
        <w:t>）在新闻宣传方面，人民网将坚持正确导向不动摇。不断增强全体员工政治意识、大局意</w:t>
      </w:r>
      <w:r>
        <w:rPr>
          <w:w w:val="100"/>
        </w:rPr>
        <w:t> </w:t>
      </w:r>
      <w:r>
        <w:rPr/>
        <w:t>识、责任意识，始终坚持正确的政治导向和舆论导向。</w:t>
      </w:r>
    </w:p>
    <w:p>
      <w:pPr>
        <w:pStyle w:val="BodyText"/>
        <w:spacing w:line="272" w:lineRule="exact" w:before="24"/>
        <w:ind w:right="128" w:firstLine="419"/>
        <w:jc w:val="both"/>
      </w:pPr>
      <w:r>
        <w:rPr>
          <w:spacing w:val="-4"/>
        </w:rPr>
        <w:t>（</w:t>
      </w:r>
      <w:r>
        <w:rPr>
          <w:rFonts w:ascii="宋体" w:hAnsi="宋体" w:cs="宋体" w:eastAsia="宋体" w:hint="default"/>
          <w:spacing w:val="-4"/>
        </w:rPr>
        <w:t>2</w:t>
      </w:r>
      <w:r>
        <w:rPr>
          <w:spacing w:val="-4"/>
        </w:rPr>
        <w:t>）继续做好习总书记治国理政新思想、新理念、新战略的宣传解读。要把习总书记的系列</w:t>
      </w:r>
      <w:r>
        <w:rPr>
          <w:w w:val="100"/>
        </w:rPr>
        <w:t> </w:t>
      </w:r>
      <w:r>
        <w:rPr>
          <w:spacing w:val="-7"/>
        </w:rPr>
        <w:t>讲话、治国理政新思想、重要出访、重大活动宣传报道和学习解读打造成为人民网的名片和名牌。</w:t>
      </w:r>
    </w:p>
    <w:p>
      <w:pPr>
        <w:pStyle w:val="BodyText"/>
        <w:spacing w:line="272" w:lineRule="exact" w:before="1"/>
        <w:ind w:right="128" w:firstLine="419"/>
        <w:jc w:val="both"/>
      </w:pPr>
      <w:r>
        <w:rPr>
          <w:spacing w:val="-4"/>
        </w:rPr>
        <w:t>（</w:t>
      </w:r>
      <w:r>
        <w:rPr>
          <w:rFonts w:ascii="宋体" w:hAnsi="宋体" w:cs="宋体" w:eastAsia="宋体" w:hint="default"/>
          <w:spacing w:val="-4"/>
        </w:rPr>
        <w:t>3</w:t>
      </w:r>
      <w:r>
        <w:rPr>
          <w:spacing w:val="-4"/>
        </w:rPr>
        <w:t>）加快页面改版改革进程，紧跟媒体转型变革新趋势，适应传媒发展新需要，进一步优化</w:t>
      </w:r>
      <w:r>
        <w:rPr>
          <w:w w:val="100"/>
        </w:rPr>
        <w:t> </w:t>
      </w:r>
      <w:r>
        <w:rPr/>
        <w:t>页面，优化结构，优化部门，优化人员，全面提升公司新闻宣传的传播力和创新力。</w:t>
      </w:r>
    </w:p>
    <w:p>
      <w:pPr>
        <w:pStyle w:val="BodyText"/>
        <w:spacing w:line="272" w:lineRule="exact" w:before="1"/>
        <w:ind w:right="128" w:firstLine="419"/>
        <w:jc w:val="both"/>
      </w:pPr>
      <w:r>
        <w:rPr>
          <w:spacing w:val="-4"/>
        </w:rPr>
        <w:t>（</w:t>
      </w:r>
      <w:r>
        <w:rPr>
          <w:rFonts w:ascii="宋体" w:hAnsi="宋体" w:cs="宋体" w:eastAsia="宋体" w:hint="default"/>
          <w:spacing w:val="-4"/>
        </w:rPr>
        <w:t>4</w:t>
      </w:r>
      <w:r>
        <w:rPr>
          <w:spacing w:val="-4"/>
        </w:rPr>
        <w:t>）做好领导人出访、重大庆典、突发事件等宣传报道。精心组织重大事件主题报道，力求</w:t>
      </w:r>
      <w:r>
        <w:rPr>
          <w:w w:val="100"/>
        </w:rPr>
        <w:t> </w:t>
      </w:r>
      <w:r>
        <w:rPr/>
        <w:t>策划独到，内容独家，呈现独特。</w:t>
      </w:r>
    </w:p>
    <w:p>
      <w:pPr>
        <w:pStyle w:val="BodyText"/>
        <w:spacing w:line="272" w:lineRule="exact" w:before="1"/>
        <w:ind w:right="128" w:firstLine="419"/>
        <w:jc w:val="both"/>
      </w:pPr>
      <w:r>
        <w:rPr>
          <w:spacing w:val="-4"/>
        </w:rPr>
        <w:t>（</w:t>
      </w:r>
      <w:r>
        <w:rPr>
          <w:rFonts w:ascii="宋体" w:hAnsi="宋体" w:cs="宋体" w:eastAsia="宋体" w:hint="default"/>
          <w:spacing w:val="-4"/>
        </w:rPr>
        <w:t>5</w:t>
      </w:r>
      <w:r>
        <w:rPr>
          <w:spacing w:val="-4"/>
        </w:rPr>
        <w:t>）领导带队“走转改”，深入地方开展战役性报道，围绕长江经济带战略、扶贫开发、三</w:t>
      </w:r>
      <w:r>
        <w:rPr>
          <w:w w:val="100"/>
        </w:rPr>
        <w:t> </w:t>
      </w:r>
      <w:r>
        <w:rPr/>
        <w:t>江源、新型城镇化等，推出一系列接地气的精品力作。</w:t>
      </w:r>
    </w:p>
    <w:p>
      <w:pPr>
        <w:spacing w:after="0" w:line="272" w:lineRule="exact"/>
        <w:jc w:val="both"/>
        <w:sectPr>
          <w:footerReference w:type="default" r:id="rId23"/>
          <w:pgSz w:w="11910" w:h="16840"/>
          <w:pgMar w:footer="1195" w:header="0" w:top="1120" w:bottom="1380" w:left="1660" w:right="1140"/>
          <w:pgNumType w:start="1"/>
        </w:sectPr>
      </w:pPr>
    </w:p>
    <w:p>
      <w:pPr>
        <w:spacing w:line="240" w:lineRule="auto" w:before="4"/>
        <w:rPr>
          <w:rFonts w:ascii="宋体" w:hAnsi="宋体" w:cs="宋体" w:eastAsia="宋体" w:hint="default"/>
          <w:sz w:val="25"/>
          <w:szCs w:val="25"/>
        </w:rPr>
      </w:pPr>
    </w:p>
    <w:p>
      <w:pPr>
        <w:pStyle w:val="BodyText"/>
        <w:spacing w:line="240" w:lineRule="auto" w:before="36"/>
        <w:ind w:right="208" w:firstLine="419"/>
        <w:jc w:val="both"/>
      </w:pPr>
      <w:r>
        <w:rPr>
          <w:spacing w:val="-4"/>
        </w:rPr>
        <w:t>（</w:t>
      </w:r>
      <w:r>
        <w:rPr>
          <w:rFonts w:ascii="宋体" w:hAnsi="宋体" w:cs="宋体" w:eastAsia="宋体" w:hint="default"/>
          <w:spacing w:val="-4"/>
        </w:rPr>
        <w:t>6</w:t>
      </w:r>
      <w:r>
        <w:rPr>
          <w:spacing w:val="-4"/>
        </w:rPr>
        <w:t>）研究和推动技术、微视频、移动端的转型升级。把视频和移动端作为人民网新闻宣传的</w:t>
      </w:r>
      <w:r>
        <w:rPr>
          <w:w w:val="100"/>
        </w:rPr>
        <w:t> </w:t>
      </w:r>
      <w:r>
        <w:rPr/>
        <w:t>新平台和产业发展的增长点。</w:t>
      </w:r>
    </w:p>
    <w:p>
      <w:pPr>
        <w:pStyle w:val="BodyText"/>
        <w:spacing w:line="274" w:lineRule="exact" w:before="22"/>
        <w:ind w:right="220" w:firstLine="419"/>
        <w:jc w:val="both"/>
      </w:pPr>
      <w:r>
        <w:rPr/>
        <w:t>（</w:t>
      </w:r>
      <w:r>
        <w:rPr>
          <w:rFonts w:ascii="宋体" w:hAnsi="宋体" w:cs="宋体" w:eastAsia="宋体" w:hint="default"/>
        </w:rPr>
        <w:t>7</w:t>
      </w:r>
      <w:r>
        <w:rPr/>
        <w:t>）继续全面提升人民网海外传播力，加大力度做好</w:t>
      </w:r>
      <w:r>
        <w:rPr>
          <w:spacing w:val="-54"/>
        </w:rPr>
        <w:t> </w:t>
      </w:r>
      <w:r>
        <w:rPr>
          <w:rFonts w:ascii="宋体" w:hAnsi="宋体" w:cs="宋体" w:eastAsia="宋体" w:hint="default"/>
        </w:rPr>
        <w:t>9</w:t>
      </w:r>
      <w:r>
        <w:rPr>
          <w:rFonts w:ascii="宋体" w:hAnsi="宋体" w:cs="宋体" w:eastAsia="宋体" w:hint="default"/>
          <w:spacing w:val="-55"/>
        </w:rPr>
        <w:t> </w:t>
      </w:r>
      <w:r>
        <w:rPr/>
        <w:t>个语种的海外宣传，做强做大</w:t>
      </w:r>
      <w:r>
        <w:rPr>
          <w:spacing w:val="-55"/>
        </w:rPr>
        <w:t> </w:t>
      </w:r>
      <w:r>
        <w:rPr>
          <w:rFonts w:ascii="宋体" w:hAnsi="宋体" w:cs="宋体" w:eastAsia="宋体" w:hint="default"/>
        </w:rPr>
        <w:t>11</w:t>
      </w:r>
      <w:r>
        <w:rPr>
          <w:rFonts w:ascii="宋体" w:hAnsi="宋体" w:cs="宋体" w:eastAsia="宋体" w:hint="default"/>
          <w:spacing w:val="-55"/>
        </w:rPr>
        <w:t> </w:t>
      </w:r>
      <w:r>
        <w:rPr/>
        <w:t>个</w:t>
      </w:r>
      <w:r>
        <w:rPr>
          <w:w w:val="100"/>
        </w:rPr>
        <w:t> </w:t>
      </w:r>
      <w:r>
        <w:rPr/>
        <w:t>海外公司，在对外媒体合作、本土化、落地率等方面持续发力。</w:t>
      </w:r>
    </w:p>
    <w:p>
      <w:pPr>
        <w:pStyle w:val="BodyText"/>
        <w:spacing w:line="245" w:lineRule="exact"/>
        <w:ind w:left="558" w:right="0"/>
        <w:jc w:val="left"/>
      </w:pPr>
      <w:r>
        <w:rPr>
          <w:spacing w:val="-9"/>
        </w:rPr>
        <w:t>（</w:t>
      </w:r>
      <w:r>
        <w:rPr>
          <w:rFonts w:ascii="宋体" w:hAnsi="宋体" w:cs="宋体" w:eastAsia="宋体" w:hint="default"/>
          <w:spacing w:val="-9"/>
        </w:rPr>
        <w:t>8</w:t>
      </w:r>
      <w:r>
        <w:rPr>
          <w:spacing w:val="-9"/>
        </w:rPr>
        <w:t>）打造“人民健康”全媒体平台，做好和加强国际、财经、体育、文化、教育等内容板块。</w:t>
      </w:r>
    </w:p>
    <w:p>
      <w:pPr>
        <w:pStyle w:val="BodyText"/>
        <w:spacing w:line="272" w:lineRule="exact" w:before="27"/>
        <w:ind w:right="208" w:firstLine="419"/>
        <w:jc w:val="both"/>
      </w:pPr>
      <w:r>
        <w:rPr>
          <w:spacing w:val="-9"/>
        </w:rPr>
        <w:t>（</w:t>
      </w:r>
      <w:r>
        <w:rPr>
          <w:rFonts w:ascii="宋体" w:hAnsi="宋体" w:cs="宋体" w:eastAsia="宋体" w:hint="default"/>
          <w:spacing w:val="-9"/>
        </w:rPr>
        <w:t>9</w:t>
      </w:r>
      <w:r>
        <w:rPr>
          <w:spacing w:val="-9"/>
        </w:rPr>
        <w:t>）全力以赴做好内容，培养优秀采编团队，改善采编条件，加大培训力度，建立激励机制，</w:t>
      </w:r>
      <w:r>
        <w:rPr>
          <w:w w:val="100"/>
        </w:rPr>
        <w:t> </w:t>
      </w:r>
      <w:r>
        <w:rPr/>
        <w:t>鼓励优秀人才脱颖而出。</w:t>
      </w:r>
    </w:p>
    <w:p>
      <w:pPr>
        <w:pStyle w:val="BodyText"/>
        <w:spacing w:line="247" w:lineRule="exact"/>
        <w:ind w:left="558" w:right="0"/>
        <w:jc w:val="left"/>
      </w:pPr>
      <w:r>
        <w:rPr>
          <w:rFonts w:ascii="宋体" w:hAnsi="宋体" w:cs="宋体" w:eastAsia="宋体" w:hint="default"/>
        </w:rPr>
        <w:t>2</w:t>
      </w:r>
      <w:r>
        <w:rPr/>
        <w:t>、转变增长方式，全力打造市场盈利模式</w:t>
      </w:r>
    </w:p>
    <w:p>
      <w:pPr>
        <w:pStyle w:val="BodyText"/>
        <w:spacing w:line="240" w:lineRule="auto"/>
        <w:ind w:right="222" w:firstLine="419"/>
        <w:jc w:val="both"/>
      </w:pPr>
      <w:r>
        <w:rPr/>
        <w:t>（</w:t>
      </w:r>
      <w:r>
        <w:rPr>
          <w:rFonts w:ascii="宋体" w:hAnsi="宋体" w:cs="宋体" w:eastAsia="宋体" w:hint="default"/>
        </w:rPr>
        <w:t>1</w:t>
      </w:r>
      <w:r>
        <w:rPr/>
        <w:t>）转变发展思路，遵循互联网发展规律，以</w:t>
      </w:r>
      <w:r>
        <w:rPr>
          <w:spacing w:val="-55"/>
        </w:rPr>
        <w:t> </w:t>
      </w:r>
      <w:r>
        <w:rPr>
          <w:rFonts w:ascii="宋体" w:hAnsi="宋体" w:cs="宋体" w:eastAsia="宋体" w:hint="default"/>
        </w:rPr>
        <w:t>PC</w:t>
      </w:r>
      <w:r>
        <w:rPr>
          <w:rFonts w:ascii="宋体" w:hAnsi="宋体" w:cs="宋体" w:eastAsia="宋体" w:hint="default"/>
          <w:spacing w:val="-58"/>
        </w:rPr>
        <w:t> </w:t>
      </w:r>
      <w:r>
        <w:rPr/>
        <w:t>端为主阵地，加速向移动互联网转型。加</w:t>
      </w:r>
      <w:r>
        <w:rPr>
          <w:w w:val="100"/>
        </w:rPr>
        <w:t> </w:t>
      </w:r>
      <w:r>
        <w:rPr/>
        <w:t>快人民网顺义机房的建设进度</w:t>
      </w:r>
      <w:r>
        <w:rPr>
          <w:rFonts w:ascii="宋体" w:hAnsi="宋体" w:cs="宋体" w:eastAsia="宋体" w:hint="default"/>
        </w:rPr>
        <w:t>,</w:t>
      </w:r>
      <w:r>
        <w:rPr/>
        <w:t>精心组织人民日报社及数据中心的论证、设计和建设工作。</w:t>
      </w:r>
    </w:p>
    <w:p>
      <w:pPr>
        <w:pStyle w:val="BodyText"/>
        <w:spacing w:line="237" w:lineRule="auto"/>
        <w:ind w:right="207" w:firstLine="419"/>
        <w:jc w:val="both"/>
      </w:pPr>
      <w:r>
        <w:rPr/>
        <w:t>（</w:t>
      </w:r>
      <w:r>
        <w:rPr>
          <w:rFonts w:ascii="宋体" w:hAnsi="宋体" w:cs="宋体" w:eastAsia="宋体" w:hint="default"/>
        </w:rPr>
        <w:t>2</w:t>
      </w:r>
      <w:r>
        <w:rPr/>
        <w:t>）转变增长方式，打通全网资源，统筹协调总网与地方、国内与国外、</w:t>
      </w:r>
      <w:r>
        <w:rPr>
          <w:rFonts w:ascii="宋体" w:hAnsi="宋体" w:cs="宋体" w:eastAsia="宋体" w:hint="default"/>
        </w:rPr>
        <w:t>PC</w:t>
      </w:r>
      <w:r>
        <w:rPr>
          <w:rFonts w:ascii="宋体" w:hAnsi="宋体" w:cs="宋体" w:eastAsia="宋体" w:hint="default"/>
          <w:spacing w:val="-58"/>
        </w:rPr>
        <w:t> </w:t>
      </w:r>
      <w:r>
        <w:rPr/>
        <w:t>端与移动端，</w:t>
      </w:r>
      <w:r>
        <w:rPr>
          <w:w w:val="100"/>
        </w:rPr>
        <w:t> </w:t>
      </w:r>
      <w:r>
        <w:rPr>
          <w:spacing w:val="-8"/>
        </w:rPr>
        <w:t>建立一揽子服务机制；打通业务渠道，拓宽业务板块，落实与上报集团合作的面向</w:t>
      </w:r>
      <w:r>
        <w:rPr>
          <w:spacing w:val="-25"/>
        </w:rPr>
        <w:t> </w:t>
      </w:r>
      <w:r>
        <w:rPr>
          <w:rFonts w:ascii="宋体" w:hAnsi="宋体" w:cs="宋体" w:eastAsia="宋体" w:hint="default"/>
        </w:rPr>
        <w:t>90</w:t>
      </w:r>
      <w:r>
        <w:rPr>
          <w:rFonts w:ascii="宋体" w:hAnsi="宋体" w:cs="宋体" w:eastAsia="宋体" w:hint="default"/>
          <w:spacing w:val="-30"/>
        </w:rPr>
        <w:t> </w:t>
      </w:r>
      <w:r>
        <w:rPr>
          <w:spacing w:val="-14"/>
        </w:rPr>
        <w:t>后的“唔哩”</w:t>
      </w:r>
      <w:r>
        <w:rPr>
          <w:spacing w:val="-95"/>
        </w:rPr>
        <w:t> </w:t>
      </w:r>
      <w:r>
        <w:rPr>
          <w:spacing w:val="-95"/>
        </w:rPr>
      </w:r>
      <w:r>
        <w:rPr/>
        <w:t>项目，打造优质服务的网络平台。</w:t>
      </w:r>
    </w:p>
    <w:p>
      <w:pPr>
        <w:pStyle w:val="BodyText"/>
        <w:spacing w:line="237" w:lineRule="auto" w:before="1"/>
        <w:ind w:right="207" w:firstLine="419"/>
        <w:jc w:val="both"/>
      </w:pPr>
      <w:r>
        <w:rPr>
          <w:spacing w:val="-4"/>
        </w:rPr>
        <w:t>（</w:t>
      </w:r>
      <w:r>
        <w:rPr>
          <w:rFonts w:ascii="宋体" w:hAnsi="宋体" w:cs="宋体" w:eastAsia="宋体" w:hint="default"/>
          <w:spacing w:val="-4"/>
        </w:rPr>
        <w:t>3</w:t>
      </w:r>
      <w:r>
        <w:rPr>
          <w:spacing w:val="-4"/>
        </w:rPr>
        <w:t>）创新盈利模式，强化产品意识，精准定位用户需求，探索“优质内容</w:t>
      </w:r>
      <w:r>
        <w:rPr>
          <w:rFonts w:ascii="宋体" w:hAnsi="宋体" w:cs="宋体" w:eastAsia="宋体" w:hint="default"/>
          <w:spacing w:val="-4"/>
        </w:rPr>
        <w:t>+</w:t>
      </w:r>
      <w:r>
        <w:rPr>
          <w:spacing w:val="-4"/>
        </w:rPr>
        <w:t>多元经营</w:t>
      </w:r>
      <w:r>
        <w:rPr>
          <w:rFonts w:ascii="宋体" w:hAnsi="宋体" w:cs="宋体" w:eastAsia="宋体" w:hint="default"/>
          <w:spacing w:val="-4"/>
        </w:rPr>
        <w:t>+</w:t>
      </w:r>
      <w:r>
        <w:rPr>
          <w:spacing w:val="-4"/>
        </w:rPr>
        <w:t>跨平台</w:t>
      </w:r>
      <w:r>
        <w:rPr>
          <w:w w:val="100"/>
        </w:rPr>
        <w:t> </w:t>
      </w:r>
      <w:r>
        <w:rPr>
          <w:spacing w:val="-2"/>
        </w:rPr>
        <w:t>服务”的盈利模式。围绕内容生产，加强外延扩张，以资本运作积极参与移动垂直领域客户端、</w:t>
      </w:r>
      <w:r>
        <w:rPr>
          <w:spacing w:val="-26"/>
        </w:rPr>
        <w:t> </w:t>
      </w:r>
      <w:r>
        <w:rPr>
          <w:spacing w:val="-26"/>
        </w:rPr>
      </w:r>
      <w:r>
        <w:rPr/>
        <w:t>版权、视频、互联网销售等领域的合作建设。</w:t>
      </w:r>
    </w:p>
    <w:p>
      <w:pPr>
        <w:pStyle w:val="BodyText"/>
        <w:spacing w:line="237" w:lineRule="auto"/>
        <w:ind w:right="208" w:firstLine="419"/>
        <w:jc w:val="both"/>
      </w:pPr>
      <w:r>
        <w:rPr>
          <w:spacing w:val="-4"/>
        </w:rPr>
        <w:t>（</w:t>
      </w:r>
      <w:r>
        <w:rPr>
          <w:rFonts w:ascii="宋体" w:hAnsi="宋体" w:cs="宋体" w:eastAsia="宋体" w:hint="default"/>
          <w:spacing w:val="-4"/>
        </w:rPr>
        <w:t>4</w:t>
      </w:r>
      <w:r>
        <w:rPr>
          <w:spacing w:val="-4"/>
        </w:rPr>
        <w:t>）拓宽投资渠道，加强对各控股、合资公司的监管。积极推进人民网文化产业投资基金的</w:t>
      </w:r>
      <w:r>
        <w:rPr>
          <w:w w:val="100"/>
        </w:rPr>
        <w:t> </w:t>
      </w:r>
      <w:r>
        <w:rPr>
          <w:spacing w:val="-2"/>
        </w:rPr>
        <w:t>筹备工作，力争上半年完成基金募资和部分项目的落地。继续开展业务并购、战略投资工作，完</w:t>
      </w:r>
      <w:r>
        <w:rPr>
          <w:spacing w:val="-25"/>
        </w:rPr>
        <w:t> </w:t>
      </w:r>
      <w:r>
        <w:rPr>
          <w:spacing w:val="-25"/>
        </w:rPr>
      </w:r>
      <w:r>
        <w:rPr/>
        <w:t>善人民网投资结构，推动人民网经营创收、事业发展。</w:t>
      </w:r>
    </w:p>
    <w:p>
      <w:pPr>
        <w:pStyle w:val="BodyText"/>
        <w:spacing w:line="271" w:lineRule="exact"/>
        <w:ind w:left="558" w:right="0"/>
        <w:jc w:val="left"/>
      </w:pPr>
      <w:r>
        <w:rPr/>
        <w:t>（</w:t>
      </w:r>
      <w:r>
        <w:rPr>
          <w:rFonts w:ascii="宋体" w:hAnsi="宋体" w:cs="宋体" w:eastAsia="宋体" w:hint="default"/>
        </w:rPr>
        <w:t>5</w:t>
      </w:r>
      <w:r>
        <w:rPr/>
        <w:t>）完善激励机制，激发团队积极性、创造力，营造更加有活力、有冲劲的干事创业氛围。</w:t>
      </w:r>
    </w:p>
    <w:p>
      <w:pPr>
        <w:pStyle w:val="BodyText"/>
        <w:spacing w:line="272" w:lineRule="exact" w:before="27"/>
        <w:ind w:right="208" w:firstLine="419"/>
        <w:jc w:val="both"/>
      </w:pPr>
      <w:r>
        <w:rPr>
          <w:spacing w:val="-4"/>
        </w:rPr>
        <w:t>（</w:t>
      </w:r>
      <w:r>
        <w:rPr>
          <w:rFonts w:ascii="宋体" w:hAnsi="宋体" w:cs="宋体" w:eastAsia="宋体" w:hint="default"/>
          <w:spacing w:val="-4"/>
        </w:rPr>
        <w:t>6</w:t>
      </w:r>
      <w:r>
        <w:rPr>
          <w:spacing w:val="-4"/>
        </w:rPr>
        <w:t>）依法依规经营，严格落实“严起来、强起来”的相关要求，遵守国家法律法规、上市公</w:t>
      </w:r>
      <w:r>
        <w:rPr>
          <w:w w:val="100"/>
        </w:rPr>
        <w:t> </w:t>
      </w:r>
      <w:r>
        <w:rPr/>
        <w:t>司规则及各项制度规范，把一切工作纳入规矩之中、置于方圆之内。</w:t>
      </w:r>
    </w:p>
    <w:p>
      <w:pPr>
        <w:pStyle w:val="BodyText"/>
        <w:spacing w:line="247" w:lineRule="exact"/>
        <w:ind w:left="558" w:right="0"/>
        <w:jc w:val="left"/>
      </w:pPr>
      <w:r>
        <w:rPr>
          <w:rFonts w:ascii="宋体" w:hAnsi="宋体" w:cs="宋体" w:eastAsia="宋体" w:hint="default"/>
        </w:rPr>
        <w:t>3</w:t>
      </w:r>
      <w:r>
        <w:rPr/>
        <w:t>、规范内部管理，努力提升企业治理水平</w:t>
      </w:r>
    </w:p>
    <w:p>
      <w:pPr>
        <w:pStyle w:val="BodyText"/>
        <w:spacing w:line="240" w:lineRule="auto"/>
        <w:ind w:right="208" w:firstLine="419"/>
        <w:jc w:val="both"/>
      </w:pPr>
      <w:r>
        <w:rPr>
          <w:spacing w:val="-4"/>
        </w:rPr>
        <w:t>（</w:t>
      </w:r>
      <w:r>
        <w:rPr>
          <w:rFonts w:ascii="宋体" w:hAnsi="宋体" w:cs="宋体" w:eastAsia="宋体" w:hint="default"/>
          <w:spacing w:val="-4"/>
        </w:rPr>
        <w:t>1</w:t>
      </w:r>
      <w:r>
        <w:rPr>
          <w:spacing w:val="-4"/>
        </w:rPr>
        <w:t>）完善规章制度，全面梳理人民网新闻采编、财务管理、人事管理、行政管理等方面的规</w:t>
      </w:r>
      <w:r>
        <w:rPr>
          <w:w w:val="100"/>
        </w:rPr>
        <w:t> </w:t>
      </w:r>
      <w:r>
        <w:rPr/>
        <w:t>章制度，查漏补缺、修订完善，形成基础牢固、意在长远的管理制度体系。</w:t>
      </w:r>
    </w:p>
    <w:p>
      <w:pPr>
        <w:pStyle w:val="BodyText"/>
        <w:spacing w:line="274" w:lineRule="exact" w:before="22"/>
        <w:ind w:right="208" w:firstLine="419"/>
        <w:jc w:val="both"/>
      </w:pPr>
      <w:r>
        <w:rPr>
          <w:spacing w:val="-4"/>
        </w:rPr>
        <w:t>（</w:t>
      </w:r>
      <w:r>
        <w:rPr>
          <w:rFonts w:ascii="宋体" w:hAnsi="宋体" w:cs="宋体" w:eastAsia="宋体" w:hint="default"/>
          <w:spacing w:val="-4"/>
        </w:rPr>
        <w:t>2</w:t>
      </w:r>
      <w:r>
        <w:rPr>
          <w:spacing w:val="-4"/>
        </w:rPr>
        <w:t>）规范机构设置，优化组织结构，严格职数设置、机构设置，在人员管理、任务分配等方</w:t>
      </w:r>
      <w:r>
        <w:rPr>
          <w:w w:val="100"/>
        </w:rPr>
        <w:t> </w:t>
      </w:r>
      <w:r>
        <w:rPr/>
        <w:t>面坚决做到采编与经营分开。对频道和栏目进行优化清理。</w:t>
      </w:r>
    </w:p>
    <w:p>
      <w:pPr>
        <w:pStyle w:val="BodyText"/>
        <w:spacing w:line="245" w:lineRule="exact"/>
        <w:ind w:left="558" w:right="0"/>
        <w:jc w:val="left"/>
      </w:pPr>
      <w:r>
        <w:rPr/>
        <w:t>（</w:t>
      </w:r>
      <w:r>
        <w:rPr>
          <w:rFonts w:ascii="宋体" w:hAnsi="宋体" w:cs="宋体" w:eastAsia="宋体" w:hint="default"/>
        </w:rPr>
        <w:t>3</w:t>
      </w:r>
      <w:r>
        <w:rPr/>
        <w:t>）提高行政保障能力，作为拥有</w:t>
      </w:r>
      <w:r>
        <w:rPr>
          <w:spacing w:val="-58"/>
        </w:rPr>
        <w:t> </w:t>
      </w:r>
      <w:r>
        <w:rPr>
          <w:rFonts w:ascii="宋体" w:hAnsi="宋体" w:cs="宋体" w:eastAsia="宋体" w:hint="default"/>
        </w:rPr>
        <w:t>39</w:t>
      </w:r>
      <w:r>
        <w:rPr>
          <w:rFonts w:ascii="宋体" w:hAnsi="宋体" w:cs="宋体" w:eastAsia="宋体" w:hint="default"/>
          <w:spacing w:val="-58"/>
        </w:rPr>
        <w:t> </w:t>
      </w:r>
      <w:r>
        <w:rPr/>
        <w:t>家子、孙公司的上市公司，人民网将继续优化资源配</w:t>
      </w:r>
    </w:p>
    <w:p>
      <w:pPr>
        <w:pStyle w:val="BodyText"/>
        <w:spacing w:line="272" w:lineRule="exact"/>
        <w:ind w:right="0"/>
        <w:jc w:val="both"/>
      </w:pPr>
      <w:r>
        <w:rPr/>
        <w:t>置，提高管理效能。</w:t>
      </w:r>
    </w:p>
    <w:p>
      <w:pPr>
        <w:pStyle w:val="BodyText"/>
        <w:spacing w:line="240" w:lineRule="auto"/>
        <w:ind w:right="208" w:firstLine="419"/>
        <w:jc w:val="both"/>
      </w:pPr>
      <w:r>
        <w:rPr>
          <w:spacing w:val="-4"/>
        </w:rPr>
        <w:t>（</w:t>
      </w:r>
      <w:r>
        <w:rPr>
          <w:rFonts w:ascii="宋体" w:hAnsi="宋体" w:cs="宋体" w:eastAsia="宋体" w:hint="default"/>
          <w:spacing w:val="-4"/>
        </w:rPr>
        <w:t>4</w:t>
      </w:r>
      <w:r>
        <w:rPr>
          <w:spacing w:val="-4"/>
        </w:rPr>
        <w:t>）调动积极因素，凝聚各方力量，激发内生活力，提升人文关怀，构建有凝聚力、有亲和</w:t>
      </w:r>
      <w:r>
        <w:rPr>
          <w:w w:val="100"/>
        </w:rPr>
        <w:t> </w:t>
      </w:r>
      <w:r>
        <w:rPr/>
        <w:t>力、有人情味的人民网企业文化，进一步增强广大职工的荣誉感、自豪感和获得感。</w:t>
      </w:r>
    </w:p>
    <w:p>
      <w:pPr>
        <w:pStyle w:val="Heading2"/>
        <w:spacing w:line="240" w:lineRule="auto" w:before="56"/>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pStyle w:val="BodyText"/>
        <w:spacing w:line="237" w:lineRule="auto" w:before="34"/>
        <w:ind w:right="208" w:firstLine="419"/>
        <w:jc w:val="both"/>
      </w:pPr>
      <w:r>
        <w:rPr>
          <w:rFonts w:ascii="宋体" w:hAnsi="宋体" w:cs="宋体" w:eastAsia="宋体" w:hint="default"/>
        </w:rPr>
        <w:t>1</w:t>
      </w:r>
      <w:r>
        <w:rPr/>
        <w:t>、广告业务拓展风险：</w:t>
      </w:r>
      <w:r>
        <w:rPr>
          <w:rFonts w:ascii="宋体" w:hAnsi="宋体" w:cs="宋体" w:eastAsia="宋体" w:hint="default"/>
        </w:rPr>
        <w:t>2015</w:t>
      </w:r>
      <w:r>
        <w:rPr>
          <w:rFonts w:ascii="宋体" w:hAnsi="宋体" w:cs="宋体" w:eastAsia="宋体" w:hint="default"/>
          <w:spacing w:val="-57"/>
        </w:rPr>
        <w:t> </w:t>
      </w:r>
      <w:r>
        <w:rPr/>
        <w:t>年，互联网广告市场继续深入发展，全年市场规模已超过人民</w:t>
      </w:r>
      <w:r>
        <w:rPr>
          <w:w w:val="100"/>
        </w:rPr>
        <w:t> </w:t>
      </w:r>
      <w:r>
        <w:rPr/>
        <w:t>币</w:t>
      </w:r>
      <w:r>
        <w:rPr>
          <w:spacing w:val="-54"/>
        </w:rPr>
        <w:t> </w:t>
      </w:r>
      <w:r>
        <w:rPr>
          <w:rFonts w:ascii="宋体" w:hAnsi="宋体" w:cs="宋体" w:eastAsia="宋体" w:hint="default"/>
        </w:rPr>
        <w:t>2,000</w:t>
      </w:r>
      <w:r>
        <w:rPr>
          <w:rFonts w:ascii="宋体" w:hAnsi="宋体" w:cs="宋体" w:eastAsia="宋体" w:hint="default"/>
          <w:spacing w:val="-54"/>
        </w:rPr>
        <w:t> </w:t>
      </w:r>
      <w:r>
        <w:rPr/>
        <w:t>亿元，随着市场规模的扩大，整体增长速度已连续</w:t>
      </w:r>
      <w:r>
        <w:rPr>
          <w:spacing w:val="-53"/>
        </w:rPr>
        <w:t> </w:t>
      </w:r>
      <w:r>
        <w:rPr>
          <w:rFonts w:ascii="宋体" w:hAnsi="宋体" w:cs="宋体" w:eastAsia="宋体" w:hint="default"/>
        </w:rPr>
        <w:t>3</w:t>
      </w:r>
      <w:r>
        <w:rPr>
          <w:rFonts w:ascii="宋体" w:hAnsi="宋体" w:cs="宋体" w:eastAsia="宋体" w:hint="default"/>
          <w:spacing w:val="-56"/>
        </w:rPr>
        <w:t> </w:t>
      </w:r>
      <w:r>
        <w:rPr/>
        <w:t>年呈现小幅下降趋势，网络广告市</w:t>
      </w:r>
      <w:r>
        <w:rPr>
          <w:w w:val="100"/>
        </w:rPr>
        <w:t> </w:t>
      </w:r>
      <w:r>
        <w:rPr>
          <w:spacing w:val="-6"/>
          <w:w w:val="100"/>
        </w:rPr>
        <w:t>场已整体进入成熟稳定阶段。市场的持续增长不断催生新型业务模式，并表现出强劲的增长势头，</w:t>
      </w:r>
      <w:r>
        <w:rPr>
          <w:w w:val="100"/>
        </w:rPr>
        <w:t> </w:t>
      </w:r>
      <w:r>
        <w:rPr>
          <w:spacing w:val="-2"/>
        </w:rPr>
        <w:t>广告主偏好也随之发生变化，传统互联网广告领域投入整体下滑，而移动互联网、搜索、电商平</w:t>
      </w:r>
      <w:r>
        <w:rPr>
          <w:spacing w:val="-25"/>
        </w:rPr>
        <w:t> </w:t>
      </w:r>
      <w:r>
        <w:rPr>
          <w:spacing w:val="-25"/>
        </w:rPr>
      </w:r>
      <w:r>
        <w:rPr>
          <w:spacing w:val="-6"/>
        </w:rPr>
        <w:t>台、视频、社交等细分领域的广告份额增长迅速，对公司传统的广告及宣传业务形成了一定影响。</w:t>
      </w:r>
      <w:r>
        <w:rPr>
          <w:spacing w:val="-54"/>
        </w:rPr>
        <w:t> </w:t>
      </w:r>
      <w:r>
        <w:rPr>
          <w:spacing w:val="-54"/>
        </w:rPr>
      </w:r>
      <w:r>
        <w:rPr>
          <w:spacing w:val="-2"/>
        </w:rPr>
        <w:t>且基于公司的新闻媒体属性，在网站流量方面与商业网站仍有较大差距，存在受众结构集中度较</w:t>
      </w:r>
      <w:r>
        <w:rPr>
          <w:spacing w:val="-25"/>
        </w:rPr>
        <w:t> </w:t>
      </w:r>
      <w:r>
        <w:rPr>
          <w:spacing w:val="-25"/>
        </w:rPr>
      </w:r>
      <w:r>
        <w:rPr/>
        <w:t>高、覆盖面不够广泛等特点，在广告业务市场开拓方面仍面临挑战。</w:t>
      </w:r>
    </w:p>
    <w:p>
      <w:pPr>
        <w:pStyle w:val="BodyText"/>
        <w:spacing w:line="237" w:lineRule="auto"/>
        <w:ind w:right="207" w:firstLine="419"/>
        <w:jc w:val="both"/>
      </w:pPr>
      <w:r>
        <w:rPr>
          <w:rFonts w:ascii="宋体" w:hAnsi="宋体" w:cs="宋体" w:eastAsia="宋体" w:hint="default"/>
          <w:spacing w:val="-4"/>
        </w:rPr>
        <w:t>2</w:t>
      </w:r>
      <w:r>
        <w:rPr>
          <w:spacing w:val="-4"/>
        </w:rPr>
        <w:t>、用户分流风险：随着技术水平的不断提高，新兴媒体形态不断涌现，移动互联网行业进入</w:t>
      </w:r>
      <w:r>
        <w:rPr>
          <w:w w:val="100"/>
        </w:rPr>
        <w:t> </w:t>
      </w:r>
      <w:r>
        <w:rPr>
          <w:spacing w:val="-7"/>
        </w:rPr>
        <w:t>井喷式发展。用户由</w:t>
      </w:r>
      <w:r>
        <w:rPr>
          <w:spacing w:val="-27"/>
        </w:rPr>
        <w:t> </w:t>
      </w:r>
      <w:r>
        <w:rPr>
          <w:rFonts w:ascii="宋体" w:hAnsi="宋体" w:cs="宋体" w:eastAsia="宋体" w:hint="default"/>
        </w:rPr>
        <w:t>PC</w:t>
      </w:r>
      <w:r>
        <w:rPr>
          <w:rFonts w:ascii="宋体" w:hAnsi="宋体" w:cs="宋体" w:eastAsia="宋体" w:hint="default"/>
          <w:spacing w:val="-29"/>
        </w:rPr>
        <w:t> </w:t>
      </w:r>
      <w:r>
        <w:rPr>
          <w:spacing w:val="-3"/>
        </w:rPr>
        <w:t>端向移动端迁移加速，在一定程度上对公司页面浏览量及访问者数的进一</w:t>
      </w:r>
      <w:r>
        <w:rPr>
          <w:spacing w:val="-96"/>
        </w:rPr>
        <w:t> </w:t>
      </w:r>
      <w:r>
        <w:rPr>
          <w:spacing w:val="-96"/>
        </w:rPr>
      </w:r>
      <w:r>
        <w:rPr>
          <w:spacing w:val="-2"/>
        </w:rPr>
        <w:t>步提升产生影响。此外，在媒体融合不断加深拓展的形势下，新闻信息的传播更加强调互动性、</w:t>
      </w:r>
      <w:r>
        <w:rPr>
          <w:spacing w:val="-25"/>
        </w:rPr>
        <w:t> </w:t>
      </w:r>
      <w:r>
        <w:rPr>
          <w:spacing w:val="-25"/>
        </w:rPr>
      </w:r>
      <w:r>
        <w:rPr>
          <w:spacing w:val="-2"/>
        </w:rPr>
        <w:t>开放性，媒体之间的竞争日益白热化，一大批具有资源及内容优势的传统媒体加速在互联网及移</w:t>
      </w:r>
      <w:r>
        <w:rPr>
          <w:spacing w:val="-25"/>
        </w:rPr>
        <w:t> </w:t>
      </w:r>
      <w:r>
        <w:rPr>
          <w:spacing w:val="-25"/>
        </w:rPr>
      </w:r>
      <w:r>
        <w:rPr>
          <w:spacing w:val="-2"/>
        </w:rPr>
        <w:t>动互联网领域的布局，也可能造成公司用户分流现象。尽快适应传播形态的多样性的变化，不断</w:t>
      </w:r>
      <w:r>
        <w:rPr>
          <w:spacing w:val="-25"/>
        </w:rPr>
        <w:t> </w:t>
      </w:r>
      <w:r>
        <w:rPr>
          <w:spacing w:val="-25"/>
        </w:rPr>
      </w:r>
      <w:r>
        <w:rPr>
          <w:spacing w:val="-2"/>
        </w:rPr>
        <w:t>强化平台的差异化优势，推出更完善的多元服务产品，并及时捕捉和快速响应用户需求的变化，</w:t>
      </w:r>
      <w:r>
        <w:rPr>
          <w:spacing w:val="-25"/>
        </w:rPr>
        <w:t> </w:t>
      </w:r>
      <w:r>
        <w:rPr>
          <w:spacing w:val="-25"/>
        </w:rPr>
      </w:r>
      <w:r>
        <w:rPr/>
        <w:t>成为公司必须面临的挑战。</w:t>
      </w:r>
    </w:p>
    <w:p>
      <w:pPr>
        <w:pStyle w:val="BodyText"/>
        <w:spacing w:line="271" w:lineRule="exact"/>
        <w:ind w:left="558" w:right="0"/>
        <w:jc w:val="left"/>
      </w:pPr>
      <w:r>
        <w:rPr>
          <w:rFonts w:ascii="宋体" w:hAnsi="宋体" w:cs="宋体" w:eastAsia="宋体" w:hint="default"/>
        </w:rPr>
        <w:t>3</w:t>
      </w:r>
      <w:r>
        <w:rPr/>
        <w:t>、募集资金投资项目风险：公司本次募集资金投资项目投资总额为</w:t>
      </w:r>
      <w:r>
        <w:rPr>
          <w:spacing w:val="-58"/>
        </w:rPr>
        <w:t> </w:t>
      </w:r>
      <w:r>
        <w:rPr>
          <w:rFonts w:ascii="宋体" w:hAnsi="宋体" w:cs="宋体" w:eastAsia="宋体" w:hint="default"/>
        </w:rPr>
        <w:t>5.27</w:t>
      </w:r>
      <w:r>
        <w:rPr>
          <w:rFonts w:ascii="宋体" w:hAnsi="宋体" w:cs="宋体" w:eastAsia="宋体" w:hint="default"/>
          <w:spacing w:val="-57"/>
        </w:rPr>
        <w:t> </w:t>
      </w:r>
      <w:r>
        <w:rPr/>
        <w:t>亿元，其中，超过</w:t>
      </w:r>
    </w:p>
    <w:p>
      <w:pPr>
        <w:pStyle w:val="BodyText"/>
        <w:spacing w:line="237" w:lineRule="auto" w:before="2"/>
        <w:ind w:right="217"/>
        <w:jc w:val="both"/>
      </w:pPr>
      <w:r>
        <w:rPr>
          <w:rFonts w:ascii="宋体" w:hAnsi="宋体" w:cs="宋体" w:eastAsia="宋体" w:hint="default"/>
        </w:rPr>
        <w:t>2</w:t>
      </w:r>
      <w:r>
        <w:rPr>
          <w:rFonts w:ascii="宋体" w:hAnsi="宋体" w:cs="宋体" w:eastAsia="宋体" w:hint="default"/>
          <w:spacing w:val="-55"/>
        </w:rPr>
        <w:t> </w:t>
      </w:r>
      <w:r>
        <w:rPr/>
        <w:t>亿元用于购置设备等固定资产和软件等无形资产，且技术平台改造升级项目和采编平台扩充升</w:t>
      </w:r>
      <w:r>
        <w:rPr>
          <w:w w:val="100"/>
        </w:rPr>
        <w:t> </w:t>
      </w:r>
      <w:r>
        <w:rPr>
          <w:spacing w:val="-2"/>
        </w:rPr>
        <w:t>级项目不能直接带来经济效益，项目实施后资产结构发生变化，可能会对公司未来收益造成一定</w:t>
      </w:r>
      <w:r>
        <w:rPr>
          <w:spacing w:val="-25"/>
        </w:rPr>
        <w:t> </w:t>
      </w:r>
      <w:r>
        <w:rPr>
          <w:spacing w:val="-25"/>
        </w:rPr>
      </w:r>
      <w:r>
        <w:rPr>
          <w:spacing w:val="-2"/>
        </w:rPr>
        <w:t>的压力。另外，由于互联网行业市场参与者众多、技术升级速度加快，行业同质化竞争加剧，市</w:t>
      </w:r>
    </w:p>
    <w:p>
      <w:pPr>
        <w:spacing w:after="0" w:line="237" w:lineRule="auto"/>
        <w:jc w:val="both"/>
        <w:sectPr>
          <w:pgSz w:w="11910" w:h="16840"/>
          <w:pgMar w:header="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137"/>
        <w:jc w:val="both"/>
      </w:pPr>
      <w:r>
        <w:rPr>
          <w:spacing w:val="-2"/>
        </w:rPr>
        <w:t>场开发风险逐步加大，为避免募集资金浪费，公司出于审慎考虑，暂时未将募集资金依预期进度</w:t>
      </w:r>
      <w:r>
        <w:rPr>
          <w:spacing w:val="-25"/>
        </w:rPr>
        <w:t> </w:t>
      </w:r>
      <w:r>
        <w:rPr>
          <w:spacing w:val="-25"/>
        </w:rPr>
      </w:r>
      <w:r>
        <w:rPr>
          <w:spacing w:val="-2"/>
        </w:rPr>
        <w:t>投入募投项目中，如上述业务未实现预定的市场开发计划，将影响募集资金项目的开展进度以及</w:t>
      </w:r>
      <w:r>
        <w:rPr>
          <w:spacing w:val="-25"/>
        </w:rPr>
        <w:t> </w:t>
      </w:r>
      <w:r>
        <w:rPr>
          <w:spacing w:val="-25"/>
        </w:rPr>
      </w:r>
      <w:r>
        <w:rPr/>
        <w:t>投资回报的实现。</w:t>
      </w:r>
    </w:p>
    <w:p>
      <w:pPr>
        <w:pStyle w:val="BodyText"/>
        <w:spacing w:line="237" w:lineRule="auto" w:before="1"/>
        <w:ind w:right="128" w:firstLine="419"/>
        <w:jc w:val="both"/>
      </w:pPr>
      <w:r>
        <w:rPr>
          <w:rFonts w:ascii="宋体" w:hAnsi="宋体" w:cs="宋体" w:eastAsia="宋体" w:hint="default"/>
          <w:spacing w:val="-4"/>
        </w:rPr>
        <w:t>4</w:t>
      </w:r>
      <w:r>
        <w:rPr>
          <w:spacing w:val="-4"/>
        </w:rPr>
        <w:t>、公司规模扩张的管理风险：随着公司规模的不断扩张，纳入合并范围的子公司及孙公司数</w:t>
      </w:r>
      <w:r>
        <w:rPr>
          <w:w w:val="100"/>
        </w:rPr>
        <w:t> </w:t>
      </w:r>
      <w:r>
        <w:rPr/>
        <w:t>量已达</w:t>
      </w:r>
      <w:r>
        <w:rPr>
          <w:spacing w:val="-31"/>
        </w:rPr>
        <w:t> </w:t>
      </w:r>
      <w:r>
        <w:rPr>
          <w:rFonts w:ascii="宋体" w:hAnsi="宋体" w:cs="宋体" w:eastAsia="宋体" w:hint="default"/>
        </w:rPr>
        <w:t>39</w:t>
      </w:r>
      <w:r>
        <w:rPr>
          <w:rFonts w:ascii="宋体" w:hAnsi="宋体" w:cs="宋体" w:eastAsia="宋体" w:hint="default"/>
          <w:spacing w:val="-34"/>
        </w:rPr>
        <w:t> </w:t>
      </w:r>
      <w:r>
        <w:rPr>
          <w:spacing w:val="-4"/>
        </w:rPr>
        <w:t>家，导致公司组织结构日趋庞大，公司内部管理的复杂度和难度将不断提高。公司在战</w:t>
      </w:r>
      <w:r>
        <w:rPr>
          <w:spacing w:val="-97"/>
        </w:rPr>
        <w:t> </w:t>
      </w:r>
      <w:r>
        <w:rPr>
          <w:spacing w:val="-97"/>
        </w:rPr>
      </w:r>
      <w:r>
        <w:rPr>
          <w:spacing w:val="-2"/>
        </w:rPr>
        <w:t>略规划、制度建设、组织机构设置、运营管理和内部控制等方面将面临更大的挑战。如果公司未</w:t>
      </w:r>
      <w:r>
        <w:rPr>
          <w:spacing w:val="-25"/>
        </w:rPr>
        <w:t> </w:t>
      </w:r>
      <w:r>
        <w:rPr>
          <w:spacing w:val="-25"/>
        </w:rPr>
      </w:r>
      <w:r>
        <w:rPr/>
        <w:t>能及时调整经营观念和管理手段，将面临企业规模扩张所带来的管理风险。</w:t>
      </w:r>
    </w:p>
    <w:p>
      <w:pPr>
        <w:pStyle w:val="BodyText"/>
        <w:spacing w:line="237" w:lineRule="auto" w:before="1"/>
        <w:ind w:right="128" w:firstLine="419"/>
        <w:jc w:val="both"/>
      </w:pPr>
      <w:r>
        <w:rPr>
          <w:rFonts w:ascii="宋体" w:hAnsi="宋体" w:cs="宋体" w:eastAsia="宋体" w:hint="default"/>
          <w:spacing w:val="-4"/>
        </w:rPr>
        <w:t>5</w:t>
      </w:r>
      <w:r>
        <w:rPr>
          <w:spacing w:val="-4"/>
        </w:rPr>
        <w:t>、股权投资子公司业绩承诺的风险：公司部分盈利来自于股权投资子公司的业绩贡献，由于</w:t>
      </w:r>
      <w:r>
        <w:rPr>
          <w:w w:val="100"/>
        </w:rPr>
        <w:t> </w:t>
      </w:r>
      <w:r>
        <w:rPr>
          <w:spacing w:val="-2"/>
        </w:rPr>
        <w:t>目标公司的日常经营可能受到宏观经济政策和行业监管因素的影响，因此在业绩承诺期内，若出</w:t>
      </w:r>
      <w:r>
        <w:rPr>
          <w:spacing w:val="-25"/>
        </w:rPr>
        <w:t> </w:t>
      </w:r>
      <w:r>
        <w:rPr>
          <w:spacing w:val="-25"/>
        </w:rPr>
      </w:r>
      <w:r>
        <w:rPr>
          <w:spacing w:val="-2"/>
        </w:rPr>
        <w:t>现子公司无法于正常状态运营时，实现的实际净利润可能低于对应年度的业绩承诺金额，业绩补</w:t>
      </w:r>
      <w:r>
        <w:rPr>
          <w:spacing w:val="-25"/>
        </w:rPr>
        <w:t> </w:t>
      </w:r>
      <w:r>
        <w:rPr>
          <w:spacing w:val="-25"/>
        </w:rPr>
      </w:r>
      <w:r>
        <w:rPr>
          <w:spacing w:val="-2"/>
        </w:rPr>
        <w:t>偿义务人如不能履行业绩补偿承诺，可能会对目标公司现金流产生不利影响，从而影响投资股权</w:t>
      </w:r>
      <w:r>
        <w:rPr>
          <w:spacing w:val="-25"/>
        </w:rPr>
        <w:t> </w:t>
      </w:r>
      <w:r>
        <w:rPr>
          <w:spacing w:val="-25"/>
        </w:rPr>
      </w:r>
      <w:r>
        <w:rPr/>
        <w:t>回报的实现。</w:t>
      </w:r>
    </w:p>
    <w:p>
      <w:pPr>
        <w:pStyle w:val="BodyText"/>
        <w:spacing w:line="237" w:lineRule="auto"/>
        <w:ind w:right="127" w:firstLine="419"/>
        <w:jc w:val="both"/>
      </w:pPr>
      <w:r>
        <w:rPr>
          <w:rFonts w:ascii="宋体" w:hAnsi="宋体" w:cs="宋体" w:eastAsia="宋体" w:hint="default"/>
        </w:rPr>
        <w:t>6</w:t>
      </w:r>
      <w:r>
        <w:rPr/>
        <w:t>、互联网彩票服务业务继续暂停的风险：</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月末，国家体育总局发布《体育总局关</w:t>
      </w:r>
      <w:r>
        <w:rPr>
          <w:w w:val="100"/>
        </w:rPr>
        <w:t> </w:t>
      </w:r>
      <w:r>
        <w:rPr>
          <w:spacing w:val="-9"/>
          <w:w w:val="100"/>
        </w:rPr>
        <w:t>于切实落实彩票资金专项审计意见加强体育彩票管理工作的通知》，要求切实贯彻落实《财政部</w:t>
      </w:r>
      <w:r>
        <w:rPr>
          <w:spacing w:val="12"/>
          <w:w w:val="100"/>
        </w:rPr>
        <w:t> </w:t>
      </w:r>
      <w:r>
        <w:rPr>
          <w:w w:val="100"/>
        </w:rPr>
        <w:t>民</w:t>
      </w:r>
      <w:r>
        <w:rPr>
          <w:spacing w:val="-103"/>
          <w:w w:val="100"/>
        </w:rPr>
        <w:t> </w:t>
      </w:r>
      <w:r>
        <w:rPr>
          <w:spacing w:val="-103"/>
          <w:w w:val="100"/>
        </w:rPr>
      </w:r>
      <w:r>
        <w:rPr/>
        <w:t>政部</w:t>
      </w:r>
      <w:r>
        <w:rPr>
          <w:spacing w:val="50"/>
        </w:rPr>
        <w:t> </w:t>
      </w:r>
      <w:r>
        <w:rPr>
          <w:spacing w:val="-4"/>
        </w:rPr>
        <w:t>国家体育总局关于开展擅自利用互联网销售彩票行为自查自纠工作有关问题的通知》。为积</w:t>
      </w:r>
      <w:r>
        <w:rPr>
          <w:spacing w:val="-96"/>
        </w:rPr>
        <w:t> </w:t>
      </w:r>
      <w:r>
        <w:rPr>
          <w:spacing w:val="-96"/>
        </w:rPr>
      </w:r>
      <w:r>
        <w:rPr>
          <w:spacing w:val="-4"/>
        </w:rPr>
        <w:t>极响应上述《通知》要求，公司下属控股子公司人民澳客自</w:t>
      </w:r>
      <w:r>
        <w:rPr>
          <w:spacing w:val="-38"/>
        </w:rPr>
        <w:t> </w:t>
      </w:r>
      <w:r>
        <w:rPr>
          <w:rFonts w:ascii="宋体" w:hAnsi="宋体" w:cs="宋体" w:eastAsia="宋体" w:hint="default"/>
        </w:rPr>
        <w:t>2</w:t>
      </w:r>
      <w:r>
        <w:rPr>
          <w:rFonts w:ascii="宋体" w:hAnsi="宋体" w:cs="宋体" w:eastAsia="宋体" w:hint="default"/>
          <w:spacing w:val="-40"/>
        </w:rPr>
        <w:t> </w:t>
      </w:r>
      <w:r>
        <w:rPr/>
        <w:t>月</w:t>
      </w:r>
      <w:r>
        <w:rPr>
          <w:spacing w:val="-38"/>
        </w:rPr>
        <w:t> </w:t>
      </w:r>
      <w:r>
        <w:rPr>
          <w:rFonts w:ascii="宋体" w:hAnsi="宋体" w:cs="宋体" w:eastAsia="宋体" w:hint="default"/>
        </w:rPr>
        <w:t>28</w:t>
      </w:r>
      <w:r>
        <w:rPr>
          <w:rFonts w:ascii="宋体" w:hAnsi="宋体" w:cs="宋体" w:eastAsia="宋体" w:hint="default"/>
          <w:spacing w:val="-38"/>
        </w:rPr>
        <w:t> </w:t>
      </w:r>
      <w:r>
        <w:rPr>
          <w:spacing w:val="-5"/>
        </w:rPr>
        <w:t>日起，暂停体彩、福彩的彩票</w:t>
      </w:r>
      <w:r>
        <w:rPr>
          <w:spacing w:val="-98"/>
        </w:rPr>
        <w:t> </w:t>
      </w:r>
      <w:r>
        <w:rPr>
          <w:spacing w:val="-98"/>
        </w:rPr>
      </w:r>
      <w:r>
        <w:rPr>
          <w:spacing w:val="-2"/>
        </w:rPr>
        <w:t>委托业务。截至目前，公司尚未接到主管部门关于恢复相关业务的通知，尚不能明确该业务的恢</w:t>
      </w:r>
      <w:r>
        <w:rPr>
          <w:spacing w:val="-25"/>
        </w:rPr>
        <w:t> </w:t>
      </w:r>
      <w:r>
        <w:rPr>
          <w:spacing w:val="-25"/>
        </w:rPr>
      </w:r>
      <w:r>
        <w:rPr/>
        <w:t>复时间，故目前该事项对公司未来业绩的影响仍存在不确定性。</w:t>
      </w: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2"/>
        <w:ind w:left="558" w:right="2543"/>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footerReference w:type="default" r:id="rId24"/>
          <w:pgSz w:w="11910" w:h="16840"/>
          <w:pgMar w:footer="1195" w:header="0" w:top="1120" w:bottom="1380" w:left="1660" w:right="1140"/>
          <w:pgNumType w:start="21"/>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9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一、普通股利润分配或资本公积金转增预案</w:t>
      </w:r>
      <w:r>
        <w:rPr>
          <w:b w:val="0"/>
          <w:bCs w:val="0"/>
        </w:rPr>
      </w:r>
    </w:p>
    <w:p>
      <w:pPr>
        <w:pStyle w:val="Heading2"/>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89"/>
        <w:ind w:left="218" w:right="308" w:firstLine="419"/>
        <w:jc w:val="both"/>
      </w:pPr>
      <w:r>
        <w:rPr/>
        <w:t>公司在 </w:t>
      </w:r>
      <w:r>
        <w:rPr>
          <w:rFonts w:ascii="宋体" w:hAnsi="宋体" w:cs="宋体" w:eastAsia="宋体" w:hint="default"/>
        </w:rPr>
        <w:t>2011</w:t>
      </w:r>
      <w:r>
        <w:rPr>
          <w:rFonts w:ascii="宋体" w:hAnsi="宋体" w:cs="宋体" w:eastAsia="宋体" w:hint="default"/>
          <w:spacing w:val="-46"/>
        </w:rPr>
        <w:t> </w:t>
      </w:r>
      <w:r>
        <w:rPr>
          <w:spacing w:val="-5"/>
        </w:rPr>
        <w:t>年第三次临时股东大会上对《公司章程》中股利分配政策进行了修改与明确，公</w:t>
      </w:r>
      <w:r>
        <w:rPr>
          <w:w w:val="100"/>
        </w:rPr>
        <w:t> </w:t>
      </w:r>
      <w:r>
        <w:rPr/>
        <w:t>司实行持续、稳定的利润分配政策，重视对投资者的合理投资回报并兼顾公司的可持续发展。</w:t>
      </w:r>
    </w:p>
    <w:p>
      <w:pPr>
        <w:pStyle w:val="BodyText"/>
        <w:spacing w:line="274" w:lineRule="exact" w:before="116"/>
        <w:ind w:left="638" w:right="85"/>
        <w:jc w:val="left"/>
      </w:pPr>
      <w:r>
        <w:rPr/>
        <w:t>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4"/>
        </w:rPr>
        <w:t> </w:t>
      </w:r>
      <w:r>
        <w:rPr/>
        <w:t>日召开的</w:t>
      </w:r>
      <w:r>
        <w:rPr>
          <w:spacing w:val="-54"/>
        </w:rPr>
        <w:t> </w:t>
      </w:r>
      <w:r>
        <w:rPr>
          <w:rFonts w:ascii="宋体" w:hAnsi="宋体" w:cs="宋体" w:eastAsia="宋体" w:hint="default"/>
        </w:rPr>
        <w:t>2014</w:t>
      </w:r>
      <w:r>
        <w:rPr>
          <w:rFonts w:ascii="宋体" w:hAnsi="宋体" w:cs="宋体" w:eastAsia="宋体" w:hint="default"/>
          <w:spacing w:val="-54"/>
        </w:rPr>
        <w:t> </w:t>
      </w:r>
      <w:r>
        <w:rPr/>
        <w:t>年年度股东大会上审议通过了《关于</w:t>
      </w:r>
      <w:r>
        <w:rPr>
          <w:rFonts w:ascii="宋体" w:hAnsi="宋体" w:cs="宋体" w:eastAsia="宋体" w:hint="default"/>
        </w:rPr>
        <w:t>&lt;</w:t>
      </w:r>
      <w:r>
        <w:rPr/>
        <w:t>人民网股份有限</w:t>
      </w:r>
    </w:p>
    <w:p>
      <w:pPr>
        <w:pStyle w:val="BodyText"/>
        <w:spacing w:line="237" w:lineRule="auto" w:before="2"/>
        <w:ind w:left="218" w:right="308"/>
        <w:jc w:val="both"/>
      </w:pPr>
      <w:r>
        <w:rPr/>
        <w:t>公司</w:t>
      </w:r>
      <w:r>
        <w:rPr>
          <w:spacing w:val="-55"/>
        </w:rPr>
        <w:t> </w:t>
      </w:r>
      <w:r>
        <w:rPr>
          <w:rFonts w:ascii="宋体" w:hAnsi="宋体" w:cs="宋体" w:eastAsia="宋体" w:hint="default"/>
        </w:rPr>
        <w:t>2014</w:t>
      </w:r>
      <w:r>
        <w:rPr>
          <w:rFonts w:ascii="宋体" w:hAnsi="宋体" w:cs="宋体" w:eastAsia="宋体" w:hint="default"/>
          <w:spacing w:val="-57"/>
        </w:rPr>
        <w:t> </w:t>
      </w:r>
      <w:r>
        <w:rPr/>
        <w:t>年度利润分配方案</w:t>
      </w:r>
      <w:r>
        <w:rPr>
          <w:rFonts w:ascii="宋体" w:hAnsi="宋体" w:cs="宋体" w:eastAsia="宋体" w:hint="default"/>
        </w:rPr>
        <w:t>&gt;</w:t>
      </w:r>
      <w:r>
        <w:rPr/>
        <w:t>的议案》，同意公司以总股本</w:t>
      </w:r>
      <w:r>
        <w:rPr>
          <w:spacing w:val="-55"/>
        </w:rPr>
        <w:t> </w:t>
      </w:r>
      <w:r>
        <w:rPr>
          <w:rFonts w:ascii="宋体" w:hAnsi="宋体" w:cs="宋体" w:eastAsia="宋体" w:hint="default"/>
        </w:rPr>
        <w:t>552,845,528</w:t>
      </w:r>
      <w:r>
        <w:rPr>
          <w:rFonts w:ascii="宋体" w:hAnsi="宋体" w:cs="宋体" w:eastAsia="宋体" w:hint="default"/>
          <w:spacing w:val="-57"/>
        </w:rPr>
        <w:t> </w:t>
      </w:r>
      <w:r>
        <w:rPr/>
        <w:t>股为基数，向全体股东</w:t>
      </w:r>
      <w:r>
        <w:rPr>
          <w:w w:val="100"/>
        </w:rPr>
        <w:t> </w:t>
      </w:r>
      <w:r>
        <w:rPr/>
        <w:t>每</w:t>
      </w:r>
      <w:r>
        <w:rPr>
          <w:spacing w:val="-48"/>
        </w:rPr>
        <w:t> </w:t>
      </w:r>
      <w:r>
        <w:rPr>
          <w:rFonts w:ascii="宋体" w:hAnsi="宋体" w:cs="宋体" w:eastAsia="宋体" w:hint="default"/>
        </w:rPr>
        <w:t>10</w:t>
      </w:r>
      <w:r>
        <w:rPr>
          <w:rFonts w:ascii="宋体" w:hAnsi="宋体" w:cs="宋体" w:eastAsia="宋体" w:hint="default"/>
          <w:spacing w:val="-50"/>
        </w:rPr>
        <w:t> </w:t>
      </w:r>
      <w:r>
        <w:rPr/>
        <w:t>股派发现金股利人民币</w:t>
      </w:r>
      <w:r>
        <w:rPr>
          <w:spacing w:val="-47"/>
        </w:rPr>
        <w:t> </w:t>
      </w:r>
      <w:r>
        <w:rPr>
          <w:rFonts w:ascii="宋体" w:hAnsi="宋体" w:cs="宋体" w:eastAsia="宋体" w:hint="default"/>
        </w:rPr>
        <w:t>1.8</w:t>
      </w:r>
      <w:r>
        <w:rPr>
          <w:rFonts w:ascii="宋体" w:hAnsi="宋体" w:cs="宋体" w:eastAsia="宋体" w:hint="default"/>
          <w:spacing w:val="-50"/>
        </w:rPr>
        <w:t> </w:t>
      </w:r>
      <w:r>
        <w:rPr>
          <w:spacing w:val="-13"/>
        </w:rPr>
        <w:t>元（含税），共计分配现金股利人民</w:t>
      </w:r>
      <w:r>
        <w:rPr>
          <w:spacing w:val="-48"/>
        </w:rPr>
        <w:t> </w:t>
      </w:r>
      <w:r>
        <w:rPr>
          <w:rFonts w:ascii="宋体" w:hAnsi="宋体" w:cs="宋体" w:eastAsia="宋体" w:hint="default"/>
        </w:rPr>
        <w:t>99,512,195.04</w:t>
      </w:r>
      <w:r>
        <w:rPr>
          <w:rFonts w:ascii="宋体" w:hAnsi="宋体" w:cs="宋体" w:eastAsia="宋体" w:hint="default"/>
          <w:spacing w:val="-50"/>
        </w:rPr>
        <w:t> </w:t>
      </w:r>
      <w:r>
        <w:rPr>
          <w:spacing w:val="-22"/>
        </w:rPr>
        <w:t>元（含税）；</w:t>
      </w:r>
      <w:r>
        <w:rPr>
          <w:spacing w:val="-103"/>
        </w:rPr>
        <w:t> </w:t>
      </w:r>
      <w:r>
        <w:rPr>
          <w:spacing w:val="-103"/>
        </w:rPr>
      </w:r>
      <w:r>
        <w:rPr>
          <w:spacing w:val="-6"/>
        </w:rPr>
        <w:t>同时，以资本公积金向全体股东每</w:t>
      </w:r>
      <w:r>
        <w:rPr>
          <w:spacing w:val="-46"/>
        </w:rPr>
        <w:t> </w:t>
      </w:r>
      <w:r>
        <w:rPr>
          <w:rFonts w:ascii="宋体" w:hAnsi="宋体" w:cs="宋体" w:eastAsia="宋体" w:hint="default"/>
        </w:rPr>
        <w:t>10</w:t>
      </w:r>
      <w:r>
        <w:rPr>
          <w:rFonts w:ascii="宋体" w:hAnsi="宋体" w:cs="宋体" w:eastAsia="宋体" w:hint="default"/>
          <w:spacing w:val="-48"/>
        </w:rPr>
        <w:t> </w:t>
      </w:r>
      <w:r>
        <w:rPr/>
        <w:t>股转增</w:t>
      </w:r>
      <w:r>
        <w:rPr>
          <w:spacing w:val="-46"/>
        </w:rPr>
        <w:t> </w:t>
      </w:r>
      <w:r>
        <w:rPr>
          <w:rFonts w:ascii="宋体" w:hAnsi="宋体" w:cs="宋体" w:eastAsia="宋体" w:hint="default"/>
        </w:rPr>
        <w:t>10</w:t>
      </w:r>
      <w:r>
        <w:rPr>
          <w:rFonts w:ascii="宋体" w:hAnsi="宋体" w:cs="宋体" w:eastAsia="宋体" w:hint="default"/>
          <w:spacing w:val="-48"/>
        </w:rPr>
        <w:t> </w:t>
      </w:r>
      <w:r>
        <w:rPr>
          <w:spacing w:val="-12"/>
        </w:rPr>
        <w:t>股，转增后，公司总股本增至</w:t>
      </w:r>
      <w:r>
        <w:rPr>
          <w:spacing w:val="-48"/>
        </w:rPr>
        <w:t> </w:t>
      </w:r>
      <w:r>
        <w:rPr>
          <w:rFonts w:ascii="宋体" w:hAnsi="宋体" w:cs="宋体" w:eastAsia="宋体" w:hint="default"/>
        </w:rPr>
        <w:t>1,105,691,056</w:t>
      </w:r>
      <w:r>
        <w:rPr>
          <w:rFonts w:ascii="宋体" w:hAnsi="宋体" w:cs="宋体" w:eastAsia="宋体" w:hint="default"/>
          <w:spacing w:val="-45"/>
        </w:rPr>
        <w:t> </w:t>
      </w:r>
      <w:r>
        <w:rPr/>
        <w:t>股。</w:t>
      </w:r>
    </w:p>
    <w:p>
      <w:pPr>
        <w:pStyle w:val="BodyText"/>
        <w:spacing w:line="274" w:lineRule="exact" w:before="22"/>
        <w:ind w:left="218" w:right="1264"/>
        <w:jc w:val="left"/>
      </w:pPr>
      <w:r>
        <w:rPr/>
        <w:t>上述利润分配方案已于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月实施完毕，详见公司于当月在上海证券交易所网站</w:t>
      </w:r>
      <w:r>
        <w:rPr>
          <w:w w:val="100"/>
        </w:rPr>
        <w:t> </w:t>
      </w:r>
      <w:hyperlink r:id="rId10">
        <w:r>
          <w:rPr>
            <w:rFonts w:ascii="宋体" w:hAnsi="宋体" w:cs="宋体" w:eastAsia="宋体" w:hint="default"/>
          </w:rPr>
          <w:t>(www.sse.com.cn</w:t>
        </w:r>
      </w:hyperlink>
      <w:r>
        <w:rPr>
          <w:rFonts w:ascii="宋体" w:hAnsi="宋体" w:cs="宋体" w:eastAsia="宋体" w:hint="default"/>
        </w:rPr>
        <w:t>)</w:t>
      </w:r>
      <w:r>
        <w:rPr/>
        <w:t>披露的相关公告。</w:t>
      </w:r>
    </w:p>
    <w:p>
      <w:pPr>
        <w:pStyle w:val="BodyText"/>
        <w:spacing w:line="237" w:lineRule="auto" w:before="93"/>
        <w:ind w:left="218" w:right="310" w:firstLine="419"/>
        <w:jc w:val="both"/>
      </w:pPr>
      <w:r>
        <w:rPr>
          <w:spacing w:val="-2"/>
        </w:rPr>
        <w:t>经公司第二届董事会第二十二次会议审议，公司</w:t>
      </w:r>
      <w:r>
        <w:rPr>
          <w:rFonts w:ascii="宋体" w:hAnsi="宋体" w:cs="宋体" w:eastAsia="宋体" w:hint="default"/>
          <w:spacing w:val="-2"/>
        </w:rPr>
        <w:t>2015</w:t>
      </w:r>
      <w:r>
        <w:rPr>
          <w:spacing w:val="-2"/>
        </w:rPr>
        <w:t>年度的利润分配方案拟定如下：公司拟</w:t>
      </w:r>
      <w:r>
        <w:rPr>
          <w:w w:val="100"/>
        </w:rPr>
        <w:t> </w:t>
      </w:r>
      <w:r>
        <w:rPr>
          <w:spacing w:val="-4"/>
        </w:rPr>
        <w:t>以总股本</w:t>
      </w:r>
      <w:r>
        <w:rPr>
          <w:rFonts w:ascii="宋体" w:hAnsi="宋体" w:cs="宋体" w:eastAsia="宋体" w:hint="default"/>
          <w:spacing w:val="-4"/>
        </w:rPr>
        <w:t>1,105,691,056</w:t>
      </w:r>
      <w:r>
        <w:rPr>
          <w:spacing w:val="-4"/>
        </w:rPr>
        <w:t>股为基数，每</w:t>
      </w:r>
      <w:r>
        <w:rPr>
          <w:rFonts w:ascii="宋体" w:hAnsi="宋体" w:cs="宋体" w:eastAsia="宋体" w:hint="default"/>
          <w:spacing w:val="-4"/>
        </w:rPr>
        <w:t>10</w:t>
      </w:r>
      <w:r>
        <w:rPr>
          <w:spacing w:val="-4"/>
        </w:rPr>
        <w:t>股派发现金股利人民币</w:t>
      </w:r>
      <w:r>
        <w:rPr>
          <w:rFonts w:ascii="宋体" w:hAnsi="宋体" w:cs="宋体" w:eastAsia="宋体" w:hint="default"/>
          <w:spacing w:val="-4"/>
        </w:rPr>
        <w:t>0.75</w:t>
      </w:r>
      <w:r>
        <w:rPr>
          <w:spacing w:val="-4"/>
        </w:rPr>
        <w:t>元（含税），共计分配现金股</w:t>
      </w:r>
      <w:r>
        <w:rPr>
          <w:spacing w:val="-5"/>
        </w:rPr>
        <w:t> </w:t>
      </w:r>
      <w:r>
        <w:rPr>
          <w:spacing w:val="-5"/>
        </w:rPr>
      </w:r>
      <w:r>
        <w:rPr>
          <w:spacing w:val="-4"/>
        </w:rPr>
        <w:t>利人民币</w:t>
      </w:r>
      <w:r>
        <w:rPr>
          <w:rFonts w:ascii="宋体" w:hAnsi="宋体" w:cs="宋体" w:eastAsia="宋体" w:hint="default"/>
          <w:spacing w:val="-4"/>
        </w:rPr>
        <w:t>82,926,829.20</w:t>
      </w:r>
      <w:r>
        <w:rPr>
          <w:spacing w:val="-4"/>
        </w:rPr>
        <w:t>元，剩余未分配利润将结转下一年度。上述利润分配方案尚需提交股东大</w:t>
      </w:r>
      <w:r>
        <w:rPr>
          <w:spacing w:val="-14"/>
        </w:rPr>
        <w:t> </w:t>
      </w:r>
      <w:r>
        <w:rPr>
          <w:spacing w:val="-14"/>
        </w:rPr>
      </w:r>
      <w:r>
        <w:rPr/>
        <w:t>会审议通过。</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29"/>
        <w:ind w:left="0" w:right="3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35"/>
        <w:gridCol w:w="1090"/>
        <w:gridCol w:w="1135"/>
        <w:gridCol w:w="1685"/>
        <w:gridCol w:w="1688"/>
        <w:gridCol w:w="1385"/>
      </w:tblGrid>
      <w:tr>
        <w:trPr>
          <w:trHeight w:val="137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6"/>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60" w:right="158"/>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82,926,829.20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274,280,594.31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30.23</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99,512,195.04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330,222,551.16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30.13</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138,211,382.00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272,866,529.28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50.65</w:t>
            </w:r>
          </w:p>
        </w:tc>
      </w:tr>
    </w:tbl>
    <w:p>
      <w:pPr>
        <w:spacing w:line="240" w:lineRule="auto" w:before="2"/>
        <w:rPr>
          <w:rFonts w:ascii="宋体" w:hAnsi="宋体" w:cs="宋体" w:eastAsia="宋体" w:hint="default"/>
          <w:sz w:val="20"/>
          <w:szCs w:val="20"/>
        </w:rPr>
      </w:pPr>
    </w:p>
    <w:p>
      <w:pPr>
        <w:pStyle w:val="Heading2"/>
        <w:spacing w:line="264" w:lineRule="auto" w:before="36"/>
        <w:ind w:right="449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以现金方式要约回购股份计入现金分红的情况</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5"/>
          <w:szCs w:val="25"/>
        </w:rPr>
      </w:pPr>
    </w:p>
    <w:p>
      <w:pPr>
        <w:pStyle w:val="Heading2"/>
        <w:spacing w:line="274" w:lineRule="exact"/>
        <w:ind w:left="638" w:right="8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31"/>
        <w:ind w:left="218" w:right="85"/>
        <w:jc w:val="left"/>
      </w:pPr>
      <w:r>
        <w:rPr/>
        <w:t>□适用</w:t>
      </w:r>
      <w:r>
        <w:rPr>
          <w:spacing w:val="-1"/>
        </w:rPr>
        <w:t> </w:t>
      </w:r>
      <w:r>
        <w:rPr/>
        <w:t>√不适用</w:t>
      </w:r>
    </w:p>
    <w:p>
      <w:pPr>
        <w:spacing w:after="0" w:line="240" w:lineRule="auto"/>
        <w:jc w:val="left"/>
        <w:sectPr>
          <w:pgSz w:w="11910" w:h="16840"/>
          <w:pgMar w:header="0" w:footer="1195" w:top="1120" w:bottom="1380" w:left="1580" w:right="960"/>
        </w:sectPr>
      </w:pPr>
    </w:p>
    <w:p>
      <w:pPr>
        <w:spacing w:before="20"/>
        <w:ind w:left="6497" w:right="6413"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Heading2"/>
        <w:spacing w:line="240" w:lineRule="auto" w:before="36"/>
        <w:ind w:left="244" w:right="0"/>
        <w:jc w:val="left"/>
        <w:rPr>
          <w:b w:val="0"/>
          <w:bCs w:val="0"/>
        </w:rPr>
      </w:pPr>
      <w:r>
        <w:rPr/>
        <w:t>二、承诺事项履行情况</w:t>
      </w:r>
      <w:r>
        <w:rPr>
          <w:b w:val="0"/>
          <w:bCs w:val="0"/>
        </w:rPr>
      </w:r>
    </w:p>
    <w:p>
      <w:pPr>
        <w:pStyle w:val="BodyText"/>
        <w:spacing w:line="240" w:lineRule="auto" w:before="58"/>
        <w:ind w:left="244" w:right="0"/>
        <w:jc w:val="left"/>
      </w:pPr>
      <w:r>
        <w:rPr/>
        <w:t>√适用 □不适用</w:t>
      </w:r>
    </w:p>
    <w:p>
      <w:pPr>
        <w:pStyle w:val="Heading2"/>
        <w:tabs>
          <w:tab w:pos="810" w:val="left" w:leader="none"/>
        </w:tabs>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公司、股东、实际控制人、收购人、董事、监事、高级管理人员或其他关联方在报告期内或持续到报告期内的承诺事项</w:t>
      </w:r>
      <w:r>
        <w:rPr>
          <w:b w:val="0"/>
          <w:bCs w:val="0"/>
        </w:rPr>
      </w:r>
    </w:p>
    <w:p>
      <w:pPr>
        <w:spacing w:line="240" w:lineRule="auto" w:before="1"/>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550"/>
        <w:gridCol w:w="569"/>
        <w:gridCol w:w="708"/>
        <w:gridCol w:w="7518"/>
        <w:gridCol w:w="848"/>
        <w:gridCol w:w="710"/>
        <w:gridCol w:w="708"/>
        <w:gridCol w:w="1421"/>
        <w:gridCol w:w="989"/>
      </w:tblGrid>
      <w:tr>
        <w:trPr>
          <w:trHeight w:val="1099"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4" w:right="5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83" w:right="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7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545" w:right="353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2"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3" w:right="3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31"/>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ind w:left="182" w:right="173"/>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33" w:right="101"/>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6275"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58"/>
              <w:ind w:left="165" w:right="161"/>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39" w:right="134"/>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p>
          <w:p>
            <w:pPr>
              <w:pStyle w:val="TableParagraph"/>
              <w:spacing w:line="237" w:lineRule="auto"/>
              <w:ind w:left="139" w:right="134" w:firstLine="5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民日</w:t>
            </w:r>
            <w:r>
              <w:rPr>
                <w:rFonts w:ascii="宋体" w:hAnsi="宋体" w:cs="宋体" w:eastAsia="宋体" w:hint="default"/>
                <w:spacing w:val="-103"/>
                <w:sz w:val="21"/>
                <w:szCs w:val="21"/>
              </w:rPr>
              <w:t> </w:t>
            </w:r>
            <w:r>
              <w:rPr>
                <w:rFonts w:ascii="宋体" w:hAnsi="宋体" w:cs="宋体" w:eastAsia="宋体" w:hint="default"/>
                <w:sz w:val="21"/>
                <w:szCs w:val="21"/>
              </w:rPr>
              <w:t>报社</w:t>
            </w:r>
          </w:p>
        </w:tc>
        <w:tc>
          <w:tcPr>
            <w:tcW w:w="7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、致力于把人民网打造成人民日报社下唯一的“综合性新闻网站”、“经</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3"/>
                <w:sz w:val="21"/>
                <w:szCs w:val="21"/>
              </w:rPr>
              <w:t>营性网站（搜索引擎除外）”业务的单位，从事互联网新闻信息服务、互联网广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告业务、移动增值业务等与互联网相关的经营性业务，并支持人民网在该领域发</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展和扩大竞争优势。</w:t>
            </w:r>
          </w:p>
          <w:p>
            <w:pPr>
              <w:pStyle w:val="TableParagraph"/>
              <w:spacing w:line="237" w:lineRule="auto" w:before="1"/>
              <w:ind w:left="105" w:right="9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、人民日报社以及下属单位及企业（不包括人民网，以下相同概念同此理</w:t>
            </w:r>
            <w:r>
              <w:rPr>
                <w:rFonts w:ascii="宋体" w:hAnsi="宋体" w:cs="宋体" w:eastAsia="宋体" w:hint="default"/>
                <w:w w:val="100"/>
                <w:sz w:val="21"/>
                <w:szCs w:val="21"/>
              </w:rPr>
              <w:t> </w:t>
            </w:r>
            <w:r>
              <w:rPr>
                <w:rFonts w:ascii="宋体" w:hAnsi="宋体" w:cs="宋体" w:eastAsia="宋体" w:hint="default"/>
                <w:spacing w:val="-3"/>
                <w:sz w:val="21"/>
                <w:szCs w:val="21"/>
              </w:rPr>
              <w:t>解）目前没有从事或参与任何与人民网主营业务类似的业务；并承诺自本承诺函</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正式签署和出具之日起，人民日报社不会及促使下属单位及企业不会：①、在中</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国境内外以任何形式（包括但不限于投资、并购、联营、合资、合作、合伙、承</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包或租赁经营、购买上市公司股票；以下相同概念同此涵义）从事或参与与人民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网主营业务类似的业务。②、在中国境内外以任何形式支持人民网及其全资及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或控股子公司以外的第三方从事或参与与人民网主营业务类似的业务。</w:t>
            </w:r>
          </w:p>
          <w:p>
            <w:pPr>
              <w:pStyle w:val="TableParagraph"/>
              <w:spacing w:line="237" w:lineRule="auto"/>
              <w:ind w:left="105" w:right="151" w:firstLine="42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、人民日报社以及下属单位及企业如从任何第三方获得的商业机会与人民</w:t>
            </w:r>
            <w:r>
              <w:rPr>
                <w:rFonts w:ascii="宋体" w:hAnsi="宋体" w:cs="宋体" w:eastAsia="宋体" w:hint="default"/>
                <w:w w:val="100"/>
                <w:sz w:val="21"/>
                <w:szCs w:val="21"/>
              </w:rPr>
              <w:t> </w:t>
            </w:r>
            <w:r>
              <w:rPr>
                <w:rFonts w:ascii="宋体" w:hAnsi="宋体" w:cs="宋体" w:eastAsia="宋体" w:hint="default"/>
                <w:spacing w:val="-2"/>
                <w:sz w:val="21"/>
                <w:szCs w:val="21"/>
              </w:rPr>
              <w:t>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或控股子公司的主营业务可能构成直接或间接的竞争，则人民日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报社并承诺促使下属单位及企业将立即告知人民网及其全资及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并尽力促使该商业机会按合理和公平的条款和条件首先提供给人民网及其全资</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z w:val="21"/>
                <w:szCs w:val="21"/>
              </w:rPr>
              <w:t>/</w:t>
            </w:r>
            <w:r>
              <w:rPr>
                <w:rFonts w:ascii="宋体" w:hAnsi="宋体" w:cs="宋体" w:eastAsia="宋体" w:hint="default"/>
                <w:sz w:val="21"/>
                <w:szCs w:val="21"/>
              </w:rPr>
              <w:t>或控股子公司。</w:t>
            </w:r>
          </w:p>
          <w:p>
            <w:pPr>
              <w:pStyle w:val="TableParagraph"/>
              <w:spacing w:line="272" w:lineRule="exact" w:before="26"/>
              <w:ind w:left="105" w:right="96" w:firstLine="420"/>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、人民日报社保证不利用控股股东的地位损害人民网及其全资及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w:t>
            </w:r>
            <w:r>
              <w:rPr>
                <w:rFonts w:ascii="宋体" w:hAnsi="宋体" w:cs="宋体" w:eastAsia="宋体" w:hint="default"/>
                <w:w w:val="100"/>
                <w:sz w:val="21"/>
                <w:szCs w:val="21"/>
              </w:rPr>
              <w:t> </w:t>
            </w:r>
            <w:r>
              <w:rPr>
                <w:rFonts w:ascii="宋体" w:hAnsi="宋体" w:cs="宋体" w:eastAsia="宋体" w:hint="default"/>
                <w:sz w:val="21"/>
                <w:szCs w:val="21"/>
              </w:rPr>
              <w:t>公司的合法权益，也不利用自身特殊地位谋取非正常的额外利益。</w:t>
            </w:r>
          </w:p>
          <w:p>
            <w:pPr>
              <w:pStyle w:val="TableParagraph"/>
              <w:spacing w:line="272" w:lineRule="exact" w:before="1"/>
              <w:ind w:left="105" w:right="151" w:firstLine="420"/>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、以上承诺于人民日报社一直作为人民网的控股股东期间持续有效，且是</w:t>
            </w:r>
            <w:r>
              <w:rPr>
                <w:rFonts w:ascii="宋体" w:hAnsi="宋体" w:cs="宋体" w:eastAsia="宋体" w:hint="default"/>
                <w:w w:val="100"/>
                <w:sz w:val="21"/>
                <w:szCs w:val="21"/>
              </w:rPr>
              <w:t> </w:t>
            </w:r>
            <w:r>
              <w:rPr>
                <w:rFonts w:ascii="宋体" w:hAnsi="宋体" w:cs="宋体" w:eastAsia="宋体" w:hint="default"/>
                <w:sz w:val="21"/>
                <w:szCs w:val="21"/>
              </w:rPr>
              <w:t>不可撤销的。</w:t>
            </w:r>
          </w:p>
          <w:p>
            <w:pPr>
              <w:pStyle w:val="TableParagraph"/>
              <w:spacing w:line="246" w:lineRule="exact"/>
              <w:ind w:left="105" w:right="0" w:firstLine="42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、如因人民日报社未履行在本承诺函中所作的承诺及保证而给人民网及其</w:t>
            </w:r>
          </w:p>
          <w:p>
            <w:pPr>
              <w:pStyle w:val="TableParagraph"/>
              <w:spacing w:line="272" w:lineRule="exact" w:before="27"/>
              <w:ind w:left="105" w:right="101"/>
              <w:jc w:val="both"/>
              <w:rPr>
                <w:rFonts w:ascii="宋体" w:hAnsi="宋体" w:cs="宋体" w:eastAsia="宋体" w:hint="default"/>
                <w:sz w:val="21"/>
                <w:szCs w:val="21"/>
              </w:rPr>
            </w:pPr>
            <w:r>
              <w:rPr>
                <w:rFonts w:ascii="宋体" w:hAnsi="宋体" w:cs="宋体" w:eastAsia="宋体" w:hint="default"/>
                <w:spacing w:val="-3"/>
                <w:sz w:val="21"/>
                <w:szCs w:val="21"/>
              </w:rPr>
              <w:t>全资及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或控股子公司造成损失，人民日报社将赔偿人民网及其全资及</w:t>
            </w:r>
            <w:r>
              <w:rPr>
                <w:rFonts w:ascii="宋体" w:hAnsi="宋体" w:cs="宋体" w:eastAsia="宋体" w:hint="default"/>
                <w:spacing w:val="-3"/>
                <w:sz w:val="21"/>
                <w:szCs w:val="21"/>
              </w:rPr>
              <w:t>/</w:t>
            </w:r>
            <w:r>
              <w:rPr>
                <w:rFonts w:ascii="宋体" w:hAnsi="宋体" w:cs="宋体" w:eastAsia="宋体" w:hint="default"/>
                <w:spacing w:val="-3"/>
                <w:sz w:val="21"/>
                <w:szCs w:val="21"/>
              </w:rPr>
              <w:t>或控股子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公司的一切实际损失。</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40" w:lineRule="auto"/>
              <w:ind w:left="103" w:right="310"/>
              <w:jc w:val="left"/>
              <w:rPr>
                <w:rFonts w:ascii="宋体" w:hAnsi="宋体" w:cs="宋体" w:eastAsia="宋体" w:hint="default"/>
                <w:sz w:val="21"/>
                <w:szCs w:val="21"/>
              </w:rPr>
            </w:pPr>
            <w:r>
              <w:rPr>
                <w:rFonts w:ascii="宋体" w:hAnsi="宋体" w:cs="宋体" w:eastAsia="宋体" w:hint="default"/>
                <w:sz w:val="21"/>
                <w:szCs w:val="21"/>
              </w:rPr>
              <w:t>间为</w:t>
            </w:r>
            <w:r>
              <w:rPr>
                <w:rFonts w:ascii="宋体" w:hAnsi="宋体" w:cs="宋体" w:eastAsia="宋体" w:hint="default"/>
                <w:spacing w:val="-103"/>
                <w:sz w:val="21"/>
                <w:szCs w:val="21"/>
              </w:rPr>
              <w:t> </w:t>
            </w:r>
            <w:r>
              <w:rPr>
                <w:rFonts w:ascii="宋体" w:hAnsi="宋体" w:cs="宋体" w:eastAsia="宋体" w:hint="default"/>
                <w:sz w:val="21"/>
                <w:szCs w:val="21"/>
              </w:rPr>
              <w:t>2011</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月，承</w:t>
            </w:r>
            <w:r>
              <w:rPr>
                <w:rFonts w:ascii="宋体" w:hAnsi="宋体" w:cs="宋体" w:eastAsia="宋体" w:hint="default"/>
                <w:spacing w:val="-102"/>
                <w:sz w:val="21"/>
                <w:szCs w:val="21"/>
              </w:rPr>
              <w:t> </w:t>
            </w:r>
            <w:r>
              <w:rPr>
                <w:rFonts w:ascii="宋体" w:hAnsi="宋体" w:cs="宋体" w:eastAsia="宋体" w:hint="default"/>
                <w:sz w:val="21"/>
                <w:szCs w:val="21"/>
              </w:rPr>
              <w:t>诺期限</w:t>
            </w:r>
            <w:r>
              <w:rPr>
                <w:rFonts w:ascii="宋体" w:hAnsi="宋体" w:cs="宋体" w:eastAsia="宋体" w:hint="default"/>
                <w:spacing w:val="-102"/>
                <w:sz w:val="21"/>
                <w:szCs w:val="21"/>
              </w:rPr>
              <w:t> </w:t>
            </w:r>
            <w:r>
              <w:rPr>
                <w:rFonts w:ascii="宋体" w:hAnsi="宋体" w:cs="宋体" w:eastAsia="宋体" w:hint="default"/>
                <w:sz w:val="21"/>
                <w:szCs w:val="21"/>
              </w:rPr>
              <w:t>为长期</w:t>
            </w:r>
            <w:r>
              <w:rPr>
                <w:rFonts w:ascii="宋体" w:hAnsi="宋体" w:cs="宋体" w:eastAsia="宋体" w:hint="default"/>
                <w:spacing w:val="-102"/>
                <w:sz w:val="21"/>
                <w:szCs w:val="21"/>
              </w:rPr>
              <w:t> </w:t>
            </w:r>
            <w:r>
              <w:rPr>
                <w:rFonts w:ascii="宋体" w:hAnsi="宋体" w:cs="宋体" w:eastAsia="宋体" w:hint="default"/>
                <w:sz w:val="21"/>
                <w:szCs w:val="21"/>
              </w:rPr>
              <w:t>有效。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63"/>
        <w:ind w:left="6497" w:right="6395"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headerReference w:type="default" r:id="rId25"/>
          <w:footerReference w:type="default" r:id="rId26"/>
          <w:pgSz w:w="16840" w:h="11910" w:orient="landscape"/>
          <w:pgMar w:header="0" w:footer="0" w:top="800" w:bottom="280" w:left="1280" w:right="130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7"/>
          <w:szCs w:val="17"/>
        </w:rPr>
      </w:pPr>
    </w:p>
    <w:p>
      <w:pPr>
        <w:pStyle w:val="Heading2"/>
        <w:tabs>
          <w:tab w:pos="784" w:val="left" w:leader="none"/>
        </w:tabs>
        <w:spacing w:line="274" w:lineRule="exact"/>
        <w:ind w:left="784" w:right="234" w:hanging="5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公司资产或项目存在盈利预测，且报告期仍处在盈利预测期间，公司就资产或项目达到原</w:t>
      </w:r>
      <w:r>
        <w:rPr>
          <w:spacing w:val="-61"/>
        </w:rPr>
        <w:t> </w:t>
      </w:r>
      <w:r>
        <w:rPr>
          <w:spacing w:val="-61"/>
        </w:rPr>
      </w:r>
      <w:r>
        <w:rPr/>
        <w:t>盈利预测及其原因作出说明</w:t>
      </w:r>
      <w:r>
        <w:rPr>
          <w:b w:val="0"/>
          <w:bCs w:val="0"/>
        </w:rPr>
      </w:r>
    </w:p>
    <w:p>
      <w:pPr>
        <w:pStyle w:val="Heading2"/>
        <w:spacing w:line="604" w:lineRule="exact" w:before="67"/>
        <w:ind w:right="4829" w:firstLine="419"/>
        <w:jc w:val="left"/>
        <w:rPr>
          <w:b w:val="0"/>
          <w:bCs w:val="0"/>
        </w:rPr>
      </w:pP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三、报告期内资金被占用情况及清欠进展情况</w:t>
      </w:r>
      <w:r>
        <w:rPr>
          <w:b w:val="0"/>
          <w:bCs w:val="0"/>
          <w:spacing w:val="-1"/>
        </w:rPr>
      </w:r>
    </w:p>
    <w:p>
      <w:pPr>
        <w:pStyle w:val="BodyText"/>
        <w:spacing w:line="240" w:lineRule="exact"/>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4"/>
        <w:ind w:left="160" w:right="294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60" w:right="294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8"/>
        </w:rPr>
        <w:t> </w:t>
      </w:r>
      <w:r>
        <w:rPr/>
        <w:t>董事会对会计政策、会计估计</w:t>
      </w:r>
      <w:r>
        <w:rPr>
          <w:b w:val="0"/>
          <w:bCs w:val="0"/>
        </w:rPr>
      </w:r>
    </w:p>
    <w:p>
      <w:pPr>
        <w:pStyle w:val="Heading2"/>
        <w:spacing w:line="240" w:lineRule="auto" w:before="32"/>
        <w:ind w:left="160" w:right="294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0"/>
        </w:rPr>
        <w:t> </w:t>
      </w:r>
      <w:r>
        <w:rPr/>
        <w:t>或核算方法变更的原因和影响的分析说明</w:t>
      </w:r>
      <w:r>
        <w:rPr>
          <w:b w:val="0"/>
          <w:bCs w:val="0"/>
        </w:rPr>
      </w:r>
    </w:p>
    <w:p>
      <w:pPr>
        <w:pStyle w:val="BodyText"/>
        <w:spacing w:line="240" w:lineRule="auto" w:before="29"/>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60" w:right="2940"/>
        <w:jc w:val="left"/>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2"/>
        <w:ind w:left="218" w:right="294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Heading2"/>
        <w:spacing w:line="240" w:lineRule="auto" w:before="36"/>
        <w:ind w:right="2940"/>
        <w:jc w:val="left"/>
        <w:rPr>
          <w:b w:val="0"/>
          <w:bCs w:val="0"/>
        </w:rPr>
      </w:pPr>
      <w:r>
        <w:rPr/>
        <w:t>五、聘任、解聘会计师事务所情况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43"/>
        <w:gridCol w:w="3687"/>
        <w:gridCol w:w="2420"/>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40"/>
        <w:jc w:val="left"/>
      </w:pPr>
      <w:r>
        <w:rPr/>
        <w:t>聘任、解聘会计师事务所的情况说明</w:t>
      </w:r>
    </w:p>
    <w:p>
      <w:pPr>
        <w:pStyle w:val="BodyText"/>
        <w:spacing w:line="273" w:lineRule="exact"/>
        <w:ind w:left="218" w:right="294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ind w:left="638" w:right="5271" w:hanging="420"/>
        <w:jc w:val="left"/>
      </w:pPr>
      <w:r>
        <w:rPr>
          <w:spacing w:val="-2"/>
        </w:rPr>
        <w:t>审计期间改聘会计师事务所的情况说明</w:t>
      </w:r>
      <w:r>
        <w:rPr>
          <w:spacing w:val="-72"/>
        </w:rPr>
        <w:t> </w:t>
      </w:r>
      <w:r>
        <w:rPr>
          <w:spacing w:val="-72"/>
        </w:rPr>
      </w:r>
      <w:r>
        <w:rPr/>
        <w:t>不适用</w:t>
      </w:r>
    </w:p>
    <w:p>
      <w:pPr>
        <w:spacing w:line="240" w:lineRule="auto" w:before="4"/>
        <w:rPr>
          <w:rFonts w:ascii="宋体" w:hAnsi="宋体" w:cs="宋体" w:eastAsia="宋体" w:hint="default"/>
          <w:sz w:val="23"/>
          <w:szCs w:val="23"/>
        </w:rPr>
      </w:pPr>
    </w:p>
    <w:p>
      <w:pPr>
        <w:pStyle w:val="Heading2"/>
        <w:spacing w:line="240" w:lineRule="auto"/>
        <w:ind w:right="2940"/>
        <w:jc w:val="left"/>
        <w:rPr>
          <w:b w:val="0"/>
          <w:bCs w:val="0"/>
        </w:rPr>
      </w:pPr>
      <w:r>
        <w:rPr/>
        <w:t>六、面临暂停上市风险的情况</w:t>
      </w:r>
      <w:r>
        <w:rPr>
          <w:b w:val="0"/>
          <w:bCs w:val="0"/>
        </w:rPr>
      </w:r>
    </w:p>
    <w:p>
      <w:pPr>
        <w:pStyle w:val="Heading2"/>
        <w:spacing w:line="264" w:lineRule="auto" w:before="58"/>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3"/>
          <w:szCs w:val="23"/>
        </w:rPr>
      </w:pPr>
    </w:p>
    <w:p>
      <w:pPr>
        <w:pStyle w:val="Heading2"/>
        <w:spacing w:line="240" w:lineRule="auto"/>
        <w:ind w:right="2940"/>
        <w:jc w:val="left"/>
        <w:rPr>
          <w:b w:val="0"/>
          <w:bCs w:val="0"/>
        </w:rPr>
      </w:pPr>
      <w:r>
        <w:rPr/>
        <w:t>七、破产重整相关事项</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t>八、重大诉讼、仲裁事项</w:t>
      </w:r>
      <w:r>
        <w:rPr>
          <w:b w:val="0"/>
          <w:bCs w:val="0"/>
        </w:rPr>
      </w:r>
    </w:p>
    <w:p>
      <w:pPr>
        <w:pStyle w:val="BodyText"/>
        <w:spacing w:line="240" w:lineRule="auto" w:before="56"/>
        <w:ind w:left="218" w:right="2940"/>
        <w:jc w:val="left"/>
      </w:pPr>
      <w:r>
        <w:rPr/>
        <w:t>□适用</w:t>
      </w:r>
      <w:r>
        <w:rPr>
          <w:spacing w:val="-1"/>
        </w:rPr>
        <w:t> </w:t>
      </w:r>
      <w:r>
        <w:rPr/>
        <w:t>√不适用</w:t>
      </w:r>
    </w:p>
    <w:p>
      <w:pPr>
        <w:spacing w:after="0" w:line="240" w:lineRule="auto"/>
        <w:jc w:val="left"/>
        <w:sectPr>
          <w:footerReference w:type="default" r:id="rId27"/>
          <w:pgSz w:w="11910" w:h="16840"/>
          <w:pgMar w:footer="1195" w:header="0" w:top="1120" w:bottom="1380" w:left="1580" w:right="1040"/>
          <w:pgNumType w:start="2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36"/>
        <w:ind w:right="126"/>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7"/>
        <w:ind w:left="638" w:right="126" w:hanging="42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报告期内公司和控股股东及实际控制人人民日报社不存在未履行法院生效判决、所负数额较</w:t>
      </w:r>
    </w:p>
    <w:p>
      <w:pPr>
        <w:pStyle w:val="BodyText"/>
        <w:spacing w:line="238" w:lineRule="exact"/>
        <w:ind w:left="218" w:right="2940"/>
        <w:jc w:val="left"/>
      </w:pPr>
      <w:r>
        <w:rPr/>
        <w:t>大的债务到期未清偿等情况。</w:t>
      </w:r>
    </w:p>
    <w:p>
      <w:pPr>
        <w:spacing w:line="240" w:lineRule="auto" w:before="0"/>
        <w:rPr>
          <w:rFonts w:ascii="宋体" w:hAnsi="宋体" w:cs="宋体" w:eastAsia="宋体" w:hint="default"/>
          <w:sz w:val="20"/>
          <w:szCs w:val="20"/>
        </w:rPr>
      </w:pPr>
    </w:p>
    <w:p>
      <w:pPr>
        <w:pStyle w:val="Heading2"/>
        <w:spacing w:line="240" w:lineRule="auto" w:before="147"/>
        <w:ind w:right="126"/>
        <w:jc w:val="left"/>
        <w:rPr>
          <w:b w:val="0"/>
          <w:bCs w:val="0"/>
        </w:rPr>
      </w:pPr>
      <w:r>
        <w:rPr/>
        <w:t>十一、公司股权激励计划、员工持股计划或其他员工激励情况及其影响</w:t>
      </w:r>
      <w:r>
        <w:rPr>
          <w:b w:val="0"/>
          <w:bCs w:val="0"/>
        </w:rPr>
      </w:r>
    </w:p>
    <w:p>
      <w:pPr>
        <w:spacing w:line="324" w:lineRule="auto" w:before="97"/>
        <w:ind w:left="218" w:right="71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十二、重大关联交易</w:t>
      </w:r>
      <w:r>
        <w:rPr>
          <w:rFonts w:ascii="宋体" w:hAnsi="宋体" w:cs="宋体" w:eastAsia="宋体" w:hint="default"/>
          <w:sz w:val="21"/>
          <w:szCs w:val="21"/>
        </w:rPr>
      </w:r>
    </w:p>
    <w:p>
      <w:pPr>
        <w:pStyle w:val="BodyText"/>
        <w:spacing w:line="240" w:lineRule="auto" w:before="23"/>
        <w:ind w:left="218" w:right="2940"/>
        <w:jc w:val="left"/>
      </w:pPr>
      <w:r>
        <w:rPr/>
        <w:t>√适用</w:t>
      </w:r>
      <w:r>
        <w:rPr>
          <w:spacing w:val="-1"/>
        </w:rPr>
        <w:t> </w:t>
      </w:r>
      <w:r>
        <w:rPr/>
        <w:t>□不适用</w:t>
      </w:r>
    </w:p>
    <w:p>
      <w:pPr>
        <w:pStyle w:val="Heading2"/>
        <w:spacing w:line="240" w:lineRule="auto" w:before="97"/>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13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both"/>
              <w:rPr>
                <w:rFonts w:ascii="宋体" w:hAnsi="宋体" w:cs="宋体" w:eastAsia="宋体" w:hint="default"/>
                <w:sz w:val="21"/>
                <w:szCs w:val="21"/>
              </w:rPr>
            </w:pPr>
            <w:r>
              <w:rPr>
                <w:rFonts w:ascii="宋体" w:hAnsi="宋体" w:cs="宋体" w:eastAsia="宋体" w:hint="default"/>
                <w:spacing w:val="-7"/>
                <w:w w:val="100"/>
                <w:sz w:val="21"/>
                <w:szCs w:val="21"/>
              </w:rPr>
              <w:t>经公司第二届董事会第十二次会议审议批准，公</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司与股东人民日报社、关联方金台物业管理有限</w:t>
            </w:r>
            <w:r>
              <w:rPr>
                <w:rFonts w:ascii="宋体" w:hAnsi="宋体" w:cs="宋体" w:eastAsia="宋体" w:hint="default"/>
                <w:w w:val="100"/>
                <w:sz w:val="21"/>
                <w:szCs w:val="21"/>
              </w:rPr>
              <w:t> </w:t>
            </w:r>
            <w:r>
              <w:rPr>
                <w:rFonts w:ascii="宋体" w:hAnsi="宋体" w:cs="宋体" w:eastAsia="宋体" w:hint="default"/>
                <w:spacing w:val="2"/>
                <w:sz w:val="21"/>
                <w:szCs w:val="21"/>
              </w:rPr>
              <w:t>公司签订了一系列与日常经营相关的关联交易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协议。同时，公司对</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年度日常关联交易情</w:t>
            </w:r>
            <w:r>
              <w:rPr>
                <w:rFonts w:ascii="宋体" w:hAnsi="宋体" w:cs="宋体" w:eastAsia="宋体" w:hint="default"/>
                <w:w w:val="100"/>
                <w:sz w:val="21"/>
                <w:szCs w:val="21"/>
              </w:rPr>
              <w:t> </w:t>
            </w:r>
            <w:r>
              <w:rPr>
                <w:rFonts w:ascii="宋体" w:hAnsi="宋体" w:cs="宋体" w:eastAsia="宋体" w:hint="default"/>
                <w:spacing w:val="-7"/>
                <w:w w:val="100"/>
                <w:sz w:val="21"/>
                <w:szCs w:val="21"/>
              </w:rPr>
              <w:t>况进行了预计，预计交易类别主要为与日常经营</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相关的采购商品</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接受劳务、出售商品</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提供劳务</w:t>
            </w:r>
            <w:r>
              <w:rPr>
                <w:rFonts w:ascii="宋体" w:hAnsi="宋体" w:cs="宋体" w:eastAsia="宋体" w:hint="default"/>
                <w:w w:val="100"/>
                <w:sz w:val="21"/>
                <w:szCs w:val="21"/>
              </w:rPr>
              <w:t> </w:t>
            </w:r>
            <w:r>
              <w:rPr>
                <w:rFonts w:ascii="宋体" w:hAnsi="宋体" w:cs="宋体" w:eastAsia="宋体" w:hint="default"/>
                <w:spacing w:val="-6"/>
                <w:w w:val="100"/>
                <w:sz w:val="21"/>
                <w:szCs w:val="21"/>
              </w:rPr>
              <w:t>以及房屋租赁等，所有交易均与相应的交易方签</w:t>
            </w:r>
            <w:r>
              <w:rPr>
                <w:rFonts w:ascii="宋体" w:hAnsi="宋体" w:cs="宋体" w:eastAsia="宋体" w:hint="default"/>
                <w:w w:val="100"/>
                <w:sz w:val="21"/>
                <w:szCs w:val="21"/>
              </w:rPr>
              <w:t> </w:t>
            </w:r>
            <w:r>
              <w:rPr>
                <w:rFonts w:ascii="宋体" w:hAnsi="宋体" w:cs="宋体" w:eastAsia="宋体" w:hint="default"/>
                <w:spacing w:val="-7"/>
                <w:sz w:val="21"/>
                <w:szCs w:val="21"/>
              </w:rPr>
              <w:t>订书面协议，交易价格按公开、公平、公正的原</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则，以市场价格为基础，遵循公平合理的定价原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则。</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月登载于上海证券交易所</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网站的《人民网股份有限公司关于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年度日</w:t>
            </w:r>
            <w:r>
              <w:rPr>
                <w:rFonts w:ascii="宋体" w:hAnsi="宋体" w:cs="宋体" w:eastAsia="宋体" w:hint="default"/>
                <w:w w:val="100"/>
                <w:sz w:val="21"/>
                <w:szCs w:val="21"/>
              </w:rPr>
              <w:t> </w:t>
            </w:r>
            <w:r>
              <w:rPr>
                <w:rFonts w:ascii="宋体" w:hAnsi="宋体" w:cs="宋体" w:eastAsia="宋体" w:hint="default"/>
                <w:sz w:val="21"/>
                <w:szCs w:val="21"/>
              </w:rPr>
              <w:t>常关联交易预计及协议签署的公告》。</w:t>
            </w:r>
          </w:p>
        </w:tc>
      </w:tr>
      <w:tr>
        <w:trPr>
          <w:trHeight w:val="219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经公司第二届董事会第十九次会议审议批准，公</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司及子公司人民在线与股东人民日报社租赁了</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7"/>
                <w:w w:val="100"/>
                <w:sz w:val="21"/>
                <w:szCs w:val="21"/>
              </w:rPr>
              <w:t>位于人民日报社新媒体大厦内的办公场所，拟租</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3"/>
                <w:sz w:val="21"/>
                <w:szCs w:val="21"/>
              </w:rPr>
              <w:t>赁建筑面积总计 </w:t>
            </w:r>
            <w:r>
              <w:rPr>
                <w:rFonts w:ascii="宋体" w:hAnsi="宋体" w:cs="宋体" w:eastAsia="宋体" w:hint="default"/>
                <w:sz w:val="21"/>
                <w:szCs w:val="21"/>
              </w:rPr>
              <w:t>26,266</w:t>
            </w:r>
            <w:r>
              <w:rPr>
                <w:rFonts w:ascii="宋体" w:hAnsi="宋体" w:cs="宋体" w:eastAsia="宋体" w:hint="default"/>
                <w:spacing w:val="45"/>
                <w:sz w:val="21"/>
                <w:szCs w:val="21"/>
              </w:rPr>
              <w:t> </w:t>
            </w:r>
            <w:r>
              <w:rPr>
                <w:rFonts w:ascii="宋体" w:hAnsi="宋体" w:cs="宋体" w:eastAsia="宋体" w:hint="default"/>
                <w:spacing w:val="3"/>
                <w:sz w:val="21"/>
                <w:szCs w:val="21"/>
              </w:rPr>
              <w:t>平方米，租赁期限自</w:t>
            </w:r>
          </w:p>
          <w:p>
            <w:pPr>
              <w:pStyle w:val="TableParagraph"/>
              <w:spacing w:line="273" w:lineRule="auto" w:before="8"/>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12"/>
                <w:sz w:val="21"/>
                <w:szCs w:val="21"/>
              </w:rPr>
              <w:t>日止。公司</w:t>
            </w:r>
            <w:r>
              <w:rPr>
                <w:rFonts w:ascii="宋体" w:hAnsi="宋体" w:cs="宋体" w:eastAsia="宋体" w:hint="default"/>
                <w:spacing w:val="-3"/>
                <w:w w:val="100"/>
                <w:sz w:val="21"/>
                <w:szCs w:val="21"/>
              </w:rPr>
              <w:t> </w:t>
            </w:r>
            <w:r>
              <w:rPr>
                <w:rFonts w:ascii="宋体" w:hAnsi="宋体" w:cs="宋体" w:eastAsia="宋体" w:hint="default"/>
                <w:spacing w:val="-6"/>
                <w:w w:val="100"/>
                <w:sz w:val="21"/>
                <w:szCs w:val="21"/>
              </w:rPr>
              <w:t>租赁办公场所应支付的租赁费用，依据市场化原</w:t>
            </w:r>
            <w:r>
              <w:rPr>
                <w:rFonts w:ascii="宋体" w:hAnsi="宋体" w:cs="宋体" w:eastAsia="宋体" w:hint="default"/>
                <w:w w:val="100"/>
                <w:sz w:val="21"/>
                <w:szCs w:val="21"/>
              </w:rPr>
              <w:t> </w:t>
            </w:r>
            <w:r>
              <w:rPr>
                <w:rFonts w:ascii="宋体" w:hAnsi="宋体" w:cs="宋体" w:eastAsia="宋体" w:hint="default"/>
                <w:sz w:val="21"/>
                <w:szCs w:val="21"/>
              </w:rPr>
              <w:t>则确定。</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78"/>
                <w:sz w:val="21"/>
                <w:szCs w:val="21"/>
              </w:rPr>
              <w:t> </w:t>
            </w:r>
            <w:r>
              <w:rPr>
                <w:rFonts w:ascii="宋体" w:hAnsi="宋体" w:cs="宋体" w:eastAsia="宋体" w:hint="default"/>
                <w:sz w:val="21"/>
                <w:szCs w:val="21"/>
              </w:rPr>
              <w:t>2015</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80"/>
                <w:sz w:val="21"/>
                <w:szCs w:val="21"/>
              </w:rPr>
              <w:t> </w:t>
            </w:r>
            <w:r>
              <w:rPr>
                <w:rFonts w:ascii="宋体" w:hAnsi="宋体" w:cs="宋体" w:eastAsia="宋体" w:hint="default"/>
                <w:sz w:val="21"/>
                <w:szCs w:val="21"/>
              </w:rPr>
              <w:t>月末登载于上海证券交易</w:t>
            </w:r>
            <w:r>
              <w:rPr>
                <w:rFonts w:ascii="宋体" w:hAnsi="宋体" w:cs="宋体" w:eastAsia="宋体" w:hint="default"/>
                <w:w w:val="100"/>
                <w:sz w:val="21"/>
                <w:szCs w:val="21"/>
              </w:rPr>
              <w:t> </w:t>
            </w:r>
            <w:r>
              <w:rPr>
                <w:rFonts w:ascii="宋体" w:hAnsi="宋体" w:cs="宋体" w:eastAsia="宋体" w:hint="default"/>
                <w:spacing w:val="-7"/>
                <w:w w:val="100"/>
                <w:sz w:val="21"/>
                <w:szCs w:val="21"/>
              </w:rPr>
              <w:t>所网站的《人民网股份有限公司关于向控股股东</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租赁办公楼的关联交易公告》。</w:t>
            </w:r>
          </w:p>
        </w:tc>
      </w:tr>
    </w:tbl>
    <w:p>
      <w:pPr>
        <w:spacing w:line="240" w:lineRule="auto" w:before="9"/>
        <w:rPr>
          <w:rFonts w:ascii="宋体" w:hAnsi="宋体" w:cs="宋体" w:eastAsia="宋体" w:hint="default"/>
          <w:b/>
          <w:bCs/>
          <w:sz w:val="24"/>
          <w:szCs w:val="24"/>
        </w:rPr>
      </w:pPr>
    </w:p>
    <w:p>
      <w:pPr>
        <w:pStyle w:val="Heading2"/>
        <w:spacing w:line="324" w:lineRule="auto" w:before="36"/>
        <w:ind w:left="638" w:right="3572" w:hanging="42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2940"/>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before="36"/>
        <w:ind w:left="138" w:right="2543"/>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324" w:lineRule="auto" w:before="97"/>
        <w:ind w:left="558" w:right="3891" w:hanging="420"/>
        <w:jc w:val="left"/>
        <w:rPr>
          <w:rFonts w:ascii="宋体" w:hAnsi="宋体" w:cs="宋体" w:eastAsia="宋体" w:hint="default"/>
          <w:b w:val="0"/>
          <w:bCs w:val="0"/>
        </w:rPr>
      </w:pPr>
      <w:r>
        <w:rPr>
          <w:rFonts w:ascii="宋体" w:hAnsi="宋体" w:cs="宋体" w:eastAsia="宋体" w:hint="default"/>
        </w:rPr>
        <w:t>1</w:t>
      </w:r>
      <w:r>
        <w:rPr/>
        <w:t>、</w:t>
      </w:r>
      <w:r>
        <w:rPr>
          <w:spacing w:val="-4"/>
        </w:rPr>
        <w:t> </w:t>
      </w:r>
      <w:r>
        <w:rPr/>
        <w:t>已在临时公告披露且后续实施无进展或变化的事项</w:t>
      </w:r>
      <w:r>
        <w:rPr>
          <w:w w:val="100"/>
        </w:rPr>
        <w:t> </w:t>
      </w:r>
      <w:r>
        <w:rPr>
          <w:rFonts w:ascii="宋体" w:hAnsi="宋体" w:cs="宋体" w:eastAsia="宋体" w:hint="default"/>
          <w:b w:val="0"/>
          <w:bCs w:val="0"/>
        </w:rPr>
        <w:t>不适用</w:t>
      </w:r>
    </w:p>
    <w:p>
      <w:pPr>
        <w:pStyle w:val="Heading2"/>
        <w:spacing w:line="324" w:lineRule="auto" w:before="23"/>
        <w:ind w:left="558" w:right="3472" w:hanging="42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324" w:lineRule="auto" w:before="148"/>
        <w:ind w:left="558" w:right="3683" w:hanging="42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涉及业绩约定的，应当披露报告期内的业绩实现情况</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324" w:lineRule="auto" w:before="70"/>
        <w:ind w:left="558" w:right="3891" w:hanging="420"/>
        <w:jc w:val="left"/>
        <w:rPr>
          <w:rFonts w:ascii="宋体" w:hAnsi="宋体" w:cs="宋体" w:eastAsia="宋体" w:hint="default"/>
          <w:b w:val="0"/>
          <w:bCs w:val="0"/>
        </w:rPr>
      </w:pPr>
      <w:r>
        <w:rPr>
          <w:rFonts w:ascii="宋体" w:hAnsi="宋体" w:cs="宋体" w:eastAsia="宋体" w:hint="default"/>
        </w:rPr>
        <w:t>1</w:t>
      </w:r>
      <w:r>
        <w:rPr/>
        <w:t>、</w:t>
      </w:r>
      <w:r>
        <w:rPr>
          <w:spacing w:val="-4"/>
        </w:rPr>
        <w:t> </w:t>
      </w:r>
      <w:r>
        <w:rPr/>
        <w:t>已在临时公告披露且后续实施无进展或变化的事项</w:t>
      </w:r>
      <w:r>
        <w:rPr>
          <w:w w:val="100"/>
        </w:rPr>
        <w:t> </w:t>
      </w:r>
      <w:r>
        <w:rPr>
          <w:rFonts w:ascii="宋体" w:hAnsi="宋体" w:cs="宋体" w:eastAsia="宋体" w:hint="default"/>
          <w:b w:val="0"/>
          <w:bCs w:val="0"/>
        </w:rPr>
        <w:t>不适用</w:t>
      </w:r>
    </w:p>
    <w:p>
      <w:pPr>
        <w:pStyle w:val="Heading2"/>
        <w:spacing w:line="324" w:lineRule="auto" w:before="23"/>
        <w:ind w:left="558" w:right="3472" w:hanging="42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324" w:lineRule="auto" w:before="70"/>
        <w:ind w:left="558" w:right="3891" w:hanging="420"/>
        <w:jc w:val="left"/>
        <w:rPr>
          <w:rFonts w:ascii="宋体" w:hAnsi="宋体" w:cs="宋体" w:eastAsia="宋体" w:hint="default"/>
          <w:b w:val="0"/>
          <w:bCs w:val="0"/>
        </w:rPr>
      </w:pPr>
      <w:r>
        <w:rPr>
          <w:rFonts w:ascii="宋体" w:hAnsi="宋体" w:cs="宋体" w:eastAsia="宋体" w:hint="default"/>
        </w:rPr>
        <w:t>1</w:t>
      </w:r>
      <w:r>
        <w:rPr/>
        <w:t>、</w:t>
      </w:r>
      <w:r>
        <w:rPr>
          <w:spacing w:val="-4"/>
        </w:rPr>
        <w:t> </w:t>
      </w:r>
      <w:r>
        <w:rPr/>
        <w:t>已在临时公告披露且后续实施无进展或变化的事项</w:t>
      </w:r>
      <w:r>
        <w:rPr>
          <w:w w:val="100"/>
        </w:rPr>
        <w:t> </w:t>
      </w:r>
      <w:r>
        <w:rPr>
          <w:rFonts w:ascii="宋体" w:hAnsi="宋体" w:cs="宋体" w:eastAsia="宋体" w:hint="default"/>
          <w:b w:val="0"/>
          <w:bCs w:val="0"/>
        </w:rPr>
        <w:t>不适用</w:t>
      </w:r>
    </w:p>
    <w:p>
      <w:pPr>
        <w:pStyle w:val="Heading2"/>
        <w:spacing w:line="324" w:lineRule="auto" w:before="23"/>
        <w:ind w:left="558" w:right="3472" w:hanging="42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543"/>
        <w:jc w:val="left"/>
      </w:pPr>
      <w:r>
        <w:rPr/>
        <w:t>□适用</w:t>
      </w:r>
      <w:r>
        <w:rPr>
          <w:spacing w:val="-1"/>
        </w:rPr>
        <w:t> </w:t>
      </w:r>
      <w:r>
        <w:rPr/>
        <w:t>√不适用</w:t>
      </w:r>
    </w:p>
    <w:p>
      <w:pPr>
        <w:pStyle w:val="Heading2"/>
        <w:spacing w:line="240" w:lineRule="auto" w:before="97"/>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558" w:right="2543"/>
        <w:jc w:val="left"/>
      </w:pPr>
      <w:r>
        <w:rPr>
          <w:w w:val="100"/>
        </w:rPr>
        <w:t>无</w:t>
      </w:r>
    </w:p>
    <w:p>
      <w:pPr>
        <w:spacing w:line="240" w:lineRule="auto" w:before="0"/>
        <w:rPr>
          <w:rFonts w:ascii="宋体" w:hAnsi="宋体" w:cs="宋体" w:eastAsia="宋体" w:hint="default"/>
          <w:sz w:val="20"/>
          <w:szCs w:val="20"/>
        </w:rPr>
      </w:pPr>
    </w:p>
    <w:p>
      <w:pPr>
        <w:pStyle w:val="Heading2"/>
        <w:tabs>
          <w:tab w:pos="977" w:val="left" w:leader="none"/>
        </w:tabs>
        <w:spacing w:line="324" w:lineRule="auto" w:before="147"/>
        <w:ind w:left="138" w:right="601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3"/>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12"/>
        <w:rPr>
          <w:rFonts w:ascii="宋体" w:hAnsi="宋体" w:cs="宋体" w:eastAsia="宋体" w:hint="default"/>
          <w:sz w:val="26"/>
          <w:szCs w:val="26"/>
        </w:rPr>
      </w:pPr>
    </w:p>
    <w:p>
      <w:pPr>
        <w:pStyle w:val="Heading2"/>
        <w:tabs>
          <w:tab w:pos="977" w:val="left" w:leader="none"/>
        </w:tabs>
        <w:spacing w:line="240" w:lineRule="auto" w:before="36"/>
        <w:ind w:left="138" w:right="254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977" w:val="left" w:leader="none"/>
        </w:tabs>
        <w:spacing w:line="324" w:lineRule="auto" w:before="147"/>
        <w:ind w:left="138" w:right="49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2543"/>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2543"/>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977" w:val="left" w:leader="none"/>
        </w:tabs>
        <w:spacing w:line="324" w:lineRule="auto" w:before="147"/>
        <w:ind w:left="558" w:right="6859" w:hanging="420"/>
        <w:jc w:val="left"/>
        <w:rPr>
          <w:rFonts w:ascii="宋体" w:hAnsi="宋体" w:cs="宋体" w:eastAsia="宋体" w:hint="default"/>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spacing w:val="-104"/>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t>十四、其他重大事项的说明</w:t>
      </w:r>
      <w:r>
        <w:rPr>
          <w:b w:val="0"/>
          <w:bCs w:val="0"/>
        </w:rPr>
      </w:r>
    </w:p>
    <w:p>
      <w:pPr>
        <w:pStyle w:val="BodyText"/>
        <w:spacing w:line="240" w:lineRule="auto" w:before="97"/>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8"/>
        <w:ind w:left="138" w:right="55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73" w:lineRule="auto" w:before="119"/>
        <w:ind w:right="0" w:firstLine="419"/>
        <w:jc w:val="left"/>
      </w:pPr>
      <w:r>
        <w:rPr>
          <w:spacing w:val="-2"/>
        </w:rPr>
        <w:t>公司报告期内履行社会责任的工作情况，请详见与本报告同时在上海证券交易所网站</w:t>
      </w:r>
      <w:r>
        <w:rPr>
          <w:w w:val="100"/>
        </w:rPr>
        <w:t> </w:t>
      </w:r>
      <w:hyperlink r:id="rId10">
        <w:r>
          <w:rPr>
            <w:rFonts w:ascii="宋体" w:hAnsi="宋体" w:cs="宋体" w:eastAsia="宋体" w:hint="default"/>
          </w:rPr>
          <w:t>(www.sse.com.cn</w:t>
        </w:r>
      </w:hyperlink>
      <w:r>
        <w:rPr>
          <w:rFonts w:ascii="宋体" w:hAnsi="宋体" w:cs="宋体" w:eastAsia="宋体" w:hint="default"/>
        </w:rPr>
        <w:t>)</w:t>
      </w:r>
      <w:r>
        <w:rPr/>
        <w:t>上披露的《人民网股份有限公司</w:t>
      </w:r>
      <w:r>
        <w:rPr>
          <w:spacing w:val="-58"/>
        </w:rPr>
        <w:t> </w:t>
      </w:r>
      <w:r>
        <w:rPr>
          <w:rFonts w:ascii="宋体" w:hAnsi="宋体" w:cs="宋体" w:eastAsia="宋体" w:hint="default"/>
        </w:rPr>
        <w:t>2015</w:t>
      </w:r>
      <w:r>
        <w:rPr>
          <w:rFonts w:ascii="宋体" w:hAnsi="宋体" w:cs="宋体" w:eastAsia="宋体" w:hint="default"/>
          <w:spacing w:val="-58"/>
        </w:rPr>
        <w:t> </w:t>
      </w:r>
      <w:r>
        <w:rPr/>
        <w:t>年度社会责任报告》。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tabs>
          <w:tab w:pos="781" w:val="left" w:leader="none"/>
        </w:tabs>
        <w:spacing w:line="324" w:lineRule="auto"/>
        <w:ind w:left="558" w:right="945" w:hanging="42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t>十六、可转换公司债券情况</w:t>
      </w:r>
      <w:r>
        <w:rPr>
          <w:b w:val="0"/>
          <w:bCs w:val="0"/>
        </w:rPr>
      </w:r>
    </w:p>
    <w:p>
      <w:pPr>
        <w:pStyle w:val="BodyText"/>
        <w:spacing w:line="240" w:lineRule="auto" w:before="97"/>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64" w:right="0"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1340" w:val="left" w:leader="none"/>
        </w:tabs>
        <w:spacing w:line="240" w:lineRule="auto"/>
        <w:ind w:left="80"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8"/>
          <w:footerReference w:type="default" r:id="rId29"/>
          <w:pgSz w:w="16840" w:h="11910" w:orient="landscape"/>
          <w:pgMar w:header="0" w:footer="0" w:top="800" w:bottom="280" w:left="1300" w:right="1300"/>
        </w:sectPr>
      </w:pPr>
    </w:p>
    <w:p>
      <w:pPr>
        <w:pStyle w:val="Heading2"/>
        <w:tabs>
          <w:tab w:pos="790" w:val="left" w:leader="none"/>
        </w:tabs>
        <w:spacing w:line="309" w:lineRule="auto" w:before="36"/>
        <w:ind w:left="224"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300"/>
          <w:cols w:num="2" w:equalWidth="0">
            <w:col w:w="2901" w:space="10133"/>
            <w:col w:w="1206"/>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686"/>
        <w:gridCol w:w="1537"/>
        <w:gridCol w:w="847"/>
        <w:gridCol w:w="857"/>
        <w:gridCol w:w="852"/>
        <w:gridCol w:w="1558"/>
        <w:gridCol w:w="1560"/>
        <w:gridCol w:w="1561"/>
        <w:gridCol w:w="1697"/>
        <w:gridCol w:w="848"/>
      </w:tblGrid>
      <w:tr>
        <w:trPr>
          <w:trHeight w:val="322" w:hRule="exact"/>
        </w:trPr>
        <w:tc>
          <w:tcPr>
            <w:tcW w:w="2686" w:type="dxa"/>
            <w:vMerge w:val="restart"/>
            <w:tcBorders>
              <w:top w:val="single" w:sz="4" w:space="0" w:color="000000"/>
              <w:left w:val="single" w:sz="4" w:space="0" w:color="000000"/>
              <w:right w:val="single" w:sz="4" w:space="0" w:color="000000"/>
            </w:tcBorders>
          </w:tcPr>
          <w:p>
            <w:pP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6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3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2686"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20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20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4" w:right="20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一、有限售条件股份</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329,800,000</w:t>
            </w:r>
            <w:r>
              <w:rPr>
                <w:rFonts w:ascii="宋体"/>
                <w:sz w:val="21"/>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59.66</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-329,800,000</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-329,800,000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b/>
                <w:w w:val="99"/>
                <w:sz w:val="21"/>
              </w:rPr>
              <w:t>0</w:t>
            </w:r>
            <w:r>
              <w:rPr>
                <w:rFonts w:ascii="宋体"/>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b/>
                <w:w w:val="99"/>
                <w:sz w:val="21"/>
              </w:rPr>
              <w:t>0</w:t>
            </w:r>
            <w:r>
              <w:rPr>
                <w:rFonts w:ascii="宋体"/>
                <w:sz w:val="21"/>
              </w:rPr>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329,800,000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59.66</w:t>
            </w: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-329,800,000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-329,800,000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其中：境内非国有法人持股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二、无限售条件流通股份</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b/>
                <w:w w:val="95"/>
                <w:sz w:val="21"/>
              </w:rPr>
              <w:t>223,045,528</w:t>
            </w:r>
            <w:r>
              <w:rPr>
                <w:rFonts w:ascii="宋体"/>
                <w:sz w:val="21"/>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w w:val="95"/>
                <w:sz w:val="21"/>
              </w:rPr>
              <w:t>40.34</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hint="default"/>
                <w:sz w:val="21"/>
                <w:szCs w:val="21"/>
              </w:rPr>
            </w:pPr>
            <w:r>
              <w:rPr>
                <w:rFonts w:ascii="宋体"/>
                <w:b/>
                <w:sz w:val="21"/>
              </w:rPr>
              <w:t>552,845,528</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b/>
                <w:w w:val="95"/>
                <w:sz w:val="21"/>
              </w:rPr>
              <w:t>329,800,000</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w w:val="95"/>
                <w:sz w:val="21"/>
              </w:rPr>
              <w:t>882,645,528</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b/>
                <w:w w:val="95"/>
                <w:sz w:val="21"/>
              </w:rPr>
              <w:t>1,105,691,056</w:t>
            </w:r>
            <w:r>
              <w:rPr>
                <w:rFonts w:ascii="宋体"/>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b/>
                <w:w w:val="95"/>
                <w:sz w:val="21"/>
              </w:rPr>
              <w:t>100</w:t>
            </w:r>
            <w:r>
              <w:rPr>
                <w:rFonts w:ascii="宋体"/>
                <w:sz w:val="21"/>
              </w:rPr>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223,045,528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40.34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2" w:right="0"/>
              <w:jc w:val="left"/>
              <w:rPr>
                <w:rFonts w:ascii="宋体" w:hAnsi="宋体" w:cs="宋体" w:eastAsia="宋体" w:hint="default"/>
                <w:sz w:val="21"/>
                <w:szCs w:val="21"/>
              </w:rPr>
            </w:pPr>
            <w:r>
              <w:rPr>
                <w:rFonts w:ascii="宋体"/>
                <w:sz w:val="21"/>
              </w:rPr>
              <w:t>552,845,528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329,800,000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882,645,528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1,105,691,056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b/>
                <w:w w:val="95"/>
                <w:sz w:val="21"/>
              </w:rPr>
              <w:t>100</w:t>
            </w:r>
            <w:r>
              <w:rPr>
                <w:rFonts w:ascii="宋体"/>
                <w:sz w:val="21"/>
              </w:rPr>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3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三、普通股股份总数</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552,845,528</w:t>
            </w:r>
            <w:r>
              <w:rPr>
                <w:rFonts w:ascii="宋体"/>
                <w:sz w:val="21"/>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100</w:t>
            </w:r>
            <w:r>
              <w:rPr>
                <w:rFonts w:ascii="宋体"/>
                <w:sz w:val="21"/>
              </w:rPr>
            </w: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b/>
                <w:sz w:val="21"/>
              </w:rPr>
              <w:t>552,845,528</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b/>
                <w:w w:val="99"/>
                <w:sz w:val="21"/>
              </w:rPr>
              <w:t>0</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552,845,528</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1,105,691,056</w:t>
            </w:r>
            <w:r>
              <w:rPr>
                <w:rFonts w:ascii="宋体"/>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b/>
                <w:w w:val="95"/>
                <w:sz w:val="21"/>
              </w:rPr>
              <w:t>100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63"/>
        <w:ind w:left="82" w:right="0" w:firstLine="0"/>
        <w:jc w:val="center"/>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spacing w:line="324" w:lineRule="auto" w:before="36"/>
        <w:ind w:left="638" w:right="126"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公司股东人民日报社、《环球时报》社、《中国汽车报》社有限公司以及全国社会保障基金</w:t>
      </w:r>
    </w:p>
    <w:p>
      <w:pPr>
        <w:pStyle w:val="BodyText"/>
        <w:spacing w:line="238" w:lineRule="exact"/>
        <w:ind w:left="218" w:right="126"/>
        <w:jc w:val="left"/>
      </w:pPr>
      <w:r>
        <w:rPr>
          <w:w w:val="100"/>
        </w:rPr>
        <w:t>理事</w:t>
      </w:r>
      <w:r>
        <w:rPr>
          <w:spacing w:val="-3"/>
          <w:w w:val="100"/>
        </w:rPr>
        <w:t>会</w:t>
      </w:r>
      <w:r>
        <w:rPr>
          <w:w w:val="100"/>
        </w:rPr>
        <w:t>所</w:t>
      </w:r>
      <w:r>
        <w:rPr>
          <w:spacing w:val="-3"/>
          <w:w w:val="100"/>
        </w:rPr>
        <w:t>持</w:t>
      </w:r>
      <w:r>
        <w:rPr>
          <w:w w:val="100"/>
        </w:rPr>
        <w:t>首</w:t>
      </w:r>
      <w:r>
        <w:rPr>
          <w:spacing w:val="-3"/>
          <w:w w:val="100"/>
        </w:rPr>
        <w:t>次</w:t>
      </w:r>
      <w:r>
        <w:rPr>
          <w:w w:val="100"/>
        </w:rPr>
        <w:t>公</w:t>
      </w:r>
      <w:r>
        <w:rPr>
          <w:spacing w:val="-3"/>
          <w:w w:val="100"/>
        </w:rPr>
        <w:t>开</w:t>
      </w:r>
      <w:r>
        <w:rPr>
          <w:w w:val="100"/>
        </w:rPr>
        <w:t>发</w:t>
      </w:r>
      <w:r>
        <w:rPr>
          <w:spacing w:val="-3"/>
          <w:w w:val="100"/>
        </w:rPr>
        <w:t>行</w:t>
      </w:r>
      <w:r>
        <w:rPr>
          <w:w w:val="100"/>
        </w:rPr>
        <w:t>限售</w:t>
      </w:r>
      <w:r>
        <w:rPr>
          <w:spacing w:val="-3"/>
          <w:w w:val="100"/>
        </w:rPr>
        <w:t>股</w:t>
      </w:r>
      <w:r>
        <w:rPr>
          <w:w w:val="100"/>
        </w:rPr>
        <w:t>股</w:t>
      </w:r>
      <w:r>
        <w:rPr>
          <w:spacing w:val="-3"/>
          <w:w w:val="100"/>
        </w:rPr>
        <w:t>份</w:t>
      </w:r>
      <w:r>
        <w:rPr>
          <w:w w:val="100"/>
        </w:rPr>
        <w:t>共计</w:t>
      </w:r>
      <w:r>
        <w:rPr>
          <w:spacing w:val="-67"/>
        </w:rPr>
        <w:t> </w:t>
      </w:r>
      <w:r>
        <w:rPr>
          <w:rFonts w:ascii="宋体" w:hAnsi="宋体" w:cs="宋体" w:eastAsia="宋体" w:hint="default"/>
          <w:w w:val="100"/>
        </w:rPr>
        <w:t>329</w:t>
      </w:r>
      <w:r>
        <w:rPr>
          <w:rFonts w:ascii="宋体" w:hAnsi="宋体" w:cs="宋体" w:eastAsia="宋体" w:hint="default"/>
          <w:spacing w:val="-3"/>
          <w:w w:val="100"/>
        </w:rPr>
        <w:t>,</w:t>
      </w:r>
      <w:r>
        <w:rPr>
          <w:rFonts w:ascii="宋体" w:hAnsi="宋体" w:cs="宋体" w:eastAsia="宋体" w:hint="default"/>
          <w:w w:val="100"/>
        </w:rPr>
        <w:t>800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65"/>
        </w:rPr>
        <w:t> </w:t>
      </w:r>
      <w:r>
        <w:rPr>
          <w:w w:val="100"/>
        </w:rPr>
        <w:t>股</w:t>
      </w:r>
      <w:r>
        <w:rPr>
          <w:spacing w:val="-108"/>
          <w:w w:val="100"/>
        </w:rPr>
        <w:t>，</w:t>
      </w:r>
      <w:r>
        <w:rPr>
          <w:w w:val="100"/>
        </w:rPr>
        <w:t>自</w:t>
      </w:r>
      <w:r>
        <w:rPr>
          <w:spacing w:val="-65"/>
        </w:rPr>
        <w:t> </w:t>
      </w:r>
      <w:r>
        <w:rPr>
          <w:rFonts w:ascii="宋体" w:hAnsi="宋体" w:cs="宋体" w:eastAsia="宋体" w:hint="default"/>
          <w:w w:val="100"/>
        </w:rPr>
        <w:t>2015</w:t>
      </w:r>
      <w:r>
        <w:rPr>
          <w:rFonts w:ascii="宋体" w:hAnsi="宋体" w:cs="宋体" w:eastAsia="宋体" w:hint="default"/>
          <w:spacing w:val="-67"/>
        </w:rPr>
        <w:t> </w:t>
      </w:r>
      <w:r>
        <w:rPr>
          <w:w w:val="100"/>
        </w:rPr>
        <w:t>年</w:t>
      </w:r>
      <w:r>
        <w:rPr>
          <w:spacing w:val="-65"/>
        </w:rPr>
        <w:t> </w:t>
      </w:r>
      <w:r>
        <w:rPr>
          <w:rFonts w:ascii="宋体" w:hAnsi="宋体" w:cs="宋体" w:eastAsia="宋体" w:hint="default"/>
          <w:w w:val="100"/>
        </w:rPr>
        <w:t>4</w:t>
      </w:r>
      <w:r>
        <w:rPr>
          <w:rFonts w:ascii="宋体" w:hAnsi="宋体" w:cs="宋体" w:eastAsia="宋体" w:hint="default"/>
          <w:spacing w:val="-65"/>
        </w:rPr>
        <w:t> </w:t>
      </w:r>
      <w:r>
        <w:rPr>
          <w:w w:val="100"/>
        </w:rPr>
        <w:t>月</w:t>
      </w:r>
      <w:r>
        <w:rPr>
          <w:spacing w:val="-67"/>
        </w:rPr>
        <w:t> </w:t>
      </w:r>
      <w:r>
        <w:rPr>
          <w:rFonts w:ascii="宋体" w:hAnsi="宋体" w:cs="宋体" w:eastAsia="宋体" w:hint="default"/>
          <w:w w:val="100"/>
        </w:rPr>
        <w:t>27</w:t>
      </w:r>
      <w:r>
        <w:rPr>
          <w:rFonts w:ascii="宋体" w:hAnsi="宋体" w:cs="宋体" w:eastAsia="宋体" w:hint="default"/>
          <w:spacing w:val="-65"/>
        </w:rPr>
        <w:t> </w:t>
      </w:r>
      <w:r>
        <w:rPr>
          <w:spacing w:val="-2"/>
          <w:w w:val="100"/>
        </w:rPr>
        <w:t>日</w:t>
      </w:r>
      <w:r>
        <w:rPr>
          <w:w w:val="100"/>
        </w:rPr>
        <w:t>起限</w:t>
      </w:r>
      <w:r>
        <w:rPr>
          <w:spacing w:val="-3"/>
          <w:w w:val="100"/>
        </w:rPr>
        <w:t>锁</w:t>
      </w:r>
      <w:r>
        <w:rPr>
          <w:w w:val="100"/>
        </w:rPr>
        <w:t>定</w:t>
      </w:r>
      <w:r>
        <w:rPr>
          <w:spacing w:val="-3"/>
          <w:w w:val="100"/>
        </w:rPr>
        <w:t>期</w:t>
      </w:r>
      <w:r>
        <w:rPr>
          <w:w w:val="100"/>
        </w:rPr>
        <w:t>届</w:t>
      </w:r>
      <w:r>
        <w:rPr>
          <w:spacing w:val="-3"/>
          <w:w w:val="100"/>
        </w:rPr>
        <w:t>满</w:t>
      </w:r>
      <w:r>
        <w:rPr>
          <w:w w:val="100"/>
        </w:rPr>
        <w:t>，</w:t>
      </w:r>
    </w:p>
    <w:p>
      <w:pPr>
        <w:pStyle w:val="BodyText"/>
        <w:spacing w:line="240" w:lineRule="auto" w:before="37"/>
        <w:ind w:left="218" w:right="2940"/>
        <w:jc w:val="left"/>
      </w:pPr>
      <w:r>
        <w:rPr/>
        <w:t>可以上市流通。</w:t>
      </w:r>
    </w:p>
    <w:p>
      <w:pPr>
        <w:pStyle w:val="BodyText"/>
        <w:spacing w:line="240" w:lineRule="auto" w:before="37"/>
        <w:ind w:left="638" w:right="126"/>
        <w:jc w:val="left"/>
      </w:pPr>
      <w:r>
        <w:rPr/>
        <w:t>公司</w:t>
      </w:r>
      <w:r>
        <w:rPr>
          <w:spacing w:val="-54"/>
        </w:rPr>
        <w:t> </w:t>
      </w:r>
      <w:r>
        <w:rPr>
          <w:rFonts w:ascii="宋体" w:hAnsi="宋体" w:cs="宋体" w:eastAsia="宋体" w:hint="default"/>
        </w:rPr>
        <w:t>2014</w:t>
      </w:r>
      <w:r>
        <w:rPr>
          <w:rFonts w:ascii="宋体" w:hAnsi="宋体" w:cs="宋体" w:eastAsia="宋体" w:hint="default"/>
          <w:spacing w:val="-56"/>
        </w:rPr>
        <w:t> </w:t>
      </w:r>
      <w:r>
        <w:rPr/>
        <w:t>年年度股东大会审议通过了关于《人民网股份有限公司</w:t>
      </w:r>
      <w:r>
        <w:rPr>
          <w:spacing w:val="-54"/>
        </w:rPr>
        <w:t> </w:t>
      </w:r>
      <w:r>
        <w:rPr>
          <w:rFonts w:ascii="宋体" w:hAnsi="宋体" w:cs="宋体" w:eastAsia="宋体" w:hint="default"/>
        </w:rPr>
        <w:t>2014</w:t>
      </w:r>
      <w:r>
        <w:rPr>
          <w:rFonts w:ascii="宋体" w:hAnsi="宋体" w:cs="宋体" w:eastAsia="宋体" w:hint="default"/>
          <w:spacing w:val="-56"/>
        </w:rPr>
        <w:t> </w:t>
      </w:r>
      <w:r>
        <w:rPr/>
        <w:t>年度利润分配方案》</w:t>
      </w:r>
    </w:p>
    <w:p>
      <w:pPr>
        <w:pStyle w:val="BodyText"/>
        <w:spacing w:line="240" w:lineRule="auto" w:before="37"/>
        <w:ind w:left="218" w:right="126"/>
        <w:jc w:val="left"/>
        <w:rPr>
          <w:rFonts w:ascii="宋体" w:hAnsi="宋体" w:cs="宋体" w:eastAsia="宋体" w:hint="default"/>
        </w:rPr>
      </w:pPr>
      <w:r>
        <w:rPr>
          <w:spacing w:val="-4"/>
        </w:rPr>
        <w:t>的议案，同意公司以总股本</w:t>
      </w:r>
      <w:r>
        <w:rPr>
          <w:spacing w:val="-44"/>
        </w:rPr>
        <w:t> </w:t>
      </w:r>
      <w:r>
        <w:rPr>
          <w:rFonts w:ascii="宋体" w:hAnsi="宋体" w:cs="宋体" w:eastAsia="宋体" w:hint="default"/>
        </w:rPr>
        <w:t>552,845,528</w:t>
      </w:r>
      <w:r>
        <w:rPr>
          <w:rFonts w:ascii="宋体" w:hAnsi="宋体" w:cs="宋体" w:eastAsia="宋体" w:hint="default"/>
          <w:spacing w:val="-46"/>
        </w:rPr>
        <w:t> </w:t>
      </w:r>
      <w:r>
        <w:rPr>
          <w:spacing w:val="-4"/>
        </w:rPr>
        <w:t>股为基数，向全体股东每</w:t>
      </w:r>
      <w:r>
        <w:rPr>
          <w:spacing w:val="-44"/>
        </w:rPr>
        <w:t> </w:t>
      </w:r>
      <w:r>
        <w:rPr>
          <w:rFonts w:ascii="宋体" w:hAnsi="宋体" w:cs="宋体" w:eastAsia="宋体" w:hint="default"/>
        </w:rPr>
        <w:t>10</w:t>
      </w:r>
      <w:r>
        <w:rPr>
          <w:rFonts w:ascii="宋体" w:hAnsi="宋体" w:cs="宋体" w:eastAsia="宋体" w:hint="default"/>
          <w:spacing w:val="-46"/>
        </w:rPr>
        <w:t> </w:t>
      </w:r>
      <w:r>
        <w:rPr/>
        <w:t>股派发现金股利人民币</w:t>
      </w:r>
      <w:r>
        <w:rPr>
          <w:spacing w:val="-43"/>
        </w:rPr>
        <w:t> </w:t>
      </w:r>
      <w:r>
        <w:rPr>
          <w:rFonts w:ascii="宋体" w:hAnsi="宋体" w:cs="宋体" w:eastAsia="宋体" w:hint="default"/>
        </w:rPr>
        <w:t>1.8</w:t>
      </w:r>
    </w:p>
    <w:p>
      <w:pPr>
        <w:pStyle w:val="BodyText"/>
        <w:spacing w:line="240" w:lineRule="auto" w:before="37"/>
        <w:ind w:left="218" w:right="126"/>
        <w:jc w:val="left"/>
      </w:pPr>
      <w:r>
        <w:rPr/>
        <w:t>元（含税）；同时以资本公积金向全体股东每</w:t>
      </w:r>
      <w:r>
        <w:rPr>
          <w:spacing w:val="-55"/>
        </w:rPr>
        <w:t> </w:t>
      </w:r>
      <w:r>
        <w:rPr>
          <w:rFonts w:ascii="宋体" w:hAnsi="宋体" w:cs="宋体" w:eastAsia="宋体" w:hint="default"/>
        </w:rPr>
        <w:t>10</w:t>
      </w:r>
      <w:r>
        <w:rPr>
          <w:rFonts w:ascii="宋体" w:hAnsi="宋体" w:cs="宋体" w:eastAsia="宋体" w:hint="default"/>
          <w:spacing w:val="-57"/>
        </w:rPr>
        <w:t> </w:t>
      </w:r>
      <w:r>
        <w:rPr/>
        <w:t>股转增</w:t>
      </w:r>
      <w:r>
        <w:rPr>
          <w:spacing w:val="-54"/>
        </w:rPr>
        <w:t> </w:t>
      </w:r>
      <w:r>
        <w:rPr>
          <w:rFonts w:ascii="宋体" w:hAnsi="宋体" w:cs="宋体" w:eastAsia="宋体" w:hint="default"/>
        </w:rPr>
        <w:t>10</w:t>
      </w:r>
      <w:r>
        <w:rPr>
          <w:rFonts w:ascii="宋体" w:hAnsi="宋体" w:cs="宋体" w:eastAsia="宋体" w:hint="default"/>
          <w:spacing w:val="-55"/>
        </w:rPr>
        <w:t> </w:t>
      </w:r>
      <w:r>
        <w:rPr/>
        <w:t>股，转增后，公司总股本增至</w:t>
      </w:r>
    </w:p>
    <w:p>
      <w:pPr>
        <w:pStyle w:val="BodyText"/>
        <w:spacing w:line="273" w:lineRule="auto" w:before="37"/>
        <w:ind w:left="218" w:right="126"/>
        <w:jc w:val="left"/>
      </w:pPr>
      <w:r>
        <w:rPr>
          <w:rFonts w:ascii="宋体" w:hAnsi="宋体" w:cs="宋体" w:eastAsia="宋体" w:hint="default"/>
          <w:spacing w:val="-1"/>
        </w:rPr>
        <w:t>1,105,691,056</w:t>
      </w:r>
      <w:r>
        <w:rPr>
          <w:rFonts w:ascii="宋体" w:hAnsi="宋体" w:cs="宋体" w:eastAsia="宋体" w:hint="default"/>
        </w:rPr>
        <w:t> </w:t>
      </w:r>
      <w:r>
        <w:rPr>
          <w:spacing w:val="-2"/>
        </w:rPr>
        <w:t>股。截至报告期末，公司资本公积金转增股本方案已实施完毕，新增无限售条件</w:t>
      </w:r>
      <w:r>
        <w:rPr>
          <w:spacing w:val="-78"/>
        </w:rPr>
        <w:t> </w:t>
      </w:r>
      <w:r>
        <w:rPr>
          <w:spacing w:val="-78"/>
        </w:rPr>
      </w:r>
      <w:r>
        <w:rPr/>
        <w:t>流通股份已上市流通。</w:t>
      </w:r>
    </w:p>
    <w:p>
      <w:pPr>
        <w:spacing w:line="324" w:lineRule="auto" w:before="68"/>
        <w:ind w:left="638" w:right="239"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100"/>
          <w:sz w:val="21"/>
          <w:szCs w:val="21"/>
        </w:rPr>
        <w:t> </w:t>
      </w:r>
      <w:r>
        <w:rPr>
          <w:rFonts w:ascii="宋体" w:hAnsi="宋体" w:cs="宋体" w:eastAsia="宋体" w:hint="default"/>
          <w:sz w:val="21"/>
          <w:szCs w:val="21"/>
        </w:rPr>
        <w:t>根据人民网股份有限公司</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年年度股东大会审议通过的《人民网股份有限公司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w:t>
      </w:r>
    </w:p>
    <w:p>
      <w:pPr>
        <w:pStyle w:val="BodyText"/>
        <w:spacing w:line="238" w:lineRule="exact"/>
        <w:ind w:left="218" w:right="126"/>
        <w:jc w:val="left"/>
      </w:pPr>
      <w:r>
        <w:rPr/>
        <w:t>利润分配方案》，公司以资本公积金向全体股东每</w:t>
      </w:r>
      <w:r>
        <w:rPr>
          <w:spacing w:val="-57"/>
        </w:rPr>
        <w:t> </w:t>
      </w:r>
      <w:r>
        <w:rPr>
          <w:rFonts w:ascii="宋体" w:hAnsi="宋体" w:cs="宋体" w:eastAsia="宋体" w:hint="default"/>
        </w:rPr>
        <w:t>10</w:t>
      </w:r>
      <w:r>
        <w:rPr>
          <w:rFonts w:ascii="宋体" w:hAnsi="宋体" w:cs="宋体" w:eastAsia="宋体" w:hint="default"/>
          <w:spacing w:val="-55"/>
        </w:rPr>
        <w:t> </w:t>
      </w:r>
      <w:r>
        <w:rPr/>
        <w:t>股转增</w:t>
      </w:r>
      <w:r>
        <w:rPr>
          <w:spacing w:val="-55"/>
        </w:rPr>
        <w:t> </w:t>
      </w:r>
      <w:r>
        <w:rPr>
          <w:rFonts w:ascii="宋体" w:hAnsi="宋体" w:cs="宋体" w:eastAsia="宋体" w:hint="default"/>
        </w:rPr>
        <w:t>10</w:t>
      </w:r>
      <w:r>
        <w:rPr>
          <w:rFonts w:ascii="宋体" w:hAnsi="宋体" w:cs="宋体" w:eastAsia="宋体" w:hint="default"/>
          <w:spacing w:val="-55"/>
        </w:rPr>
        <w:t> </w:t>
      </w:r>
      <w:r>
        <w:rPr/>
        <w:t>股，转增后，公司总股本增至</w:t>
      </w:r>
    </w:p>
    <w:p>
      <w:pPr>
        <w:pStyle w:val="BodyText"/>
        <w:spacing w:line="240" w:lineRule="auto" w:before="37"/>
        <w:ind w:left="218" w:right="126"/>
        <w:jc w:val="left"/>
      </w:pPr>
      <w:r>
        <w:rPr>
          <w:rFonts w:ascii="宋体" w:hAnsi="宋体" w:cs="宋体" w:eastAsia="宋体" w:hint="default"/>
          <w:spacing w:val="-1"/>
        </w:rPr>
        <w:t>1,105,691,056</w:t>
      </w:r>
      <w:r>
        <w:rPr>
          <w:rFonts w:ascii="宋体" w:hAnsi="宋体" w:cs="宋体" w:eastAsia="宋体" w:hint="default"/>
          <w:spacing w:val="16"/>
        </w:rPr>
        <w:t> </w:t>
      </w:r>
      <w:r>
        <w:rPr>
          <w:spacing w:val="-2"/>
        </w:rPr>
        <w:t>股。导致报告期内基本每股收益及稀释每股收益出现较大幅度下降。</w:t>
      </w:r>
    </w:p>
    <w:p>
      <w:pPr>
        <w:pStyle w:val="BodyText"/>
        <w:spacing w:line="240" w:lineRule="auto" w:before="37"/>
        <w:ind w:left="638" w:right="126"/>
        <w:jc w:val="left"/>
      </w:pPr>
      <w:r>
        <w:rPr/>
        <w:t>由于公司 </w:t>
      </w:r>
      <w:r>
        <w:rPr>
          <w:rFonts w:ascii="宋体" w:hAnsi="宋体" w:cs="宋体" w:eastAsia="宋体" w:hint="default"/>
        </w:rPr>
        <w:t>2013</w:t>
      </w:r>
      <w:r>
        <w:rPr>
          <w:rFonts w:ascii="宋体" w:hAnsi="宋体" w:cs="宋体" w:eastAsia="宋体" w:hint="default"/>
          <w:spacing w:val="-38"/>
        </w:rPr>
        <w:t> </w:t>
      </w:r>
      <w:r>
        <w:rPr>
          <w:spacing w:val="-5"/>
        </w:rPr>
        <w:t>年度也实施了资本公积金转增股本的利润分配方案，经会计师事务所审计，重</w:t>
      </w:r>
    </w:p>
    <w:p>
      <w:pPr>
        <w:pStyle w:val="BodyText"/>
        <w:spacing w:line="240" w:lineRule="auto" w:before="37"/>
        <w:ind w:left="218" w:right="2940"/>
        <w:jc w:val="left"/>
      </w:pPr>
      <w:r>
        <w:rPr/>
        <w:t>新计算</w:t>
      </w:r>
      <w:r>
        <w:rPr>
          <w:spacing w:val="-52"/>
        </w:rPr>
        <w:t> </w:t>
      </w:r>
      <w:r>
        <w:rPr>
          <w:rFonts w:ascii="宋体" w:hAnsi="宋体" w:cs="宋体" w:eastAsia="宋体" w:hint="default"/>
        </w:rPr>
        <w:t>2014</w:t>
      </w:r>
      <w:r>
        <w:rPr>
          <w:rFonts w:ascii="宋体" w:hAnsi="宋体" w:cs="宋体" w:eastAsia="宋体" w:hint="default"/>
          <w:spacing w:val="-52"/>
        </w:rPr>
        <w:t> </w:t>
      </w:r>
      <w:r>
        <w:rPr/>
        <w:t>年度及</w:t>
      </w:r>
      <w:r>
        <w:rPr>
          <w:spacing w:val="-54"/>
        </w:rPr>
        <w:t> </w:t>
      </w:r>
      <w:r>
        <w:rPr>
          <w:rFonts w:ascii="宋体" w:hAnsi="宋体" w:cs="宋体" w:eastAsia="宋体" w:hint="default"/>
        </w:rPr>
        <w:t>2013</w:t>
      </w:r>
      <w:r>
        <w:rPr>
          <w:rFonts w:ascii="宋体" w:hAnsi="宋体" w:cs="宋体" w:eastAsia="宋体" w:hint="default"/>
          <w:spacing w:val="-53"/>
        </w:rPr>
        <w:t> </w:t>
      </w:r>
      <w:r>
        <w:rPr/>
        <w:t>年度的每股收益情况列示如下：</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370"/>
        <w:gridCol w:w="1416"/>
        <w:gridCol w:w="1418"/>
        <w:gridCol w:w="1417"/>
        <w:gridCol w:w="1428"/>
      </w:tblGrid>
      <w:tr>
        <w:trPr>
          <w:trHeight w:val="324" w:hRule="exact"/>
        </w:trPr>
        <w:tc>
          <w:tcPr>
            <w:tcW w:w="33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370" w:type="dxa"/>
            <w:vMerge/>
            <w:tcBorders>
              <w:left w:val="single" w:sz="4" w:space="0" w:color="000000"/>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5"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322" w:hRule="exact"/>
        </w:trPr>
        <w:tc>
          <w:tcPr>
            <w:tcW w:w="337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0"/>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0"/>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1"/>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0.30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0.25</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扣除非经常损益后归属于普通股股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东的净利润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0"/>
          <w:pgSz w:w="11910" w:h="16840"/>
          <w:pgMar w:footer="1195" w:header="0" w:top="1120" w:bottom="1380" w:left="1580" w:right="1040"/>
          <w:pgNumType w:start="2"/>
        </w:sectPr>
      </w:pPr>
    </w:p>
    <w:p>
      <w:pPr>
        <w:pStyle w:val="Heading2"/>
        <w:spacing w:line="324" w:lineRule="auto" w:before="36"/>
        <w:ind w:left="638" w:right="-18" w:hanging="42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公司认为必要或证券监管机构要求披露的其他内容</w:t>
      </w:r>
      <w:r>
        <w:rPr>
          <w:w w:val="100"/>
        </w:rPr>
        <w:t> </w:t>
      </w:r>
      <w:r>
        <w:rPr>
          <w:rFonts w:ascii="宋体" w:hAnsi="宋体" w:cs="宋体" w:eastAsia="宋体" w:hint="default"/>
          <w:b w:val="0"/>
          <w:bCs w:val="0"/>
        </w:rPr>
        <w:t>无</w:t>
      </w:r>
    </w:p>
    <w:p>
      <w:pPr>
        <w:pStyle w:val="Heading2"/>
        <w:tabs>
          <w:tab w:pos="784" w:val="left" w:leader="none"/>
        </w:tabs>
        <w:spacing w:line="240" w:lineRule="auto" w:before="23"/>
        <w:ind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5278" w:space="2716"/>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1"/>
        <w:gridCol w:w="1419"/>
        <w:gridCol w:w="1416"/>
        <w:gridCol w:w="1135"/>
        <w:gridCol w:w="850"/>
        <w:gridCol w:w="1136"/>
        <w:gridCol w:w="1142"/>
      </w:tblGrid>
      <w:tr>
        <w:trPr>
          <w:trHeight w:val="63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4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8" w:right="175"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6" w:right="17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年末限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1"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267,770,032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267,770,032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发行限售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47,640,068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47,640,068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发行限售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《中国汽车报社》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3,285,522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3,285,522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发行限售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全国社会保障基金</w:t>
            </w:r>
            <w:r>
              <w:rPr>
                <w:rFonts w:ascii="宋体" w:hAnsi="宋体" w:cs="宋体" w:eastAsia="宋体" w:hint="default"/>
                <w:w w:val="100"/>
                <w:sz w:val="21"/>
                <w:szCs w:val="21"/>
              </w:rPr>
              <w:t> </w:t>
            </w:r>
            <w:r>
              <w:rPr>
                <w:rFonts w:ascii="宋体" w:hAnsi="宋体" w:cs="宋体" w:eastAsia="宋体" w:hint="default"/>
                <w:sz w:val="21"/>
                <w:szCs w:val="21"/>
              </w:rPr>
              <w:t>理事会转持三户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11,104,378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11,104,378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7"/>
                <w:sz w:val="21"/>
                <w:szCs w:val="21"/>
              </w:rPr>
              <w:t> </w:t>
            </w:r>
            <w:r>
              <w:rPr>
                <w:rFonts w:ascii="宋体" w:hAnsi="宋体" w:cs="宋体" w:eastAsia="宋体" w:hint="default"/>
                <w:spacing w:val="11"/>
                <w:sz w:val="21"/>
                <w:szCs w:val="21"/>
              </w:rPr>
              <w:t>次公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发行限售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329,800,000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before="36"/>
        <w:ind w:right="2940"/>
        <w:jc w:val="left"/>
        <w:rPr>
          <w:b w:val="0"/>
          <w:bCs w:val="0"/>
        </w:rPr>
      </w:pPr>
      <w:r>
        <w:rPr/>
        <w:t>二、</w:t>
      </w:r>
      <w:r>
        <w:rPr>
          <w:spacing w:val="-74"/>
        </w:rPr>
        <w:t> </w:t>
      </w:r>
      <w:r>
        <w:rPr/>
        <w:t>证券发行与上市情况</w:t>
      </w:r>
      <w:r>
        <w:rPr>
          <w:b w:val="0"/>
          <w:bCs w:val="0"/>
        </w:rPr>
      </w:r>
    </w:p>
    <w:p>
      <w:pPr>
        <w:spacing w:line="295" w:lineRule="auto" w:before="97"/>
        <w:ind w:left="218" w:right="12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截至报告期内证券发行情况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截至报告期内证券发行情况的说明（存续期内利率不同的债券，请分别说明）：</w:t>
      </w:r>
    </w:p>
    <w:p>
      <w:pPr>
        <w:pStyle w:val="BodyText"/>
        <w:spacing w:line="264" w:lineRule="exact"/>
        <w:ind w:left="638" w:right="2940"/>
        <w:jc w:val="left"/>
      </w:pPr>
      <w:r>
        <w:rPr/>
        <w:t>不适用</w:t>
      </w:r>
    </w:p>
    <w:p>
      <w:pPr>
        <w:spacing w:line="240" w:lineRule="auto" w:before="0"/>
        <w:rPr>
          <w:rFonts w:ascii="宋体" w:hAnsi="宋体" w:cs="宋体" w:eastAsia="宋体" w:hint="default"/>
          <w:sz w:val="20"/>
          <w:szCs w:val="20"/>
        </w:rPr>
      </w:pPr>
    </w:p>
    <w:p>
      <w:pPr>
        <w:pStyle w:val="Heading2"/>
        <w:spacing w:line="240" w:lineRule="auto" w:before="147"/>
        <w:ind w:right="12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公司普通股股份总数及股东结构变动及公司资产和负债结构的变动情况</w:t>
      </w:r>
      <w:r>
        <w:rPr>
          <w:b w:val="0"/>
          <w:bCs w:val="0"/>
        </w:rPr>
      </w:r>
    </w:p>
    <w:p>
      <w:pPr>
        <w:pStyle w:val="BodyText"/>
        <w:spacing w:line="240" w:lineRule="auto" w:before="70"/>
        <w:ind w:left="638" w:right="126"/>
        <w:jc w:val="left"/>
      </w:pP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6</w:t>
      </w:r>
      <w:r>
        <w:rPr>
          <w:rFonts w:ascii="宋体" w:hAnsi="宋体" w:cs="宋体" w:eastAsia="宋体" w:hint="default"/>
          <w:spacing w:val="-48"/>
        </w:rPr>
        <w:t> </w:t>
      </w:r>
      <w:r>
        <w:rPr>
          <w:spacing w:val="-8"/>
        </w:rPr>
        <w:t>月，经</w:t>
      </w:r>
      <w:r>
        <w:rPr>
          <w:spacing w:val="-46"/>
        </w:rPr>
        <w:t> </w:t>
      </w:r>
      <w:r>
        <w:rPr>
          <w:rFonts w:ascii="宋体" w:hAnsi="宋体" w:cs="宋体" w:eastAsia="宋体" w:hint="default"/>
        </w:rPr>
        <w:t>2014</w:t>
      </w:r>
      <w:r>
        <w:rPr>
          <w:rFonts w:ascii="宋体" w:hAnsi="宋体" w:cs="宋体" w:eastAsia="宋体" w:hint="default"/>
          <w:spacing w:val="-48"/>
        </w:rPr>
        <w:t> </w:t>
      </w:r>
      <w:r>
        <w:rPr>
          <w:spacing w:val="-3"/>
        </w:rPr>
        <w:t>年年度股东大会决议通过了《人民网股份有限公司</w:t>
      </w:r>
      <w:r>
        <w:rPr>
          <w:spacing w:val="-46"/>
        </w:rPr>
        <w:t> </w:t>
      </w:r>
      <w:r>
        <w:rPr>
          <w:rFonts w:ascii="宋体" w:hAnsi="宋体" w:cs="宋体" w:eastAsia="宋体" w:hint="default"/>
        </w:rPr>
        <w:t>2014</w:t>
      </w:r>
      <w:r>
        <w:rPr>
          <w:rFonts w:ascii="宋体" w:hAnsi="宋体" w:cs="宋体" w:eastAsia="宋体" w:hint="default"/>
          <w:spacing w:val="-48"/>
        </w:rPr>
        <w:t> </w:t>
      </w:r>
      <w:r>
        <w:rPr/>
        <w:t>年度利润分配</w:t>
      </w:r>
    </w:p>
    <w:p>
      <w:pPr>
        <w:pStyle w:val="BodyText"/>
        <w:spacing w:line="273" w:lineRule="auto" w:before="37"/>
        <w:ind w:left="218" w:right="126"/>
        <w:jc w:val="left"/>
      </w:pPr>
      <w:r>
        <w:rPr>
          <w:spacing w:val="-12"/>
          <w:w w:val="100"/>
        </w:rPr>
        <w:t>方案》，公司以资本公积金向全体股东每</w:t>
      </w:r>
      <w:r>
        <w:rPr>
          <w:spacing w:val="-51"/>
          <w:w w:val="100"/>
        </w:rPr>
        <w:t> </w:t>
      </w:r>
      <w:r>
        <w:rPr>
          <w:rFonts w:ascii="宋体" w:hAnsi="宋体" w:cs="宋体" w:eastAsia="宋体" w:hint="default"/>
          <w:spacing w:val="-2"/>
          <w:w w:val="100"/>
        </w:rPr>
        <w:t>10</w:t>
      </w:r>
      <w:r>
        <w:rPr>
          <w:rFonts w:ascii="宋体" w:hAnsi="宋体" w:cs="宋体" w:eastAsia="宋体" w:hint="default"/>
          <w:spacing w:val="-51"/>
          <w:w w:val="100"/>
        </w:rPr>
        <w:t> </w:t>
      </w:r>
      <w:r>
        <w:rPr>
          <w:spacing w:val="-1"/>
          <w:w w:val="100"/>
        </w:rPr>
        <w:t>股转增</w:t>
      </w:r>
      <w:r>
        <w:rPr>
          <w:spacing w:val="-53"/>
          <w:w w:val="100"/>
        </w:rPr>
        <w:t> </w:t>
      </w:r>
      <w:r>
        <w:rPr>
          <w:rFonts w:ascii="宋体" w:hAnsi="宋体" w:cs="宋体" w:eastAsia="宋体" w:hint="default"/>
          <w:spacing w:val="-2"/>
          <w:w w:val="100"/>
        </w:rPr>
        <w:t>10</w:t>
      </w:r>
      <w:r>
        <w:rPr>
          <w:rFonts w:ascii="宋体" w:hAnsi="宋体" w:cs="宋体" w:eastAsia="宋体" w:hint="default"/>
          <w:spacing w:val="-51"/>
          <w:w w:val="100"/>
        </w:rPr>
        <w:t> </w:t>
      </w:r>
      <w:r>
        <w:rPr>
          <w:spacing w:val="-15"/>
          <w:w w:val="100"/>
        </w:rPr>
        <w:t>股，转增后，公司总股本增至</w:t>
      </w:r>
      <w:r>
        <w:rPr>
          <w:spacing w:val="-49"/>
          <w:w w:val="100"/>
        </w:rPr>
        <w:t> </w:t>
      </w:r>
      <w:r>
        <w:rPr>
          <w:rFonts w:ascii="宋体" w:hAnsi="宋体" w:cs="宋体" w:eastAsia="宋体" w:hint="default"/>
          <w:spacing w:val="-1"/>
          <w:w w:val="100"/>
        </w:rPr>
        <w:t>1,105,691,056</w:t>
      </w:r>
      <w:r>
        <w:rPr>
          <w:rFonts w:ascii="宋体" w:hAnsi="宋体" w:cs="宋体" w:eastAsia="宋体" w:hint="default"/>
          <w:w w:val="100"/>
        </w:rPr>
        <w:t> </w:t>
      </w:r>
      <w:r>
        <w:rPr/>
        <w:t>股。</w:t>
      </w:r>
    </w:p>
    <w:p>
      <w:pPr>
        <w:spacing w:line="240" w:lineRule="auto" w:before="1"/>
        <w:rPr>
          <w:rFonts w:ascii="宋体" w:hAnsi="宋体" w:cs="宋体" w:eastAsia="宋体" w:hint="default"/>
          <w:sz w:val="29"/>
          <w:szCs w:val="29"/>
        </w:rPr>
      </w:pPr>
    </w:p>
    <w:p>
      <w:pPr>
        <w:pStyle w:val="Heading2"/>
        <w:spacing w:line="295" w:lineRule="auto"/>
        <w:ind w:left="638" w:right="6516" w:hanging="4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现存的内部职工股情况</w:t>
      </w:r>
      <w:r>
        <w:rPr>
          <w:w w:val="100"/>
        </w:rPr>
        <w:t> </w:t>
      </w:r>
      <w:r>
        <w:rPr>
          <w:rFonts w:ascii="宋体" w:hAnsi="宋体" w:cs="宋体" w:eastAsia="宋体" w:hint="default"/>
          <w:b w:val="0"/>
          <w:bCs w:val="0"/>
        </w:rPr>
        <w:t>不适用</w:t>
      </w:r>
    </w:p>
    <w:p>
      <w:pPr>
        <w:pStyle w:val="Heading2"/>
        <w:spacing w:line="240" w:lineRule="auto" w:before="49"/>
        <w:ind w:right="2940"/>
        <w:jc w:val="left"/>
        <w:rPr>
          <w:b w:val="0"/>
          <w:bCs w:val="0"/>
        </w:rPr>
      </w:pPr>
      <w:r>
        <w:rPr/>
        <w:t>三、</w:t>
      </w:r>
      <w:r>
        <w:rPr>
          <w:spacing w:val="-80"/>
        </w:rPr>
        <w:t> </w:t>
      </w:r>
      <w:r>
        <w:rPr/>
        <w:t>股东和实际控制人情况</w:t>
      </w:r>
      <w:r>
        <w:rPr>
          <w:b w:val="0"/>
          <w:bCs w:val="0"/>
        </w:rPr>
      </w:r>
    </w:p>
    <w:p>
      <w:pPr>
        <w:pStyle w:val="Heading2"/>
        <w:spacing w:line="240" w:lineRule="auto" w:before="97"/>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780"/>
        <w:gridCol w:w="3269"/>
      </w:tblGrid>
      <w:tr>
        <w:trPr>
          <w:trHeight w:val="32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70,640</w:t>
            </w:r>
          </w:p>
        </w:tc>
      </w:tr>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70,905</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93"/>
        <w:gridCol w:w="1419"/>
        <w:gridCol w:w="1416"/>
        <w:gridCol w:w="852"/>
        <w:gridCol w:w="850"/>
        <w:gridCol w:w="711"/>
        <w:gridCol w:w="566"/>
        <w:gridCol w:w="1142"/>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4"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62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492" w:right="28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491" w:right="281" w:hanging="212"/>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61" w:right="20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148"/>
              <w:ind w:left="-3" w:right="-1"/>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2" w:right="104" w:hanging="315"/>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57" w:right="35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209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73"/>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142" w:type="dxa"/>
            <w:vMerge/>
            <w:tcBorders>
              <w:left w:val="single" w:sz="4" w:space="0" w:color="000000"/>
              <w:bottom w:val="single" w:sz="4" w:space="0" w:color="000000"/>
              <w:right w:val="single" w:sz="4" w:space="0" w:color="000000"/>
            </w:tcBorders>
          </w:tcPr>
          <w:p>
            <w:pP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267,770,032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535,540,064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48.43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47,640,068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95,280,136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中国移动通信集团</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12,020,202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24,040,404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中国联合网络通信</w:t>
            </w:r>
            <w:r>
              <w:rPr>
                <w:rFonts w:ascii="宋体" w:hAnsi="宋体" w:cs="宋体" w:eastAsia="宋体" w:hint="default"/>
                <w:w w:val="100"/>
                <w:sz w:val="21"/>
                <w:szCs w:val="21"/>
              </w:rPr>
              <w:t> </w:t>
            </w:r>
            <w:r>
              <w:rPr>
                <w:rFonts w:ascii="宋体" w:hAnsi="宋体" w:cs="宋体" w:eastAsia="宋体" w:hint="default"/>
                <w:sz w:val="21"/>
                <w:szCs w:val="21"/>
              </w:rPr>
              <w:t>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8,013,468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16,026,936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中国证券金融股份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15,475,718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15,475,718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英大传媒投资集团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7,513,151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15,040,302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全国社保基金一一</w:t>
            </w:r>
            <w:r>
              <w:rPr>
                <w:rFonts w:ascii="宋体" w:hAnsi="宋体" w:cs="宋体" w:eastAsia="宋体" w:hint="default"/>
                <w:w w:val="100"/>
                <w:sz w:val="21"/>
                <w:szCs w:val="21"/>
              </w:rPr>
              <w:t> </w:t>
            </w:r>
            <w:r>
              <w:rPr>
                <w:rFonts w:ascii="宋体" w:hAnsi="宋体" w:cs="宋体" w:eastAsia="宋体" w:hint="default"/>
                <w:sz w:val="21"/>
                <w:szCs w:val="21"/>
              </w:rPr>
              <w:t>二组合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8,051,538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8,051,538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4,006,734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8,013,468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中央汇金资产管理</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7,075,400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7,075,400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上海文化广播影视</w:t>
            </w:r>
            <w:r>
              <w:rPr>
                <w:rFonts w:ascii="宋体" w:hAnsi="宋体" w:cs="宋体" w:eastAsia="宋体" w:hint="default"/>
                <w:w w:val="100"/>
                <w:sz w:val="21"/>
                <w:szCs w:val="21"/>
              </w:rPr>
              <w:t> </w:t>
            </w:r>
            <w:r>
              <w:rPr>
                <w:rFonts w:ascii="宋体" w:hAnsi="宋体" w:cs="宋体" w:eastAsia="宋体" w:hint="default"/>
                <w:sz w:val="21"/>
                <w:szCs w:val="21"/>
              </w:rPr>
              <w:t>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3,285,522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6,571,044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bl>
    <w:p>
      <w:pPr>
        <w:spacing w:after="0" w:line="26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3"/>
        <w:gridCol w:w="1117"/>
        <w:gridCol w:w="302"/>
        <w:gridCol w:w="1416"/>
        <w:gridCol w:w="209"/>
        <w:gridCol w:w="643"/>
        <w:gridCol w:w="850"/>
        <w:gridCol w:w="711"/>
        <w:gridCol w:w="336"/>
        <w:gridCol w:w="230"/>
        <w:gridCol w:w="1142"/>
      </w:tblGrid>
      <w:tr>
        <w:trPr>
          <w:trHeight w:val="63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《中国汽车报》社有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8" w:right="0"/>
              <w:jc w:val="left"/>
              <w:rPr>
                <w:rFonts w:ascii="宋体" w:hAnsi="宋体" w:cs="宋体" w:eastAsia="宋体" w:hint="default"/>
                <w:sz w:val="21"/>
                <w:szCs w:val="21"/>
              </w:rPr>
            </w:pPr>
            <w:r>
              <w:rPr>
                <w:rFonts w:ascii="宋体"/>
                <w:sz w:val="21"/>
              </w:rPr>
              <w:t>3,285,522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6,571,044</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sz w:val="21"/>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8" w:right="0"/>
              <w:jc w:val="left"/>
              <w:rPr>
                <w:rFonts w:ascii="宋体" w:hAnsi="宋体" w:cs="宋体" w:eastAsia="宋体" w:hint="default"/>
                <w:sz w:val="21"/>
                <w:szCs w:val="21"/>
              </w:rPr>
            </w:pPr>
            <w:r>
              <w:rPr>
                <w:rFonts w:ascii="宋体"/>
                <w:sz w:val="21"/>
              </w:rPr>
              <w:t>3,285,522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6,571,044</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8" w:right="0"/>
              <w:jc w:val="left"/>
              <w:rPr>
                <w:rFonts w:ascii="宋体" w:hAnsi="宋体" w:cs="宋体" w:eastAsia="宋体" w:hint="default"/>
                <w:sz w:val="21"/>
                <w:szCs w:val="21"/>
              </w:rPr>
            </w:pPr>
            <w:r>
              <w:rPr>
                <w:rFonts w:ascii="宋体"/>
                <w:sz w:val="21"/>
              </w:rPr>
              <w:t>3,285,522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6,571,044</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209"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28"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431" w:right="115"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39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1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209" w:type="dxa"/>
            <w:gridSpan w:val="2"/>
            <w:vMerge/>
            <w:tcBorders>
              <w:left w:val="single" w:sz="4" w:space="0" w:color="000000"/>
              <w:bottom w:val="single" w:sz="4" w:space="0" w:color="000000"/>
              <w:right w:val="single" w:sz="4" w:space="0" w:color="000000"/>
            </w:tcBorders>
          </w:tcPr>
          <w:p>
            <w:pPr/>
          </w:p>
        </w:tc>
        <w:tc>
          <w:tcPr>
            <w:tcW w:w="1928" w:type="dxa"/>
            <w:gridSpan w:val="3"/>
            <w:vMerge/>
            <w:tcBorders>
              <w:left w:val="single" w:sz="4" w:space="0" w:color="000000"/>
              <w:bottom w:val="single" w:sz="4" w:space="0" w:color="000000"/>
              <w:right w:val="single" w:sz="4" w:space="0" w:color="000000"/>
            </w:tcBorders>
          </w:tcPr>
          <w:p>
            <w:pP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4"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9" w:right="0"/>
              <w:jc w:val="left"/>
              <w:rPr>
                <w:rFonts w:ascii="宋体" w:hAnsi="宋体" w:cs="宋体" w:eastAsia="宋体" w:hint="default"/>
                <w:sz w:val="21"/>
                <w:szCs w:val="21"/>
              </w:rPr>
            </w:pPr>
            <w:r>
              <w:rPr>
                <w:rFonts w:ascii="宋体"/>
                <w:sz w:val="21"/>
              </w:rPr>
              <w:t>535,540,064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535,540,064</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sz w:val="21"/>
              </w:rPr>
              <w:t>95,280,136</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95,280,136</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sz w:val="21"/>
              </w:rPr>
              <w:t>24,040,404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24,040,404</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63" w:right="0"/>
              <w:jc w:val="left"/>
              <w:rPr>
                <w:rFonts w:ascii="宋体" w:hAnsi="宋体" w:cs="宋体" w:eastAsia="宋体" w:hint="default"/>
                <w:sz w:val="21"/>
                <w:szCs w:val="21"/>
              </w:rPr>
            </w:pPr>
            <w:r>
              <w:rPr>
                <w:rFonts w:ascii="宋体"/>
                <w:sz w:val="21"/>
              </w:rPr>
              <w:t>16,026,936</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8" w:right="0"/>
              <w:jc w:val="left"/>
              <w:rPr>
                <w:rFonts w:ascii="宋体" w:hAnsi="宋体" w:cs="宋体" w:eastAsia="宋体" w:hint="default"/>
                <w:sz w:val="21"/>
                <w:szCs w:val="21"/>
              </w:rPr>
            </w:pPr>
            <w:r>
              <w:rPr>
                <w:rFonts w:ascii="宋体"/>
                <w:sz w:val="21"/>
              </w:rPr>
              <w:t>16,026,936</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sz w:val="21"/>
              </w:rPr>
              <w:t>15,475,718</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15,475,718</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sz w:val="21"/>
              </w:rPr>
              <w:t>15,040,302</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15,040,302</w:t>
            </w:r>
          </w:p>
        </w:tc>
      </w:tr>
      <w:tr>
        <w:trPr>
          <w:trHeight w:val="324"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全国社保基金一一二组合</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8" w:right="0"/>
              <w:jc w:val="left"/>
              <w:rPr>
                <w:rFonts w:ascii="宋体" w:hAnsi="宋体" w:cs="宋体" w:eastAsia="宋体" w:hint="default"/>
                <w:sz w:val="21"/>
                <w:szCs w:val="21"/>
              </w:rPr>
            </w:pPr>
            <w:r>
              <w:rPr>
                <w:rFonts w:ascii="宋体"/>
                <w:sz w:val="21"/>
              </w:rPr>
              <w:t>8,051,538</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sz w:val="21"/>
              </w:rPr>
              <w:t>8,051,538</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8,013,468</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sz w:val="21"/>
              </w:rPr>
              <w:t>8,013,468</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7,075,400</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sz w:val="21"/>
              </w:rPr>
              <w:t>7,075,400</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上海文化广播影视集团有限公司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6,571,044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sz w:val="21"/>
              </w:rPr>
              <w:t>6,571,044</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6,571,044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sz w:val="21"/>
              </w:rPr>
              <w:t>6,571,044</w:t>
            </w:r>
          </w:p>
        </w:tc>
      </w:tr>
      <w:tr>
        <w:trPr>
          <w:trHeight w:val="322"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6,571,044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sz w:val="21"/>
              </w:rPr>
              <w:t>6,571,044</w:t>
            </w:r>
          </w:p>
        </w:tc>
      </w:tr>
      <w:tr>
        <w:trPr>
          <w:trHeight w:val="324"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8" w:right="0"/>
              <w:jc w:val="left"/>
              <w:rPr>
                <w:rFonts w:ascii="宋体" w:hAnsi="宋体" w:cs="宋体" w:eastAsia="宋体" w:hint="default"/>
                <w:sz w:val="21"/>
                <w:szCs w:val="21"/>
              </w:rPr>
            </w:pPr>
            <w:r>
              <w:rPr>
                <w:rFonts w:ascii="宋体"/>
                <w:sz w:val="21"/>
              </w:rPr>
              <w:t>6,571,044</w:t>
            </w:r>
          </w:p>
        </w:tc>
        <w:tc>
          <w:tcPr>
            <w:tcW w:w="25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sz w:val="21"/>
              </w:rPr>
              <w:t>6,571,044</w:t>
            </w:r>
          </w:p>
        </w:tc>
      </w:tr>
      <w:tr>
        <w:trPr>
          <w:trHeight w:val="1258"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说明</w:t>
            </w:r>
          </w:p>
        </w:tc>
        <w:tc>
          <w:tcPr>
            <w:tcW w:w="58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股东《环球时报》社以及股东《中国汽车报》社有限公司为控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股股东人民日报社的下属企业。公司未知上述其他股东是否存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在关联关系，也未知上述其他股东是否属于《上市公司股东持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股变动信息披露管理办法》规定的一致行动人。</w:t>
            </w:r>
          </w:p>
        </w:tc>
      </w:tr>
      <w:tr>
        <w:trPr>
          <w:trHeight w:val="634" w:hRule="exact"/>
        </w:trPr>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数量的说明</w:t>
            </w:r>
          </w:p>
        </w:tc>
        <w:tc>
          <w:tcPr>
            <w:tcW w:w="58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BodyText"/>
        <w:spacing w:line="273" w:lineRule="auto" w:before="36"/>
        <w:ind w:left="638" w:right="2940" w:hanging="420"/>
        <w:jc w:val="left"/>
      </w:pPr>
      <w:r>
        <w:rPr/>
        <w:t>前十名有限售条件股东持股数量及限售条件</w:t>
      </w:r>
      <w:r>
        <w:rPr>
          <w:w w:val="100"/>
        </w:rPr>
        <w:t> </w:t>
      </w:r>
      <w:r>
        <w:rPr>
          <w:spacing w:val="-2"/>
        </w:rPr>
        <w:t>截至报告期末，公司不存在有限售条件的普通股股东。</w:t>
      </w:r>
    </w:p>
    <w:p>
      <w:pPr>
        <w:spacing w:line="240" w:lineRule="auto" w:before="1"/>
        <w:rPr>
          <w:rFonts w:ascii="宋体" w:hAnsi="宋体" w:cs="宋体" w:eastAsia="宋体" w:hint="default"/>
          <w:sz w:val="29"/>
          <w:szCs w:val="29"/>
        </w:rPr>
      </w:pPr>
    </w:p>
    <w:p>
      <w:pPr>
        <w:pStyle w:val="Heading2"/>
        <w:tabs>
          <w:tab w:pos="784" w:val="left" w:leader="none"/>
        </w:tabs>
        <w:spacing w:line="295" w:lineRule="auto"/>
        <w:ind w:left="638" w:right="3751" w:hanging="4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tab/>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w w:val="100"/>
        </w:rPr>
        <w:t> </w:t>
      </w:r>
      <w:r>
        <w:rPr>
          <w:rFonts w:ascii="宋体" w:hAnsi="宋体" w:cs="宋体" w:eastAsia="宋体" w:hint="default"/>
          <w:b w:val="0"/>
          <w:bCs w:val="0"/>
        </w:rPr>
        <w:t>不适用</w:t>
      </w:r>
    </w:p>
    <w:p>
      <w:pPr>
        <w:pStyle w:val="Heading2"/>
        <w:spacing w:line="240" w:lineRule="auto" w:before="49"/>
        <w:ind w:right="294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125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人民日报社系中共中央举办的国有事业单位，承担党中央机关报职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能，其宗旨是宣传中国共产党的理论和路线方针政策，弘扬社会正</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气，通达社情民意，引导社会热点，疏导公众情绪，搞好舆论监督，</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及时传播国内外各领域的信息，报道世界上发生的重大事件并发表</w:t>
            </w:r>
          </w:p>
        </w:tc>
      </w:tr>
    </w:tbl>
    <w:p>
      <w:pPr>
        <w:spacing w:after="0" w:line="273" w:lineRule="auto"/>
        <w:jc w:val="left"/>
        <w:rPr>
          <w:rFonts w:ascii="宋体" w:hAnsi="宋体" w:cs="宋体" w:eastAsia="宋体" w:hint="default"/>
          <w:sz w:val="21"/>
          <w:szCs w:val="21"/>
        </w:rPr>
        <w:sectPr>
          <w:footerReference w:type="default" r:id="rId31"/>
          <w:pgSz w:w="11910" w:h="16840"/>
          <w:pgMar w:footer="1195" w:header="0" w:top="1120" w:bottom="1380" w:left="1580" w:right="1040"/>
          <w:pgNumType w:start="31"/>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967" w:lineRule="exact"/>
        <w:ind w:left="105"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53pt;height:48.4pt;mso-position-horizontal-relative:char;mso-position-vertical-relative:line" coordorigin="0,0" coordsize="9060,968">
            <v:group style="position:absolute;left:10;top:10;width:2650;height:2" coordorigin="10,10" coordsize="2650,2">
              <v:shape style="position:absolute;left:10;top:10;width:2650;height:2" coordorigin="10,10" coordsize="2650,0" path="m10,10l2660,10e" filled="false" stroked="true" strokeweight=".48pt" strokecolor="#000000">
                <v:path arrowok="t"/>
              </v:shape>
            </v:group>
            <v:group style="position:absolute;left:2669;top:10;width:6381;height:2" coordorigin="2669,10" coordsize="6381,2">
              <v:shape style="position:absolute;left:2669;top:10;width:6381;height:2" coordorigin="2669,10" coordsize="6381,0" path="m2669,10l9050,10e" filled="false" stroked="true" strokeweight=".48pt" strokecolor="#000000">
                <v:path arrowok="t"/>
              </v:shape>
            </v:group>
            <v:group style="position:absolute;left:5;top:5;width:2;height:958" coordorigin="5,5" coordsize="2,958">
              <v:shape style="position:absolute;left:5;top:5;width:2;height:958" coordorigin="5,5" coordsize="0,958" path="m5,5l5,963e" filled="false" stroked="true" strokeweight=".48pt" strokecolor="#000000">
                <v:path arrowok="t"/>
              </v:shape>
            </v:group>
            <v:group style="position:absolute;left:10;top:958;width:2650;height:2" coordorigin="10,958" coordsize="2650,2">
              <v:shape style="position:absolute;left:10;top:958;width:2650;height:2" coordorigin="10,958" coordsize="2650,0" path="m10,958l2660,958e" filled="false" stroked="true" strokeweight=".48pt" strokecolor="#000000">
                <v:path arrowok="t"/>
              </v:shape>
            </v:group>
            <v:group style="position:absolute;left:2665;top:5;width:2;height:958" coordorigin="2665,5" coordsize="2,958">
              <v:shape style="position:absolute;left:2665;top:5;width:2;height:958" coordorigin="2665,5" coordsize="0,958" path="m2665,5l2665,963e" filled="false" stroked="true" strokeweight=".48pt" strokecolor="#000000">
                <v:path arrowok="t"/>
              </v:shape>
            </v:group>
            <v:group style="position:absolute;left:2669;top:958;width:6381;height:2" coordorigin="2669,958" coordsize="6381,2">
              <v:shape style="position:absolute;left:2669;top:958;width:6381;height:2" coordorigin="2669,958" coordsize="6381,0" path="m2669,958l9050,958e" filled="false" stroked="true" strokeweight=".48pt" strokecolor="#000000">
                <v:path arrowok="t"/>
              </v:shape>
            </v:group>
            <v:group style="position:absolute;left:9054;top:5;width:2;height:958" coordorigin="9054,5" coordsize="2,958">
              <v:shape style="position:absolute;left:9054;top:5;width:2;height:958" coordorigin="9054,5" coordsize="0,958" path="m9054,5l9054,963e" filled="false" stroked="true" strokeweight=".47998pt" strokecolor="#000000">
                <v:path arrowok="t"/>
              </v:shape>
              <v:shape style="position:absolute;left:2665;top:10;width:6390;height:949" type="#_x0000_t202" filled="false" stroked="false">
                <v:textbox inset="0,0,0,0">
                  <w:txbxContent>
                    <w:p>
                      <w:pPr>
                        <w:spacing w:line="273" w:lineRule="auto" w:before="0"/>
                        <w:ind w:left="107" w:right="110" w:firstLine="0"/>
                        <w:jc w:val="both"/>
                        <w:rPr>
                          <w:rFonts w:ascii="宋体" w:hAnsi="宋体" w:cs="宋体" w:eastAsia="宋体" w:hint="default"/>
                          <w:sz w:val="21"/>
                          <w:szCs w:val="21"/>
                        </w:rPr>
                      </w:pPr>
                      <w:r>
                        <w:rPr>
                          <w:rFonts w:ascii="宋体" w:hAnsi="宋体" w:cs="宋体" w:eastAsia="宋体" w:hint="default"/>
                          <w:sz w:val="21"/>
                          <w:szCs w:val="21"/>
                        </w:rPr>
                        <w:t>评论，发挥好党治国理政的重要资源和重要手段作用；业务范围主</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要是《人民日报》、《人民日报海外版》等报纸的出版、网络新闻</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宣传、信息传播技术开发、印刷发行、新闻研究与业务培训等。</w:t>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2"/>
        <w:tabs>
          <w:tab w:pos="637" w:val="left" w:leader="none"/>
        </w:tabs>
        <w:spacing w:line="324" w:lineRule="auto" w:before="36"/>
        <w:ind w:left="638" w:right="5271" w:hanging="420"/>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637" w:val="left" w:leader="none"/>
        </w:tabs>
        <w:spacing w:line="324" w:lineRule="auto"/>
        <w:ind w:left="638" w:right="5060" w:hanging="42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1"/>
        <w:rPr>
          <w:rFonts w:ascii="宋体" w:hAnsi="宋体" w:cs="宋体" w:eastAsia="宋体" w:hint="default"/>
          <w:b/>
          <w:bCs/>
          <w:sz w:val="14"/>
          <w:szCs w:val="14"/>
        </w:rPr>
      </w:pPr>
    </w:p>
    <w:p>
      <w:pPr>
        <w:spacing w:line="4222" w:lineRule="exact"/>
        <w:ind w:left="247"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216452" cy="268147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2" cstate="print"/>
                    <a:stretch>
                      <a:fillRect/>
                    </a:stretch>
                  </pic:blipFill>
                  <pic:spPr>
                    <a:xfrm>
                      <a:off x="0" y="0"/>
                      <a:ext cx="4216452" cy="2681478"/>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b/>
          <w:bCs/>
          <w:sz w:val="20"/>
          <w:szCs w:val="20"/>
        </w:rPr>
      </w:pPr>
    </w:p>
    <w:p>
      <w:pPr>
        <w:pStyle w:val="Heading2"/>
        <w:tabs>
          <w:tab w:pos="642" w:val="left" w:leader="none"/>
        </w:tabs>
        <w:spacing w:line="295" w:lineRule="auto" w:before="169"/>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19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人民日报社系中共中央举办的国有事业单位，承担党中央机关报职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能，其宗旨是宣传中国共产党的理论和路线方针政策，弘扬社会正</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气，通达社情民意，引导社会热点，疏导公众情绪，搞好舆论监督，</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及时传播国内外各领域的信息，报道世界上发生的重大事件并发表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评论，发挥好党治国理政的重要资源和重要手段作用；业务范围主</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要是《人民日报》、《人民日报海外版》等报纸的出版、网络新闻</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宣传、信息传播技术开发、印刷发行、新闻研究与业务培训等。</w:t>
            </w:r>
          </w:p>
        </w:tc>
      </w:tr>
    </w:tbl>
    <w:p>
      <w:pPr>
        <w:spacing w:line="240" w:lineRule="auto" w:before="10"/>
        <w:rPr>
          <w:rFonts w:ascii="宋体" w:hAnsi="宋体" w:cs="宋体" w:eastAsia="宋体" w:hint="default"/>
          <w:b/>
          <w:bCs/>
          <w:sz w:val="24"/>
          <w:szCs w:val="24"/>
        </w:rPr>
      </w:pPr>
    </w:p>
    <w:p>
      <w:pPr>
        <w:pStyle w:val="Heading2"/>
        <w:tabs>
          <w:tab w:pos="642" w:val="left" w:leader="none"/>
        </w:tabs>
        <w:spacing w:line="324" w:lineRule="auto" w:before="36"/>
        <w:ind w:left="638" w:right="5055" w:hanging="420"/>
        <w:jc w:val="left"/>
        <w:rPr>
          <w:rFonts w:ascii="宋体" w:hAnsi="宋体" w:cs="宋体" w:eastAsia="宋体" w:hint="default"/>
          <w:b w:val="0"/>
          <w:bCs w:val="0"/>
        </w:rPr>
      </w:pPr>
      <w:r>
        <w:rPr>
          <w:rFonts w:ascii="宋体" w:hAnsi="宋体" w:cs="宋体" w:eastAsia="宋体" w:hint="default"/>
          <w:w w:val="95"/>
        </w:rPr>
        <w:t>2</w:t>
        <w:tab/>
        <w:tab/>
      </w:r>
      <w:r>
        <w:rPr>
          <w:spacing w:val="-1"/>
        </w:rPr>
        <w:t>公司不存在实际控制人情况的特别说明</w:t>
      </w:r>
      <w:r>
        <w:rPr>
          <w:spacing w:val="-89"/>
        </w:rPr>
        <w:t> </w:t>
      </w:r>
      <w:r>
        <w:rPr>
          <w:spacing w:val="-89"/>
        </w:rPr>
      </w:r>
      <w:r>
        <w:rPr>
          <w:rFonts w:ascii="宋体" w:hAnsi="宋体" w:cs="宋体" w:eastAsia="宋体" w:hint="default"/>
          <w:b w:val="0"/>
          <w:bCs w:val="0"/>
        </w:rPr>
        <w:t>不适用</w:t>
      </w:r>
    </w:p>
    <w:p>
      <w:pPr>
        <w:spacing w:after="0" w:line="324" w:lineRule="auto"/>
        <w:jc w:val="left"/>
        <w:rPr>
          <w:rFonts w:ascii="宋体" w:hAnsi="宋体" w:cs="宋体" w:eastAsia="宋体" w:hint="default"/>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tabs>
          <w:tab w:pos="562" w:val="left" w:leader="none"/>
        </w:tabs>
        <w:spacing w:line="324" w:lineRule="auto" w:before="36"/>
        <w:ind w:left="558" w:right="4744" w:hanging="420"/>
        <w:jc w:val="left"/>
        <w:rPr>
          <w:rFonts w:ascii="宋体" w:hAnsi="宋体" w:cs="宋体" w:eastAsia="宋体" w:hint="default"/>
          <w:b w:val="0"/>
          <w:bCs w:val="0"/>
        </w:rPr>
      </w:pPr>
      <w:r>
        <w:rPr>
          <w:rFonts w:ascii="宋体" w:hAnsi="宋体" w:cs="宋体" w:eastAsia="宋体" w:hint="default"/>
          <w:w w:val="95"/>
        </w:rPr>
        <w:t>3</w:t>
        <w:tab/>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1"/>
        <w:rPr>
          <w:rFonts w:ascii="宋体" w:hAnsi="宋体" w:cs="宋体" w:eastAsia="宋体" w:hint="default"/>
          <w:b/>
          <w:bCs/>
          <w:sz w:val="18"/>
          <w:szCs w:val="18"/>
        </w:rPr>
      </w:pPr>
    </w:p>
    <w:p>
      <w:pPr>
        <w:spacing w:line="4098" w:lineRule="exact"/>
        <w:ind w:left="16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092462" cy="2602611"/>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32" cstate="print"/>
                    <a:stretch>
                      <a:fillRect/>
                    </a:stretch>
                  </pic:blipFill>
                  <pic:spPr>
                    <a:xfrm>
                      <a:off x="0" y="0"/>
                      <a:ext cx="4092462" cy="2602611"/>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2"/>
        <w:tabs>
          <w:tab w:pos="562" w:val="left" w:leader="none"/>
        </w:tabs>
        <w:spacing w:line="324" w:lineRule="auto"/>
        <w:ind w:left="558" w:right="3902" w:hanging="420"/>
        <w:jc w:val="left"/>
        <w:rPr>
          <w:rFonts w:ascii="宋体" w:hAnsi="宋体" w:cs="宋体" w:eastAsia="宋体" w:hint="default"/>
          <w:b w:val="0"/>
          <w:bCs w:val="0"/>
        </w:rPr>
      </w:pPr>
      <w:r>
        <w:rPr>
          <w:rFonts w:ascii="宋体" w:hAnsi="宋体" w:cs="宋体" w:eastAsia="宋体" w:hint="default"/>
          <w:w w:val="95"/>
        </w:rPr>
        <w:t>5</w:t>
        <w:tab/>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95" w:lineRule="auto"/>
        <w:ind w:left="558" w:right="5157" w:hanging="4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2"/>
        <w:spacing w:line="324" w:lineRule="auto"/>
        <w:ind w:left="558" w:right="5125" w:hanging="420"/>
        <w:jc w:val="left"/>
        <w:rPr>
          <w:rFonts w:ascii="宋体" w:hAnsi="宋体" w:cs="宋体" w:eastAsia="宋体" w:hint="default"/>
          <w:b w:val="0"/>
          <w:bCs w:val="0"/>
        </w:rPr>
      </w:pPr>
      <w:r>
        <w:rPr/>
        <w:t>五、</w:t>
      </w:r>
      <w:r>
        <w:rPr>
          <w:spacing w:val="-78"/>
        </w:rPr>
        <w:t> </w:t>
      </w:r>
      <w:r>
        <w:rPr/>
        <w:t>其他持股在百分之十以上的法人股东</w:t>
      </w:r>
      <w:r>
        <w:rPr>
          <w:w w:val="100"/>
        </w:rPr>
        <w:t> </w:t>
      </w:r>
      <w:r>
        <w:rPr>
          <w:rFonts w:ascii="宋体" w:hAnsi="宋体" w:cs="宋体" w:eastAsia="宋体" w:hint="default"/>
          <w:b w:val="0"/>
          <w:bCs w:val="0"/>
        </w:rPr>
        <w:t>不适用</w:t>
      </w:r>
    </w:p>
    <w:p>
      <w:pPr>
        <w:pStyle w:val="Heading2"/>
        <w:spacing w:line="240" w:lineRule="auto" w:before="23"/>
        <w:ind w:left="138" w:right="2543"/>
        <w:jc w:val="left"/>
        <w:rPr>
          <w:b w:val="0"/>
          <w:bCs w:val="0"/>
        </w:rPr>
      </w:pPr>
      <w:r>
        <w:rPr/>
        <w:t>六、</w:t>
      </w:r>
      <w:r>
        <w:rPr>
          <w:spacing w:val="-77"/>
        </w:rPr>
        <w:t> </w:t>
      </w:r>
      <w:r>
        <w:rPr/>
        <w:t>股份限制减持情况说明</w:t>
      </w:r>
      <w:r>
        <w:rPr>
          <w:b w:val="0"/>
          <w:bCs w:val="0"/>
        </w:rPr>
      </w:r>
    </w:p>
    <w:p>
      <w:pPr>
        <w:pStyle w:val="BodyText"/>
        <w:spacing w:line="240" w:lineRule="auto" w:before="97"/>
        <w:ind w:right="2543"/>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199" w:val="left" w:leader="none"/>
        </w:tabs>
        <w:spacing w:line="240" w:lineRule="auto" w:before="0"/>
        <w:ind w:left="2939" w:right="2543"/>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pStyle w:val="Heading1"/>
        <w:tabs>
          <w:tab w:pos="5468" w:val="left" w:leader="none"/>
        </w:tabs>
        <w:spacing w:line="240" w:lineRule="auto" w:before="105"/>
        <w:ind w:left="4069"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880" w:footer="1195" w:top="1120" w:bottom="1380" w:left="1300" w:right="1200"/>
          <w:pgNumType w:start="34"/>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2590"/>
        <w:gridCol w:w="566"/>
        <w:gridCol w:w="566"/>
        <w:gridCol w:w="1985"/>
        <w:gridCol w:w="1985"/>
        <w:gridCol w:w="708"/>
        <w:gridCol w:w="711"/>
        <w:gridCol w:w="850"/>
        <w:gridCol w:w="708"/>
        <w:gridCol w:w="1418"/>
        <w:gridCol w:w="946"/>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sz w:val="21"/>
                <w:szCs w:val="21"/>
              </w:rPr>
              <w:t>姓名</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4"/>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1" w:right="135"/>
              <w:jc w:val="both"/>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4"/>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53" w:right="146"/>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牛一兵</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余清楚</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总编辑、副总裁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官建文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44.03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张善菊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宋光茂</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李颖芝</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董事会秘书兼财务总监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81.77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刘楠</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sz w:val="21"/>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398.01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644" w:right="0"/>
        <w:jc w:val="left"/>
      </w:pPr>
      <w:r>
        <w:rPr>
          <w:spacing w:val="-4"/>
        </w:rPr>
        <w:t>注释：根据国有企业负责人薪酬制度改革精神，公司总裁、副总裁 </w:t>
      </w:r>
      <w:r>
        <w:rPr>
          <w:rFonts w:ascii="宋体" w:hAnsi="宋体" w:cs="宋体" w:eastAsia="宋体" w:hint="default"/>
        </w:rPr>
        <w:t>2015</w:t>
      </w:r>
      <w:r>
        <w:rPr>
          <w:rFonts w:ascii="宋体" w:hAnsi="宋体" w:cs="宋体" w:eastAsia="宋体" w:hint="default"/>
          <w:spacing w:val="6"/>
        </w:rPr>
        <w:t> </w:t>
      </w:r>
      <w:r>
        <w:rPr>
          <w:spacing w:val="-3"/>
        </w:rPr>
        <w:t>年度薪酬水平下降幅度较大，其他高级管理人员薪酬发放按本公司薪酬制度</w:t>
      </w:r>
    </w:p>
    <w:p>
      <w:pPr>
        <w:pStyle w:val="BodyText"/>
        <w:spacing w:line="273" w:lineRule="exact"/>
        <w:ind w:left="224" w:right="0"/>
        <w:jc w:val="left"/>
      </w:pPr>
      <w:r>
        <w:rPr/>
        <w:t>执行。</w:t>
      </w:r>
    </w:p>
    <w:p>
      <w:pPr>
        <w:spacing w:after="0" w:line="273" w:lineRule="exact"/>
        <w:jc w:val="left"/>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月担任人民日报社编委委员、副总编辑；</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月任公司董事长。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牛一兵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月任天津日报社（天津日报报业集团）党委书记、社长；</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月，任人民日报社地方部主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月起任公司总裁，</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月至今，任公司副董事长、总裁。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5"/>
                <w:sz w:val="21"/>
                <w:szCs w:val="21"/>
              </w:rPr>
              <w:t>月任人民日报社人事局副局长；</w:t>
            </w:r>
            <w:r>
              <w:rPr>
                <w:rFonts w:ascii="宋体" w:hAnsi="宋体" w:cs="宋体" w:eastAsia="宋体" w:hint="default"/>
                <w:spacing w:val="-5"/>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5"/>
                <w:sz w:val="21"/>
                <w:szCs w:val="21"/>
              </w:rPr>
              <w:t>月任人民日报社计划财务部副主任；</w:t>
            </w:r>
            <w:r>
              <w:rPr>
                <w:rFonts w:ascii="宋体" w:hAnsi="宋体" w:cs="宋体" w:eastAsia="宋体" w:hint="default"/>
                <w:spacing w:val="-5"/>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月任人民日报社发行出版部主任；</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月至今担任环球时报总编辑；</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余清楚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月任人民日报社报刊管理部主任；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月任中国报业协会秘书长；</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月任人民日报社福建分社社长；</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月起，任公司总编辑兼副总裁，</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月至今，任公司总编辑、董事、副总裁。</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官建文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月任人民日报社网络中心负责人、副主任、常务副主任；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月任公司董事、副总裁。</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月担任人民网发展有限公司副总裁；</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月至今任公司董事、副总裁。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月任人民网发展有限公司总裁助理兼要闻部主任、高级编辑；</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月至今任公司董事、副总裁。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现任北京市中伦律师事务所律师、合伙人；</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现任吉贝克信息技术（北京）有限公司董事长，中国科学院大学教授、博士生导师、中国科学院大学金融科技研究中心主任；</w:t>
            </w:r>
            <w:r>
              <w:rPr>
                <w:rFonts w:ascii="宋体" w:hAnsi="宋体" w:cs="宋体" w:eastAsia="宋体" w:hint="default"/>
                <w:spacing w:val="-2"/>
                <w:sz w:val="21"/>
                <w:szCs w:val="21"/>
              </w:rPr>
              <w:t>2010</w:t>
            </w:r>
            <w:r>
              <w:rPr>
                <w:rFonts w:ascii="宋体" w:hAnsi="宋体" w:cs="宋体" w:eastAsia="宋体" w:hint="default"/>
                <w:sz w:val="21"/>
                <w:szCs w:val="21"/>
              </w:rPr>
              <w:t>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月至今任公司独立董事。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月至今任中国机械工业集团公司总会计师；</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w:t>
            </w:r>
            <w:r>
              <w:rPr>
                <w:rFonts w:ascii="宋体" w:hAnsi="宋体" w:cs="宋体" w:eastAsia="宋体" w:hint="default"/>
                <w:spacing w:val="-55"/>
                <w:sz w:val="21"/>
                <w:szCs w:val="21"/>
              </w:rPr>
              <w:t> </w:t>
            </w:r>
            <w:r>
              <w:rPr>
                <w:rFonts w:ascii="宋体" w:hAnsi="宋体" w:cs="宋体" w:eastAsia="宋体" w:hint="default"/>
                <w:sz w:val="21"/>
                <w:szCs w:val="21"/>
              </w:rPr>
              <w:t>KKR</w:t>
            </w:r>
            <w:r>
              <w:rPr>
                <w:rFonts w:ascii="宋体" w:hAnsi="宋体" w:cs="宋体" w:eastAsia="宋体" w:hint="default"/>
                <w:spacing w:val="-55"/>
                <w:sz w:val="21"/>
                <w:szCs w:val="21"/>
              </w:rPr>
              <w:t> </w:t>
            </w:r>
            <w:r>
              <w:rPr>
                <w:rFonts w:ascii="宋体" w:hAnsi="宋体" w:cs="宋体" w:eastAsia="宋体" w:hint="default"/>
                <w:sz w:val="21"/>
                <w:szCs w:val="21"/>
              </w:rPr>
              <w:t>亚洲有限公司顾问，华致酒行连锁管理股份有限公司董事；</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月至今担任公司独立董事。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月就职于瑞华会计师事务所，任至总经理助理；</w:t>
            </w:r>
            <w:r>
              <w:rPr>
                <w:rFonts w:ascii="宋体" w:hAnsi="宋体" w:cs="宋体" w:eastAsia="宋体" w:hint="default"/>
                <w:spacing w:val="-3"/>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3"/>
                <w:sz w:val="21"/>
                <w:szCs w:val="21"/>
              </w:rPr>
              <w:t>月至今任大华会计师事务所合伙人；</w:t>
            </w:r>
            <w:r>
              <w:rPr>
                <w:rFonts w:ascii="宋体" w:hAnsi="宋体" w:cs="宋体" w:eastAsia="宋体" w:hint="default"/>
                <w:spacing w:val="-3"/>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月至今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张善菊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月，任人民网日本株式会社董事长、总经理；</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月起任人民网股份有限公司副总编辑；</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宋光茂</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月任人民日报上海分社社长；</w:t>
            </w:r>
            <w:r>
              <w:rPr>
                <w:rFonts w:ascii="宋体" w:hAnsi="宋体" w:cs="宋体" w:eastAsia="宋体" w:hint="default"/>
                <w:spacing w:val="-3"/>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月任人民日报计划财务部副主任；</w:t>
            </w:r>
            <w:r>
              <w:rPr>
                <w:rFonts w:ascii="宋体" w:hAnsi="宋体" w:cs="宋体" w:eastAsia="宋体" w:hint="default"/>
                <w:spacing w:val="-3"/>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月至今任人民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日报计划财务部主任；</w:t>
            </w:r>
            <w:r>
              <w:rPr>
                <w:rFonts w:ascii="宋体" w:hAnsi="宋体" w:cs="宋体" w:eastAsia="宋体" w:hint="default"/>
                <w:spacing w:val="-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月至今任公司监事。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李颖芝</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月任公司妇委会主任、工会副主席；</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月至今任公司妇委会主任、工会主席、职工监事。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月任人民日报社计划财务部资产管理处副处长、处长；</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月任人民日报社计划财务部计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划处处长；</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月起任公司财务总监，</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月至今，任公司董事会秘书兼财务总监。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月在中信证券投资银行部从事投资银行业务；</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月任公司董事会秘书。</w:t>
            </w:r>
          </w:p>
        </w:tc>
      </w:tr>
    </w:tbl>
    <w:p>
      <w:pPr>
        <w:pStyle w:val="BodyText"/>
        <w:spacing w:line="240" w:lineRule="exact"/>
        <w:ind w:left="224" w:right="163"/>
        <w:jc w:val="left"/>
      </w:pPr>
      <w:r>
        <w:rPr/>
        <w:t>其它情况说明</w:t>
      </w:r>
    </w:p>
    <w:p>
      <w:pPr>
        <w:pStyle w:val="BodyText"/>
        <w:spacing w:line="240" w:lineRule="auto"/>
        <w:ind w:left="224" w:right="163" w:firstLine="420"/>
        <w:jc w:val="left"/>
      </w:pPr>
      <w:r>
        <w:rPr>
          <w:rFonts w:ascii="宋体" w:hAnsi="宋体" w:cs="宋体" w:eastAsia="宋体" w:hint="default"/>
        </w:rPr>
        <w:t>2016 </w:t>
      </w:r>
      <w:r>
        <w:rPr/>
        <w:t>年 </w:t>
      </w:r>
      <w:r>
        <w:rPr>
          <w:rFonts w:ascii="宋体" w:hAnsi="宋体" w:cs="宋体" w:eastAsia="宋体" w:hint="default"/>
        </w:rPr>
        <w:t>1</w:t>
      </w:r>
      <w:r>
        <w:rPr>
          <w:rFonts w:ascii="宋体" w:hAnsi="宋体" w:cs="宋体" w:eastAsia="宋体" w:hint="default"/>
          <w:spacing w:val="-55"/>
        </w:rPr>
        <w:t> </w:t>
      </w:r>
      <w:r>
        <w:rPr>
          <w:spacing w:val="-3"/>
        </w:rPr>
        <w:t>月，经公司股东大会、董事会及监事会审议通过，选举王一彪先生任公司第二届董事会董事长；选举唐宁先生任公司第二届监事会监事会</w:t>
      </w:r>
      <w:r>
        <w:rPr>
          <w:w w:val="100"/>
        </w:rPr>
        <w:t> </w:t>
      </w:r>
      <w:r>
        <w:rPr/>
        <w:t>主席；增补余清楚先生为公司董事。</w:t>
      </w:r>
    </w:p>
    <w:p>
      <w:pPr>
        <w:spacing w:after="0" w:line="240" w:lineRule="auto"/>
        <w:jc w:val="left"/>
        <w:sectPr>
          <w:pgSz w:w="16840" w:h="11910" w:orient="landscape"/>
          <w:pgMar w:header="880" w:footer="1195" w:top="1120" w:bottom="1380" w:left="1300" w:right="1220"/>
        </w:sectPr>
      </w:pPr>
    </w:p>
    <w:p>
      <w:pPr>
        <w:pStyle w:val="Heading2"/>
        <w:spacing w:line="240" w:lineRule="auto" w:before="120"/>
        <w:ind w:left="224" w:right="16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2"/>
        <w:spacing w:line="290" w:lineRule="auto" w:before="29"/>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163"/>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惠章志</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发行出版部主任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《环球时报》社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总编辑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计划财务部主任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报告期内，公司副董事长、总裁牛一兵先生，总编辑、副总裁余清楚先生在出任本公司董事、高级管理人员前，曾在控股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股东人民日报社内任职，但与在本公司任职的期间不存在重叠情况。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16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163"/>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北京市中伦律师事务所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律师、合伙人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吉贝克信息技术（北京）有限公司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中国机械工业集团公司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KKR</w:t>
            </w:r>
            <w:r>
              <w:rPr>
                <w:rFonts w:ascii="宋体" w:hAnsi="宋体" w:cs="宋体" w:eastAsia="宋体" w:hint="default"/>
                <w:spacing w:val="-53"/>
                <w:sz w:val="21"/>
                <w:szCs w:val="21"/>
              </w:rPr>
              <w:t> </w:t>
            </w:r>
            <w:r>
              <w:rPr>
                <w:rFonts w:ascii="宋体" w:hAnsi="宋体" w:cs="宋体" w:eastAsia="宋体" w:hint="default"/>
                <w:sz w:val="21"/>
                <w:szCs w:val="21"/>
              </w:rPr>
              <w:t>亚洲有限公司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顾问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大华会计师事务所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82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5"/>
                <w:sz w:val="21"/>
                <w:szCs w:val="21"/>
              </w:rPr>
              <w:t>公司独立董事陈利民先生现任北京市中伦律师事务所律师、合伙人；公司独立董事刘世平先生现任吉贝克信息技术（北京）</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3"/>
                <w:sz w:val="21"/>
                <w:szCs w:val="21"/>
              </w:rPr>
              <w:t>有限公司董事长；公司原独立董事骆家駹先生现任中国机械工业集团公司总会计师；公司独立董事李响先生现任</w:t>
            </w:r>
            <w:r>
              <w:rPr>
                <w:rFonts w:ascii="宋体" w:hAnsi="宋体" w:cs="宋体" w:eastAsia="宋体" w:hint="default"/>
                <w:spacing w:val="-27"/>
                <w:sz w:val="21"/>
                <w:szCs w:val="21"/>
              </w:rPr>
              <w:t> </w:t>
            </w:r>
            <w:r>
              <w:rPr>
                <w:rFonts w:ascii="宋体" w:hAnsi="宋体" w:cs="宋体" w:eastAsia="宋体" w:hint="default"/>
                <w:sz w:val="21"/>
                <w:szCs w:val="21"/>
              </w:rPr>
              <w:t>KKR</w:t>
            </w:r>
            <w:r>
              <w:rPr>
                <w:rFonts w:ascii="宋体" w:hAnsi="宋体" w:cs="宋体" w:eastAsia="宋体" w:hint="default"/>
                <w:spacing w:val="-30"/>
                <w:sz w:val="21"/>
                <w:szCs w:val="21"/>
              </w:rPr>
              <w:t> </w:t>
            </w:r>
            <w:r>
              <w:rPr>
                <w:rFonts w:ascii="宋体" w:hAnsi="宋体" w:cs="宋体" w:eastAsia="宋体" w:hint="default"/>
                <w:sz w:val="21"/>
                <w:szCs w:val="21"/>
              </w:rPr>
              <w:t>亚洲</w:t>
            </w:r>
            <w:r>
              <w:rPr>
                <w:rFonts w:ascii="宋体" w:hAnsi="宋体" w:cs="宋体" w:eastAsia="宋体" w:hint="default"/>
                <w:spacing w:val="-91"/>
                <w:sz w:val="21"/>
                <w:szCs w:val="21"/>
              </w:rPr>
              <w:t> </w:t>
            </w:r>
            <w:r>
              <w:rPr>
                <w:rFonts w:ascii="宋体" w:hAnsi="宋体" w:cs="宋体" w:eastAsia="宋体" w:hint="default"/>
                <w:sz w:val="21"/>
                <w:szCs w:val="21"/>
              </w:rPr>
              <w:t>有限公司顾问；公司独立董事施丹丹女士现任大华会计师事务所合伙人。</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94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109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董事的薪酬由公司董事会薪酬与考核委员会拟定，董事会、股</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4"/>
                <w:sz w:val="21"/>
                <w:szCs w:val="21"/>
              </w:rPr>
              <w:t>东大会审议通过后实施；监事的薪酬由公司监事会提出、股东</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大会审议通过后实施；高级管理人员的薪酬由董事会薪酬与考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核委员会拟定，董事会审议通过后实施。</w:t>
            </w:r>
          </w:p>
        </w:tc>
      </w:tr>
      <w:tr>
        <w:trPr>
          <w:trHeight w:val="8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公司董事、监事的薪酬方案参照公司相同行业或相当规模并结</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4"/>
                <w:sz w:val="21"/>
                <w:szCs w:val="21"/>
              </w:rPr>
              <w:t>合公司经营绩效确定，具体标准参照《公司章程》、《公司董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事、监事及高级管理人员薪酬制度》等相关规定。</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的实际支付情况</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报告期内，董事、监事和高级管理人员报酬的实际支付情况总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金额为人民币</w:t>
            </w:r>
            <w:r>
              <w:rPr>
                <w:rFonts w:ascii="宋体" w:hAnsi="宋体" w:cs="宋体" w:eastAsia="宋体" w:hint="default"/>
                <w:spacing w:val="-55"/>
                <w:sz w:val="21"/>
                <w:szCs w:val="21"/>
              </w:rPr>
              <w:t> </w:t>
            </w:r>
            <w:r>
              <w:rPr>
                <w:rFonts w:ascii="宋体" w:hAnsi="宋体" w:cs="宋体" w:eastAsia="宋体" w:hint="default"/>
                <w:sz w:val="21"/>
                <w:szCs w:val="21"/>
              </w:rPr>
              <w:t>398.01</w:t>
            </w:r>
            <w:r>
              <w:rPr>
                <w:rFonts w:ascii="宋体" w:hAnsi="宋体" w:cs="宋体" w:eastAsia="宋体" w:hint="default"/>
                <w:spacing w:val="-54"/>
                <w:sz w:val="21"/>
                <w:szCs w:val="21"/>
              </w:rPr>
              <w:t> </w:t>
            </w:r>
            <w:r>
              <w:rPr>
                <w:rFonts w:ascii="宋体" w:hAnsi="宋体" w:cs="宋体" w:eastAsia="宋体" w:hint="default"/>
                <w:sz w:val="21"/>
                <w:szCs w:val="21"/>
              </w:rPr>
              <w:t>万元，详见上表。</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报告期内，董事、监事和高级管理人员报酬的实际支付金额合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计为人民币</w:t>
            </w:r>
            <w:r>
              <w:rPr>
                <w:rFonts w:ascii="宋体" w:hAnsi="宋体" w:cs="宋体" w:eastAsia="宋体" w:hint="default"/>
                <w:spacing w:val="-53"/>
                <w:sz w:val="21"/>
                <w:szCs w:val="21"/>
              </w:rPr>
              <w:t> </w:t>
            </w:r>
            <w:r>
              <w:rPr>
                <w:rFonts w:ascii="宋体" w:hAnsi="宋体" w:cs="宋体" w:eastAsia="宋体" w:hint="default"/>
                <w:sz w:val="21"/>
                <w:szCs w:val="21"/>
              </w:rPr>
              <w:t>398.01</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20"/>
          <w:szCs w:val="20"/>
        </w:rPr>
      </w:pPr>
    </w:p>
    <w:p>
      <w:pPr>
        <w:pStyle w:val="Heading2"/>
        <w:spacing w:line="240" w:lineRule="auto" w:before="36"/>
        <w:ind w:right="294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385"/>
        <w:gridCol w:w="2552"/>
        <w:gridCol w:w="1275"/>
        <w:gridCol w:w="3838"/>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马利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因退休辞职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牛一兵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余清楚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总编辑、董事、副总裁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官建文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因退休辞职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骆家駹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张善菊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因退休辞职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正常聘任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因个人原因辞职</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940"/>
        <w:jc w:val="left"/>
        <w:rPr>
          <w:b w:val="0"/>
          <w:bCs w:val="0"/>
        </w:rPr>
      </w:pPr>
      <w:r>
        <w:rPr/>
        <w:t>五、近三年受证券监管机构处罚的情况说明</w:t>
      </w:r>
      <w:r>
        <w:rPr>
          <w:b w:val="0"/>
          <w:bCs w:val="0"/>
        </w:rPr>
      </w:r>
    </w:p>
    <w:p>
      <w:pPr>
        <w:spacing w:line="528" w:lineRule="auto" w:before="56"/>
        <w:ind w:left="218" w:right="48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spacing w:val="-1"/>
          <w:sz w:val="21"/>
          <w:szCs w:val="21"/>
        </w:rPr>
      </w:r>
    </w:p>
    <w:p>
      <w:pPr>
        <w:pStyle w:val="Heading2"/>
        <w:spacing w:line="240" w:lineRule="auto" w:before="138"/>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1,650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1,099</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2,749</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1,274</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533</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93</w:t>
            </w: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289</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2,749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bl>
    <w:p>
      <w:pPr>
        <w:spacing w:after="0" w:line="241" w:lineRule="exact"/>
        <w:jc w:val="center"/>
        <w:rPr>
          <w:rFonts w:ascii="宋体" w:hAnsi="宋体" w:cs="宋体" w:eastAsia="宋体" w:hint="default"/>
          <w:sz w:val="21"/>
          <w:szCs w:val="21"/>
        </w:rPr>
        <w:sectPr>
          <w:headerReference w:type="default" r:id="rId35"/>
          <w:footerReference w:type="default" r:id="rId36"/>
          <w:pgSz w:w="11910" w:h="16840"/>
          <w:pgMar w:header="877" w:footer="1195" w:top="1100" w:bottom="1380" w:left="1580" w:right="1040"/>
          <w:pgNumType w:start="37"/>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506</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1,770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414</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2,749</w:t>
            </w:r>
          </w:p>
        </w:tc>
      </w:tr>
    </w:tbl>
    <w:p>
      <w:pPr>
        <w:spacing w:line="240" w:lineRule="auto" w:before="2"/>
        <w:rPr>
          <w:rFonts w:ascii="宋体" w:hAnsi="宋体" w:cs="宋体" w:eastAsia="宋体" w:hint="default"/>
          <w:b/>
          <w:bCs/>
          <w:sz w:val="20"/>
          <w:szCs w:val="20"/>
        </w:rPr>
      </w:pPr>
    </w:p>
    <w:p>
      <w:pPr>
        <w:pStyle w:val="Heading2"/>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2"/>
        <w:ind w:left="218" w:right="237" w:firstLine="419"/>
        <w:jc w:val="both"/>
      </w:pPr>
      <w:r>
        <w:rPr>
          <w:spacing w:val="-2"/>
        </w:rPr>
        <w:t>建立合理且富有竞争力的薪酬福利体系是公司不断努力的方向。公司自成立以来，逐步建立</w:t>
      </w:r>
      <w:r>
        <w:rPr>
          <w:w w:val="100"/>
        </w:rPr>
        <w:t> </w:t>
      </w:r>
      <w:r>
        <w:rPr>
          <w:spacing w:val="-2"/>
        </w:rPr>
        <w:t>了与行业接轨的薪酬福利体系，保持了内部公平与外部竞争力，体现了让员工与公司共同发展，</w:t>
      </w:r>
      <w:r>
        <w:rPr>
          <w:spacing w:val="-25"/>
        </w:rPr>
        <w:t> </w:t>
      </w:r>
      <w:r>
        <w:rPr>
          <w:spacing w:val="-25"/>
        </w:rPr>
      </w:r>
      <w:r>
        <w:rPr/>
        <w:t>共享发展成果的付薪理念。</w:t>
      </w:r>
    </w:p>
    <w:p>
      <w:pPr>
        <w:pStyle w:val="BodyText"/>
        <w:spacing w:line="272" w:lineRule="exact" w:before="27"/>
        <w:ind w:left="218" w:right="237" w:firstLine="419"/>
        <w:jc w:val="both"/>
      </w:pPr>
      <w:r>
        <w:rPr>
          <w:spacing w:val="-2"/>
        </w:rPr>
        <w:t>为保证各岗位的合理性，公司依据岗位类别分为高层管理系列、管理系列、采编系列、技术</w:t>
      </w:r>
      <w:r>
        <w:rPr>
          <w:w w:val="100"/>
        </w:rPr>
        <w:t> </w:t>
      </w:r>
      <w:r>
        <w:rPr/>
        <w:t>系列、运营</w:t>
      </w:r>
      <w:r>
        <w:rPr>
          <w:rFonts w:ascii="宋体" w:hAnsi="宋体" w:cs="宋体" w:eastAsia="宋体" w:hint="default"/>
        </w:rPr>
        <w:t>/</w:t>
      </w:r>
      <w:r>
        <w:rPr/>
        <w:t>经营系列及通用支持系列。每个系列有独立的工资级别与标准。</w:t>
      </w:r>
    </w:p>
    <w:p>
      <w:pPr>
        <w:pStyle w:val="BodyText"/>
        <w:spacing w:line="272" w:lineRule="exact" w:before="1"/>
        <w:ind w:left="218" w:right="237" w:firstLine="419"/>
        <w:jc w:val="both"/>
      </w:pPr>
      <w:r>
        <w:rPr>
          <w:spacing w:val="-2"/>
        </w:rPr>
        <w:t>除此之外，薪酬结构也细分为固定部分及浮动部分，既保障了员工的基本生活也加强了对员</w:t>
      </w:r>
      <w:r>
        <w:rPr>
          <w:w w:val="100"/>
        </w:rPr>
        <w:t> </w:t>
      </w:r>
      <w:r>
        <w:rPr/>
        <w:t>工的激励作用。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left="638" w:right="126"/>
        <w:jc w:val="left"/>
      </w:pPr>
      <w:r>
        <w:rPr>
          <w:rFonts w:ascii="宋体" w:hAnsi="宋体" w:cs="宋体" w:eastAsia="宋体" w:hint="default"/>
        </w:rPr>
        <w:t>2015</w:t>
      </w:r>
      <w:r>
        <w:rPr>
          <w:rFonts w:ascii="宋体" w:hAnsi="宋体" w:cs="宋体" w:eastAsia="宋体" w:hint="default"/>
          <w:spacing w:val="7"/>
        </w:rPr>
        <w:t> </w:t>
      </w:r>
      <w:r>
        <w:rPr>
          <w:spacing w:val="-3"/>
        </w:rPr>
        <w:t>年根据员工培训需求调查及意见征集，共开设通用类、采编类、技术类、销售类及管理</w:t>
      </w:r>
    </w:p>
    <w:p>
      <w:pPr>
        <w:pStyle w:val="BodyText"/>
        <w:spacing w:line="272" w:lineRule="exact"/>
        <w:ind w:left="218" w:right="0"/>
        <w:jc w:val="both"/>
      </w:pPr>
      <w:r>
        <w:rPr/>
        <w:t>类五大类培训课程，约</w:t>
      </w:r>
      <w:r>
        <w:rPr>
          <w:spacing w:val="-56"/>
        </w:rPr>
        <w:t> </w:t>
      </w:r>
      <w:r>
        <w:rPr>
          <w:rFonts w:ascii="宋体" w:hAnsi="宋体" w:cs="宋体" w:eastAsia="宋体" w:hint="default"/>
        </w:rPr>
        <w:t>300</w:t>
      </w:r>
      <w:r>
        <w:rPr>
          <w:rFonts w:ascii="宋体" w:hAnsi="宋体" w:cs="宋体" w:eastAsia="宋体" w:hint="default"/>
          <w:spacing w:val="-57"/>
        </w:rPr>
        <w:t> </w:t>
      </w:r>
      <w:r>
        <w:rPr/>
        <w:t>余课时。培训学习方式包含现场学习、视频学习及部门内部学习、外</w:t>
      </w:r>
    </w:p>
    <w:p>
      <w:pPr>
        <w:pStyle w:val="BodyText"/>
        <w:spacing w:line="237" w:lineRule="auto" w:before="2"/>
        <w:ind w:left="218" w:right="230"/>
        <w:jc w:val="both"/>
      </w:pPr>
      <w:r>
        <w:rPr>
          <w:spacing w:val="-4"/>
        </w:rPr>
        <w:t>派集中学习等方式。其中通用类培训组织了</w:t>
      </w:r>
      <w:r>
        <w:rPr>
          <w:spacing w:val="-28"/>
        </w:rPr>
        <w:t> </w:t>
      </w:r>
      <w:r>
        <w:rPr>
          <w:rFonts w:ascii="宋体" w:hAnsi="宋体" w:cs="宋体" w:eastAsia="宋体" w:hint="default"/>
        </w:rPr>
        <w:t>2015</w:t>
      </w:r>
      <w:r>
        <w:rPr>
          <w:rFonts w:ascii="宋体" w:hAnsi="宋体" w:cs="宋体" w:eastAsia="宋体" w:hint="default"/>
          <w:spacing w:val="-31"/>
        </w:rPr>
        <w:t> </w:t>
      </w:r>
      <w:r>
        <w:rPr>
          <w:spacing w:val="-4"/>
        </w:rPr>
        <w:t>年新员工集中培训及拓展训练，采编类开展采编</w:t>
      </w:r>
      <w:r>
        <w:rPr>
          <w:spacing w:val="-96"/>
        </w:rPr>
        <w:t> </w:t>
      </w:r>
      <w:r>
        <w:rPr>
          <w:spacing w:val="-96"/>
        </w:rPr>
      </w:r>
      <w:r>
        <w:rPr>
          <w:spacing w:val="-2"/>
        </w:rPr>
        <w:t>人员基础班及采编人员工作技能提升系列培训班，技术类开展跨界创新拓展训练营、技术人员专</w:t>
      </w:r>
      <w:r>
        <w:rPr>
          <w:spacing w:val="-25"/>
        </w:rPr>
        <w:t> </w:t>
      </w:r>
      <w:r>
        <w:rPr>
          <w:spacing w:val="-25"/>
        </w:rPr>
      </w:r>
      <w:r>
        <w:rPr>
          <w:spacing w:val="-2"/>
        </w:rPr>
        <w:t>项集中培训，销售类开展销售精英训练营，管理类继续建设人民网网络学院。为了给员工学习提</w:t>
      </w:r>
      <w:r>
        <w:rPr>
          <w:spacing w:val="-25"/>
        </w:rPr>
        <w:t> </w:t>
      </w:r>
      <w:r>
        <w:rPr>
          <w:spacing w:val="-25"/>
        </w:rPr>
      </w:r>
      <w:r>
        <w:rPr/>
        <w:t>供便利，公司还对人民职场视频培训节目进行了优化。</w:t>
      </w:r>
    </w:p>
    <w:p>
      <w:pPr>
        <w:spacing w:line="240" w:lineRule="auto" w:before="4"/>
        <w:rPr>
          <w:rFonts w:ascii="宋体" w:hAnsi="宋体" w:cs="宋体" w:eastAsia="宋体" w:hint="default"/>
          <w:sz w:val="25"/>
          <w:szCs w:val="25"/>
        </w:rPr>
      </w:pPr>
    </w:p>
    <w:p>
      <w:pPr>
        <w:spacing w:line="264" w:lineRule="auto" w:before="0"/>
        <w:ind w:left="638" w:right="735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劳务外包情况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七、其他</w:t>
      </w:r>
      <w:r>
        <w:rPr>
          <w:b w:val="0"/>
          <w:bCs w:val="0"/>
        </w:rPr>
      </w:r>
    </w:p>
    <w:p>
      <w:pPr>
        <w:pStyle w:val="BodyText"/>
        <w:spacing w:line="240" w:lineRule="auto" w:before="58"/>
        <w:ind w:left="638" w:right="2940"/>
        <w:jc w:val="left"/>
      </w:pPr>
      <w:r>
        <w:rPr>
          <w:w w:val="100"/>
        </w:rPr>
        <w:t>无</w:t>
      </w:r>
    </w:p>
    <w:p>
      <w:pPr>
        <w:spacing w:after="0" w:line="240" w:lineRule="auto"/>
        <w:jc w:val="left"/>
        <w:sectPr>
          <w:pgSz w:w="11910" w:h="16840"/>
          <w:pgMar w:header="877" w:footer="1195" w:top="1100" w:bottom="1380" w:left="1580" w:right="10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126"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报告期内，公司严格按照《公司法》、《证券法》、《上市公司治理准则》和中国证监会、</w:t>
      </w:r>
    </w:p>
    <w:p>
      <w:pPr>
        <w:pStyle w:val="BodyText"/>
        <w:spacing w:line="226" w:lineRule="exact"/>
        <w:ind w:left="218" w:right="126"/>
        <w:jc w:val="left"/>
      </w:pPr>
      <w:r>
        <w:rPr/>
        <w:t>上海证券交易所有关要求，规范公司运作，完善公司法人治理结构，健全内控制度，加强信息披</w:t>
      </w:r>
    </w:p>
    <w:p>
      <w:pPr>
        <w:pStyle w:val="BodyText"/>
        <w:spacing w:line="237" w:lineRule="auto" w:before="2"/>
        <w:ind w:left="218" w:right="237"/>
        <w:jc w:val="both"/>
      </w:pPr>
      <w:r>
        <w:rPr>
          <w:spacing w:val="-2"/>
        </w:rPr>
        <w:t>露工作。公司股东大会、董事会、监事会及经理层之间权责明确，各司其职、各尽其责、相互制</w:t>
      </w:r>
      <w:r>
        <w:rPr>
          <w:spacing w:val="-25"/>
        </w:rPr>
        <w:t> </w:t>
      </w:r>
      <w:r>
        <w:rPr>
          <w:spacing w:val="-25"/>
        </w:rPr>
      </w:r>
      <w:r>
        <w:rPr>
          <w:spacing w:val="-2"/>
        </w:rPr>
        <w:t>衡、相互协调。公司在股东与股东大会、控股股东与上市公司、董事与董事会、监事与监事会、</w:t>
      </w:r>
      <w:r>
        <w:rPr>
          <w:spacing w:val="-25"/>
        </w:rPr>
        <w:t> </w:t>
      </w:r>
      <w:r>
        <w:rPr>
          <w:spacing w:val="-25"/>
        </w:rPr>
      </w:r>
      <w:r>
        <w:rPr>
          <w:spacing w:val="-2"/>
        </w:rPr>
        <w:t>绩效评价与激励约束机制、利益相关者、信息披露与透明度等主要治理方面均符合监管部门有关</w:t>
      </w:r>
      <w:r>
        <w:rPr>
          <w:spacing w:val="-25"/>
        </w:rPr>
        <w:t> </w:t>
      </w:r>
      <w:r>
        <w:rPr>
          <w:spacing w:val="-25"/>
        </w:rPr>
      </w:r>
      <w:r>
        <w:rPr>
          <w:spacing w:val="-2"/>
        </w:rPr>
        <w:t>文件的要求。公司董事会及各专业委员会以及董、监事，高级管理人员都能够在日常经营中，严</w:t>
      </w:r>
      <w:r>
        <w:rPr>
          <w:spacing w:val="-25"/>
        </w:rPr>
        <w:t> </w:t>
      </w:r>
      <w:r>
        <w:rPr>
          <w:spacing w:val="-25"/>
        </w:rPr>
      </w:r>
      <w:r>
        <w:rPr>
          <w:spacing w:val="-2"/>
        </w:rPr>
        <w:t>格按照公司现有各项制度规范运作。公司治理的实际状况符合《公司法》和中国证监会相关规定</w:t>
      </w:r>
      <w:r>
        <w:rPr>
          <w:spacing w:val="-26"/>
        </w:rPr>
        <w:t> </w:t>
      </w:r>
      <w:r>
        <w:rPr>
          <w:spacing w:val="-26"/>
        </w:rPr>
      </w:r>
      <w:r>
        <w:rPr/>
        <w:t>要求。</w:t>
      </w:r>
    </w:p>
    <w:p>
      <w:pPr>
        <w:spacing w:line="240" w:lineRule="auto" w:before="9"/>
        <w:rPr>
          <w:rFonts w:ascii="宋体" w:hAnsi="宋体" w:cs="宋体" w:eastAsia="宋体" w:hint="default"/>
          <w:sz w:val="20"/>
          <w:szCs w:val="20"/>
        </w:rPr>
      </w:pPr>
    </w:p>
    <w:p>
      <w:pPr>
        <w:pStyle w:val="BodyText"/>
        <w:spacing w:line="240" w:lineRule="auto"/>
        <w:ind w:left="638" w:right="126" w:hanging="420"/>
        <w:jc w:val="left"/>
      </w:pPr>
      <w:r>
        <w:rPr/>
        <w:t>公司治理与中国证监会相关规定的要求是否存在重大差异；如有重大差异，应当说明原因</w:t>
      </w:r>
      <w:r>
        <w:rPr>
          <w:w w:val="100"/>
        </w:rPr>
        <w:t> </w:t>
      </w:r>
      <w:r>
        <w:rPr>
          <w:spacing w:val="-2"/>
        </w:rPr>
        <w:t>报告期内，公司法人治理的实际状况与《公司法》、《上市公司治理准则》和中国证监会相</w:t>
      </w:r>
    </w:p>
    <w:p>
      <w:pPr>
        <w:spacing w:line="528" w:lineRule="auto" w:before="0"/>
        <w:ind w:left="218" w:right="5890" w:firstLine="0"/>
        <w:jc w:val="left"/>
        <w:rPr>
          <w:rFonts w:ascii="宋体" w:hAnsi="宋体" w:cs="宋体" w:eastAsia="宋体" w:hint="default"/>
          <w:sz w:val="21"/>
          <w:szCs w:val="21"/>
        </w:rPr>
      </w:pPr>
      <w:r>
        <w:rPr/>
        <w:pict>
          <v:shape style="position:absolute;margin-left:84.264pt;margin-top:48.623653pt;width:453.2pt;height:70.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年第一次临时股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pacing w:val="-2"/>
          <w:sz w:val="21"/>
          <w:szCs w:val="21"/>
        </w:rPr>
        <w:t>关规定的要求不存在差异。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72" w:lineRule="exact" w:before="64"/>
        <w:ind w:left="638" w:right="7151" w:hanging="420"/>
        <w:jc w:val="left"/>
      </w:pPr>
      <w:r>
        <w:rPr>
          <w:spacing w:val="-2"/>
        </w:rPr>
        <w:t>股东大会情况说明</w:t>
      </w:r>
      <w:r>
        <w:rPr>
          <w:spacing w:val="-89"/>
        </w:rPr>
        <w:t> </w:t>
      </w:r>
      <w:r>
        <w:rPr>
          <w:spacing w:val="-89"/>
        </w:rPr>
      </w:r>
      <w:r>
        <w:rPr/>
        <w:t>详见上表。</w:t>
      </w:r>
    </w:p>
    <w:p>
      <w:pPr>
        <w:spacing w:line="240" w:lineRule="auto" w:before="4"/>
        <w:rPr>
          <w:rFonts w:ascii="宋体" w:hAnsi="宋体" w:cs="宋体" w:eastAsia="宋体" w:hint="default"/>
          <w:sz w:val="23"/>
          <w:szCs w:val="23"/>
        </w:rPr>
      </w:pPr>
    </w:p>
    <w:p>
      <w:pPr>
        <w:pStyle w:val="Heading2"/>
        <w:spacing w:line="240" w:lineRule="auto"/>
        <w:ind w:right="2940"/>
        <w:jc w:val="left"/>
        <w:rPr>
          <w:b w:val="0"/>
          <w:bCs w:val="0"/>
        </w:rPr>
      </w:pPr>
      <w:r>
        <w:rPr/>
        <w:t>三、董事履行职责情况</w:t>
      </w:r>
      <w:r>
        <w:rPr>
          <w:b w:val="0"/>
          <w:bCs w:val="0"/>
        </w:rPr>
      </w:r>
    </w:p>
    <w:p>
      <w:pPr>
        <w:pStyle w:val="Heading2"/>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马利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牛一兵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惠章志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官建文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唐维红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陈利民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刘世平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李响</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骆家駹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940"/>
        <w:jc w:val="left"/>
      </w:pPr>
      <w:r>
        <w:rPr/>
        <w:t>注释：</w:t>
      </w:r>
    </w:p>
    <w:p>
      <w:pPr>
        <w:pStyle w:val="BodyText"/>
        <w:spacing w:line="240" w:lineRule="auto"/>
        <w:ind w:left="218" w:right="126" w:firstLine="419"/>
        <w:jc w:val="left"/>
      </w:pPr>
      <w:r>
        <w:rPr>
          <w:rFonts w:ascii="宋体" w:hAnsi="宋体" w:cs="宋体" w:eastAsia="宋体" w:hint="default"/>
        </w:rPr>
        <w:t>1</w:t>
      </w:r>
      <w:r>
        <w:rPr/>
        <w:t>、牛一兵先生经公司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日召开的</w:t>
      </w:r>
      <w:r>
        <w:rPr>
          <w:spacing w:val="-53"/>
        </w:rPr>
        <w:t> </w:t>
      </w:r>
      <w:r>
        <w:rPr>
          <w:rFonts w:ascii="宋体" w:hAnsi="宋体" w:cs="宋体" w:eastAsia="宋体" w:hint="default"/>
        </w:rPr>
        <w:t>2015</w:t>
      </w:r>
      <w:r>
        <w:rPr>
          <w:rFonts w:ascii="宋体" w:hAnsi="宋体" w:cs="宋体" w:eastAsia="宋体" w:hint="default"/>
          <w:spacing w:val="-54"/>
        </w:rPr>
        <w:t> </w:t>
      </w:r>
      <w:r>
        <w:rPr/>
        <w:t>年第一次临时股东大会审议通过选举为</w:t>
      </w:r>
      <w:r>
        <w:rPr>
          <w:w w:val="100"/>
        </w:rPr>
        <w:t> </w:t>
      </w:r>
      <w:r>
        <w:rPr/>
        <w:t>公司董事；</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left="218" w:right="126" w:firstLine="419"/>
        <w:jc w:val="left"/>
      </w:pPr>
      <w:r>
        <w:rPr>
          <w:rFonts w:ascii="宋体" w:hAnsi="宋体" w:cs="宋体" w:eastAsia="宋体" w:hint="default"/>
        </w:rPr>
        <w:t>2</w:t>
      </w:r>
      <w:r>
        <w:rPr/>
        <w:t>、施丹丹女士经</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日召开的</w:t>
      </w:r>
      <w:r>
        <w:rPr>
          <w:spacing w:val="-54"/>
        </w:rPr>
        <w:t> </w:t>
      </w:r>
      <w:r>
        <w:rPr>
          <w:rFonts w:ascii="宋体" w:hAnsi="宋体" w:cs="宋体" w:eastAsia="宋体" w:hint="default"/>
        </w:rPr>
        <w:t>2014</w:t>
      </w:r>
      <w:r>
        <w:rPr>
          <w:rFonts w:ascii="宋体" w:hAnsi="宋体" w:cs="宋体" w:eastAsia="宋体" w:hint="default"/>
          <w:spacing w:val="-53"/>
        </w:rPr>
        <w:t> </w:t>
      </w:r>
      <w:r>
        <w:rPr/>
        <w:t>年年度股东大会审议通过选举为公司独立董</w:t>
      </w:r>
      <w:r>
        <w:rPr>
          <w:w w:val="100"/>
        </w:rPr>
        <w:t> </w:t>
      </w:r>
      <w:r>
        <w:rPr/>
        <w:t>事；</w:t>
      </w:r>
    </w:p>
    <w:p>
      <w:pPr>
        <w:pStyle w:val="BodyText"/>
        <w:spacing w:line="271" w:lineRule="exact"/>
        <w:ind w:left="638" w:right="126"/>
        <w:jc w:val="left"/>
        <w:rPr>
          <w:rFonts w:ascii="宋体" w:hAnsi="宋体" w:cs="宋体" w:eastAsia="宋体" w:hint="default"/>
        </w:rPr>
      </w:pPr>
      <w:r>
        <w:rPr>
          <w:rFonts w:ascii="宋体" w:hAnsi="宋体" w:cs="宋体" w:eastAsia="宋体" w:hint="default"/>
        </w:rPr>
        <w:t>3</w:t>
      </w:r>
      <w:r>
        <w:rPr/>
        <w:t>、骆家駹于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月提出辞去公司独立董事等在公司所任一切职务，于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p>
    <w:p>
      <w:pPr>
        <w:pStyle w:val="BodyText"/>
        <w:spacing w:line="272" w:lineRule="exact"/>
        <w:ind w:left="218" w:right="2940"/>
        <w:jc w:val="left"/>
      </w:pPr>
      <w:r>
        <w:rPr/>
        <w:t>日公司</w:t>
      </w:r>
      <w:r>
        <w:rPr>
          <w:spacing w:val="-56"/>
        </w:rPr>
        <w:t> </w:t>
      </w:r>
      <w:r>
        <w:rPr>
          <w:rFonts w:ascii="宋体" w:hAnsi="宋体" w:cs="宋体" w:eastAsia="宋体" w:hint="default"/>
        </w:rPr>
        <w:t>2014</w:t>
      </w:r>
      <w:r>
        <w:rPr>
          <w:rFonts w:ascii="宋体" w:hAnsi="宋体" w:cs="宋体" w:eastAsia="宋体" w:hint="default"/>
          <w:spacing w:val="-56"/>
        </w:rPr>
        <w:t> </w:t>
      </w:r>
      <w:r>
        <w:rPr/>
        <w:t>年度股东大会选举新任独立董事后生效。</w:t>
      </w:r>
    </w:p>
    <w:p>
      <w:pPr>
        <w:pStyle w:val="BodyText"/>
        <w:spacing w:line="273" w:lineRule="exact"/>
        <w:ind w:left="638" w:right="126"/>
        <w:jc w:val="left"/>
      </w:pPr>
      <w:r>
        <w:rPr>
          <w:rFonts w:ascii="宋体" w:hAnsi="宋体" w:cs="宋体" w:eastAsia="宋体" w:hint="default"/>
        </w:rPr>
        <w:t>4</w:t>
      </w:r>
      <w:r>
        <w:rPr/>
        <w:t>、官建文于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日因退休辞去公司董事、副总等在公司所任一切职务。</w:t>
      </w:r>
    </w:p>
    <w:p>
      <w:pPr>
        <w:spacing w:line="240" w:lineRule="auto" w:before="8"/>
        <w:rPr>
          <w:rFonts w:ascii="宋体" w:hAnsi="宋体" w:cs="宋体" w:eastAsia="宋体" w:hint="default"/>
          <w:sz w:val="20"/>
          <w:szCs w:val="20"/>
        </w:rPr>
      </w:pPr>
    </w:p>
    <w:p>
      <w:pPr>
        <w:pStyle w:val="BodyText"/>
        <w:spacing w:line="240" w:lineRule="auto"/>
        <w:ind w:left="638" w:right="5342" w:hanging="420"/>
        <w:jc w:val="left"/>
      </w:pPr>
      <w:r>
        <w:rPr>
          <w:spacing w:val="-2"/>
        </w:rPr>
        <w:t>连续两次未亲自出席董事会会议的说明</w:t>
      </w:r>
      <w:r>
        <w:rPr>
          <w:spacing w:val="-72"/>
        </w:rPr>
        <w:t> </w:t>
      </w:r>
      <w:r>
        <w:rPr>
          <w:spacing w:val="-72"/>
        </w:rPr>
      </w:r>
      <w:r>
        <w:rPr/>
        <w:t>无</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bl>
    <w:p>
      <w:pPr>
        <w:spacing w:line="240" w:lineRule="auto" w:before="2"/>
        <w:rPr>
          <w:rFonts w:ascii="宋体" w:hAnsi="宋体" w:cs="宋体" w:eastAsia="宋体" w:hint="default"/>
          <w:sz w:val="20"/>
          <w:szCs w:val="20"/>
        </w:rPr>
      </w:pPr>
    </w:p>
    <w:p>
      <w:pPr>
        <w:spacing w:line="264" w:lineRule="auto" w:before="36"/>
        <w:ind w:left="218" w:right="482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独立董事对公司有关事项提出异议的说明</w:t>
      </w:r>
    </w:p>
    <w:p>
      <w:pPr>
        <w:pStyle w:val="BodyText"/>
        <w:spacing w:line="253" w:lineRule="exact"/>
        <w:ind w:left="638" w:right="126"/>
        <w:jc w:val="left"/>
      </w:pPr>
      <w:r>
        <w:rPr/>
        <w:t>报告期内，公司独立董事未对公司本年度的董事会议案及其他非董事会议案事项提出异议。</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29"/>
        <w:ind w:left="638" w:right="2940"/>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left="642" w:right="126"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left="638" w:right="222" w:hanging="420"/>
        <w:jc w:val="left"/>
      </w:pPr>
      <w:r>
        <w:rPr/>
        <w:t>报告期内，董事会下设各专门委员会根据《公司章程》及各专门委员会的工作细则开展工作：</w:t>
      </w:r>
      <w:r>
        <w:rPr>
          <w:w w:val="100"/>
        </w:rPr>
        <w:t> </w:t>
      </w:r>
      <w:r>
        <w:rPr>
          <w:rFonts w:ascii="宋体" w:hAnsi="宋体" w:cs="宋体" w:eastAsia="宋体" w:hint="default"/>
          <w:spacing w:val="-4"/>
        </w:rPr>
        <w:t>1</w:t>
      </w:r>
      <w:r>
        <w:rPr>
          <w:spacing w:val="-4"/>
        </w:rPr>
        <w:t>、审计委员会根据《董事会审计委员会议事规则》开展工作，本年度共召开 </w:t>
      </w:r>
      <w:r>
        <w:rPr>
          <w:rFonts w:ascii="宋体" w:hAnsi="宋体" w:cs="宋体" w:eastAsia="宋体" w:hint="default"/>
        </w:rPr>
        <w:t>4</w:t>
      </w:r>
      <w:r>
        <w:rPr>
          <w:rFonts w:ascii="宋体" w:hAnsi="宋体" w:cs="宋体" w:eastAsia="宋体" w:hint="default"/>
          <w:spacing w:val="-34"/>
        </w:rPr>
        <w:t> </w:t>
      </w:r>
      <w:r>
        <w:rPr>
          <w:spacing w:val="-5"/>
        </w:rPr>
        <w:t>次会议。委员</w:t>
      </w:r>
    </w:p>
    <w:p>
      <w:pPr>
        <w:pStyle w:val="BodyText"/>
        <w:spacing w:line="274" w:lineRule="exact" w:before="22"/>
        <w:ind w:left="218" w:right="126"/>
        <w:jc w:val="left"/>
      </w:pPr>
      <w:r>
        <w:rPr>
          <w:spacing w:val="-2"/>
        </w:rPr>
        <w:t>会认真履行各项职责，检查、监督公司财务报表、关联交易、聘请会计师事务所、募集资金使用</w:t>
      </w:r>
      <w:r>
        <w:rPr>
          <w:spacing w:val="-25"/>
        </w:rPr>
        <w:t> </w:t>
      </w:r>
      <w:r>
        <w:rPr>
          <w:spacing w:val="-25"/>
        </w:rPr>
      </w:r>
      <w:r>
        <w:rPr/>
        <w:t>等事项并发表意见和建议，与公司的外部审计机构进行沟通。</w:t>
      </w:r>
    </w:p>
    <w:p>
      <w:pPr>
        <w:pStyle w:val="BodyText"/>
        <w:spacing w:line="245" w:lineRule="exact"/>
        <w:ind w:left="638" w:right="0"/>
        <w:jc w:val="left"/>
      </w:pPr>
      <w:r>
        <w:rPr>
          <w:rFonts w:ascii="宋体" w:hAnsi="宋体" w:cs="宋体" w:eastAsia="宋体" w:hint="default"/>
        </w:rPr>
        <w:t>2</w:t>
      </w:r>
      <w:r>
        <w:rPr/>
        <w:t>、薪酬与考核委员会本年度召开</w:t>
      </w:r>
      <w:r>
        <w:rPr>
          <w:spacing w:val="-53"/>
        </w:rPr>
        <w:t> </w:t>
      </w:r>
      <w:r>
        <w:rPr>
          <w:rFonts w:ascii="宋体" w:hAnsi="宋体" w:cs="宋体" w:eastAsia="宋体" w:hint="default"/>
        </w:rPr>
        <w:t>1</w:t>
      </w:r>
      <w:r>
        <w:rPr>
          <w:rFonts w:ascii="宋体" w:hAnsi="宋体" w:cs="宋体" w:eastAsia="宋体" w:hint="default"/>
          <w:spacing w:val="-53"/>
        </w:rPr>
        <w:t> </w:t>
      </w:r>
      <w:r>
        <w:rPr/>
        <w:t>次会议，按照《薪酬与考核委员会议事规则》、《董事、</w:t>
      </w:r>
    </w:p>
    <w:p>
      <w:pPr>
        <w:pStyle w:val="BodyText"/>
        <w:spacing w:line="272" w:lineRule="exact" w:before="27"/>
        <w:ind w:left="638" w:right="226" w:hanging="420"/>
        <w:jc w:val="left"/>
      </w:pPr>
      <w:r>
        <w:rPr/>
        <w:t>监事和高级管理人员薪酬制度》审议关于董事和高级管理人员薪酬的议案。</w:t>
      </w:r>
      <w:r>
        <w:rPr>
          <w:w w:val="100"/>
        </w:rPr>
        <w:t> </w:t>
      </w:r>
      <w:r>
        <w:rPr>
          <w:rFonts w:ascii="宋体" w:hAnsi="宋体" w:cs="宋体" w:eastAsia="宋体" w:hint="default"/>
          <w:spacing w:val="-6"/>
          <w:w w:val="100"/>
        </w:rPr>
        <w:t>3</w:t>
      </w:r>
      <w:r>
        <w:rPr>
          <w:spacing w:val="-6"/>
          <w:w w:val="100"/>
        </w:rPr>
        <w:t>、提名委员会本年度召开</w:t>
      </w:r>
      <w:r>
        <w:rPr>
          <w:w w:val="100"/>
        </w:rPr>
        <w:t> </w:t>
      </w:r>
      <w:r>
        <w:rPr>
          <w:rFonts w:ascii="宋体" w:hAnsi="宋体" w:cs="宋体" w:eastAsia="宋体" w:hint="default"/>
          <w:w w:val="100"/>
        </w:rPr>
        <w:t>3</w:t>
      </w:r>
      <w:r>
        <w:rPr>
          <w:rFonts w:ascii="宋体" w:hAnsi="宋体" w:cs="宋体" w:eastAsia="宋体" w:hint="default"/>
          <w:spacing w:val="-77"/>
          <w:w w:val="100"/>
        </w:rPr>
        <w:t> </w:t>
      </w:r>
      <w:r>
        <w:rPr>
          <w:spacing w:val="-11"/>
          <w:w w:val="100"/>
        </w:rPr>
        <w:t>次会议，按照《董事会提名委员会议事规则》、《独立董事制度》</w:t>
      </w:r>
    </w:p>
    <w:p>
      <w:pPr>
        <w:pStyle w:val="BodyText"/>
        <w:spacing w:line="247" w:lineRule="exact"/>
        <w:ind w:left="218" w:right="2940"/>
        <w:jc w:val="left"/>
      </w:pPr>
      <w:r>
        <w:rPr/>
        <w:t>对公司董事和高级管理人员候选人进行审查并提出建议。</w:t>
      </w:r>
    </w:p>
    <w:p>
      <w:pPr>
        <w:pStyle w:val="BodyText"/>
        <w:spacing w:line="240" w:lineRule="auto"/>
        <w:ind w:left="218" w:right="126" w:firstLine="419"/>
        <w:jc w:val="left"/>
      </w:pPr>
      <w:r>
        <w:rPr>
          <w:rFonts w:ascii="宋体" w:hAnsi="宋体" w:cs="宋体" w:eastAsia="宋体" w:hint="default"/>
          <w:spacing w:val="-4"/>
        </w:rPr>
        <w:t>4</w:t>
      </w:r>
      <w:r>
        <w:rPr>
          <w:spacing w:val="-4"/>
        </w:rPr>
        <w:t>、战略委员会本年度召开 </w:t>
      </w:r>
      <w:r>
        <w:rPr>
          <w:rFonts w:ascii="宋体" w:hAnsi="宋体" w:cs="宋体" w:eastAsia="宋体" w:hint="default"/>
        </w:rPr>
        <w:t>3</w:t>
      </w:r>
      <w:r>
        <w:rPr>
          <w:rFonts w:ascii="宋体" w:hAnsi="宋体" w:cs="宋体" w:eastAsia="宋体" w:hint="default"/>
          <w:spacing w:val="-54"/>
        </w:rPr>
        <w:t> </w:t>
      </w:r>
      <w:r>
        <w:rPr>
          <w:spacing w:val="-4"/>
        </w:rPr>
        <w:t>次会议，按照公司《对外投资管理制度》对公司重大投资决策进</w:t>
      </w:r>
      <w:r>
        <w:rPr>
          <w:w w:val="100"/>
        </w:rPr>
        <w:t> </w:t>
      </w:r>
      <w:r>
        <w:rPr/>
        <w:t>行研究并提出建议。</w:t>
      </w:r>
    </w:p>
    <w:p>
      <w:pPr>
        <w:spacing w:line="240" w:lineRule="auto" w:before="1"/>
        <w:rPr>
          <w:rFonts w:ascii="宋体" w:hAnsi="宋体" w:cs="宋体" w:eastAsia="宋体" w:hint="default"/>
          <w:sz w:val="25"/>
          <w:szCs w:val="25"/>
        </w:rPr>
      </w:pPr>
    </w:p>
    <w:p>
      <w:pPr>
        <w:spacing w:line="290" w:lineRule="auto" w:before="0"/>
        <w:ind w:left="638" w:right="2940"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2"/>
        <w:spacing w:line="272" w:lineRule="exact"/>
        <w:ind w:left="638" w:right="126"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72" w:lineRule="exact" w:before="61"/>
        <w:ind w:left="218" w:right="126" w:firstLine="419"/>
        <w:jc w:val="left"/>
      </w:pPr>
      <w:r>
        <w:rPr>
          <w:spacing w:val="-2"/>
        </w:rPr>
        <w:t>报告期内，公司与控股股东在业务、人员、资产、机构、财务等方面均能够保持独立性，不</w:t>
      </w:r>
      <w:r>
        <w:rPr>
          <w:w w:val="100"/>
        </w:rPr>
        <w:t> </w:t>
      </w:r>
      <w:r>
        <w:rPr/>
        <w:t>存在影响公司自主经营的情况。</w:t>
      </w:r>
    </w:p>
    <w:p>
      <w:pPr>
        <w:spacing w:line="240" w:lineRule="auto" w:before="10"/>
        <w:rPr>
          <w:rFonts w:ascii="宋体" w:hAnsi="宋体" w:cs="宋体" w:eastAsia="宋体" w:hint="default"/>
          <w:sz w:val="18"/>
          <w:szCs w:val="18"/>
        </w:rPr>
      </w:pPr>
    </w:p>
    <w:p>
      <w:pPr>
        <w:pStyle w:val="Heading2"/>
        <w:spacing w:line="240" w:lineRule="auto"/>
        <w:ind w:left="638" w:right="2940" w:hanging="420"/>
        <w:jc w:val="left"/>
        <w:rPr>
          <w:rFonts w:ascii="宋体" w:hAnsi="宋体" w:cs="宋体" w:eastAsia="宋体" w:hint="default"/>
          <w:b w:val="0"/>
          <w:bCs w:val="0"/>
        </w:rPr>
      </w:pPr>
      <w:r>
        <w:rPr>
          <w:spacing w:val="-1"/>
        </w:rPr>
        <w:t>存在同业竞争的，公司相应的解决措施、工作进度及后续工作计划</w:t>
      </w:r>
      <w:r>
        <w:rPr>
          <w:spacing w:val="-78"/>
        </w:rPr>
        <w:t> </w:t>
      </w:r>
      <w:r>
        <w:rPr>
          <w:spacing w:val="-78"/>
        </w:rPr>
      </w:r>
      <w:r>
        <w:rPr>
          <w:rFonts w:ascii="宋体" w:hAnsi="宋体" w:cs="宋体" w:eastAsia="宋体" w:hint="default"/>
          <w:b w:val="0"/>
          <w:bCs w:val="0"/>
        </w:rPr>
        <w:t>不适用</w:t>
      </w:r>
    </w:p>
    <w:p>
      <w:pPr>
        <w:spacing w:line="240" w:lineRule="auto" w:before="3"/>
        <w:rPr>
          <w:rFonts w:ascii="宋体" w:hAnsi="宋体" w:cs="宋体" w:eastAsia="宋体" w:hint="default"/>
          <w:sz w:val="25"/>
          <w:szCs w:val="25"/>
        </w:rPr>
      </w:pPr>
    </w:p>
    <w:p>
      <w:pPr>
        <w:spacing w:line="290" w:lineRule="auto" w:before="0"/>
        <w:ind w:left="638" w:right="126"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公司高级管理人员薪酬按照《董事、监事及高级管理人员制度》制定执行，公司根据目标完</w:t>
      </w:r>
    </w:p>
    <w:p>
      <w:pPr>
        <w:pStyle w:val="BodyText"/>
        <w:spacing w:line="230" w:lineRule="exact"/>
        <w:ind w:left="218" w:right="126"/>
        <w:jc w:val="left"/>
      </w:pPr>
      <w:r>
        <w:rPr>
          <w:w w:val="100"/>
        </w:rPr>
        <w:t>成情</w:t>
      </w:r>
      <w:r>
        <w:rPr>
          <w:spacing w:val="-3"/>
          <w:w w:val="100"/>
        </w:rPr>
        <w:t>况</w:t>
      </w:r>
      <w:r>
        <w:rPr>
          <w:w w:val="100"/>
        </w:rPr>
        <w:t>对</w:t>
      </w:r>
      <w:r>
        <w:rPr>
          <w:spacing w:val="-3"/>
          <w:w w:val="100"/>
        </w:rPr>
        <w:t>高</w:t>
      </w:r>
      <w:r>
        <w:rPr>
          <w:w w:val="100"/>
        </w:rPr>
        <w:t>级</w:t>
      </w:r>
      <w:r>
        <w:rPr>
          <w:spacing w:val="-3"/>
          <w:w w:val="100"/>
        </w:rPr>
        <w:t>管</w:t>
      </w:r>
      <w:r>
        <w:rPr>
          <w:w w:val="100"/>
        </w:rPr>
        <w:t>理</w:t>
      </w:r>
      <w:r>
        <w:rPr>
          <w:spacing w:val="-3"/>
          <w:w w:val="100"/>
        </w:rPr>
        <w:t>人</w:t>
      </w:r>
      <w:r>
        <w:rPr>
          <w:w w:val="100"/>
        </w:rPr>
        <w:t>员</w:t>
      </w:r>
      <w:r>
        <w:rPr>
          <w:spacing w:val="-3"/>
          <w:w w:val="100"/>
        </w:rPr>
        <w:t>进</w:t>
      </w:r>
      <w:r>
        <w:rPr>
          <w:w w:val="100"/>
        </w:rPr>
        <w:t>行业</w:t>
      </w:r>
      <w:r>
        <w:rPr>
          <w:spacing w:val="-3"/>
          <w:w w:val="100"/>
        </w:rPr>
        <w:t>绩</w:t>
      </w:r>
      <w:r>
        <w:rPr>
          <w:w w:val="100"/>
        </w:rPr>
        <w:t>考</w:t>
      </w:r>
      <w:r>
        <w:rPr>
          <w:spacing w:val="-3"/>
          <w:w w:val="100"/>
        </w:rPr>
        <w:t>核</w:t>
      </w:r>
      <w:r>
        <w:rPr>
          <w:spacing w:val="-99"/>
          <w:w w:val="100"/>
        </w:rPr>
        <w:t>，</w:t>
      </w:r>
      <w:r>
        <w:rPr>
          <w:spacing w:val="-3"/>
          <w:w w:val="100"/>
        </w:rPr>
        <w:t>考</w:t>
      </w:r>
      <w:r>
        <w:rPr>
          <w:w w:val="100"/>
        </w:rPr>
        <w:t>核</w:t>
      </w:r>
      <w:r>
        <w:rPr>
          <w:spacing w:val="-3"/>
          <w:w w:val="100"/>
        </w:rPr>
        <w:t>结</w:t>
      </w:r>
      <w:r>
        <w:rPr>
          <w:w w:val="100"/>
        </w:rPr>
        <w:t>果</w:t>
      </w:r>
      <w:r>
        <w:rPr>
          <w:spacing w:val="-3"/>
          <w:w w:val="100"/>
        </w:rPr>
        <w:t>作为</w:t>
      </w:r>
      <w:r>
        <w:rPr>
          <w:w w:val="100"/>
        </w:rPr>
        <w:t>年度</w:t>
      </w:r>
      <w:r>
        <w:rPr>
          <w:spacing w:val="-3"/>
          <w:w w:val="100"/>
        </w:rPr>
        <w:t>奖励</w:t>
      </w:r>
      <w:r>
        <w:rPr>
          <w:spacing w:val="-99"/>
          <w:w w:val="100"/>
        </w:rPr>
        <w:t>、</w:t>
      </w:r>
      <w:r>
        <w:rPr>
          <w:w w:val="100"/>
        </w:rPr>
        <w:t>确</w:t>
      </w:r>
      <w:r>
        <w:rPr>
          <w:spacing w:val="-3"/>
          <w:w w:val="100"/>
        </w:rPr>
        <w:t>定</w:t>
      </w:r>
      <w:r>
        <w:rPr>
          <w:w w:val="100"/>
        </w:rPr>
        <w:t>报</w:t>
      </w:r>
      <w:r>
        <w:rPr>
          <w:spacing w:val="-3"/>
          <w:w w:val="100"/>
        </w:rPr>
        <w:t>酬</w:t>
      </w:r>
      <w:r>
        <w:rPr>
          <w:w w:val="100"/>
        </w:rPr>
        <w:t>和</w:t>
      </w:r>
      <w:r>
        <w:rPr>
          <w:spacing w:val="-3"/>
          <w:w w:val="100"/>
        </w:rPr>
        <w:t>是否</w:t>
      </w:r>
      <w:r>
        <w:rPr>
          <w:w w:val="100"/>
        </w:rPr>
        <w:t>续聘</w:t>
      </w:r>
      <w:r>
        <w:rPr>
          <w:spacing w:val="-3"/>
          <w:w w:val="100"/>
        </w:rPr>
        <w:t>的</w:t>
      </w:r>
      <w:r>
        <w:rPr>
          <w:w w:val="100"/>
        </w:rPr>
        <w:t>重</w:t>
      </w:r>
      <w:r>
        <w:rPr>
          <w:spacing w:val="-3"/>
          <w:w w:val="100"/>
        </w:rPr>
        <w:t>要</w:t>
      </w:r>
      <w:r>
        <w:rPr>
          <w:w w:val="100"/>
        </w:rPr>
        <w:t>依</w:t>
      </w:r>
      <w:r>
        <w:rPr>
          <w:spacing w:val="-3"/>
          <w:w w:val="100"/>
        </w:rPr>
        <w:t>据</w:t>
      </w:r>
      <w:r>
        <w:rPr>
          <w:w w:val="100"/>
        </w:rPr>
        <w:t>。</w:t>
      </w:r>
    </w:p>
    <w:p>
      <w:pPr>
        <w:spacing w:after="0" w:line="230" w:lineRule="exact"/>
        <w:jc w:val="left"/>
        <w:sectPr>
          <w:footerReference w:type="default" r:id="rId37"/>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right="0"/>
        <w:jc w:val="left"/>
      </w:pPr>
      <w:r>
        <w:rPr>
          <w:spacing w:val="-2"/>
        </w:rPr>
        <w:t>公司将在不断的实践过程中，不断完善符合公司情况的高级管理人员的绩效考核、激励与约束机</w:t>
      </w:r>
      <w:r>
        <w:rPr>
          <w:spacing w:val="-25"/>
        </w:rPr>
        <w:t> </w:t>
      </w:r>
      <w:r>
        <w:rPr>
          <w:spacing w:val="-25"/>
        </w:rPr>
      </w:r>
      <w:r>
        <w:rPr/>
        <w:t>制。</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八、是否披露内部控制自我评价报告</w:t>
      </w:r>
      <w:r>
        <w:rPr>
          <w:b w:val="0"/>
          <w:bCs w:val="0"/>
        </w:rPr>
      </w:r>
    </w:p>
    <w:p>
      <w:pPr>
        <w:pStyle w:val="BodyText"/>
        <w:spacing w:line="274" w:lineRule="exact" w:before="56"/>
        <w:ind w:right="2543"/>
        <w:jc w:val="left"/>
      </w:pPr>
      <w:r>
        <w:rPr/>
        <w:t>√适用</w:t>
      </w:r>
      <w:r>
        <w:rPr>
          <w:spacing w:val="-1"/>
        </w:rPr>
        <w:t> </w:t>
      </w:r>
      <w:r>
        <w:rPr/>
        <w:t>□不适用</w:t>
      </w:r>
    </w:p>
    <w:p>
      <w:pPr>
        <w:pStyle w:val="BodyText"/>
        <w:spacing w:line="272" w:lineRule="exact" w:before="27"/>
        <w:ind w:right="0" w:firstLine="419"/>
        <w:jc w:val="left"/>
      </w:pPr>
      <w:r>
        <w:rPr>
          <w:spacing w:val="-3"/>
        </w:rPr>
        <w:t>详见与本报告同时披露于上海证券交易所网站（</w:t>
      </w:r>
      <w:hyperlink r:id="rId10">
        <w:r>
          <w:rPr>
            <w:rFonts w:ascii="宋体" w:hAnsi="宋体" w:cs="宋体" w:eastAsia="宋体" w:hint="default"/>
            <w:spacing w:val="-3"/>
          </w:rPr>
          <w:t>www.sse.com.cn</w:t>
        </w:r>
      </w:hyperlink>
      <w:r>
        <w:rPr>
          <w:spacing w:val="-3"/>
        </w:rPr>
        <w:t>）的《</w:t>
      </w:r>
      <w:r>
        <w:rPr>
          <w:rFonts w:ascii="宋体" w:hAnsi="宋体" w:cs="宋体" w:eastAsia="宋体" w:hint="default"/>
          <w:spacing w:val="-3"/>
        </w:rPr>
        <w:t>2015</w:t>
      </w:r>
      <w:r>
        <w:rPr>
          <w:rFonts w:ascii="宋体" w:hAnsi="宋体" w:cs="宋体" w:eastAsia="宋体" w:hint="default"/>
          <w:spacing w:val="1"/>
        </w:rPr>
        <w:t> </w:t>
      </w:r>
      <w:r>
        <w:rPr/>
        <w:t>年度内部控制自</w:t>
      </w:r>
      <w:r>
        <w:rPr>
          <w:w w:val="100"/>
        </w:rPr>
        <w:t> </w:t>
      </w:r>
      <w:r>
        <w:rPr/>
        <w:t>我评价报告》。</w:t>
      </w:r>
    </w:p>
    <w:p>
      <w:pPr>
        <w:spacing w:line="240" w:lineRule="auto" w:before="10"/>
        <w:rPr>
          <w:rFonts w:ascii="宋体" w:hAnsi="宋体" w:cs="宋体" w:eastAsia="宋体" w:hint="default"/>
          <w:sz w:val="18"/>
          <w:szCs w:val="18"/>
        </w:rPr>
      </w:pPr>
    </w:p>
    <w:p>
      <w:pPr>
        <w:pStyle w:val="BodyText"/>
        <w:spacing w:line="274" w:lineRule="exact"/>
        <w:ind w:right="2543"/>
        <w:jc w:val="left"/>
      </w:pPr>
      <w:r>
        <w:rPr/>
        <w:t>报告期内部控制存在重大缺陷情况的说明</w:t>
      </w:r>
    </w:p>
    <w:p>
      <w:pPr>
        <w:pStyle w:val="BodyText"/>
        <w:spacing w:line="274" w:lineRule="exact"/>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九、内部控制审计报告的相关情况说明</w:t>
      </w:r>
      <w:r>
        <w:rPr>
          <w:b w:val="0"/>
          <w:bCs w:val="0"/>
        </w:rPr>
      </w:r>
    </w:p>
    <w:p>
      <w:pPr>
        <w:pStyle w:val="BodyText"/>
        <w:spacing w:line="240" w:lineRule="auto" w:before="56"/>
        <w:ind w:left="558" w:right="299"/>
        <w:jc w:val="left"/>
      </w:pPr>
      <w:r>
        <w:rPr/>
        <w:t>报告全文于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日与本报告同时披露于上海证券交易所网站</w:t>
      </w:r>
      <w:r>
        <w:rPr>
          <w:spacing w:val="-54"/>
        </w:rPr>
        <w:t> </w:t>
      </w:r>
      <w:hyperlink r:id="rId10">
        <w:r>
          <w:rPr>
            <w:rFonts w:ascii="宋体" w:hAnsi="宋体" w:cs="宋体" w:eastAsia="宋体" w:hint="default"/>
          </w:rPr>
          <w:t>www.sse.com.cn</w:t>
        </w:r>
      </w:hyperlink>
      <w:r>
        <w:rPr/>
        <w:t>。</w:t>
      </w:r>
      <w:r>
        <w:rPr>
          <w:w w:val="100"/>
        </w:rPr>
        <w:t> </w:t>
      </w:r>
      <w:r>
        <w:rPr/>
        <w:t>是否披露内部控制审计报告：是</w:t>
      </w:r>
    </w:p>
    <w:p>
      <w:pPr>
        <w:spacing w:line="240" w:lineRule="auto" w:before="3"/>
        <w:rPr>
          <w:rFonts w:ascii="宋体" w:hAnsi="宋体" w:cs="宋体" w:eastAsia="宋体" w:hint="default"/>
          <w:sz w:val="25"/>
          <w:szCs w:val="25"/>
        </w:rPr>
      </w:pPr>
    </w:p>
    <w:p>
      <w:pPr>
        <w:pStyle w:val="Heading2"/>
        <w:spacing w:line="290" w:lineRule="auto"/>
        <w:ind w:left="138" w:right="8105"/>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spacing w:line="240" w:lineRule="auto" w:before="10"/>
        <w:rPr>
          <w:rFonts w:ascii="宋体" w:hAnsi="宋体" w:cs="宋体" w:eastAsia="宋体" w:hint="default"/>
          <w:sz w:val="20"/>
          <w:szCs w:val="20"/>
        </w:rPr>
      </w:pPr>
    </w:p>
    <w:p>
      <w:pPr>
        <w:pStyle w:val="Heading1"/>
        <w:tabs>
          <w:tab w:pos="4060" w:val="left" w:leader="none"/>
        </w:tabs>
        <w:spacing w:line="240" w:lineRule="auto" w:before="0"/>
        <w:ind w:left="2800" w:right="2543"/>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543"/>
        <w:jc w:val="left"/>
      </w:pPr>
      <w:r>
        <w:rPr/>
        <w:t>□适用</w:t>
      </w:r>
      <w:r>
        <w:rPr>
          <w:spacing w:val="-1"/>
        </w:rPr>
        <w:t> </w:t>
      </w:r>
      <w:r>
        <w:rPr/>
        <w:t>√不适用</w:t>
      </w:r>
    </w:p>
    <w:p>
      <w:pPr>
        <w:spacing w:after="0" w:line="240" w:lineRule="auto"/>
        <w:jc w:val="left"/>
        <w:sectPr>
          <w:footerReference w:type="default" r:id="rId38"/>
          <w:pgSz w:w="11910" w:h="16840"/>
          <w:pgMar w:footer="1195" w:header="877" w:top="1100" w:bottom="1380" w:left="1660" w:right="1140"/>
          <w:pgNumType w:start="41"/>
        </w:sectPr>
      </w:pPr>
    </w:p>
    <w:p>
      <w:pPr>
        <w:spacing w:line="240" w:lineRule="auto" w:before="0"/>
        <w:rPr>
          <w:rFonts w:ascii="宋体" w:hAnsi="宋体" w:cs="宋体" w:eastAsia="宋体" w:hint="default"/>
          <w:sz w:val="20"/>
          <w:szCs w:val="20"/>
        </w:rPr>
      </w:pPr>
    </w:p>
    <w:p>
      <w:pPr>
        <w:pStyle w:val="Heading1"/>
        <w:spacing w:line="240" w:lineRule="auto" w:before="155"/>
        <w:ind w:left="2" w:right="0"/>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2543"/>
        <w:jc w:val="left"/>
        <w:rPr>
          <w:b w:val="0"/>
          <w:bCs w:val="0"/>
        </w:rPr>
      </w:pPr>
      <w:r>
        <w:rPr/>
        <w:t>一、审计报告</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公司年度财务报告已经瑞华会计师事务所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注册会计师黄简、崔迎审计，并出</w:t>
      </w:r>
    </w:p>
    <w:p>
      <w:pPr>
        <w:pStyle w:val="BodyText"/>
        <w:spacing w:line="240" w:lineRule="auto" w:before="110"/>
        <w:ind w:right="2543"/>
        <w:jc w:val="left"/>
      </w:pPr>
      <w:r>
        <w:rPr/>
        <w:t>具了标准无保留意见的审计报告。</w:t>
      </w:r>
    </w:p>
    <w:p>
      <w:pPr>
        <w:spacing w:line="240" w:lineRule="auto" w:before="4"/>
        <w:rPr>
          <w:rFonts w:ascii="宋体" w:hAnsi="宋体" w:cs="宋体" w:eastAsia="宋体" w:hint="default"/>
          <w:sz w:val="13"/>
          <w:szCs w:val="13"/>
        </w:rPr>
      </w:pPr>
    </w:p>
    <w:p>
      <w:pPr>
        <w:pStyle w:val="Heading2"/>
        <w:spacing w:line="240" w:lineRule="auto" w:before="36"/>
        <w:ind w:left="3" w:right="0"/>
        <w:jc w:val="center"/>
        <w:rPr>
          <w:b w:val="0"/>
          <w:bCs w:val="0"/>
        </w:rPr>
      </w:pPr>
      <w:r>
        <w:rPr/>
        <w:t>审 计 报</w:t>
      </w:r>
      <w:r>
        <w:rPr>
          <w:spacing w:val="-1"/>
        </w:rPr>
        <w:t> </w:t>
      </w:r>
      <w:r>
        <w:rPr/>
        <w:t>告</w:t>
      </w:r>
      <w:r>
        <w:rPr>
          <w:b w:val="0"/>
          <w:bCs w:val="0"/>
        </w:rPr>
      </w:r>
    </w:p>
    <w:p>
      <w:pPr>
        <w:pStyle w:val="BodyText"/>
        <w:spacing w:line="240" w:lineRule="auto" w:before="85"/>
        <w:ind w:left="0" w:right="154"/>
        <w:jc w:val="right"/>
      </w:pPr>
      <w:r>
        <w:rPr/>
        <w:t>瑞华审字</w:t>
      </w:r>
      <w:r>
        <w:rPr>
          <w:rFonts w:ascii="宋体" w:hAnsi="宋体" w:cs="宋体" w:eastAsia="宋体" w:hint="default"/>
        </w:rPr>
        <w:t>[2016] 01280057</w:t>
      </w:r>
      <w:r>
        <w:rPr>
          <w:rFonts w:ascii="宋体" w:hAnsi="宋体" w:cs="宋体" w:eastAsia="宋体" w:hint="default"/>
          <w:spacing w:val="-52"/>
        </w:rPr>
        <w:t> </w:t>
      </w:r>
      <w:r>
        <w:rPr/>
        <w:t>号</w:t>
      </w:r>
    </w:p>
    <w:p>
      <w:pPr>
        <w:spacing w:line="240" w:lineRule="auto" w:before="6"/>
        <w:rPr>
          <w:rFonts w:ascii="宋体" w:hAnsi="宋体" w:cs="宋体" w:eastAsia="宋体" w:hint="default"/>
          <w:sz w:val="25"/>
          <w:szCs w:val="25"/>
        </w:rPr>
      </w:pPr>
    </w:p>
    <w:p>
      <w:pPr>
        <w:pStyle w:val="Heading2"/>
        <w:spacing w:line="240" w:lineRule="auto" w:before="36"/>
        <w:ind w:left="138" w:right="2543"/>
        <w:jc w:val="left"/>
        <w:rPr>
          <w:b w:val="0"/>
          <w:bCs w:val="0"/>
        </w:rPr>
      </w:pPr>
      <w:r>
        <w:rPr/>
        <w:t>人民网股份有限公司全体股东：</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58" w:right="0"/>
        <w:jc w:val="left"/>
        <w:rPr>
          <w:rFonts w:ascii="宋体" w:hAnsi="宋体" w:cs="宋体" w:eastAsia="宋体" w:hint="default"/>
        </w:rPr>
      </w:pPr>
      <w:r>
        <w:rPr>
          <w:spacing w:val="-3"/>
        </w:rPr>
        <w:t>我们审计了后附的人民网股份有限公司（以下简称“人民网公司”）的财务报表，包括</w:t>
      </w:r>
      <w:r>
        <w:rPr>
          <w:spacing w:val="12"/>
        </w:rPr>
        <w:t> </w:t>
      </w:r>
      <w:r>
        <w:rPr>
          <w:rFonts w:ascii="宋体" w:hAnsi="宋体" w:cs="宋体" w:eastAsia="宋体" w:hint="default"/>
        </w:rPr>
        <w:t>2015</w:t>
      </w:r>
    </w:p>
    <w:p>
      <w:pPr>
        <w:pStyle w:val="BodyText"/>
        <w:spacing w:line="357" w:lineRule="auto" w:before="133"/>
        <w:ind w:right="0"/>
        <w:jc w:val="left"/>
      </w:pPr>
      <w:r>
        <w:rPr/>
        <w:t>年</w:t>
      </w:r>
      <w:r>
        <w:rPr>
          <w:spacing w:val="-40"/>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31</w:t>
      </w:r>
      <w:r>
        <w:rPr>
          <w:rFonts w:ascii="宋体" w:hAnsi="宋体" w:cs="宋体" w:eastAsia="宋体" w:hint="default"/>
          <w:spacing w:val="-42"/>
        </w:rPr>
        <w:t> </w:t>
      </w:r>
      <w:r>
        <w:rPr>
          <w:spacing w:val="-3"/>
        </w:rPr>
        <w:t>日合并及公司的资产负债表，</w:t>
      </w:r>
      <w:r>
        <w:rPr>
          <w:rFonts w:ascii="宋体" w:hAnsi="宋体" w:cs="宋体" w:eastAsia="宋体" w:hint="default"/>
          <w:spacing w:val="-3"/>
        </w:rPr>
        <w:t>2015</w:t>
      </w:r>
      <w:r>
        <w:rPr>
          <w:rFonts w:ascii="宋体" w:hAnsi="宋体" w:cs="宋体" w:eastAsia="宋体" w:hint="default"/>
          <w:spacing w:val="-40"/>
        </w:rPr>
        <w:t> </w:t>
      </w:r>
      <w:r>
        <w:rPr>
          <w:spacing w:val="-3"/>
        </w:rPr>
        <w:t>年度合并及公司的利润表、合并及公司的现金流量</w:t>
      </w:r>
      <w:r>
        <w:rPr>
          <w:spacing w:val="-100"/>
        </w:rPr>
        <w:t> </w:t>
      </w:r>
      <w:r>
        <w:rPr>
          <w:spacing w:val="-100"/>
        </w:rPr>
      </w:r>
      <w:r>
        <w:rPr/>
        <w:t>表和合并及公司的股东权益变动表以及财务报表附注。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343"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编制和公允列报财务报表是人民网公司管理层的责任。这种责任包括：（</w:t>
      </w:r>
      <w:r>
        <w:rPr>
          <w:rFonts w:ascii="宋体" w:hAnsi="宋体" w:cs="宋体" w:eastAsia="宋体" w:hint="default"/>
          <w:spacing w:val="-4"/>
          <w:sz w:val="21"/>
          <w:szCs w:val="21"/>
        </w:rPr>
        <w:t>1</w:t>
      </w:r>
      <w:r>
        <w:rPr>
          <w:rFonts w:ascii="宋体" w:hAnsi="宋体" w:cs="宋体" w:eastAsia="宋体" w:hint="default"/>
          <w:spacing w:val="-4"/>
          <w:sz w:val="21"/>
          <w:szCs w:val="21"/>
        </w:rPr>
        <w:t>）按照企业会计准</w:t>
      </w:r>
    </w:p>
    <w:p>
      <w:pPr>
        <w:pStyle w:val="BodyText"/>
        <w:spacing w:line="357" w:lineRule="auto" w:before="43"/>
        <w:ind w:right="0"/>
        <w:jc w:val="left"/>
      </w:pPr>
      <w:r>
        <w:rPr>
          <w:spacing w:val="-4"/>
        </w:rPr>
        <w:t>则的规定编制财务报表，并使其实现公允反映；（</w:t>
      </w:r>
      <w:r>
        <w:rPr>
          <w:rFonts w:ascii="宋体" w:hAnsi="宋体" w:cs="宋体" w:eastAsia="宋体" w:hint="default"/>
          <w:spacing w:val="-4"/>
        </w:rPr>
        <w:t>2</w:t>
      </w:r>
      <w:r>
        <w:rPr>
          <w:spacing w:val="-4"/>
        </w:rPr>
        <w:t>）设计、执行和维护必要的内部控制，以使财</w:t>
      </w:r>
      <w:r>
        <w:rPr>
          <w:spacing w:val="-35"/>
        </w:rPr>
        <w:t> </w:t>
      </w:r>
      <w:r>
        <w:rPr>
          <w:spacing w:val="-35"/>
        </w:rPr>
      </w:r>
      <w:r>
        <w:rPr/>
        <w:t>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343"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w:t>
      </w:r>
    </w:p>
    <w:p>
      <w:pPr>
        <w:pStyle w:val="BodyText"/>
        <w:spacing w:line="355" w:lineRule="auto" w:before="43"/>
        <w:ind w:right="0"/>
        <w:jc w:val="left"/>
      </w:pPr>
      <w:r>
        <w:rPr>
          <w:spacing w:val="-2"/>
        </w:rPr>
        <w:t>审计准则的规定执行了审计工作。中国注册会计师审计准则要求我们遵守中国注册会计师职业道</w:t>
      </w:r>
      <w:r>
        <w:rPr>
          <w:spacing w:val="-25"/>
        </w:rPr>
        <w:t> </w:t>
      </w:r>
      <w:r>
        <w:rPr>
          <w:spacing w:val="-25"/>
        </w:rPr>
      </w:r>
      <w:r>
        <w:rPr/>
        <w:t>德守则，计划和执行审计工作以对财务报表是否不存在重大错报获取合理保证。</w:t>
      </w:r>
    </w:p>
    <w:p>
      <w:pPr>
        <w:pStyle w:val="BodyText"/>
        <w:spacing w:line="357" w:lineRule="auto" w:before="34"/>
        <w:ind w:right="137" w:firstLine="419"/>
        <w:jc w:val="both"/>
      </w:pPr>
      <w:r>
        <w:rPr>
          <w:spacing w:val="-2"/>
        </w:rPr>
        <w:t>审计工作涉及实施审计程序，以获取有关财务报表金额和披露的审计证据。选择的审计程序</w:t>
      </w:r>
      <w:r>
        <w:rPr>
          <w:w w:val="100"/>
        </w:rPr>
        <w:t> </w:t>
      </w:r>
      <w:r>
        <w:rPr>
          <w:spacing w:val="-2"/>
        </w:rPr>
        <w:t>取决于注册会计师的判断，包括对由于舞弊或错误导致的财务报表重大错报风险的评估。在进行</w:t>
      </w:r>
      <w:r>
        <w:rPr>
          <w:spacing w:val="-25"/>
        </w:rPr>
        <w:t> </w:t>
      </w:r>
      <w:r>
        <w:rPr>
          <w:spacing w:val="-25"/>
        </w:rPr>
      </w:r>
      <w:r>
        <w:rPr>
          <w:spacing w:val="-2"/>
        </w:rPr>
        <w:t>风险评估时，注册会计师考虑与财务报表编制和公允列报相关的内部控制，以设计恰当的审计程</w:t>
      </w:r>
      <w:r>
        <w:rPr>
          <w:spacing w:val="-25"/>
        </w:rPr>
        <w:t> </w:t>
      </w:r>
      <w:r>
        <w:rPr>
          <w:spacing w:val="-25"/>
        </w:rPr>
      </w:r>
      <w:r>
        <w:rPr>
          <w:spacing w:val="-2"/>
        </w:rPr>
        <w:t>序，审计工作还包括评价管理层选用会计政策的恰当性和作出会计估计的合理性，以及评价财务</w:t>
      </w:r>
      <w:r>
        <w:rPr>
          <w:spacing w:val="-26"/>
        </w:rPr>
        <w:t> </w:t>
      </w:r>
      <w:r>
        <w:rPr>
          <w:spacing w:val="-26"/>
        </w:rPr>
      </w:r>
      <w:r>
        <w:rPr/>
        <w:t>报表的总体列报。</w:t>
      </w:r>
    </w:p>
    <w:p>
      <w:pPr>
        <w:pStyle w:val="BodyText"/>
        <w:spacing w:line="240" w:lineRule="auto" w:before="32"/>
        <w:ind w:left="558"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43" w:lineRule="auto" w:before="137"/>
        <w:ind w:left="558" w:right="0"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2"/>
        </w:rPr>
        <w:t>我们认为，上述财务报表在所有重大方面按照企业会计准则的规定编制，公允反映了人民网</w:t>
      </w:r>
    </w:p>
    <w:p>
      <w:pPr>
        <w:pStyle w:val="BodyText"/>
        <w:spacing w:line="355" w:lineRule="auto" w:before="43"/>
        <w:ind w:right="0"/>
        <w:jc w:val="left"/>
      </w:pPr>
      <w:r>
        <w:rPr/>
        <w:t>股份有限公司</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日合并及公司的财务状况以及</w:t>
      </w:r>
      <w:r>
        <w:rPr>
          <w:spacing w:val="-54"/>
        </w:rPr>
        <w:t> </w:t>
      </w:r>
      <w:r>
        <w:rPr>
          <w:rFonts w:ascii="宋体" w:hAnsi="宋体" w:cs="宋体" w:eastAsia="宋体" w:hint="default"/>
        </w:rPr>
        <w:t>2015</w:t>
      </w:r>
      <w:r>
        <w:rPr>
          <w:rFonts w:ascii="宋体" w:hAnsi="宋体" w:cs="宋体" w:eastAsia="宋体" w:hint="default"/>
          <w:spacing w:val="-56"/>
        </w:rPr>
        <w:t> </w:t>
      </w:r>
      <w:r>
        <w:rPr/>
        <w:t>年度合并及公司的经营成果和</w:t>
      </w:r>
      <w:r>
        <w:rPr>
          <w:w w:val="100"/>
        </w:rPr>
        <w:t> </w:t>
      </w:r>
      <w:r>
        <w:rPr/>
        <w:t>现金流量。</w:t>
      </w:r>
    </w:p>
    <w:p>
      <w:pPr>
        <w:spacing w:after="0" w:line="355" w:lineRule="auto"/>
        <w:jc w:val="left"/>
        <w:sectPr>
          <w:pgSz w:w="11910" w:h="16840"/>
          <w:pgMar w:header="877" w:footer="1195" w:top="110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tbl>
      <w:tblPr>
        <w:tblW w:w="0" w:type="auto"/>
        <w:jc w:val="left"/>
        <w:tblInd w:w="343" w:type="dxa"/>
        <w:tblLayout w:type="fixed"/>
        <w:tblCellMar>
          <w:top w:w="0" w:type="dxa"/>
          <w:left w:w="0" w:type="dxa"/>
          <w:bottom w:w="0" w:type="dxa"/>
          <w:right w:w="0" w:type="dxa"/>
        </w:tblCellMar>
        <w:tblLook w:val="01E0"/>
      </w:tblPr>
      <w:tblGrid>
        <w:gridCol w:w="4070"/>
        <w:gridCol w:w="3474"/>
      </w:tblGrid>
      <w:tr>
        <w:trPr>
          <w:trHeight w:val="696"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11" w:lineRule="exact"/>
              <w:ind w:right="302"/>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474" w:type="dxa"/>
            <w:tcBorders>
              <w:top w:val="nil" w:sz="6" w:space="0" w:color="auto"/>
              <w:left w:val="nil" w:sz="6" w:space="0" w:color="auto"/>
              <w:bottom w:val="nil" w:sz="6" w:space="0" w:color="auto"/>
              <w:right w:val="nil" w:sz="6" w:space="0" w:color="auto"/>
            </w:tcBorders>
          </w:tcPr>
          <w:p>
            <w:pPr>
              <w:pStyle w:val="TableParagraph"/>
              <w:spacing w:line="211" w:lineRule="exact"/>
              <w:ind w:left="504" w:right="0"/>
              <w:jc w:val="left"/>
              <w:rPr>
                <w:rFonts w:ascii="宋体" w:hAnsi="宋体" w:cs="宋体" w:eastAsia="宋体" w:hint="default"/>
                <w:sz w:val="21"/>
                <w:szCs w:val="21"/>
              </w:rPr>
            </w:pPr>
            <w:r>
              <w:rPr>
                <w:rFonts w:ascii="宋体" w:hAnsi="宋体" w:cs="宋体" w:eastAsia="宋体" w:hint="default"/>
                <w:sz w:val="21"/>
                <w:szCs w:val="21"/>
              </w:rPr>
              <w:t>中国注册会计师：黄简</w:t>
            </w:r>
          </w:p>
        </w:tc>
      </w:tr>
      <w:tr>
        <w:trPr>
          <w:trHeight w:val="1146" w:hRule="exact"/>
        </w:trPr>
        <w:tc>
          <w:tcPr>
            <w:tcW w:w="4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04"/>
              <w:jc w:val="center"/>
              <w:rPr>
                <w:rFonts w:ascii="宋体" w:hAnsi="宋体" w:cs="宋体" w:eastAsia="宋体" w:hint="default"/>
                <w:sz w:val="21"/>
                <w:szCs w:val="21"/>
              </w:rPr>
            </w:pPr>
            <w:r>
              <w:rPr>
                <w:rFonts w:ascii="宋体" w:hAnsi="宋体" w:cs="宋体" w:eastAsia="宋体" w:hint="default"/>
                <w:sz w:val="21"/>
                <w:szCs w:val="21"/>
              </w:rPr>
              <w:t>中国·北京</w:t>
            </w:r>
          </w:p>
        </w:tc>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中国注册会计师：崔迎</w:t>
            </w:r>
          </w:p>
        </w:tc>
      </w:tr>
      <w:tr>
        <w:trPr>
          <w:trHeight w:val="661" w:hRule="exact"/>
        </w:trPr>
        <w:tc>
          <w:tcPr>
            <w:tcW w:w="4070" w:type="dxa"/>
            <w:tcBorders>
              <w:top w:val="nil" w:sz="6" w:space="0" w:color="auto"/>
              <w:left w:val="nil" w:sz="6" w:space="0" w:color="auto"/>
              <w:bottom w:val="nil" w:sz="6" w:space="0" w:color="auto"/>
              <w:right w:val="nil" w:sz="6" w:space="0" w:color="auto"/>
            </w:tcBorders>
          </w:tcPr>
          <w:p>
            <w:pPr/>
          </w:p>
        </w:tc>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171" w:right="0"/>
              <w:jc w:val="left"/>
              <w:rPr>
                <w:rFonts w:ascii="宋体" w:hAnsi="宋体" w:cs="宋体" w:eastAsia="宋体" w:hint="default"/>
                <w:sz w:val="21"/>
                <w:szCs w:val="21"/>
              </w:rPr>
            </w:pPr>
            <w:r>
              <w:rPr>
                <w:rFonts w:ascii="宋体" w:hAnsi="宋体" w:cs="宋体" w:eastAsia="宋体" w:hint="default"/>
                <w:sz w:val="21"/>
                <w:szCs w:val="21"/>
              </w:rPr>
              <w:t>二〇一六年四月十四日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660" w:right="1140"/>
        </w:sectPr>
      </w:pPr>
    </w:p>
    <w:p>
      <w:pPr>
        <w:spacing w:line="240" w:lineRule="auto" w:before="2"/>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877" w:footer="1195" w:top="1100" w:bottom="1380" w:left="1580" w:right="10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人民网股份有限公司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164" w:space="387"/>
            <w:col w:w="1954"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1,251,352,636.22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1,520,351,993.43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526,665,650.88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441,624,434.89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24,752,267.61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63,254,886.49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39,941,152.60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48,133,305.76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4,848,947.99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3,403,509.07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575,174,215.01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393,697,366.33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2,422,734,870.31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2,470,465,495.97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18,750,000.00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61,572,365.22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19,531,657.43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20,052,195.05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113,222,219.05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25,497,296.00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176,899,931.11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143,531,882.15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86,518,152.49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100,495,245.71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2,470,419.83</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376,270,794.33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388,787,781.30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48,213,721.53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6,920,225.95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3,903,909.82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4,947,141.56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335,044,560.12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293,277,473.84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1,180,825,365.71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1,045,081,606.78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3,603,560,236.02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3,515,547,102.75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141,416,529.86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113,010,149.46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183,985,848.25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166,220,006.94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20,487,632.80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14,156,366.65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39,190,703.35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47,243,419.62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67,584,014.99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180,252,799.22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366,210.78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18,100,179.60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156,862.75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470,764,908.85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521,405,815.42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766,435.52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16,016,666.72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16,783,102.24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487,548,011.09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538,015,815.42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1,105,691,056.00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552,845,528.00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745,005,150.37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1,297,850,678.37</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-6,269,805.13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8,803,198.33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127,231,794.30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96,947,353.27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722,985,440.45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579,029,167.99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2,694,643,635.99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2,535,475,925.96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421,368,588.94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442,055,361.37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3,116,012,224.93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2,977,531,287.33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3,603,560,236.02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3,515,547,102.75</w:t>
            </w:r>
          </w:p>
        </w:tc>
      </w:tr>
    </w:tbl>
    <w:p>
      <w:pPr>
        <w:spacing w:line="240" w:lineRule="auto" w:before="6"/>
        <w:rPr>
          <w:rFonts w:ascii="Times New Roman" w:hAnsi="Times New Roman" w:cs="Times New Roman" w:eastAsia="Times New Roman" w:hint="default"/>
          <w:sz w:val="17"/>
          <w:szCs w:val="17"/>
        </w:rPr>
      </w:pPr>
    </w:p>
    <w:p>
      <w:pPr>
        <w:pStyle w:val="BodyText"/>
        <w:tabs>
          <w:tab w:pos="2632" w:val="left" w:leader="none"/>
          <w:tab w:pos="5575" w:val="left" w:leader="none"/>
        </w:tabs>
        <w:spacing w:line="240" w:lineRule="auto" w:before="36"/>
        <w:ind w:left="218" w:right="126"/>
        <w:jc w:val="left"/>
      </w:pPr>
      <w:r>
        <w:rPr>
          <w:spacing w:val="-1"/>
        </w:rPr>
        <w:t>法定代表人：牛一兵</w:t>
        <w:tab/>
      </w:r>
      <w:r>
        <w:rPr>
          <w:spacing w:val="-2"/>
        </w:rPr>
        <w:t>主管会计工作负责人：李奇</w:t>
        <w:tab/>
        <w:t>会计机构负责人：张煜晓</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人民网股份有限公司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880,114,333.34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1,070,549,643.65</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293,507,152.97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233,606,333.95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10,512,801.97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24,104,691.47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36,956,600.13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41,760,571.37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3,689,058.82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2,808,507.12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343,486,275.03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314,921,479.91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1,568,266,222.26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1,687,751,227.47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42,458,900.00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19,480,800.00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725,865,403.24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658,630,345.77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145,697,883.16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106,496,113.96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21,086,376.06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20,745,481.31</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46,385,574.84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4,093,021.28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332,776,942.46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290,627,354.95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1,309,922,979.76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1,123,051,217.27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2,878,189,202.02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2,810,802,444.74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77,692,195.83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61,305,564.79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110,849,643.83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104,308,995.67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10,818,141.86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4,539,843.71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9,049,651.40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8,668,029.40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62,425,136.68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213,020,060.72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270,834,769.60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391,842,494.29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15,466,666.72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15,466,666.72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286,301,436.32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407,522,494.29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1,105,691,056.00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552,845,528.00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674,830,630.19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1,227,676,158.19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14,724,400.00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127,689,360.91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97,404,919.88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683,676,718.60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510,628,944.38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2,591,887,765.70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2,403,279,950.45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2,878,189,202.02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2,810,802,444.74</w:t>
            </w:r>
          </w:p>
        </w:tc>
      </w:tr>
    </w:tbl>
    <w:p>
      <w:pPr>
        <w:spacing w:line="240" w:lineRule="auto" w:before="7"/>
        <w:rPr>
          <w:rFonts w:ascii="宋体" w:hAnsi="宋体" w:cs="宋体" w:eastAsia="宋体" w:hint="default"/>
          <w:sz w:val="15"/>
          <w:szCs w:val="15"/>
        </w:rPr>
      </w:pPr>
    </w:p>
    <w:p>
      <w:pPr>
        <w:pStyle w:val="BodyText"/>
        <w:spacing w:line="240" w:lineRule="auto" w:before="36"/>
        <w:ind w:left="218" w:right="126"/>
        <w:jc w:val="left"/>
      </w:pPr>
      <w:r>
        <w:rPr/>
        <w:t>法定代表人：牛一兵 主管会计工作负责人：李奇</w:t>
      </w:r>
      <w:r>
        <w:rPr>
          <w:spacing w:val="-9"/>
        </w:rPr>
        <w:t> </w:t>
      </w:r>
      <w:r>
        <w:rPr/>
        <w:t>会计机构负责人：张煜晓</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1,604,762,288.77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1,584,059,382.48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1,604,762,288.77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1,584,059,382.48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1,344,342,232.43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1,219,472,061.20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774,055,707.65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682,187,075.25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15,389,951.34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19,025,975.85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309,798,785.64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287,642,940.49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239,869,461.35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202,679,730.70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-2,925,783.79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2,928,244.48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8,154,110.24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25,008,094.43</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144,480,893.23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93,704,057.26</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404,900,949.57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458,291,378.54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13,000,659.16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34,797,196.67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64,753.32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3,546,641.65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877,059.45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108,389.77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27,614.42</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414,354,967.08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492,211,515.76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22,071,208.54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46,596,217.99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392,283,758.54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445,615,297.77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274,280,594.31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330,222,551.16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118,003,164.23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115,392,746.61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-15,124,750.64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-23,863,185.01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-15,073,003.46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-23,845,133.99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-15,073,003.46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-23,845,133.99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-14,724,400.00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-20,822,356.31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-348,603.46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-3,022,777.68</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-51,747.18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-18,051.02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377,159,007.90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421,752,112.76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259,207,590.85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306,377,417.17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117,951,417.05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115,374,695.59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0.3</w:t>
            </w:r>
          </w:p>
        </w:tc>
      </w:tr>
    </w:tbl>
    <w:p>
      <w:pPr>
        <w:spacing w:line="240" w:lineRule="auto" w:before="5"/>
        <w:rPr>
          <w:rFonts w:ascii="宋体" w:hAnsi="宋体" w:cs="宋体" w:eastAsia="宋体" w:hint="default"/>
          <w:sz w:val="15"/>
          <w:szCs w:val="15"/>
        </w:rPr>
      </w:pPr>
    </w:p>
    <w:p>
      <w:pPr>
        <w:pStyle w:val="BodyText"/>
        <w:spacing w:line="240" w:lineRule="auto" w:before="36"/>
        <w:ind w:left="218" w:right="126"/>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72" w:lineRule="exact"/>
        <w:ind w:left="218" w:right="126"/>
        <w:jc w:val="left"/>
      </w:pPr>
      <w:r>
        <w:rPr/>
        <w:t>法定代表人：牛一兵 主管会计工作负责人：李奇</w:t>
      </w:r>
      <w:r>
        <w:rPr>
          <w:spacing w:val="-9"/>
        </w:rPr>
        <w:t> </w:t>
      </w:r>
      <w:r>
        <w:rPr/>
        <w:t>会计机构负责人：张煜晓</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6,6e" filled="false" stroked="true" strokeweight=".600010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39"/>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0"/>
          <w:pgSz w:w="11910" w:h="16840"/>
          <w:pgMar w:footer="1195" w:header="877"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742,505,633.74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711,766,175.28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360,137,692.89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336,926,391.24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10,605,786.63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12,987,204.73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160,590,348.41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144,639,829.10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82,786,762.34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70,868,133.50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-1,982,086.94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-4,774,429.68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5,933,230.48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11,066,904.57</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178,364,301.11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96,673,065.55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302,798,201.04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236,725,207.37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2,487,837.47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27,110,435.12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64,593.38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2,433,725.73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413,125.91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16,948.49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302,852,312.78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263,422,516.58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7,902.49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1,566,818.82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302,844,410.29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261,855,697.76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-14,724,400.00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-20,822,356.31</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-14,724,400.00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-20,822,356.31</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-14,724,400.00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-20,822,356.31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288,120,010.29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241,033,341.45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126"/>
        <w:jc w:val="left"/>
      </w:pPr>
      <w:r>
        <w:rPr/>
        <w:t>法定代表人：牛一兵 主管会计工作负责人：李奇</w:t>
      </w:r>
      <w:r>
        <w:rPr>
          <w:spacing w:val="-9"/>
        </w:rPr>
        <w:t> </w:t>
      </w:r>
      <w:r>
        <w:rPr/>
        <w:t>会计机构负责人：张煜晓</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1"/>
          <w:pgSz w:w="11910" w:h="16840"/>
          <w:pgMar w:footer="1195" w:header="877" w:top="1100" w:bottom="1380" w:left="1580" w:right="1040"/>
          <w:pgNumType w:start="52"/>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76"/>
        <w:gridCol w:w="859"/>
        <w:gridCol w:w="2216"/>
        <w:gridCol w:w="2199"/>
      </w:tblGrid>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1,517,566,196.43</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1,542,418,039.18</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27,486,228.64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253,509.32</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178,468,290.78</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242,197,636.92</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1,723,520,715.85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1,784,869,185.42</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514,861,769.85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492,434,860.70</w:t>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532,494,732.40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451,987,118.29</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106,744,063.07</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135,138,790.13</w:t>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204,427,681.38</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340,124,197.02</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1,358,528,246.70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1,419,684,966.14</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364,992,469.15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365,184,219.28</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8,786,852,647.94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9,363,055,494.70</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87,561,281.56</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93,716,671.26</w:t>
            </w:r>
          </w:p>
        </w:tc>
      </w:tr>
      <w:tr>
        <w:trPr>
          <w:trHeight w:val="560"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160,388.04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1,227,103.81</w:t>
            </w:r>
          </w:p>
        </w:tc>
      </w:tr>
      <w:tr>
        <w:trPr>
          <w:trHeight w:val="562"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266,400.00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9,730,838.78</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8,874,840,717.54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9,467,730,108.55</w:t>
            </w:r>
          </w:p>
        </w:tc>
      </w:tr>
      <w:tr>
        <w:trPr>
          <w:trHeight w:val="559"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191,768,974.89</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318,167,973.00</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8,997,648,257.35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9,794,917,519.70</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104,478,900.00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124,523,110.96</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72,996,047.34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110,414.74</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9,366,892,179.58</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10,237,719,018.40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776"/>
        <w:gridCol w:w="859"/>
        <w:gridCol w:w="2216"/>
        <w:gridCol w:w="2199"/>
      </w:tblGrid>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-492,051,462.04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-769,988,909.85</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78,000,000.00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209,000,000.00</w:t>
            </w:r>
          </w:p>
        </w:tc>
      </w:tr>
      <w:tr>
        <w:trPr>
          <w:trHeight w:val="562"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78,000,000.00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209,000,000.00</w:t>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6,542,832.92</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84,542,832.92</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223,000,000.00</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221,950,744.72</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139,114,900.55</w:t>
            </w:r>
          </w:p>
        </w:tc>
      </w:tr>
      <w:tr>
        <w:trPr>
          <w:trHeight w:val="562"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122,438,549.68</w:t>
            </w:r>
          </w:p>
        </w:tc>
        <w:tc>
          <w:tcPr>
            <w:tcW w:w="21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3,138,693.35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272,517.42</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225,089,438.07</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139,387,417.97</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-140,546,605.15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83,612,582.03</w:t>
            </w:r>
          </w:p>
        </w:tc>
      </w:tr>
      <w:tr>
        <w:trPr>
          <w:trHeight w:val="559"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-559,863.17</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-1,662,342.71</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-268,165,461.21</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-322,854,451.25</w:t>
            </w:r>
          </w:p>
        </w:tc>
      </w:tr>
      <w:tr>
        <w:trPr>
          <w:trHeight w:val="286"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1,519,518,097.43</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1,842,372,548.68</w:t>
            </w:r>
          </w:p>
        </w:tc>
      </w:tr>
      <w:tr>
        <w:trPr>
          <w:trHeight w:val="28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9"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1,251,352,636.22</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1,519,518,097.43</w:t>
            </w:r>
          </w:p>
        </w:tc>
      </w:tr>
    </w:tbl>
    <w:p>
      <w:pPr>
        <w:spacing w:line="240" w:lineRule="auto" w:before="7"/>
        <w:rPr>
          <w:rFonts w:ascii="宋体" w:hAnsi="宋体" w:cs="宋体" w:eastAsia="宋体" w:hint="default"/>
          <w:sz w:val="15"/>
          <w:szCs w:val="15"/>
        </w:rPr>
      </w:pPr>
    </w:p>
    <w:p>
      <w:pPr>
        <w:pStyle w:val="BodyText"/>
        <w:spacing w:line="240" w:lineRule="auto" w:before="36"/>
        <w:ind w:left="218" w:right="126"/>
        <w:jc w:val="left"/>
      </w:pPr>
      <w:r>
        <w:rPr/>
        <w:t>法定代表人：牛一兵 主管会计工作负责人：李奇</w:t>
      </w:r>
      <w:r>
        <w:rPr>
          <w:spacing w:val="-9"/>
        </w:rPr>
        <w:t> </w:t>
      </w:r>
      <w:r>
        <w:rPr/>
        <w:t>会计机构负责人：张煜晓</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4"/>
        <w:gridCol w:w="708"/>
        <w:gridCol w:w="1985"/>
        <w:gridCol w:w="1993"/>
      </w:tblGrid>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712,421,461.89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699,290,137.32</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26,809,262.29</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69,927,105.71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260,462,508.29</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809,157,829.89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959,752,645.61</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145,320,161.28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136,704,670.76</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324,492,295.59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282,918,359.61</w:t>
            </w: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31,810,291.82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68,875,510.88</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266,793,432.72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225,565,863.65</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768,416,181.41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714,064,404.90</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40,741,648.48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245,688,240.71</w:t>
            </w: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7,488,186,600.00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9,060,895,494.70</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156,226,146.38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92,110,013.42</w:t>
            </w:r>
          </w:p>
        </w:tc>
      </w:tr>
      <w:tr>
        <w:trPr>
          <w:trHeight w:val="55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w:t>
            </w:r>
          </w:p>
        </w:tc>
      </w:tr>
      <w:tr>
        <w:trPr>
          <w:trHeight w:val="55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266,400.00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9,729,416.78</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7,644,679,171.38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9,162,760,924.90</w:t>
            </w:r>
          </w:p>
        </w:tc>
      </w:tr>
      <w:tr>
        <w:trPr>
          <w:trHeight w:val="55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174,145,357.28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254,551,378.10</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7,553,462,400.00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9,484,136,551.71</w:t>
            </w:r>
          </w:p>
        </w:tc>
      </w:tr>
      <w:tr>
        <w:trPr>
          <w:trHeight w:val="55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51,655,802.74</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7,779,263,560.02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9,738,687,929.81</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-134,584,388.64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-575,927,004.91</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5,708,936.92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5,708,936.92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99,512,195.04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139,114,900.55</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2,789,312.03</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102,301,507.07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139,114,900.55</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-96,592,570.15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-125,114,900.55</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-190,435,310.31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-455,353,664.75</w:t>
            </w:r>
          </w:p>
        </w:tc>
      </w:tr>
      <w:tr>
        <w:trPr>
          <w:trHeight w:val="28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1,070,549,643.65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1,525,903,308.40</w:t>
            </w:r>
          </w:p>
        </w:tc>
      </w:tr>
      <w:tr>
        <w:trPr>
          <w:trHeight w:val="28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880,114,333.34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1,070,549,643.65</w:t>
            </w:r>
          </w:p>
        </w:tc>
      </w:tr>
    </w:tbl>
    <w:p>
      <w:pPr>
        <w:pStyle w:val="BodyText"/>
        <w:spacing w:line="241" w:lineRule="exact"/>
        <w:ind w:left="218" w:right="126"/>
        <w:jc w:val="left"/>
      </w:pPr>
      <w:r>
        <w:rPr/>
        <w:t>法定代表人：牛一兵 主管会计工作负责人：李奇</w:t>
      </w:r>
      <w:r>
        <w:rPr>
          <w:spacing w:val="-9"/>
        </w:rPr>
        <w:t> </w:t>
      </w:r>
      <w:r>
        <w:rPr/>
        <w:t>会计机构负责人：张煜晓</w:t>
      </w:r>
    </w:p>
    <w:p>
      <w:pPr>
        <w:spacing w:after="0" w:line="241" w:lineRule="exact"/>
        <w:jc w:val="left"/>
        <w:sectPr>
          <w:type w:val="continuous"/>
          <w:pgSz w:w="11910" w:h="16840"/>
          <w:pgMar w:top="1120" w:bottom="1380" w:left="1580" w:right="1040"/>
        </w:sectPr>
      </w:pPr>
    </w:p>
    <w:p>
      <w:pPr>
        <w:spacing w:line="272" w:lineRule="exact" w:before="145"/>
        <w:ind w:left="740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2"/>
          <w:footerReference w:type="default" r:id="rId43"/>
          <w:pgSz w:w="16840" w:h="11910" w:orient="landscape"/>
          <w:pgMar w:header="882" w:footer="1195" w:top="1120" w:bottom="1380" w:left="280" w:right="160"/>
          <w:pgNumType w:start="55"/>
          <w:cols w:num="2" w:equalWidth="0">
            <w:col w:w="9226" w:space="40"/>
            <w:col w:w="713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416"/>
        <w:gridCol w:w="427"/>
        <w:gridCol w:w="1558"/>
        <w:gridCol w:w="711"/>
        <w:gridCol w:w="1558"/>
        <w:gridCol w:w="1702"/>
        <w:gridCol w:w="1702"/>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988" w:type="dxa"/>
            <w:vMerge/>
            <w:tcBorders>
              <w:left w:val="single" w:sz="4" w:space="0" w:color="000000"/>
              <w:right w:val="single" w:sz="4" w:space="0" w:color="000000"/>
            </w:tcBorders>
          </w:tcPr>
          <w:p>
            <w:pP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988"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5"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4" w:lineRule="auto" w:before="99"/>
              <w:ind w:left="119"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850" w:hRule="exact"/>
        </w:trPr>
        <w:tc>
          <w:tcPr>
            <w:tcW w:w="198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19"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1,297,850,678.37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8,803,198.33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96,947,353.27</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579,029,167.99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442,055,361.37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2,977,531,287.33</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1,297,850,678.37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8,803,198.33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96,947,353.27</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579,029,167.99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442,055,361.37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2,977,531,287.33</w:t>
            </w: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4" w:lineRule="exact" w:before="21"/>
              <w:ind w:left="105" w:right="249"/>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-15,073,003.4</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30,284,441.03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143,956,272.46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-20,686,772.43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138,480,937.60</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-15,073,003.4</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274,280,594.31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117,951,417.05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377,159,007.90</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-9,837,325.58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-9,837,325.58</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18,670,911.98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18,670,911.98</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-28,508,237.56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-28,508,237.56</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30,284,441.03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-130,324,321.8</w:t>
            </w:r>
          </w:p>
          <w:p>
            <w:pPr>
              <w:pStyle w:val="TableParagraph"/>
              <w:spacing w:line="240" w:lineRule="auto"/>
              <w:ind w:right="101"/>
              <w:jc w:val="right"/>
              <w:rPr>
                <w:rFonts w:ascii="宋体" w:hAnsi="宋体" w:cs="宋体" w:eastAsia="宋体" w:hint="default"/>
                <w:sz w:val="18"/>
                <w:szCs w:val="18"/>
              </w:rPr>
            </w:pPr>
            <w:r>
              <w:rPr>
                <w:rFonts w:ascii="宋体"/>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-128,800,863.90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-228,840,744.72</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30,284,441.03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-30,284,441.03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416"/>
        <w:gridCol w:w="427"/>
        <w:gridCol w:w="1558"/>
        <w:gridCol w:w="711"/>
        <w:gridCol w:w="1558"/>
        <w:gridCol w:w="1702"/>
        <w:gridCol w:w="1702"/>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988" w:type="dxa"/>
            <w:vMerge/>
            <w:tcBorders>
              <w:left w:val="single" w:sz="4" w:space="0" w:color="000000"/>
              <w:right w:val="single" w:sz="4" w:space="0" w:color="000000"/>
            </w:tcBorders>
          </w:tcPr>
          <w:p>
            <w:pP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988"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4" w:lineRule="auto" w:before="97"/>
              <w:ind w:left="119"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847" w:hRule="exact"/>
        </w:trPr>
        <w:tc>
          <w:tcPr>
            <w:tcW w:w="198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19"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-99,512,195.04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-129,328,549.68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-228,840,744.72</w:t>
            </w:r>
          </w:p>
        </w:tc>
      </w:tr>
      <w:tr>
        <w:trPr>
          <w:trHeight w:val="2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-527,685.78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527,685.78</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-6,269,805.13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127,231,794.30</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722,985,440.45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421,368,588.94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3,116,012,224.93</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280" w:right="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59"/>
        <w:gridCol w:w="394"/>
        <w:gridCol w:w="1702"/>
        <w:gridCol w:w="425"/>
        <w:gridCol w:w="1416"/>
        <w:gridCol w:w="427"/>
        <w:gridCol w:w="1558"/>
        <w:gridCol w:w="711"/>
        <w:gridCol w:w="1558"/>
        <w:gridCol w:w="1560"/>
        <w:gridCol w:w="1843"/>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1988" w:type="dxa"/>
            <w:vMerge/>
            <w:tcBorders>
              <w:left w:val="single" w:sz="4" w:space="0" w:color="000000"/>
              <w:right w:val="single" w:sz="4" w:space="0" w:color="000000"/>
            </w:tcBorders>
          </w:tcPr>
          <w:p>
            <w:pP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88"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4" w:lineRule="auto" w:before="97"/>
              <w:ind w:left="119"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720" w:hRule="exact"/>
        </w:trPr>
        <w:tc>
          <w:tcPr>
            <w:tcW w:w="198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0"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20" w:right="113"/>
              <w:jc w:val="left"/>
              <w:rPr>
                <w:rFonts w:ascii="宋体" w:hAnsi="宋体" w:cs="宋体" w:eastAsia="宋体" w:hint="default"/>
                <w:sz w:val="18"/>
                <w:szCs w:val="18"/>
              </w:rPr>
            </w:pPr>
            <w:r>
              <w:rPr>
                <w:rFonts w:ascii="宋体" w:hAnsi="宋体" w:cs="宋体" w:eastAsia="宋体" w:hint="default"/>
                <w:sz w:val="18"/>
                <w:szCs w:val="18"/>
              </w:rPr>
              <w:t>先 股</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36"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36" w:right="130"/>
              <w:jc w:val="left"/>
              <w:rPr>
                <w:rFonts w:ascii="宋体" w:hAnsi="宋体" w:cs="宋体" w:eastAsia="宋体" w:hint="default"/>
                <w:sz w:val="18"/>
                <w:szCs w:val="18"/>
              </w:rPr>
            </w:pPr>
            <w:r>
              <w:rPr>
                <w:rFonts w:ascii="宋体" w:hAnsi="宋体" w:cs="宋体" w:eastAsia="宋体" w:hint="default"/>
                <w:sz w:val="18"/>
                <w:szCs w:val="18"/>
              </w:rPr>
              <w:t>续 债</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05"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32,648,332.32</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71,219,350.11</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412,746,001.99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137,849,939.31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2,434,985,309.92</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32,648,332.32</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71,219,350.11</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412,746,001.99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137,849,939.31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2,434,985,309.92</w:t>
            </w:r>
          </w:p>
        </w:tc>
      </w:tr>
      <w:tr>
        <w:trPr>
          <w:trHeight w:val="71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5" w:right="249"/>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-206,248,243.82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-23,845,133.9</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25,728,003.16</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166,283,166.00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304,205,422.06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542,545,977.41</w:t>
            </w:r>
          </w:p>
        </w:tc>
      </w:tr>
      <w:tr>
        <w:trPr>
          <w:trHeight w:val="47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-23,845,133.9</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330,222,551.16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115,374,695.59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421,752,112.76</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70,174,520.18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188,830,726.47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259,005,246.65</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70,174,520.18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188,830,726.47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259,005,246.65</w:t>
            </w: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25,728,003.16</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-163,939,385.1</w:t>
            </w:r>
          </w:p>
          <w:p>
            <w:pPr>
              <w:pStyle w:val="TableParagraph"/>
              <w:spacing w:line="234" w:lineRule="exact"/>
              <w:ind w:right="101"/>
              <w:jc w:val="right"/>
              <w:rPr>
                <w:rFonts w:ascii="宋体" w:hAnsi="宋体" w:cs="宋体" w:eastAsia="宋体" w:hint="default"/>
                <w:sz w:val="18"/>
                <w:szCs w:val="18"/>
              </w:rPr>
            </w:pPr>
            <w:r>
              <w:rPr>
                <w:rFonts w:ascii="宋体"/>
                <w:sz w:val="18"/>
              </w:rPr>
              <w:t>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-138,211,382.00</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25,728,003.16</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-25,728,003.16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-138,211,382.0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-138,211,382.00</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59"/>
        <w:gridCol w:w="394"/>
        <w:gridCol w:w="1702"/>
        <w:gridCol w:w="425"/>
        <w:gridCol w:w="1416"/>
        <w:gridCol w:w="427"/>
        <w:gridCol w:w="1558"/>
        <w:gridCol w:w="711"/>
        <w:gridCol w:w="1558"/>
        <w:gridCol w:w="1560"/>
        <w:gridCol w:w="1843"/>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988" w:type="dxa"/>
            <w:vMerge/>
            <w:tcBorders>
              <w:left w:val="single" w:sz="4" w:space="0" w:color="000000"/>
              <w:right w:val="single" w:sz="4" w:space="0" w:color="000000"/>
            </w:tcBorders>
          </w:tcPr>
          <w:p>
            <w:pP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88"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4" w:lineRule="auto" w:before="97"/>
              <w:ind w:left="119"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720" w:hRule="exact"/>
        </w:trPr>
        <w:tc>
          <w:tcPr>
            <w:tcW w:w="198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36" w:right="13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1,297,850,678.37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sz w:val="18"/>
              </w:rPr>
              <w:t>8,803,198.33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96,947,353.27</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579,029,167.99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442,055,361.37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sz w:val="18"/>
              </w:rPr>
              <w:t>2,977,531,287.33</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244" w:right="0"/>
        <w:jc w:val="left"/>
      </w:pPr>
      <w:r>
        <w:rPr/>
        <w:t>法定代表人：牛一兵 主管会计工作负责人：李奇</w:t>
      </w:r>
      <w:r>
        <w:rPr>
          <w:spacing w:val="-9"/>
        </w:rPr>
        <w:t> </w:t>
      </w:r>
      <w:r>
        <w:rPr/>
        <w:t>会计机构负责人：张煜晓</w:t>
      </w:r>
    </w:p>
    <w:p>
      <w:pPr>
        <w:spacing w:after="0" w:line="240" w:lineRule="auto"/>
        <w:jc w:val="left"/>
        <w:sectPr>
          <w:pgSz w:w="16840" w:h="11910" w:orient="landscape"/>
          <w:pgMar w:header="882" w:footer="1195" w:top="1120" w:bottom="1380" w:left="280" w:right="160"/>
        </w:sectPr>
      </w:pPr>
    </w:p>
    <w:p>
      <w:pPr>
        <w:spacing w:line="272" w:lineRule="exact" w:before="145"/>
        <w:ind w:left="740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pgSz w:w="16840" w:h="11910" w:orient="landscape"/>
          <w:pgMar w:header="882" w:footer="1195" w:top="1120" w:bottom="1380" w:left="280" w:right="160"/>
          <w:cols w:num="2" w:equalWidth="0">
            <w:col w:w="9331" w:space="40"/>
            <w:col w:w="702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994"/>
        <w:gridCol w:w="850"/>
        <w:gridCol w:w="850"/>
        <w:gridCol w:w="1702"/>
        <w:gridCol w:w="710"/>
        <w:gridCol w:w="1558"/>
        <w:gridCol w:w="711"/>
        <w:gridCol w:w="1558"/>
        <w:gridCol w:w="1702"/>
        <w:gridCol w:w="1843"/>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1"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16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1,227,676,158.19</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14,724,400.00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96,947,353.27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506,510,844.86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2,398,704,284.32</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457,566.61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4,118,099.52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4,575,666.13</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1,227,676,158.19</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14,724,400.00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97,404,919.88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510,628,944.38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2,403,279,950.45</w:t>
            </w:r>
          </w:p>
        </w:tc>
      </w:tr>
      <w:tr>
        <w:trPr>
          <w:trHeight w:val="715"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3"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-552,845,528.00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-14,724,400.00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30,284,441.03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173,047,774.22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188,607,815.25</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-14,724,400.00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302,844,410.29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288,120,010.29</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30,284,441.03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-129,796,636.07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-99,512,195.04</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30,284,441.03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-30,284,441.03</w:t>
            </w: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-99,512,195.04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-99,512,195.04</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-552,845,528.00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-552,845,528.00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28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994"/>
        <w:gridCol w:w="850"/>
        <w:gridCol w:w="850"/>
        <w:gridCol w:w="1702"/>
        <w:gridCol w:w="710"/>
        <w:gridCol w:w="1558"/>
        <w:gridCol w:w="711"/>
        <w:gridCol w:w="1558"/>
        <w:gridCol w:w="1702"/>
        <w:gridCol w:w="1843"/>
      </w:tblGrid>
      <w:tr>
        <w:trPr>
          <w:trHeight w:val="247"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1"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16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0"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1,105,691,056.00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674,830,630.19</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127,689,360.91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683,676,718.60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2,591,887,765.70</w:t>
            </w:r>
          </w:p>
        </w:tc>
      </w:tr>
    </w:tbl>
    <w:p>
      <w:pPr>
        <w:spacing w:after="0" w:line="205" w:lineRule="exact"/>
        <w:jc w:val="left"/>
        <w:rPr>
          <w:rFonts w:ascii="宋体" w:hAnsi="宋体" w:cs="宋体" w:eastAsia="宋体" w:hint="default"/>
          <w:sz w:val="18"/>
          <w:szCs w:val="18"/>
        </w:rPr>
        <w:sectPr>
          <w:footerReference w:type="default" r:id="rId44"/>
          <w:pgSz w:w="16840" w:h="11910" w:orient="landscape"/>
          <w:pgMar w:footer="1195" w:header="882" w:top="1120" w:bottom="1380" w:left="280" w:right="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994"/>
        <w:gridCol w:w="850"/>
        <w:gridCol w:w="850"/>
        <w:gridCol w:w="1702"/>
        <w:gridCol w:w="710"/>
        <w:gridCol w:w="1558"/>
        <w:gridCol w:w="711"/>
        <w:gridCol w:w="1558"/>
        <w:gridCol w:w="1702"/>
        <w:gridCol w:w="1843"/>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1"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16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1,500,671,997.17</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35,546,756.31</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71,219,350.11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416,597,123.41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2,300,457,991.00</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1,500,671,997.17</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35,546,756.31</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71,219,350.11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416,597,123.41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2,300,457,991.00</w:t>
            </w:r>
          </w:p>
        </w:tc>
      </w:tr>
      <w:tr>
        <w:trPr>
          <w:trHeight w:val="71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3"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276,422,764.00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-272,995,838.98</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-20,822,356.31</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26,185,569.77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94,031,820.97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102,821,959.45</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-20,822,356.31</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261,855,697.76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241,033,341.45</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26,185,569.77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-164,396,951.77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-138,211,382.00</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26,185,569.77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-26,185,569.77</w:t>
            </w: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-138,211,382.00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-138,211,382.00</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-272,995,838.98</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-3,426,925.02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-0.00</w:t>
            </w: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276,422,764.00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-276,422,764.00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3,426,925.02</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-3,426,925.02</w:t>
            </w: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5"/>
          <w:pgSz w:w="16840" w:h="11910" w:orient="landscape"/>
          <w:pgMar w:footer="1195" w:header="882" w:top="1120" w:bottom="1380" w:left="280" w:right="160"/>
          <w:pgNumType w:start="61"/>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994"/>
        <w:gridCol w:w="850"/>
        <w:gridCol w:w="850"/>
        <w:gridCol w:w="1702"/>
        <w:gridCol w:w="710"/>
        <w:gridCol w:w="1558"/>
        <w:gridCol w:w="711"/>
        <w:gridCol w:w="1558"/>
        <w:gridCol w:w="1702"/>
        <w:gridCol w:w="1843"/>
      </w:tblGrid>
      <w:tr>
        <w:trPr>
          <w:trHeight w:val="247"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1"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16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0"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sz w:val="18"/>
              </w:rPr>
              <w:t>552,845,528.00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1,227,676,158.19</w:t>
            </w: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14,724,400.00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97,404,919.88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510,628,944.38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2,403,279,950.45</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244" w:right="0"/>
        <w:jc w:val="left"/>
      </w:pPr>
      <w:r>
        <w:rPr/>
        <w:t>法定代表人：牛一兵 主管会计工作负责人：李奇</w:t>
      </w:r>
      <w:r>
        <w:rPr>
          <w:spacing w:val="-9"/>
        </w:rPr>
        <w:t> </w:t>
      </w:r>
      <w:r>
        <w:rPr/>
        <w:t>会计机构负责人：张煜晓</w:t>
      </w:r>
    </w:p>
    <w:p>
      <w:pPr>
        <w:spacing w:after="0" w:line="240" w:lineRule="auto"/>
        <w:jc w:val="left"/>
        <w:sectPr>
          <w:pgSz w:w="16840" w:h="11910" w:orient="landscape"/>
          <w:pgMar w:header="882" w:footer="1195" w:top="1120" w:bottom="1380" w:left="280" w:right="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tabs>
          <w:tab w:pos="557" w:val="left" w:leader="none"/>
        </w:tabs>
        <w:spacing w:line="324" w:lineRule="auto"/>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350" w:lineRule="auto" w:before="88"/>
        <w:ind w:right="217" w:firstLine="419"/>
        <w:jc w:val="both"/>
      </w:pPr>
      <w:r>
        <w:rPr>
          <w:spacing w:val="-2"/>
        </w:rPr>
        <w:t>人民网股份有限公司（以下简称“本公司”或“公司”）是经财政部同意并经中国共产党中</w:t>
      </w:r>
      <w:r>
        <w:rPr>
          <w:w w:val="100"/>
        </w:rPr>
        <w:t> </w:t>
      </w:r>
      <w:r>
        <w:rPr>
          <w:spacing w:val="-2"/>
        </w:rPr>
        <w:t>央委员会对外宣传办公室（以下简称“外宣办”）以中外宣发函</w:t>
      </w:r>
      <w:r>
        <w:rPr>
          <w:rFonts w:ascii="宋体" w:hAnsi="宋体" w:cs="宋体" w:eastAsia="宋体" w:hint="default"/>
          <w:spacing w:val="-2"/>
        </w:rPr>
        <w:t>[2010]99</w:t>
      </w:r>
      <w:r>
        <w:rPr>
          <w:spacing w:val="-2"/>
        </w:rPr>
        <w:t>号文件批准的由人民日</w:t>
      </w:r>
      <w:r>
        <w:rPr>
          <w:spacing w:val="-18"/>
        </w:rPr>
        <w:t> </w:t>
      </w:r>
      <w:r>
        <w:rPr>
          <w:spacing w:val="-18"/>
        </w:rPr>
      </w:r>
      <w:r>
        <w:rPr>
          <w:spacing w:val="-2"/>
        </w:rPr>
        <w:t>报社、《环球时报》社、京华时报社、《中国汽车报》社有限公司、中国电影集团公司（以下简</w:t>
      </w:r>
      <w:r>
        <w:rPr>
          <w:spacing w:val="-25"/>
        </w:rPr>
        <w:t> </w:t>
      </w:r>
      <w:r>
        <w:rPr>
          <w:spacing w:val="-25"/>
        </w:rPr>
      </w:r>
      <w:r>
        <w:rPr>
          <w:spacing w:val="-2"/>
        </w:rPr>
        <w:t>称“中国电影”）、上海东方传媒集团有限公司（以下简称“东方传媒”）以及中国出版集团公</w:t>
      </w:r>
      <w:r>
        <w:rPr>
          <w:spacing w:val="-25"/>
        </w:rPr>
        <w:t> </w:t>
      </w:r>
      <w:r>
        <w:rPr>
          <w:spacing w:val="-25"/>
        </w:rPr>
      </w:r>
      <w:r>
        <w:rPr>
          <w:spacing w:val="-2"/>
        </w:rPr>
        <w:t>司（以下简称“中国出版”）于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w:t>
      </w:r>
      <w:r>
        <w:rPr>
          <w:spacing w:val="-2"/>
        </w:rPr>
        <w:t>日共同变更设立的股份有限公司，公司于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spacing w:val="-17"/>
        </w:rPr>
        <w:t> </w:t>
      </w:r>
      <w:r>
        <w:rPr>
          <w:rFonts w:ascii="宋体" w:hAnsi="宋体" w:cs="宋体" w:eastAsia="宋体" w:hint="default"/>
        </w:rPr>
        <w:t>21</w:t>
      </w:r>
      <w:r>
        <w:rPr/>
        <w:t>日在国家工商行政管理总局核准登记。本公司办公地址位于北京市朝阳区金台西路</w:t>
      </w:r>
      <w:r>
        <w:rPr>
          <w:rFonts w:ascii="宋体" w:hAnsi="宋体" w:cs="宋体" w:eastAsia="宋体" w:hint="default"/>
        </w:rPr>
        <w:t>2</w:t>
      </w:r>
      <w:r>
        <w:rPr/>
        <w:t>号。</w:t>
      </w:r>
    </w:p>
    <w:p>
      <w:pPr>
        <w:pStyle w:val="BodyText"/>
        <w:spacing w:line="350" w:lineRule="auto" w:before="27"/>
        <w:ind w:left="558" w:right="1718"/>
        <w:jc w:val="left"/>
      </w:pPr>
      <w:r>
        <w:rPr/>
        <w:t>营业执照注册号：</w:t>
      </w:r>
      <w:r>
        <w:rPr>
          <w:rFonts w:ascii="宋体" w:hAnsi="宋体" w:cs="宋体" w:eastAsia="宋体" w:hint="default"/>
        </w:rPr>
        <w:t>91110000710933198U</w:t>
      </w:r>
      <w:r>
        <w:rPr>
          <w:rFonts w:ascii="宋体" w:hAnsi="宋体" w:cs="宋体" w:eastAsia="宋体" w:hint="default"/>
          <w:w w:val="100"/>
        </w:rPr>
        <w:t> </w:t>
      </w:r>
      <w:r>
        <w:rPr/>
        <w:t>公司住所为：北京市西城区新街口外大街</w:t>
      </w:r>
      <w:r>
        <w:rPr>
          <w:rFonts w:ascii="宋体" w:hAnsi="宋体" w:cs="宋体" w:eastAsia="宋体" w:hint="default"/>
        </w:rPr>
        <w:t>28</w:t>
      </w:r>
      <w:r>
        <w:rPr/>
        <w:t>号</w:t>
      </w:r>
      <w:r>
        <w:rPr>
          <w:rFonts w:ascii="宋体" w:hAnsi="宋体" w:cs="宋体" w:eastAsia="宋体" w:hint="default"/>
        </w:rPr>
        <w:t>B</w:t>
      </w:r>
      <w:r>
        <w:rPr/>
        <w:t>座</w:t>
      </w:r>
      <w:r>
        <w:rPr>
          <w:rFonts w:ascii="宋体" w:hAnsi="宋体" w:cs="宋体" w:eastAsia="宋体" w:hint="default"/>
        </w:rPr>
        <w:t>234</w:t>
      </w:r>
      <w:r>
        <w:rPr/>
        <w:t>号</w:t>
      </w:r>
      <w:r>
        <w:rPr>
          <w:w w:val="100"/>
        </w:rPr>
        <w:t> </w:t>
      </w:r>
      <w:r>
        <w:rPr/>
        <w:t>法定代表人：牛一兵</w:t>
      </w:r>
      <w:r>
        <w:rPr>
          <w:w w:val="100"/>
        </w:rPr>
        <w:t> </w:t>
      </w:r>
      <w:r>
        <w:rPr>
          <w:spacing w:val="-2"/>
        </w:rPr>
        <w:t>注册资本：人民币壹拾壹亿零伍佰陆拾玖万壹仟零伍拾陆元整</w:t>
      </w:r>
      <w:r>
        <w:rPr>
          <w:spacing w:val="-52"/>
        </w:rPr>
        <w:t> </w:t>
      </w:r>
      <w:r>
        <w:rPr>
          <w:spacing w:val="-52"/>
        </w:rPr>
      </w:r>
      <w:r>
        <w:rPr/>
        <w:t>公司所属行业性质：互联网信息服务业。</w:t>
      </w:r>
    </w:p>
    <w:p>
      <w:pPr>
        <w:pStyle w:val="BodyText"/>
        <w:spacing w:line="350" w:lineRule="auto" w:before="29"/>
        <w:ind w:right="0" w:firstLine="419"/>
        <w:jc w:val="left"/>
      </w:pPr>
      <w:r>
        <w:rPr/>
        <w:t>经营范围：许可经营项目：第二类增值电信业务中的信息服务业务（不含固定网电话信息服</w:t>
      </w:r>
      <w:r>
        <w:rPr>
          <w:w w:val="100"/>
        </w:rPr>
        <w:t> </w:t>
      </w:r>
      <w:r>
        <w:rPr>
          <w:spacing w:val="-4"/>
        </w:rPr>
        <w:t>务和互联网信息服务，有效期至</w:t>
      </w:r>
      <w:r>
        <w:rPr>
          <w:rFonts w:ascii="宋体" w:hAnsi="宋体" w:cs="宋体" w:eastAsia="宋体" w:hint="default"/>
          <w:spacing w:val="-4"/>
        </w:rPr>
        <w:t>2020</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12</w:t>
      </w:r>
      <w:r>
        <w:rPr>
          <w:spacing w:val="-4"/>
        </w:rPr>
        <w:t>日）；因特网信息服务业务（除出版、教育、医疗保</w:t>
      </w:r>
      <w:r>
        <w:rPr>
          <w:spacing w:val="-23"/>
        </w:rPr>
        <w:t> </w:t>
      </w:r>
      <w:r>
        <w:rPr>
          <w:spacing w:val="-23"/>
        </w:rPr>
      </w:r>
      <w:r>
        <w:rPr>
          <w:spacing w:val="-6"/>
        </w:rPr>
        <w:t>健、药品和医疗器械以外的内容）有效期至</w:t>
      </w:r>
      <w:r>
        <w:rPr>
          <w:rFonts w:ascii="宋体" w:hAnsi="宋体" w:cs="宋体" w:eastAsia="宋体" w:hint="default"/>
          <w:spacing w:val="-6"/>
        </w:rPr>
        <w:t>2016</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20</w:t>
      </w:r>
      <w:r>
        <w:rPr>
          <w:spacing w:val="-6"/>
        </w:rPr>
        <w:t>日。一般经营项目：广告设计制作、发布、</w:t>
      </w:r>
      <w:r>
        <w:rPr>
          <w:spacing w:val="-29"/>
        </w:rPr>
        <w:t> </w:t>
      </w:r>
      <w:r>
        <w:rPr>
          <w:spacing w:val="-29"/>
        </w:rPr>
      </w:r>
      <w:r>
        <w:rPr>
          <w:spacing w:val="-4"/>
        </w:rPr>
        <w:t>代理；计算机软件及外部设备开发、销售；计算机网络技术开发、咨询、服务；技术开发、转让、</w:t>
      </w:r>
      <w:r>
        <w:rPr>
          <w:spacing w:val="-40"/>
        </w:rPr>
        <w:t> </w:t>
      </w:r>
      <w:r>
        <w:rPr>
          <w:spacing w:val="-40"/>
        </w:rPr>
      </w:r>
      <w:r>
        <w:rPr/>
        <w:t>咨询、服务、培训；组织展览展示及文化交流活动、会议服务；公关策划及咨询；翻译服务；物</w:t>
      </w:r>
      <w:r>
        <w:rPr>
          <w:w w:val="100"/>
        </w:rPr>
        <w:t> </w:t>
      </w:r>
      <w:r>
        <w:rPr/>
        <w:t>流服务；文娱演出票务的销售代理；日用百货销售；物业管理；舆情监测；影视器材设备、舞台</w:t>
      </w:r>
      <w:r>
        <w:rPr>
          <w:w w:val="100"/>
        </w:rPr>
        <w:t> </w:t>
      </w:r>
      <w:r>
        <w:rPr/>
        <w:t>灯光音响设备租赁。</w:t>
      </w:r>
    </w:p>
    <w:p>
      <w:pPr>
        <w:pStyle w:val="BodyText"/>
        <w:spacing w:line="350" w:lineRule="auto" w:before="27"/>
        <w:ind w:left="558" w:right="0"/>
        <w:jc w:val="left"/>
      </w:pPr>
      <w:r>
        <w:rPr/>
        <w:t>本公司的母公司和最终母公司为人民日报社。</w:t>
      </w:r>
      <w:r>
        <w:rPr>
          <w:w w:val="100"/>
        </w:rPr>
        <w:t> </w:t>
      </w: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日决议批准报出。</w:t>
      </w:r>
      <w:r>
        <w:rPr>
          <w:w w:val="100"/>
        </w:rPr>
        <w:t> </w:t>
      </w:r>
      <w:r>
        <w:rPr>
          <w:spacing w:val="-2"/>
        </w:rPr>
        <w:t>本公司及各子公司主要从事新闻资讯服务、互联网广告服务、移动增值服务、互联网彩票代</w:t>
      </w:r>
    </w:p>
    <w:p>
      <w:pPr>
        <w:pStyle w:val="BodyText"/>
        <w:spacing w:line="240" w:lineRule="auto" w:before="27"/>
        <w:ind w:right="0"/>
        <w:jc w:val="left"/>
      </w:pPr>
      <w:r>
        <w:rPr/>
        <w:t>理服务、为政府提供宣传服务。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558" w:right="0"/>
        <w:jc w:val="left"/>
      </w:pPr>
      <w:r>
        <w:rPr/>
        <w:t>本公司</w:t>
      </w:r>
      <w:r>
        <w:rPr>
          <w:spacing w:val="-56"/>
        </w:rPr>
        <w:t> </w:t>
      </w:r>
      <w:r>
        <w:rPr>
          <w:rFonts w:ascii="宋体" w:hAnsi="宋体" w:cs="宋体" w:eastAsia="宋体" w:hint="default"/>
        </w:rPr>
        <w:t>2015</w:t>
      </w:r>
      <w:r>
        <w:rPr>
          <w:rFonts w:ascii="宋体" w:hAnsi="宋体" w:cs="宋体" w:eastAsia="宋体" w:hint="default"/>
          <w:spacing w:val="-56"/>
        </w:rPr>
        <w:t> </w:t>
      </w:r>
      <w:r>
        <w:rPr/>
        <w:t>年度纳入合并范围的子公司及孙公司共</w:t>
      </w:r>
      <w:r>
        <w:rPr>
          <w:spacing w:val="-58"/>
        </w:rPr>
        <w:t> </w:t>
      </w:r>
      <w:r>
        <w:rPr>
          <w:rFonts w:ascii="宋体" w:hAnsi="宋体" w:cs="宋体" w:eastAsia="宋体" w:hint="default"/>
        </w:rPr>
        <w:t>39</w:t>
      </w:r>
      <w:r>
        <w:rPr>
          <w:rFonts w:ascii="宋体" w:hAnsi="宋体" w:cs="宋体" w:eastAsia="宋体" w:hint="default"/>
          <w:spacing w:val="-56"/>
        </w:rPr>
        <w:t> </w:t>
      </w:r>
      <w:r>
        <w:rPr/>
        <w:t>户，详见本附注九“在其他主体中的</w:t>
      </w:r>
    </w:p>
    <w:p>
      <w:pPr>
        <w:pStyle w:val="BodyText"/>
        <w:spacing w:line="240" w:lineRule="auto" w:before="126"/>
        <w:ind w:right="0"/>
        <w:jc w:val="left"/>
      </w:pPr>
      <w:r>
        <w:rPr>
          <w:spacing w:val="-9"/>
        </w:rPr>
        <w:t>权益”。本公司本年度合并范围比上年度增加</w:t>
      </w:r>
      <w:r>
        <w:rPr>
          <w:spacing w:val="-35"/>
        </w:rPr>
        <w:t> </w:t>
      </w:r>
      <w:r>
        <w:rPr>
          <w:rFonts w:ascii="宋体" w:hAnsi="宋体" w:cs="宋体" w:eastAsia="宋体" w:hint="default"/>
        </w:rPr>
        <w:t>5</w:t>
      </w:r>
      <w:r>
        <w:rPr>
          <w:rFonts w:ascii="宋体" w:hAnsi="宋体" w:cs="宋体" w:eastAsia="宋体" w:hint="default"/>
          <w:spacing w:val="-38"/>
        </w:rPr>
        <w:t> </w:t>
      </w:r>
      <w:r>
        <w:rPr>
          <w:spacing w:val="-19"/>
        </w:rPr>
        <w:t>户，减少</w:t>
      </w:r>
      <w:r>
        <w:rPr>
          <w:spacing w:val="-34"/>
        </w:rPr>
        <w:t> </w:t>
      </w:r>
      <w:r>
        <w:rPr>
          <w:rFonts w:ascii="宋体" w:hAnsi="宋体" w:cs="宋体" w:eastAsia="宋体" w:hint="default"/>
        </w:rPr>
        <w:t>2</w:t>
      </w:r>
      <w:r>
        <w:rPr>
          <w:rFonts w:ascii="宋体" w:hAnsi="宋体" w:cs="宋体" w:eastAsia="宋体" w:hint="default"/>
          <w:spacing w:val="-35"/>
        </w:rPr>
        <w:t> </w:t>
      </w:r>
      <w:r>
        <w:rPr>
          <w:spacing w:val="-13"/>
        </w:rPr>
        <w:t>户，详见本附注八“合并范围的变更”。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tabs>
          <w:tab w:pos="562" w:val="left" w:leader="none"/>
        </w:tabs>
        <w:spacing w:line="324" w:lineRule="auto"/>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0" w:lineRule="auto" w:before="110"/>
        <w:ind w:right="0" w:firstLine="419"/>
        <w:jc w:val="left"/>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spacing w:after="0" w:line="350" w:lineRule="auto"/>
        <w:jc w:val="left"/>
        <w:sectPr>
          <w:headerReference w:type="default" r:id="rId46"/>
          <w:footerReference w:type="default" r:id="rId47"/>
          <w:pgSz w:w="11910" w:h="16840"/>
          <w:pgMar w:header="882" w:footer="1195" w:top="1120" w:bottom="1380" w:left="1660" w:right="1060"/>
          <w:pgNumType w:start="63"/>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41</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50" w:lineRule="auto" w:before="27"/>
        <w:ind w:right="0" w:firstLine="419"/>
        <w:jc w:val="left"/>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558" w:right="0"/>
        <w:jc w:val="left"/>
      </w:pPr>
      <w:r>
        <w:rPr/>
        <w:t>公司自本报告期末至少 </w:t>
      </w:r>
      <w:r>
        <w:rPr>
          <w:rFonts w:ascii="宋体" w:hAnsi="宋体" w:cs="宋体" w:eastAsia="宋体" w:hint="default"/>
        </w:rPr>
        <w:t>12</w:t>
      </w:r>
      <w:r>
        <w:rPr>
          <w:rFonts w:ascii="宋体" w:hAnsi="宋体" w:cs="宋体" w:eastAsia="宋体" w:hint="default"/>
          <w:spacing w:val="-60"/>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24"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本公司及各子公司从事互联网服务经营。本公司及各子公司根据实际生产经营特点，依据相</w:t>
      </w:r>
    </w:p>
    <w:p>
      <w:pPr>
        <w:pStyle w:val="BodyText"/>
        <w:spacing w:line="238" w:lineRule="exact"/>
        <w:ind w:right="0"/>
        <w:jc w:val="both"/>
      </w:pPr>
      <w:r>
        <w:rPr/>
        <w:t>关企业会计准则的规定，对收入确认、研究开发支出等交易和事项制定了若干项具体会计政策和</w:t>
      </w:r>
    </w:p>
    <w:p>
      <w:pPr>
        <w:pStyle w:val="BodyText"/>
        <w:spacing w:line="273" w:lineRule="auto" w:before="37"/>
        <w:ind w:right="137"/>
        <w:jc w:val="both"/>
      </w:pPr>
      <w:r>
        <w:rPr>
          <w:spacing w:val="-2"/>
        </w:rPr>
        <w:t>会计估计，详见本附注五、</w:t>
      </w:r>
      <w:r>
        <w:rPr>
          <w:rFonts w:ascii="宋体" w:hAnsi="宋体" w:cs="宋体" w:eastAsia="宋体" w:hint="default"/>
          <w:spacing w:val="-2"/>
        </w:rPr>
        <w:t>28</w:t>
      </w:r>
      <w:r>
        <w:rPr>
          <w:spacing w:val="-2"/>
        </w:rPr>
        <w:t>“收入”、</w:t>
      </w:r>
      <w:r>
        <w:rPr>
          <w:rFonts w:ascii="宋体" w:hAnsi="宋体" w:cs="宋体" w:eastAsia="宋体" w:hint="default"/>
          <w:spacing w:val="-2"/>
        </w:rPr>
        <w:t>21</w:t>
      </w:r>
      <w:r>
        <w:rPr>
          <w:spacing w:val="-2"/>
        </w:rPr>
        <w:t>“无形资产”各项描述。关于管理层所作出的重大会</w:t>
      </w:r>
      <w:r>
        <w:rPr>
          <w:spacing w:val="-21"/>
        </w:rPr>
        <w:t> </w:t>
      </w:r>
      <w:r>
        <w:rPr>
          <w:spacing w:val="-21"/>
        </w:rPr>
      </w:r>
      <w:r>
        <w:rPr/>
        <w:t>计判断和估计的说明，请参阅附注五、</w:t>
      </w:r>
      <w:r>
        <w:rPr>
          <w:rFonts w:ascii="宋体" w:hAnsi="宋体" w:cs="宋体" w:eastAsia="宋体" w:hint="default"/>
        </w:rPr>
        <w:t>32</w:t>
      </w:r>
      <w:r>
        <w:rPr/>
        <w:t>“重大会计判断和估计”。</w:t>
      </w:r>
    </w:p>
    <w:p>
      <w:pPr>
        <w:spacing w:line="240" w:lineRule="auto" w:before="0"/>
        <w:rPr>
          <w:rFonts w:ascii="宋体" w:hAnsi="宋体" w:cs="宋体" w:eastAsia="宋体" w:hint="default"/>
          <w:sz w:val="29"/>
          <w:szCs w:val="29"/>
        </w:rPr>
      </w:pPr>
    </w:p>
    <w:p>
      <w:pPr>
        <w:pStyle w:val="Heading2"/>
        <w:spacing w:line="240" w:lineRule="auto"/>
        <w:ind w:left="138"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73" w:lineRule="auto" w:before="97"/>
        <w:ind w:right="137"/>
        <w:jc w:val="both"/>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0"/>
        <w:rPr>
          <w:rFonts w:ascii="宋体" w:hAnsi="宋体" w:cs="宋体" w:eastAsia="宋体" w:hint="default"/>
          <w:sz w:val="29"/>
          <w:szCs w:val="29"/>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right="0" w:firstLine="419"/>
        <w:jc w:val="left"/>
      </w:pPr>
      <w:r>
        <w:rPr>
          <w:spacing w:val="-2"/>
        </w:rPr>
        <w:t>本公司的会计期间分为年度和中期，会计中期指短于一个完整的会计年度的报告期间。本公</w:t>
      </w:r>
      <w:r>
        <w:rPr>
          <w:w w:val="100"/>
        </w:rPr>
        <w:t> </w:t>
      </w:r>
      <w:r>
        <w:rPr/>
        <w:t>司会计年度采用公历年度，即每年自</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558" w:right="0"/>
        <w:jc w:val="left"/>
      </w:pPr>
      <w:r>
        <w:rPr/>
        <w:t>本公司以</w:t>
      </w:r>
      <w:r>
        <w:rPr>
          <w:spacing w:val="-56"/>
        </w:rPr>
        <w:t> </w:t>
      </w:r>
      <w:r>
        <w:rPr>
          <w:rFonts w:ascii="宋体" w:hAnsi="宋体" w:cs="宋体" w:eastAsia="宋体" w:hint="default"/>
        </w:rPr>
        <w:t>12</w:t>
      </w:r>
      <w:r>
        <w:rPr>
          <w:rFonts w:ascii="宋体" w:hAnsi="宋体" w:cs="宋体" w:eastAsia="宋体" w:hint="default"/>
          <w:spacing w:val="-56"/>
        </w:rPr>
        <w:t> </w:t>
      </w:r>
      <w:r>
        <w:rPr/>
        <w:t>个月作为一个营业周期，并以其作为资产和负债的流动性划分标准。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562" w:val="left" w:leader="none"/>
        </w:tabs>
        <w:spacing w:line="400" w:lineRule="auto"/>
        <w:ind w:left="558" w:right="137"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60" w:lineRule="exact"/>
        <w:ind w:right="0"/>
        <w:jc w:val="both"/>
      </w:pPr>
      <w:r>
        <w:rPr/>
        <w:t>民币为记账本位币。本公司之境外子公司人民网日本株式会社、人民网美国有限责任公司、人民</w:t>
      </w:r>
    </w:p>
    <w:p>
      <w:pPr>
        <w:pStyle w:val="BodyText"/>
        <w:spacing w:line="348" w:lineRule="auto" w:before="126"/>
        <w:ind w:right="137"/>
        <w:jc w:val="both"/>
      </w:pPr>
      <w:r>
        <w:rPr>
          <w:spacing w:val="-2"/>
        </w:rPr>
        <w:t>网美西有限责任公司、人民网英国有限责任公司、人民网股份有限公司俄罗斯代表处、人民网南</w:t>
      </w:r>
      <w:r>
        <w:rPr>
          <w:spacing w:val="-25"/>
        </w:rPr>
        <w:t> </w:t>
      </w:r>
      <w:r>
        <w:rPr>
          <w:spacing w:val="-25"/>
        </w:rPr>
      </w:r>
      <w:r>
        <w:rPr>
          <w:spacing w:val="-2"/>
        </w:rPr>
        <w:t>非有限责任公司、人民网韩国股份有限公司、人民网香港有限责任公司、人民网澳大利亚有限责</w:t>
      </w:r>
      <w:r>
        <w:rPr>
          <w:spacing w:val="-25"/>
        </w:rPr>
        <w:t> </w:t>
      </w:r>
      <w:r>
        <w:rPr>
          <w:spacing w:val="-25"/>
        </w:rPr>
      </w:r>
      <w:r>
        <w:rPr>
          <w:spacing w:val="-2"/>
        </w:rPr>
        <w:t>任公司、人民网法国有限公司及人民网北欧有限公司根据其经营所处的主要经济环境中的货币分</w:t>
      </w:r>
    </w:p>
    <w:p>
      <w:pPr>
        <w:spacing w:after="0" w:line="348"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jc w:val="both"/>
      </w:pPr>
      <w:r>
        <w:rPr>
          <w:spacing w:val="-2"/>
        </w:rPr>
        <w:t>别确定日元、美元、英镑、卢布、兰特、韩元、港币、澳大利亚元、欧元及瑞典克朗为其记账本</w:t>
      </w:r>
      <w:r>
        <w:rPr>
          <w:spacing w:val="-25"/>
        </w:rPr>
        <w:t> </w:t>
      </w:r>
      <w:r>
        <w:rPr>
          <w:spacing w:val="-25"/>
        </w:rPr>
      </w:r>
      <w:r>
        <w:rPr/>
        <w:t>位币。本集团编制本财务报表时所采用的货币为人民币。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562" w:val="left" w:leader="none"/>
        </w:tabs>
        <w:spacing w:line="400" w:lineRule="auto" w:before="0"/>
        <w:ind w:left="560" w:right="217" w:hanging="423"/>
        <w:jc w:val="left"/>
        <w:rPr>
          <w:rFonts w:ascii="宋体" w:hAnsi="宋体" w:cs="宋体" w:eastAsia="宋体" w:hint="default"/>
          <w:sz w:val="21"/>
          <w:szCs w:val="21"/>
        </w:rPr>
      </w:pPr>
      <w:r>
        <w:rPr>
          <w:rFonts w:ascii="宋体" w:hAnsi="宋体" w:cs="宋体" w:eastAsia="宋体" w:hint="default"/>
          <w:b/>
          <w:bCs/>
          <w:w w:val="95"/>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w:t>
      </w:r>
    </w:p>
    <w:p>
      <w:pPr>
        <w:pStyle w:val="BodyText"/>
        <w:spacing w:line="258" w:lineRule="exact"/>
        <w:ind w:left="140" w:right="0"/>
        <w:jc w:val="both"/>
      </w:pPr>
      <w:r>
        <w:rPr/>
        <w:t>并分为同一控制下企业合并和非同一控制下企业合并。</w:t>
      </w:r>
    </w:p>
    <w:p>
      <w:pPr>
        <w:pStyle w:val="BodyText"/>
        <w:spacing w:line="350" w:lineRule="auto" w:before="126"/>
        <w:ind w:left="558" w:right="0"/>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350" w:lineRule="auto" w:before="27"/>
        <w:ind w:right="217"/>
        <w:jc w:val="both"/>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50" w:lineRule="auto" w:before="27"/>
        <w:ind w:right="21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27"/>
        <w:ind w:left="558" w:right="0"/>
        <w:jc w:val="left"/>
      </w:pPr>
      <w:r>
        <w:rPr/>
        <w:t>合并方为进行企业合并发生的各项直接费用，于发生时计入当期损益。</w:t>
      </w:r>
    </w:p>
    <w:p>
      <w:pPr>
        <w:pStyle w:val="BodyText"/>
        <w:spacing w:line="350" w:lineRule="auto" w:before="126"/>
        <w:ind w:left="558" w:right="0"/>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350" w:lineRule="auto" w:before="27"/>
        <w:ind w:right="217"/>
        <w:jc w:val="both"/>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50" w:lineRule="auto" w:before="29"/>
        <w:ind w:right="20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48" w:lineRule="auto" w:before="29"/>
        <w:ind w:right="103" w:firstLine="419"/>
        <w:jc w:val="left"/>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p>
    <w:p>
      <w:pPr>
        <w:spacing w:after="0" w:line="348"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jc w:val="both"/>
      </w:pPr>
      <w:r>
        <w:rPr>
          <w:spacing w:val="-2"/>
        </w:rPr>
        <w:t>资产，同时减少商誉，商誉不足冲减的，差额部分确认为当期损益；除上述情况以外，确认与企</w:t>
      </w:r>
      <w:r>
        <w:rPr>
          <w:spacing w:val="-25"/>
        </w:rPr>
        <w:t> </w:t>
      </w:r>
      <w:r>
        <w:rPr>
          <w:spacing w:val="-25"/>
        </w:rPr>
      </w:r>
      <w:r>
        <w:rPr/>
        <w:t>业合并相关的递延所得税资产的，计入当期损益。</w:t>
      </w:r>
    </w:p>
    <w:p>
      <w:pPr>
        <w:pStyle w:val="BodyText"/>
        <w:spacing w:line="350" w:lineRule="auto" w:before="29"/>
        <w:ind w:right="208" w:firstLine="419"/>
        <w:jc w:val="right"/>
      </w:pPr>
      <w:r>
        <w:rPr>
          <w:spacing w:val="-2"/>
        </w:rPr>
        <w:t>通过多次交易分步实现的非同一控制下企业合并，根据《财政部关于印发企业会计准则解释</w:t>
      </w:r>
      <w:r>
        <w:rPr>
          <w:w w:val="100"/>
        </w:rPr>
        <w:t> </w:t>
      </w:r>
      <w:r>
        <w:rPr/>
        <w:t>第</w:t>
      </w:r>
      <w:r>
        <w:rPr>
          <w:spacing w:val="-56"/>
        </w:rPr>
        <w:t> </w:t>
      </w:r>
      <w:r>
        <w:rPr>
          <w:rFonts w:ascii="宋体" w:hAnsi="宋体" w:cs="宋体" w:eastAsia="宋体" w:hint="default"/>
        </w:rPr>
        <w:t>5</w:t>
      </w:r>
      <w:r>
        <w:rPr>
          <w:rFonts w:ascii="宋体" w:hAnsi="宋体" w:cs="宋体" w:eastAsia="宋体" w:hint="default"/>
          <w:spacing w:val="-56"/>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6"/>
        </w:rPr>
        <w:t> </w:t>
      </w:r>
      <w:r>
        <w:rPr/>
        <w:t>号）和《企业会计准则第</w:t>
      </w:r>
      <w:r>
        <w:rPr>
          <w:spacing w:val="-56"/>
        </w:rPr>
        <w:t> </w:t>
      </w:r>
      <w:r>
        <w:rPr>
          <w:rFonts w:ascii="宋体" w:hAnsi="宋体" w:cs="宋体" w:eastAsia="宋体" w:hint="default"/>
        </w:rPr>
        <w:t>33</w:t>
      </w:r>
      <w:r>
        <w:rPr>
          <w:rFonts w:ascii="宋体" w:hAnsi="宋体" w:cs="宋体" w:eastAsia="宋体" w:hint="default"/>
          <w:spacing w:val="-56"/>
        </w:rPr>
        <w:t> </w:t>
      </w:r>
      <w:r>
        <w:rPr/>
        <w:t>号——合并财务报表》第五十一</w:t>
      </w:r>
      <w:r>
        <w:rPr>
          <w:w w:val="100"/>
        </w:rPr>
        <w:t> </w:t>
      </w:r>
      <w:r>
        <w:rPr>
          <w:spacing w:val="-2"/>
        </w:rPr>
        <w:t>条关于“一揽子交易”的判断标准（参见本附注五、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）），判断该多次交易是否属于“一揽</w:t>
      </w:r>
      <w:r>
        <w:rPr>
          <w:spacing w:val="-50"/>
        </w:rPr>
        <w:t> </w:t>
      </w:r>
      <w:r>
        <w:rPr>
          <w:spacing w:val="-50"/>
        </w:rPr>
      </w:r>
      <w:r>
        <w:rPr>
          <w:spacing w:val="-2"/>
        </w:rPr>
        <w:t>子交易”。属于“一揽子交易”的，参考本部分前面各段描述及本附注五、</w:t>
      </w:r>
      <w:r>
        <w:rPr>
          <w:rFonts w:ascii="宋体" w:hAnsi="宋体" w:cs="宋体" w:eastAsia="宋体" w:hint="default"/>
          <w:spacing w:val="-2"/>
        </w:rPr>
        <w:t>14</w:t>
      </w:r>
      <w:r>
        <w:rPr>
          <w:spacing w:val="-2"/>
        </w:rPr>
        <w:t>“长期股权投资”</w:t>
      </w:r>
      <w:r>
        <w:rPr>
          <w:spacing w:val="-56"/>
        </w:rPr>
        <w:t> </w:t>
      </w:r>
      <w:r>
        <w:rPr>
          <w:spacing w:val="-56"/>
        </w:rPr>
      </w:r>
      <w:r>
        <w:rPr>
          <w:spacing w:val="-7"/>
        </w:rPr>
        <w:t>进行会计处理；不属于“一揽子交易”的，区分个别财务报表和合并财务报表进行相关会计处理：</w:t>
      </w:r>
      <w:r>
        <w:rPr>
          <w:spacing w:val="-35"/>
        </w:rPr>
        <w:t> </w:t>
      </w:r>
      <w:r>
        <w:rPr>
          <w:spacing w:val="-35"/>
        </w:rPr>
      </w: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52"/>
        </w:rPr>
        <w:t> </w:t>
      </w:r>
      <w:r>
        <w:rPr>
          <w:spacing w:val="-52"/>
        </w:rPr>
      </w:r>
      <w:r>
        <w:rPr>
          <w:spacing w:val="-2"/>
        </w:rPr>
        <w:t>础进行会计处理（即，除了按照权益法核算的在被购买方重新计量设定受益计划净负债或净资产</w:t>
      </w:r>
    </w:p>
    <w:p>
      <w:pPr>
        <w:pStyle w:val="BodyText"/>
        <w:spacing w:line="348" w:lineRule="auto" w:before="29"/>
        <w:ind w:left="558" w:right="0" w:hanging="420"/>
        <w:jc w:val="left"/>
      </w:pPr>
      <w:r>
        <w:rPr/>
        <w:t>导致的变动中的相应份额以外，其余转入当期投资收益）。</w:t>
      </w:r>
      <w:r>
        <w:rPr>
          <w:w w:val="100"/>
        </w:rPr>
        <w:t> </w:t>
      </w:r>
      <w:r>
        <w:rPr>
          <w:spacing w:val="-2"/>
        </w:rPr>
        <w:t>在合并财务报表中，对于购买日之前持有的被购买方的股权，按照该股权在购买日的公允价</w:t>
      </w:r>
    </w:p>
    <w:p>
      <w:pPr>
        <w:pStyle w:val="BodyText"/>
        <w:spacing w:line="350" w:lineRule="auto" w:before="31"/>
        <w:ind w:right="217"/>
        <w:jc w:val="both"/>
      </w:pP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spacing w:line="240" w:lineRule="auto" w:before="0"/>
        <w:rPr>
          <w:rFonts w:ascii="宋体" w:hAnsi="宋体" w:cs="宋体" w:eastAsia="宋体" w:hint="default"/>
          <w:b/>
          <w:bCs/>
          <w:sz w:val="14"/>
          <w:szCs w:val="14"/>
        </w:rPr>
      </w:pPr>
    </w:p>
    <w:p>
      <w:pPr>
        <w:pStyle w:val="BodyText"/>
        <w:spacing w:line="348" w:lineRule="auto"/>
        <w:ind w:left="558" w:right="0"/>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350" w:lineRule="auto" w:before="31"/>
        <w:ind w:right="217"/>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w:t>
      </w:r>
      <w:r>
        <w:rPr>
          <w:color w:val="FF0000"/>
        </w:rPr>
        <w:t>。</w:t>
      </w:r>
      <w:r>
        <w:rPr/>
        <w:t>子公司，是指被本公司控制的主体。</w:t>
      </w:r>
    </w:p>
    <w:p>
      <w:pPr>
        <w:pStyle w:val="BodyText"/>
        <w:spacing w:line="350" w:lineRule="auto" w:before="27"/>
        <w:ind w:right="0" w:firstLine="419"/>
        <w:jc w:val="left"/>
      </w:pPr>
      <w:r>
        <w:rPr>
          <w:spacing w:val="-2"/>
        </w:rPr>
        <w:t>一旦相关事实和情况的变化导致上述控制定义涉及的相关要素发生了变化，本公司将进行重</w:t>
      </w:r>
      <w:r>
        <w:rPr>
          <w:w w:val="100"/>
        </w:rPr>
        <w:t> </w:t>
      </w:r>
      <w:r>
        <w:rPr/>
        <w:t>新评估。</w:t>
      </w:r>
    </w:p>
    <w:p>
      <w:pPr>
        <w:pStyle w:val="BodyText"/>
        <w:spacing w:line="348" w:lineRule="auto" w:before="29"/>
        <w:ind w:left="558" w:right="0"/>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350" w:lineRule="auto" w:before="31"/>
        <w:ind w:right="217"/>
        <w:jc w:val="both"/>
      </w:pPr>
      <w:r>
        <w:rPr>
          <w:spacing w:val="-2"/>
        </w:rPr>
        <w:t>从丧失实际控制权之日起停止纳入合并范围。对于处置的子公司，处置日前的经营成果和现金流</w:t>
      </w:r>
      <w:r>
        <w:rPr>
          <w:spacing w:val="-25"/>
        </w:rPr>
        <w:t> </w:t>
      </w:r>
      <w:r>
        <w:rPr>
          <w:spacing w:val="-25"/>
        </w:rPr>
      </w:r>
      <w:r>
        <w:rPr>
          <w:spacing w:val="-2"/>
        </w:rPr>
        <w:t>量已经适当地包括在合并利润表和合并现金流量表中；当期处置的子公司，不调整合并资产负债</w:t>
      </w:r>
      <w:r>
        <w:rPr>
          <w:spacing w:val="-25"/>
        </w:rPr>
        <w:t> </w:t>
      </w:r>
      <w:r>
        <w:rPr>
          <w:spacing w:val="-25"/>
        </w:rPr>
      </w: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r>
        <w:rPr>
          <w:spacing w:val="-25"/>
        </w:rPr>
        <w:t> </w:t>
      </w:r>
      <w:r>
        <w:rPr>
          <w:spacing w:val="-25"/>
        </w:rPr>
      </w:r>
      <w:r>
        <w:rPr>
          <w:spacing w:val="-2"/>
        </w:rPr>
        <w:t>下企业合并增加的子公司，其自合并当期期初至合并日的经营成果和现金流量已经适当地包括在</w:t>
      </w:r>
      <w:r>
        <w:rPr>
          <w:spacing w:val="-25"/>
        </w:rPr>
        <w:t> </w:t>
      </w:r>
      <w:r>
        <w:rPr>
          <w:spacing w:val="-25"/>
        </w:rPr>
      </w:r>
      <w:r>
        <w:rPr/>
        <w:t>合并利润表和合并现金流量表中，并且同时调整合并财务报表的对比数。</w:t>
      </w:r>
    </w:p>
    <w:p>
      <w:pPr>
        <w:spacing w:after="0" w:line="35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50" w:lineRule="auto" w:before="27"/>
        <w:ind w:left="558" w:right="0"/>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48" w:lineRule="auto" w:before="29"/>
        <w:ind w:right="21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350" w:lineRule="auto" w:before="32"/>
        <w:ind w:right="207" w:firstLine="419"/>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0"/>
        </w:rPr>
        <w:t> </w:t>
      </w:r>
      <w:r>
        <w:rPr>
          <w:rFonts w:ascii="宋体" w:hAnsi="宋体" w:cs="宋体" w:eastAsia="宋体" w:hint="default"/>
        </w:rPr>
        <w:t>22</w:t>
      </w:r>
      <w:r>
        <w:rPr>
          <w:rFonts w:ascii="宋体" w:hAnsi="宋体" w:cs="宋体" w:eastAsia="宋体" w:hint="default"/>
          <w:spacing w:val="-44"/>
        </w:rPr>
        <w:t> </w:t>
      </w:r>
      <w:r>
        <w:rPr/>
        <w:t>号——金融工具</w:t>
      </w:r>
      <w:r>
        <w:rPr>
          <w:spacing w:val="-100"/>
        </w:rPr>
        <w:t> </w:t>
      </w:r>
      <w:r>
        <w:rPr>
          <w:spacing w:val="-100"/>
        </w:rPr>
      </w:r>
      <w:r>
        <w:rPr>
          <w:spacing w:val="-6"/>
        </w:rPr>
        <w:t>确认和计量》等相关规定进行后续计量，详见本附注五、</w:t>
      </w:r>
      <w:r>
        <w:rPr>
          <w:rFonts w:ascii="宋体" w:hAnsi="宋体" w:cs="宋体" w:eastAsia="宋体" w:hint="default"/>
          <w:spacing w:val="-6"/>
        </w:rPr>
        <w:t>14</w:t>
      </w:r>
      <w:r>
        <w:rPr>
          <w:spacing w:val="-6"/>
        </w:rPr>
        <w:t>“长期股权投资”或本附注五、</w:t>
      </w:r>
      <w:r>
        <w:rPr>
          <w:rFonts w:ascii="宋体" w:hAnsi="宋体" w:cs="宋体" w:eastAsia="宋体" w:hint="default"/>
          <w:spacing w:val="-6"/>
        </w:rPr>
        <w:t>10</w:t>
      </w:r>
      <w:r>
        <w:rPr>
          <w:spacing w:val="-6"/>
        </w:rPr>
        <w:t>“金</w:t>
      </w:r>
      <w:r>
        <w:rPr>
          <w:spacing w:val="-42"/>
        </w:rPr>
        <w:t> </w:t>
      </w:r>
      <w:r>
        <w:rPr>
          <w:spacing w:val="-42"/>
        </w:rPr>
      </w:r>
      <w:r>
        <w:rPr/>
        <w:t>融工具”。</w:t>
      </w:r>
    </w:p>
    <w:p>
      <w:pPr>
        <w:pStyle w:val="BodyText"/>
        <w:spacing w:line="350" w:lineRule="auto" w:before="29"/>
        <w:ind w:right="0" w:firstLine="419"/>
        <w:jc w:val="left"/>
      </w:pPr>
      <w:r>
        <w:rPr/>
        <w:t>本公司通过多次交易分步处置对子公司股权投资直至丧失控制权的，需区分处置对子公司股</w:t>
      </w:r>
      <w:r>
        <w:rPr>
          <w:w w:val="100"/>
        </w:rPr>
        <w:t> </w:t>
      </w:r>
      <w:r>
        <w:rPr/>
        <w:t>权投资直至丧失控制权的各项交易是否属于一揽子交易。处置对子公司股权投资的各项交易的条</w:t>
      </w:r>
      <w:r>
        <w:rPr>
          <w:w w:val="100"/>
        </w:rPr>
        <w:t> </w:t>
      </w:r>
      <w:r>
        <w:rPr/>
        <w:t>款、条件以及经济影响符合以下一种或多种情况，通常表明应将多次交易事项作为一揽子交易进</w:t>
      </w:r>
      <w:r>
        <w:rPr>
          <w:w w:val="100"/>
        </w:rPr>
        <w:t> </w:t>
      </w:r>
      <w:r>
        <w:rPr/>
        <w:t>行会计处理：①这些交易是同时或者在考虑了彼此影响的情况下订立的；②这些交易整体才能达</w:t>
      </w:r>
      <w:r>
        <w:rPr>
          <w:w w:val="100"/>
        </w:rPr>
        <w:t> </w:t>
      </w:r>
      <w:r>
        <w:rPr/>
        <w:t>成一项完整的商业结果；③一项交易的发生取决于其他至少一项交易的发生；④一项交易单独看</w:t>
      </w:r>
      <w:r>
        <w:rPr>
          <w:w w:val="100"/>
        </w:rPr>
        <w:t> </w:t>
      </w:r>
      <w:r>
        <w:rPr/>
        <w:t>是不经济的，但是和其他交易一并考虑时是经济的。不属于一揽子交易的，对其中的每一项交易</w:t>
      </w:r>
      <w:r>
        <w:rPr>
          <w:w w:val="100"/>
        </w:rPr>
        <w:t> </w:t>
      </w:r>
      <w:r>
        <w:rPr/>
        <w:t>视情况分别按照“不丧失控制权的情况下部分处置对子公司的长期股权投资”（详见本附注五、</w:t>
      </w:r>
      <w:r>
        <w:rPr>
          <w:w w:val="100"/>
        </w:rPr>
        <w:t> </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）④）和“因处置部分股权投资或其他原因丧失了对原有子公司的控制权”（详见前段）</w:t>
      </w:r>
      <w:r>
        <w:rPr>
          <w:spacing w:val="-17"/>
        </w:rPr>
        <w:t> </w:t>
      </w:r>
      <w:r>
        <w:rPr>
          <w:spacing w:val="-17"/>
        </w:rPr>
      </w:r>
      <w:r>
        <w:rPr>
          <w:spacing w:val="-4"/>
          <w:w w:val="100"/>
        </w:rPr>
        <w:t>适用的原则进行会计处理。处置对子公司股权投资直至丧失控制权的各项交易属于一揽子交易的，</w:t>
      </w:r>
      <w:r>
        <w:rPr>
          <w:spacing w:val="-85"/>
          <w:w w:val="100"/>
        </w:rPr>
        <w:t> </w:t>
      </w:r>
      <w:r>
        <w:rPr>
          <w:spacing w:val="-85"/>
          <w:w w:val="100"/>
        </w:rPr>
      </w:r>
      <w:r>
        <w:rPr/>
        <w:t>将各项交易作为一项处置子公司并丧失控制权的交易进行会计处理；但是，在丧失控制权之前每</w:t>
      </w:r>
      <w:r>
        <w:rPr>
          <w:w w:val="100"/>
        </w:rPr>
        <w:t> </w:t>
      </w:r>
      <w:r>
        <w:rPr/>
        <w:t>一次处置价款与处置投资对应的享有该子公司净资产份额的差额，在合并财务报表中确认为其他</w:t>
      </w:r>
      <w:r>
        <w:rPr>
          <w:w w:val="100"/>
        </w:rPr>
        <w:t> </w:t>
      </w:r>
      <w:r>
        <w:rPr/>
        <w:t>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562" w:val="left" w:leader="none"/>
        </w:tabs>
        <w:spacing w:line="400" w:lineRule="auto" w:before="0"/>
        <w:ind w:left="558" w:right="217" w:hanging="420"/>
        <w:jc w:val="left"/>
        <w:rPr>
          <w:rFonts w:ascii="宋体" w:hAnsi="宋体" w:cs="宋体" w:eastAsia="宋体" w:hint="default"/>
          <w:sz w:val="21"/>
          <w:szCs w:val="21"/>
        </w:rPr>
      </w:pPr>
      <w:r>
        <w:rPr>
          <w:rFonts w:ascii="宋体" w:hAnsi="宋体" w:cs="宋体" w:eastAsia="宋体" w:hint="default"/>
          <w:b/>
          <w:bCs/>
          <w:w w:val="95"/>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w:t>
      </w:r>
    </w:p>
    <w:p>
      <w:pPr>
        <w:pStyle w:val="BodyText"/>
        <w:spacing w:line="258" w:lineRule="exact"/>
        <w:ind w:right="0"/>
        <w:jc w:val="both"/>
      </w:pPr>
      <w:r>
        <w:rPr/>
        <w:t>享有的权利和承担的义务，将合营安排分为共同经营和合营企业。共同经营，是指本公司享有该</w:t>
      </w:r>
    </w:p>
    <w:p>
      <w:pPr>
        <w:spacing w:after="0" w:line="258" w:lineRule="exact"/>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jc w:val="both"/>
      </w:pPr>
      <w:r>
        <w:rPr>
          <w:spacing w:val="-2"/>
        </w:rPr>
        <w:t>安排相关资产且承担该安排相关负债的合营安排。合营企业，是指本公司仅对该安排的净资产享</w:t>
      </w:r>
      <w:r>
        <w:rPr>
          <w:spacing w:val="-26"/>
        </w:rPr>
        <w:t> </w:t>
      </w:r>
      <w:r>
        <w:rPr>
          <w:spacing w:val="-26"/>
        </w:rPr>
      </w:r>
      <w:r>
        <w:rPr/>
        <w:t>有权利的合营安排。</w:t>
      </w:r>
    </w:p>
    <w:p>
      <w:pPr>
        <w:pStyle w:val="BodyText"/>
        <w:spacing w:line="348" w:lineRule="auto" w:before="29"/>
        <w:ind w:right="128" w:firstLine="419"/>
        <w:jc w:val="both"/>
      </w:pPr>
      <w:r>
        <w:rPr>
          <w:spacing w:val="-7"/>
        </w:rPr>
        <w:t>本公司对合营企业的投资采用权益法核算，按照本附注五、</w:t>
      </w:r>
      <w:r>
        <w:rPr>
          <w:rFonts w:ascii="宋体" w:hAnsi="宋体" w:cs="宋体" w:eastAsia="宋体" w:hint="default"/>
          <w:spacing w:val="-7"/>
        </w:rPr>
        <w:t>14</w:t>
      </w:r>
      <w:r>
        <w:rPr>
          <w:spacing w:val="-7"/>
        </w:rPr>
        <w:t>“权益法核算的长期股权投资”</w:t>
      </w:r>
      <w:r>
        <w:rPr>
          <w:w w:val="100"/>
        </w:rPr>
        <w:t> </w:t>
      </w:r>
      <w:r>
        <w:rPr/>
        <w:t>中所述的会计政策处理。</w:t>
      </w:r>
    </w:p>
    <w:p>
      <w:pPr>
        <w:pStyle w:val="BodyText"/>
        <w:spacing w:line="350" w:lineRule="auto" w:before="31"/>
        <w:ind w:right="12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348" w:lineRule="auto" w:before="30"/>
        <w:ind w:right="137"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562" w:val="left" w:leader="none"/>
        </w:tabs>
        <w:spacing w:line="40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60" w:lineRule="exact"/>
        <w:ind w:right="0"/>
        <w:jc w:val="both"/>
      </w:pPr>
      <w:r>
        <w:rPr/>
        <w:t>（一般为从购买日起，三个月内到期）、流动性强、易于转换为已知金额的现金、价值变动风险</w:t>
      </w:r>
    </w:p>
    <w:p>
      <w:pPr>
        <w:pStyle w:val="BodyText"/>
        <w:spacing w:line="240" w:lineRule="auto" w:before="123"/>
        <w:ind w:right="0"/>
        <w:jc w:val="both"/>
      </w:pPr>
      <w:r>
        <w:rPr/>
        <w:t>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left="558" w:right="0"/>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350" w:lineRule="auto" w:before="27"/>
        <w:ind w:right="128"/>
        <w:jc w:val="both"/>
      </w:pPr>
      <w:r>
        <w:rPr>
          <w:spacing w:val="-1"/>
        </w:rPr>
        <w:t>日外汇牌价的中间价，下同）折算为记账本位币金额，但公司发生的外币兑换业务或涉及外币兑</w:t>
      </w:r>
      <w:r>
        <w:rPr>
          <w:spacing w:val="-55"/>
        </w:rPr>
        <w:t> </w:t>
      </w:r>
      <w:r>
        <w:rPr>
          <w:spacing w:val="-55"/>
        </w:rPr>
      </w:r>
      <w:r>
        <w:rPr/>
        <w:t>换的交易事项，按照实际采用的汇率折算为记账本位币金额。</w:t>
      </w:r>
    </w:p>
    <w:p>
      <w:pPr>
        <w:pStyle w:val="BodyText"/>
        <w:spacing w:line="348" w:lineRule="auto" w:before="29"/>
        <w:ind w:left="558" w:right="0"/>
        <w:jc w:val="left"/>
      </w:pPr>
      <w:r>
        <w:rPr/>
        <w:t>（</w:t>
      </w:r>
      <w:r>
        <w:rPr>
          <w:rFonts w:ascii="宋体" w:hAnsi="宋体" w:cs="宋体" w:eastAsia="宋体"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348" w:lineRule="auto" w:before="31"/>
        <w:ind w:right="137"/>
        <w:jc w:val="both"/>
      </w:pPr>
      <w:r>
        <w:rPr>
          <w:spacing w:val="-2"/>
        </w:rPr>
        <w:t>除：①属于与购建符合资本化条件的资产相关的外币专门借款产生的汇兑差额按照借款费用资本</w:t>
      </w:r>
      <w:r>
        <w:rPr>
          <w:spacing w:val="-26"/>
        </w:rPr>
        <w:t> </w:t>
      </w:r>
      <w:r>
        <w:rPr>
          <w:spacing w:val="-26"/>
        </w:rPr>
      </w:r>
      <w:r>
        <w:rPr>
          <w:spacing w:val="-2"/>
        </w:rPr>
        <w:t>化的原则处理；以及②可供出售的外币货币性项目除摊余成本之外的其他账面余额变动产生的汇</w:t>
      </w:r>
      <w:r>
        <w:rPr>
          <w:spacing w:val="-25"/>
        </w:rPr>
        <w:t> </w:t>
      </w:r>
      <w:r>
        <w:rPr>
          <w:spacing w:val="-25"/>
        </w:rPr>
      </w:r>
      <w:r>
        <w:rPr/>
        <w:t>兑差额计入其他综合收益之外，均计入当期损益。</w:t>
      </w:r>
    </w:p>
    <w:p>
      <w:pPr>
        <w:pStyle w:val="BodyText"/>
        <w:spacing w:line="350" w:lineRule="auto" w:before="31"/>
        <w:ind w:right="137" w:firstLine="419"/>
        <w:jc w:val="both"/>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r>
        <w:rPr>
          <w:color w:val="FF0000"/>
        </w:rPr>
        <w:t>。</w:t>
      </w:r>
      <w:r>
        <w:rPr/>
      </w:r>
    </w:p>
    <w:p>
      <w:pPr>
        <w:pStyle w:val="BodyText"/>
        <w:spacing w:line="350" w:lineRule="auto" w:before="27"/>
        <w:ind w:right="137" w:firstLine="419"/>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p>
    <w:p>
      <w:pPr>
        <w:spacing w:after="0" w:line="35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jc w:val="both"/>
      </w:pP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348" w:lineRule="auto" w:before="29"/>
        <w:ind w:left="558" w:right="0"/>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350" w:lineRule="auto" w:before="31"/>
        <w:ind w:right="207"/>
        <w:jc w:val="both"/>
      </w:pPr>
      <w:r>
        <w:rPr>
          <w:spacing w:val="-1"/>
        </w:rPr>
        <w:t>因汇率变动而产生的汇兑差额，作为“外币报表折算差额”确认为其他综合收益；处置境外经营</w:t>
      </w:r>
      <w:r>
        <w:rPr>
          <w:spacing w:val="-55"/>
        </w:rPr>
        <w:t> </w:t>
      </w:r>
      <w:r>
        <w:rPr>
          <w:spacing w:val="-55"/>
        </w:rPr>
      </w:r>
      <w:r>
        <w:rPr/>
        <w:t>时，计入处置当期损益。</w:t>
      </w:r>
    </w:p>
    <w:p>
      <w:pPr>
        <w:pStyle w:val="BodyText"/>
        <w:spacing w:line="350" w:lineRule="auto" w:before="27"/>
        <w:ind w:right="208" w:firstLine="419"/>
        <w:jc w:val="both"/>
      </w:pPr>
      <w:r>
        <w:rPr>
          <w:spacing w:val="-1"/>
        </w:rPr>
        <w:t>境外经营的外币财务报表按以下方法折算为人民币报表：资产负债表中的资产和负债项目，</w:t>
      </w:r>
      <w:r>
        <w:rPr>
          <w:w w:val="100"/>
        </w:rPr>
        <w:t> </w:t>
      </w:r>
      <w:r>
        <w:rPr>
          <w:spacing w:val="-1"/>
        </w:rPr>
        <w:t>采用资产负债表日的即期汇率折算；股东权益类项目除“未分配利润”项目外，其他项目采用发</w:t>
      </w:r>
      <w:r>
        <w:rPr>
          <w:spacing w:val="-56"/>
        </w:rPr>
        <w:t> </w:t>
      </w:r>
      <w:r>
        <w:rPr>
          <w:spacing w:val="-56"/>
        </w:rPr>
      </w:r>
      <w:r>
        <w:rPr>
          <w:spacing w:val="-1"/>
        </w:rPr>
        <w:t>生时的即期汇率折算。利润表中的收入和费用项目，采用交易发生日的当期平均汇率折算。年初</w:t>
      </w:r>
      <w:r>
        <w:rPr>
          <w:spacing w:val="-55"/>
        </w:rPr>
        <w:t> </w:t>
      </w:r>
      <w:r>
        <w:rPr>
          <w:spacing w:val="-55"/>
        </w:rPr>
      </w:r>
      <w:r>
        <w:rPr>
          <w:spacing w:val="-1"/>
        </w:rPr>
        <w:t>未分配利润为上一年折算后的年末未分配利润；年末未分配利润按折算后的利润分配各项目计算</w:t>
      </w:r>
      <w:r>
        <w:rPr>
          <w:spacing w:val="-55"/>
        </w:rPr>
        <w:t> </w:t>
      </w:r>
      <w:r>
        <w:rPr>
          <w:spacing w:val="-55"/>
        </w:rPr>
      </w:r>
      <w:r>
        <w:rPr>
          <w:spacing w:val="-6"/>
          <w:w w:val="100"/>
        </w:rPr>
        <w:t>列示；折算后资产类项目与负债类项目和股东权益类项目合计数的差额，作为外币报表折算差额，</w:t>
      </w:r>
      <w:r>
        <w:rPr>
          <w:w w:val="100"/>
        </w:rPr>
        <w:t> </w:t>
      </w:r>
      <w:r>
        <w:rPr>
          <w:spacing w:val="-1"/>
        </w:rPr>
        <w:t>确认为其他综合收益。处置境外经营并丧失控制权时，将资产负债表中股东权益项目下列示的、</w:t>
      </w:r>
      <w:r>
        <w:rPr>
          <w:spacing w:val="-55"/>
        </w:rPr>
        <w:t> </w:t>
      </w:r>
      <w:r>
        <w:rPr>
          <w:spacing w:val="-55"/>
        </w:rPr>
      </w:r>
      <w:r>
        <w:rPr/>
        <w:t>与该境外经营相关的外币报表折算差额，全部或按处置该境外经营的比例转入处置当期损益。</w:t>
      </w:r>
    </w:p>
    <w:p>
      <w:pPr>
        <w:pStyle w:val="BodyText"/>
        <w:spacing w:line="350" w:lineRule="auto" w:before="29"/>
        <w:ind w:right="210" w:firstLine="419"/>
        <w:jc w:val="both"/>
      </w:pPr>
      <w:r>
        <w:rPr>
          <w:spacing w:val="-2"/>
        </w:rPr>
        <w:t>外币现金流量以及境外子公司的现金流量，采用现金流量发生日的当期平均汇率折算。汇率</w:t>
      </w:r>
      <w:r>
        <w:rPr>
          <w:w w:val="100"/>
        </w:rPr>
        <w:t> </w:t>
      </w:r>
      <w:r>
        <w:rPr/>
        <w:t>变动对现金的影响额作为调节项目，在现金流量表中单独列报。</w:t>
      </w:r>
    </w:p>
    <w:p>
      <w:pPr>
        <w:pStyle w:val="BodyText"/>
        <w:spacing w:line="350" w:lineRule="auto" w:before="27"/>
        <w:ind w:left="558" w:right="0"/>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348" w:lineRule="auto" w:before="29"/>
        <w:ind w:right="208"/>
        <w:jc w:val="both"/>
      </w:pPr>
      <w:r>
        <w:rPr>
          <w:spacing w:val="-1"/>
        </w:rPr>
        <w:t>经营控制权时，将资产负债表中股东权益项目下列示的、与该境外经营相关的归属于母公司所有</w:t>
      </w:r>
      <w:r>
        <w:rPr>
          <w:spacing w:val="-55"/>
        </w:rPr>
        <w:t> </w:t>
      </w:r>
      <w:r>
        <w:rPr>
          <w:spacing w:val="-55"/>
        </w:rPr>
      </w:r>
      <w:r>
        <w:rPr/>
        <w:t>者权益的外币报表折算差额，全部转入处置当期损益。</w:t>
      </w:r>
    </w:p>
    <w:p>
      <w:pPr>
        <w:pStyle w:val="BodyText"/>
        <w:spacing w:line="350" w:lineRule="auto" w:before="31"/>
        <w:ind w:right="208" w:firstLine="419"/>
        <w:jc w:val="both"/>
      </w:pPr>
      <w:r>
        <w:rPr>
          <w:spacing w:val="-2"/>
        </w:rPr>
        <w:t>在处置部分股权投资或其他原因导致持有境外经营权益比例降低但不丧失对境外经营控制权</w:t>
      </w:r>
      <w:r>
        <w:rPr>
          <w:w w:val="100"/>
        </w:rPr>
        <w:t> </w:t>
      </w:r>
      <w:r>
        <w:rPr>
          <w:spacing w:val="-1"/>
        </w:rPr>
        <w:t>时，与该境外经营处置部分相关的外币报表折算差额将归属于少数股东权益，不转入当期损益。</w:t>
      </w:r>
      <w:r>
        <w:rPr>
          <w:spacing w:val="-55"/>
        </w:rPr>
        <w:t> </w:t>
      </w:r>
      <w:r>
        <w:rPr>
          <w:spacing w:val="-55"/>
        </w:rPr>
      </w:r>
      <w:r>
        <w:rPr>
          <w:spacing w:val="-1"/>
        </w:rPr>
        <w:t>在处置境外经营为联营企业或合营企业的部分股权时，与该境外经营相关的外币报表折算差额，</w:t>
      </w:r>
      <w:r>
        <w:rPr>
          <w:spacing w:val="-55"/>
        </w:rPr>
        <w:t> </w:t>
      </w:r>
      <w:r>
        <w:rPr>
          <w:spacing w:val="-55"/>
        </w:rPr>
      </w:r>
      <w:r>
        <w:rPr/>
        <w:t>按处置该境外经营的比例转入处置当期损益。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right="0" w:firstLine="419"/>
        <w:jc w:val="left"/>
      </w:pPr>
      <w:r>
        <w:rPr/>
        <w:t>在本公司成为金融工具合同的一方时确认一项金融资产或金融负债。金融资产和金融负债在</w:t>
      </w:r>
      <w:r>
        <w:rPr>
          <w:w w:val="100"/>
        </w:rPr>
        <w:t> </w:t>
      </w: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spacing w:val="-97"/>
        </w:rPr>
        <w:t> </w:t>
      </w:r>
      <w:r>
        <w:rPr>
          <w:spacing w:val="-97"/>
        </w:rPr>
      </w:r>
      <w:r>
        <w:rPr/>
        <w:t>认金额。</w:t>
      </w:r>
    </w:p>
    <w:p>
      <w:pPr>
        <w:pStyle w:val="BodyText"/>
        <w:spacing w:line="350" w:lineRule="auto" w:before="27"/>
        <w:ind w:left="558" w:right="0"/>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48" w:lineRule="auto" w:before="29"/>
        <w:ind w:right="208"/>
        <w:jc w:val="both"/>
      </w:pPr>
      <w:r>
        <w:rPr>
          <w:spacing w:val="-1"/>
        </w:rPr>
        <w:t>项负债所需支付的价格。金融工具存在活跃市场的，本公司采用活跃市场中的报价确定其公允价</w:t>
      </w:r>
      <w:r>
        <w:rPr>
          <w:spacing w:val="-55"/>
        </w:rPr>
        <w:t> </w:t>
      </w:r>
      <w:r>
        <w:rPr>
          <w:spacing w:val="-55"/>
        </w:rPr>
      </w:r>
      <w:r>
        <w:rPr>
          <w:spacing w:val="-6"/>
        </w:rPr>
        <w:t>值。活跃市场中的报价是指易于定期从交易所、经纪商、行业协会、定价服务机构等获得的价格，</w:t>
      </w:r>
      <w:r>
        <w:rPr>
          <w:spacing w:val="-53"/>
        </w:rPr>
        <w:t> </w:t>
      </w:r>
      <w:r>
        <w:rPr>
          <w:spacing w:val="-53"/>
        </w:rPr>
      </w:r>
      <w:r>
        <w:rPr>
          <w:spacing w:val="-1"/>
        </w:rPr>
        <w:t>且代表了在公平交易中实际发生的市场交易的价格。金融工具不存在活跃市场的，本公司采用估</w:t>
      </w:r>
    </w:p>
    <w:p>
      <w:pPr>
        <w:spacing w:after="0" w:line="348" w:lineRule="auto"/>
        <w:jc w:val="both"/>
        <w:sectPr>
          <w:footerReference w:type="default" r:id="rId48"/>
          <w:pgSz w:w="11910" w:h="16840"/>
          <w:pgMar w:footer="1195" w:header="882" w:top="1120" w:bottom="1380" w:left="1660" w:right="1060"/>
          <w:pgNumType w:start="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28"/>
        <w:jc w:val="both"/>
      </w:pPr>
      <w:r>
        <w:rPr>
          <w:spacing w:val="-1"/>
        </w:rPr>
        <w:t>值技术确定其公允价值。估值技术包括参考熟悉情况并自愿交易的各方最近进行的市场交易中使</w:t>
      </w:r>
      <w:r>
        <w:rPr>
          <w:spacing w:val="-55"/>
        </w:rPr>
        <w:t> </w:t>
      </w:r>
      <w:r>
        <w:rPr>
          <w:spacing w:val="-55"/>
        </w:rPr>
      </w:r>
      <w:r>
        <w:rPr>
          <w:spacing w:val="-6"/>
          <w:w w:val="100"/>
        </w:rPr>
        <w:t>用的价格、参照实质上相同的其他金融工具当前的公允价值、现金流量折现法和期权定价模型等。</w:t>
      </w:r>
    </w:p>
    <w:p>
      <w:pPr>
        <w:pStyle w:val="BodyText"/>
        <w:spacing w:line="348" w:lineRule="auto" w:before="29"/>
        <w:ind w:left="558" w:right="0"/>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50" w:lineRule="auto" w:before="31"/>
        <w:ind w:right="137"/>
        <w:jc w:val="both"/>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350" w:lineRule="auto" w:before="27"/>
        <w:ind w:left="558" w:right="0"/>
        <w:jc w:val="left"/>
      </w:pPr>
      <w:r>
        <w:rPr/>
        <w:t>①以公允价值计量且其变动计入当期损益的金融资产</w:t>
      </w:r>
      <w:r>
        <w:rPr>
          <w:w w:val="100"/>
        </w:rPr>
        <w:t> </w:t>
      </w:r>
      <w:r>
        <w:rPr>
          <w:spacing w:val="-2"/>
        </w:rPr>
        <w:t>包括交易性金融资产和指定为以公允价值计量且其变动计入当期损益的金融资产。本公司以</w:t>
      </w:r>
    </w:p>
    <w:p>
      <w:pPr>
        <w:pStyle w:val="BodyText"/>
        <w:spacing w:line="348" w:lineRule="auto" w:before="30"/>
        <w:ind w:left="558" w:right="0" w:hanging="420"/>
        <w:jc w:val="left"/>
      </w:pPr>
      <w:r>
        <w:rPr/>
        <w:t>公允价值计量且其变动计入当期损益的金融资产均为交易性金融资产。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50" w:lineRule="auto" w:before="31"/>
        <w:ind w:right="137"/>
        <w:jc w:val="both"/>
      </w:pPr>
      <w:r>
        <w:rPr>
          <w:spacing w:val="-2"/>
        </w:rPr>
        <w:t>近期内出售或回购；</w:t>
      </w:r>
      <w:r>
        <w:rPr>
          <w:rFonts w:ascii="宋体" w:hAnsi="宋体" w:cs="宋体" w:eastAsia="宋体" w:hint="default"/>
          <w:spacing w:val="-2"/>
        </w:rPr>
        <w:t>B.</w:t>
      </w:r>
      <w:r>
        <w:rPr>
          <w:spacing w:val="-2"/>
        </w:rPr>
        <w:t>属于进行集中管理的可辨认金融工具组合的一部分，且有客观证据表明本</w:t>
      </w:r>
      <w:r>
        <w:rPr>
          <w:spacing w:val="-24"/>
        </w:rPr>
        <w:t> </w:t>
      </w:r>
      <w:r>
        <w:rPr>
          <w:spacing w:val="-24"/>
        </w:rPr>
      </w:r>
      <w:r>
        <w:rPr>
          <w:spacing w:val="-2"/>
        </w:rPr>
        <w:t>公司近期采用短期获利方式对该组合进行管理；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23"/>
        </w:rPr>
        <w:t> </w:t>
      </w:r>
      <w:r>
        <w:rPr>
          <w:spacing w:val="-23"/>
        </w:rPr>
      </w:r>
      <w:r>
        <w:rPr>
          <w:spacing w:val="-2"/>
        </w:rPr>
        <w:t>具的衍生工具、属于财务担保合同的衍生工具、与在活跃市场中没有报价且其公允价值不能可靠</w:t>
      </w:r>
      <w:r>
        <w:rPr>
          <w:spacing w:val="-25"/>
        </w:rPr>
        <w:t> </w:t>
      </w:r>
      <w:r>
        <w:rPr>
          <w:spacing w:val="-25"/>
        </w:rPr>
      </w:r>
      <w:r>
        <w:rPr/>
        <w:t>计量的权益工具投资挂钩并须通过交付该权益工具结算的衍生工具除外。</w:t>
      </w:r>
    </w:p>
    <w:p>
      <w:pPr>
        <w:pStyle w:val="BodyText"/>
        <w:spacing w:line="348" w:lineRule="auto" w:before="29"/>
        <w:ind w:right="0" w:firstLine="419"/>
        <w:jc w:val="left"/>
      </w:pPr>
      <w:r>
        <w:rPr>
          <w:spacing w:val="-2"/>
        </w:rPr>
        <w:t>交易性金融资产采用公允价值进行后续计量，公允价值变动形成的利得或损失以及与该金融</w:t>
      </w:r>
      <w:r>
        <w:rPr>
          <w:w w:val="100"/>
        </w:rPr>
        <w:t> </w:t>
      </w:r>
      <w:r>
        <w:rPr/>
        <w:t>资产相关的股利和利息收入计入当期损益。</w:t>
      </w:r>
    </w:p>
    <w:p>
      <w:pPr>
        <w:pStyle w:val="BodyText"/>
        <w:spacing w:line="350" w:lineRule="auto" w:before="32"/>
        <w:ind w:left="558" w:right="0"/>
        <w:jc w:val="left"/>
      </w:pPr>
      <w:r>
        <w:rPr/>
        <w:t>②持有至到期投资</w:t>
      </w:r>
      <w:r>
        <w:rPr>
          <w:w w:val="100"/>
        </w:rPr>
        <w:t> </w:t>
      </w:r>
      <w:r>
        <w:rPr>
          <w:spacing w:val="-2"/>
        </w:rPr>
        <w:t>是指到期日固定、回收金额固定或可确定，且本公司有明确意图和能力持有至到期的非衍生</w:t>
      </w:r>
    </w:p>
    <w:p>
      <w:pPr>
        <w:pStyle w:val="BodyText"/>
        <w:spacing w:line="240" w:lineRule="auto" w:before="27"/>
        <w:ind w:right="2543"/>
        <w:jc w:val="left"/>
      </w:pPr>
      <w:r>
        <w:rPr/>
        <w:t>金融资产。</w:t>
      </w:r>
    </w:p>
    <w:p>
      <w:pPr>
        <w:pStyle w:val="BodyText"/>
        <w:spacing w:line="350" w:lineRule="auto" w:before="126"/>
        <w:ind w:right="0" w:firstLine="419"/>
        <w:jc w:val="left"/>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50" w:lineRule="auto" w:before="27"/>
        <w:ind w:right="137" w:firstLine="419"/>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29"/>
        <w:ind w:right="2543"/>
        <w:jc w:val="left"/>
      </w:pPr>
      <w:r>
        <w:rPr/>
        <w:t>的、属于实际利率组成部分的各项收费、交易费用及折价或溢价等。</w:t>
      </w:r>
    </w:p>
    <w:p>
      <w:pPr>
        <w:pStyle w:val="BodyText"/>
        <w:spacing w:line="350" w:lineRule="auto" w:before="123"/>
        <w:ind w:left="558" w:right="0"/>
        <w:jc w:val="left"/>
      </w:pPr>
      <w:r>
        <w:rPr/>
        <w:t>③贷款和应收款项</w:t>
      </w:r>
      <w:r>
        <w:rPr>
          <w:w w:val="100"/>
        </w:rPr>
        <w:t> </w:t>
      </w:r>
      <w:r>
        <w:rPr>
          <w:spacing w:val="-2"/>
        </w:rPr>
        <w:t>是指在活跃市场中没有报价、回收金额固定或可确定的非衍生金融资产。本公司划分为贷款</w:t>
      </w:r>
    </w:p>
    <w:p>
      <w:pPr>
        <w:pStyle w:val="BodyText"/>
        <w:spacing w:line="348" w:lineRule="auto" w:before="29"/>
        <w:ind w:left="558" w:right="0"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0" w:lineRule="auto" w:before="31"/>
        <w:ind w:right="2543"/>
        <w:jc w:val="left"/>
      </w:pPr>
      <w:r>
        <w:rPr/>
        <w:t>时产生的利得或损失，计入当期损益。</w:t>
      </w:r>
    </w:p>
    <w:p>
      <w:pPr>
        <w:pStyle w:val="BodyText"/>
        <w:spacing w:line="240" w:lineRule="auto" w:before="126"/>
        <w:ind w:left="558" w:right="2543"/>
        <w:jc w:val="left"/>
      </w:pPr>
      <w:r>
        <w:rPr/>
        <w:t>④可供出售金融资产</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0" w:firstLine="419"/>
        <w:jc w:val="left"/>
      </w:pPr>
      <w:r>
        <w:rPr>
          <w:spacing w:val="-2"/>
        </w:rPr>
        <w:t>包括初始确认时即被指定为可供出售的非衍生金融资产，以及除了以公允价值计量且其变动</w:t>
      </w:r>
      <w:r>
        <w:rPr>
          <w:w w:val="100"/>
        </w:rPr>
        <w:t> </w:t>
      </w:r>
      <w:r>
        <w:rPr/>
        <w:t>计入当期损益的金融资产、贷款和应收款项、持有至到期投资以外的金融资产。</w:t>
      </w:r>
    </w:p>
    <w:p>
      <w:pPr>
        <w:pStyle w:val="BodyText"/>
        <w:spacing w:line="348" w:lineRule="auto" w:before="29"/>
        <w:ind w:right="0" w:firstLine="419"/>
        <w:jc w:val="left"/>
      </w:pPr>
      <w:r>
        <w:rPr>
          <w:spacing w:val="-4"/>
          <w:w w:val="100"/>
        </w:rPr>
        <w:t>可供出售债务工具投资的期末成本按照摊余成本法确定，即初始确认金额扣除已偿还的本金，</w:t>
      </w:r>
      <w:r>
        <w:rPr>
          <w:w w:val="100"/>
        </w:rPr>
        <w:t> </w:t>
      </w:r>
      <w:r>
        <w:rPr/>
        <w:t>加上或减去采用实际利率法将该初始确认金额与到期日金额之间的差额进行摊销形成的累计摊销</w:t>
      </w:r>
      <w:r>
        <w:rPr>
          <w:w w:val="100"/>
        </w:rPr>
        <w:t> </w:t>
      </w:r>
      <w:r>
        <w:rPr/>
        <w:t>额，并扣除已发生的减值损失后的金额。可供出售权益工具投资的期末成本为其初始取得成本。</w:t>
      </w:r>
    </w:p>
    <w:p>
      <w:pPr>
        <w:pStyle w:val="BodyText"/>
        <w:spacing w:line="348" w:lineRule="auto" w:before="31"/>
        <w:ind w:right="217" w:firstLine="419"/>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25"/>
        </w:rPr>
        <w:t> </w:t>
      </w:r>
      <w:r>
        <w:rPr>
          <w:spacing w:val="-25"/>
        </w:rPr>
      </w:r>
      <w:r>
        <w:rPr>
          <w:spacing w:val="-2"/>
        </w:rPr>
        <w:t>该金融资产终止确认时转出，计入当期损益。但是，在活跃市场中没有报价且其公允价值不能可</w:t>
      </w:r>
      <w:r>
        <w:rPr>
          <w:spacing w:val="-25"/>
        </w:rPr>
        <w:t> </w:t>
      </w:r>
      <w:r>
        <w:rPr>
          <w:spacing w:val="-25"/>
        </w:rPr>
      </w:r>
      <w:r>
        <w:rPr>
          <w:spacing w:val="-2"/>
        </w:rPr>
        <w:t>靠计量的权益工具投资，以及与该权益工具挂钩并须通过交付该权益工具结算的衍生金融资产，</w:t>
      </w:r>
      <w:r>
        <w:rPr>
          <w:spacing w:val="-25"/>
        </w:rPr>
        <w:t> </w:t>
      </w:r>
      <w:r>
        <w:rPr>
          <w:spacing w:val="-25"/>
        </w:rPr>
      </w:r>
      <w:r>
        <w:rPr/>
        <w:t>按照成本进行后续计量。</w:t>
      </w:r>
    </w:p>
    <w:p>
      <w:pPr>
        <w:pStyle w:val="BodyText"/>
        <w:spacing w:line="240" w:lineRule="auto" w:before="31"/>
        <w:ind w:left="558" w:right="0"/>
        <w:jc w:val="left"/>
      </w:pPr>
      <w:r>
        <w:rPr/>
        <w:t>可供出售金融资产持有期间取得的利息及被投资单位宣告发放的现金股利，计入投资收益。</w:t>
      </w:r>
    </w:p>
    <w:p>
      <w:pPr>
        <w:pStyle w:val="BodyText"/>
        <w:spacing w:line="348" w:lineRule="auto" w:before="126"/>
        <w:ind w:left="558" w:right="0"/>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350" w:lineRule="auto" w:before="31"/>
        <w:ind w:left="558" w:right="0"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350" w:lineRule="auto" w:before="27"/>
        <w:ind w:right="217"/>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50" w:lineRule="auto" w:before="29"/>
        <w:ind w:left="558" w:right="0"/>
        <w:jc w:val="left"/>
      </w:pPr>
      <w:r>
        <w:rPr/>
        <w:t>①持有至到期投资、贷款和应收款项减值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50" w:lineRule="auto" w:before="27"/>
        <w:ind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50" w:lineRule="auto" w:before="27"/>
        <w:ind w:left="558" w:right="0"/>
        <w:jc w:val="left"/>
      </w:pPr>
      <w:r>
        <w:rPr/>
        <w:t>②可供出售金融资产减值</w:t>
      </w:r>
      <w:r>
        <w:rPr>
          <w:w w:val="100"/>
        </w:rPr>
        <w:t> </w:t>
      </w:r>
      <w:r>
        <w:rPr>
          <w:spacing w:val="-2"/>
        </w:rPr>
        <w:t>当综合相关因素判断可供出售权益工具投资公允价值下跌是严重或非暂时性下跌时，表明该</w:t>
      </w:r>
    </w:p>
    <w:p>
      <w:pPr>
        <w:pStyle w:val="BodyText"/>
        <w:spacing w:line="348" w:lineRule="auto" w:before="29"/>
        <w:ind w:right="270"/>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7"/>
        </w:rPr>
        <w:t> </w:t>
      </w:r>
      <w:r>
        <w:rPr>
          <w:spacing w:val="-77"/>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pStyle w:val="BodyText"/>
        <w:spacing w:line="348" w:lineRule="auto" w:before="31"/>
        <w:ind w:right="0"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48" w:lineRule="auto" w:before="31"/>
        <w:ind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spacing w:after="0" w:line="348" w:lineRule="auto"/>
        <w:jc w:val="both"/>
        <w:sectPr>
          <w:footerReference w:type="default" r:id="rId49"/>
          <w:pgSz w:w="11910" w:h="16840"/>
          <w:pgMar w:footer="1195" w:header="882" w:top="1120" w:bottom="1380" w:left="1660" w:right="1060"/>
          <w:pgNumType w:start="7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348" w:lineRule="auto" w:before="29"/>
        <w:ind w:left="558" w:right="0"/>
        <w:jc w:val="left"/>
      </w:pPr>
      <w:r>
        <w:rPr/>
        <w:t>（</w:t>
      </w:r>
      <w:r>
        <w:rPr>
          <w:rFonts w:ascii="宋体" w:hAnsi="宋体" w:cs="宋体" w:eastAsia="宋体" w:hint="default"/>
        </w:rPr>
        <w:t>4</w:t>
      </w:r>
      <w:r>
        <w:rPr/>
        <w:t>）金融资产转移的确认依据和计量方法</w:t>
      </w:r>
      <w:r>
        <w:rPr>
          <w:w w:val="100"/>
        </w:rPr>
        <w:t> </w:t>
      </w:r>
      <w:r>
        <w:rPr>
          <w:spacing w:val="-7"/>
          <w:w w:val="100"/>
        </w:rPr>
        <w:t>满足下列条件之一的金融资产，予以终止确认：①收取该金融资产现金流量的合同权利终止；</w:t>
      </w:r>
    </w:p>
    <w:p>
      <w:pPr>
        <w:pStyle w:val="BodyText"/>
        <w:spacing w:line="348" w:lineRule="auto" w:before="31"/>
        <w:ind w:right="137"/>
        <w:jc w:val="both"/>
      </w:pPr>
      <w:r>
        <w:rPr>
          <w:spacing w:val="-2"/>
        </w:rPr>
        <w:t>②该金融资产已转移，且将金融资产所有权上几乎所有的风险和报酬转移给转入方；③该金融资</w:t>
      </w:r>
      <w:r>
        <w:rPr>
          <w:spacing w:val="-26"/>
        </w:rPr>
        <w:t> </w:t>
      </w:r>
      <w:r>
        <w:rPr>
          <w:spacing w:val="-26"/>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350" w:lineRule="auto" w:before="31"/>
        <w:ind w:right="12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50" w:lineRule="auto" w:before="29"/>
        <w:ind w:right="13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0" w:lineRule="auto" w:before="27"/>
        <w:ind w:right="128" w:firstLine="419"/>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29"/>
        <w:ind w:right="0"/>
        <w:jc w:val="both"/>
      </w:pPr>
      <w:r>
        <w:rPr/>
        <w:t>继续判断企业是否对该资产保留了控制，并根据前面各段所述的原则进行会计处理。</w:t>
      </w:r>
    </w:p>
    <w:p>
      <w:pPr>
        <w:pStyle w:val="BodyText"/>
        <w:spacing w:line="348" w:lineRule="auto" w:before="126"/>
        <w:ind w:left="558" w:right="0"/>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50" w:lineRule="auto" w:before="31"/>
        <w:ind w:right="130"/>
        <w:jc w:val="both"/>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50" w:lineRule="auto" w:before="27"/>
        <w:ind w:left="558" w:right="0"/>
        <w:jc w:val="left"/>
      </w:pPr>
      <w:r>
        <w:rPr/>
        <w:t>①以公允价值计量且其变动计入当期损益的金融负债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48" w:lineRule="auto" w:before="29"/>
        <w:ind w:right="137"/>
        <w:jc w:val="both"/>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350" w:lineRule="auto" w:before="31"/>
        <w:ind w:right="137" w:firstLine="419"/>
        <w:jc w:val="both"/>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50" w:lineRule="auto" w:before="27"/>
        <w:ind w:left="558" w:right="0"/>
        <w:jc w:val="left"/>
      </w:pPr>
      <w:r>
        <w:rPr/>
        <w:t>②其他金融负债</w:t>
      </w:r>
      <w:r>
        <w:rPr>
          <w:spacing w:val="-103"/>
        </w:rPr>
        <w:t> </w:t>
      </w:r>
      <w:r>
        <w:rPr>
          <w:spacing w:val="-103"/>
        </w:rPr>
      </w:r>
      <w:r>
        <w:rPr>
          <w:spacing w:val="-2"/>
        </w:rPr>
        <w:t>与在活跃市场中没有报价、公允价值不能可靠计量的权益工具挂钩并须通过交付该权益工具</w:t>
      </w:r>
    </w:p>
    <w:p>
      <w:pPr>
        <w:pStyle w:val="BodyText"/>
        <w:spacing w:line="348" w:lineRule="auto" w:before="29"/>
        <w:ind w:right="137"/>
        <w:jc w:val="both"/>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spacing w:after="0" w:line="348"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558" w:right="0"/>
        <w:jc w:val="left"/>
      </w:pPr>
      <w:r>
        <w:rPr/>
        <w:t>③财务担保合同及贷款承诺</w:t>
      </w:r>
      <w:r>
        <w:rPr>
          <w:w w:val="100"/>
        </w:rPr>
        <w:t> </w:t>
      </w:r>
      <w:r>
        <w:rPr>
          <w:spacing w:val="-2"/>
        </w:rPr>
        <w:t>不属于指定为以公允价值计量且其变动计入当期损益的金融负债的财务担保合同，或没有指</w:t>
      </w:r>
    </w:p>
    <w:p>
      <w:pPr>
        <w:pStyle w:val="BodyText"/>
        <w:spacing w:line="348" w:lineRule="auto" w:before="29"/>
        <w:ind w:right="127"/>
        <w:jc w:val="both"/>
      </w:pPr>
      <w:r>
        <w:rPr>
          <w:spacing w:val="-2"/>
        </w:rPr>
        <w:t>定为以公允价值计量且其变动计入损益并将以低于市场利率贷款的贷款承诺，以公允价值进行初</w:t>
      </w:r>
      <w:r>
        <w:rPr>
          <w:spacing w:val="-25"/>
        </w:rPr>
        <w:t> </w:t>
      </w:r>
      <w:r>
        <w:rPr>
          <w:spacing w:val="-25"/>
        </w:rPr>
      </w:r>
      <w:r>
        <w:rPr>
          <w:spacing w:val="-5"/>
        </w:rPr>
        <w:t>始确认，在初始确认后按照《企业会计准则第 </w:t>
      </w:r>
      <w:r>
        <w:rPr>
          <w:rFonts w:ascii="宋体" w:hAnsi="宋体" w:cs="宋体" w:eastAsia="宋体" w:hint="default"/>
        </w:rPr>
        <w:t>13</w:t>
      </w:r>
      <w:r>
        <w:rPr>
          <w:rFonts w:ascii="宋体" w:hAnsi="宋体" w:cs="宋体" w:eastAsia="宋体" w:hint="default"/>
          <w:spacing w:val="-39"/>
        </w:rPr>
        <w:t> </w:t>
      </w:r>
      <w:r>
        <w:rPr>
          <w:spacing w:val="-3"/>
        </w:rPr>
        <w:t>号—或有事项》确定的金额和初始确认金额扣除</w:t>
      </w:r>
    </w:p>
    <w:p>
      <w:pPr>
        <w:pStyle w:val="BodyText"/>
        <w:spacing w:line="350" w:lineRule="auto" w:before="31"/>
        <w:ind w:right="127"/>
        <w:jc w:val="both"/>
      </w:pPr>
      <w:r>
        <w:rPr>
          <w:spacing w:val="-6"/>
        </w:rPr>
        <w:t>按照《企业会计准则第</w:t>
      </w:r>
      <w:r>
        <w:rPr>
          <w:spacing w:val="-28"/>
        </w:rPr>
        <w:t> </w:t>
      </w:r>
      <w:r>
        <w:rPr>
          <w:rFonts w:ascii="宋体" w:hAnsi="宋体" w:cs="宋体" w:eastAsia="宋体" w:hint="default"/>
        </w:rPr>
        <w:t>14</w:t>
      </w:r>
      <w:r>
        <w:rPr>
          <w:rFonts w:ascii="宋体" w:hAnsi="宋体" w:cs="宋体" w:eastAsia="宋体" w:hint="default"/>
          <w:spacing w:val="-33"/>
        </w:rPr>
        <w:t> </w:t>
      </w:r>
      <w:r>
        <w:rPr>
          <w:spacing w:val="-3"/>
        </w:rPr>
        <w:t>号—收入》的原则确定的累计摊销额后的余额之中的较高者进行后续计</w:t>
      </w:r>
      <w:r>
        <w:rPr>
          <w:spacing w:val="-97"/>
        </w:rPr>
        <w:t> </w:t>
      </w:r>
      <w:r>
        <w:rPr>
          <w:spacing w:val="-97"/>
        </w:rPr>
      </w:r>
      <w:r>
        <w:rPr/>
        <w:t>量。</w:t>
      </w:r>
    </w:p>
    <w:p>
      <w:pPr>
        <w:pStyle w:val="BodyText"/>
        <w:spacing w:line="350" w:lineRule="auto" w:before="27"/>
        <w:ind w:left="558" w:right="0"/>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48" w:lineRule="auto" w:before="30"/>
        <w:ind w:right="137"/>
        <w:jc w:val="both"/>
      </w:pPr>
      <w:r>
        <w:rPr>
          <w:spacing w:val="-2"/>
        </w:rPr>
        <w:t>（债务人）与债权人之间签订协议，以承担新金融负债方式替换现存金融负债，且新金融负债与</w:t>
      </w:r>
      <w:r>
        <w:rPr>
          <w:spacing w:val="-26"/>
        </w:rPr>
        <w:t> </w:t>
      </w:r>
      <w:r>
        <w:rPr>
          <w:spacing w:val="-26"/>
        </w:rPr>
      </w:r>
      <w:r>
        <w:rPr/>
        <w:t>现存金融负债的合同条款实质上不同的，终止确认现存金融负债，并同时确认新金融负债。</w:t>
      </w:r>
    </w:p>
    <w:p>
      <w:pPr>
        <w:pStyle w:val="BodyText"/>
        <w:spacing w:line="350" w:lineRule="auto" w:before="31"/>
        <w:ind w:right="0"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50" w:lineRule="auto" w:before="27"/>
        <w:ind w:left="558" w:right="0"/>
        <w:jc w:val="left"/>
      </w:pPr>
      <w:r>
        <w:rPr/>
        <w:t>（</w:t>
      </w:r>
      <w:r>
        <w:rPr>
          <w:rFonts w:ascii="宋体" w:hAnsi="宋体" w:cs="宋体" w:eastAsia="宋体" w:hint="default"/>
        </w:rPr>
        <w:t>7</w:t>
      </w:r>
      <w:r>
        <w:rPr/>
        <w:t>）衍生工具及嵌入衍生工具</w:t>
      </w:r>
      <w:r>
        <w:rPr>
          <w:w w:val="100"/>
        </w:rPr>
        <w:t> </w:t>
      </w:r>
      <w:r>
        <w:rPr>
          <w:spacing w:val="-2"/>
        </w:rPr>
        <w:t>衍生工具于相关合同签署日以公允价值进行初始计量，并以公允价值进行后续计量。衍生工</w:t>
      </w:r>
    </w:p>
    <w:p>
      <w:pPr>
        <w:pStyle w:val="BodyText"/>
        <w:spacing w:line="348" w:lineRule="auto" w:before="29"/>
        <w:ind w:left="558" w:right="0" w:hanging="420"/>
        <w:jc w:val="left"/>
      </w:pPr>
      <w:r>
        <w:rPr/>
        <w:t>具的公允价值变动计入当期损益。</w:t>
      </w:r>
      <w:r>
        <w:rPr>
          <w:w w:val="100"/>
        </w:rPr>
        <w:t> </w:t>
      </w:r>
      <w:r>
        <w:rPr>
          <w:spacing w:val="-2"/>
        </w:rPr>
        <w:t>对包含嵌入衍生工具的混合工具，如未指定为以公允价值计量且其变动计入当期损益的金融</w:t>
      </w:r>
    </w:p>
    <w:p>
      <w:pPr>
        <w:pStyle w:val="BodyText"/>
        <w:spacing w:line="350" w:lineRule="auto" w:before="32"/>
        <w:ind w:right="137"/>
        <w:jc w:val="both"/>
      </w:pP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48" w:lineRule="auto" w:before="29"/>
        <w:ind w:left="558" w:right="0"/>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50" w:lineRule="auto" w:before="31"/>
        <w:ind w:right="1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350" w:lineRule="auto" w:before="29"/>
        <w:ind w:left="558" w:right="0"/>
        <w:jc w:val="left"/>
      </w:pPr>
      <w:r>
        <w:rPr/>
        <w:t>（</w:t>
      </w:r>
      <w:r>
        <w:rPr>
          <w:rFonts w:ascii="宋体" w:hAnsi="宋体" w:cs="宋体" w:eastAsia="宋体" w:hint="default"/>
        </w:rPr>
        <w:t>9</w:t>
      </w:r>
      <w:r>
        <w:rPr/>
        <w:t>）权益工具</w:t>
      </w:r>
      <w:r>
        <w:rPr>
          <w:w w:val="100"/>
        </w:rPr>
        <w:t> </w:t>
      </w:r>
      <w:r>
        <w:rPr>
          <w:spacing w:val="-2"/>
        </w:rPr>
        <w:t>权益工具是指能证明拥有本公司在扣除所有负债后的资产中的剩余权益的合同。本公司发行</w:t>
      </w:r>
    </w:p>
    <w:p>
      <w:pPr>
        <w:pStyle w:val="BodyText"/>
        <w:spacing w:line="350" w:lineRule="auto" w:before="27"/>
        <w:ind w:right="137"/>
        <w:jc w:val="both"/>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348" w:lineRule="auto" w:before="29"/>
        <w:ind w:right="0" w:firstLine="419"/>
        <w:jc w:val="left"/>
      </w:pPr>
      <w:r>
        <w:rPr>
          <w:spacing w:val="-2"/>
        </w:rPr>
        <w:t>本公司对权益工具持有方的各种分配（不包括股票股利），减少股东权益。本公司不确认权</w:t>
      </w:r>
      <w:r>
        <w:rPr>
          <w:w w:val="100"/>
        </w:rPr>
        <w:t> </w:t>
      </w:r>
      <w:r>
        <w:rPr/>
        <w:t>益工具的公允价值变动额。</w:t>
      </w:r>
    </w:p>
    <w:p>
      <w:pPr>
        <w:spacing w:after="0" w:line="348"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Heading2"/>
        <w:spacing w:line="324" w:lineRule="auto" w:before="36"/>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112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6"/>
              <w:ind w:left="103" w:right="254" w:firstLine="42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万元以上的应</w:t>
            </w:r>
            <w:r>
              <w:rPr>
                <w:rFonts w:ascii="宋体" w:hAnsi="宋体" w:cs="宋体" w:eastAsia="宋体" w:hint="default"/>
                <w:w w:val="100"/>
                <w:sz w:val="21"/>
                <w:szCs w:val="21"/>
              </w:rPr>
              <w:t> </w:t>
            </w:r>
            <w:r>
              <w:rPr>
                <w:rFonts w:ascii="宋体" w:hAnsi="宋体" w:cs="宋体" w:eastAsia="宋体" w:hint="default"/>
                <w:sz w:val="21"/>
                <w:szCs w:val="21"/>
              </w:rPr>
              <w:t>收款项确认为单项金额重大的应收款项。</w:t>
            </w:r>
          </w:p>
        </w:tc>
      </w:tr>
      <w:tr>
        <w:trPr>
          <w:trHeight w:val="27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03" w:right="-5" w:firstLine="420"/>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w:t>
            </w:r>
            <w:r>
              <w:rPr>
                <w:rFonts w:ascii="宋体" w:hAnsi="宋体" w:cs="宋体" w:eastAsia="宋体" w:hint="default"/>
                <w:w w:val="100"/>
                <w:sz w:val="21"/>
                <w:szCs w:val="21"/>
              </w:rPr>
              <w:t> </w:t>
            </w:r>
            <w:r>
              <w:rPr>
                <w:rFonts w:ascii="宋体" w:hAnsi="宋体" w:cs="宋体" w:eastAsia="宋体" w:hint="default"/>
                <w:spacing w:val="-4"/>
                <w:sz w:val="21"/>
                <w:szCs w:val="21"/>
              </w:rPr>
              <w:t>行减值测试，单独测试未发生减值的金融资产，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包括在具有类似信用风险特征的金融资产组合</w:t>
            </w:r>
            <w:r>
              <w:rPr>
                <w:rFonts w:ascii="宋体" w:hAnsi="宋体" w:cs="宋体" w:eastAsia="宋体" w:hint="default"/>
                <w:w w:val="100"/>
                <w:sz w:val="21"/>
                <w:szCs w:val="21"/>
              </w:rPr>
              <w:t> </w:t>
            </w:r>
            <w:r>
              <w:rPr>
                <w:rFonts w:ascii="宋体" w:hAnsi="宋体" w:cs="宋体" w:eastAsia="宋体" w:hint="default"/>
                <w:sz w:val="21"/>
                <w:szCs w:val="21"/>
              </w:rPr>
              <w:t>中进行减值测试。单项测试已确认减值损失的</w:t>
            </w:r>
            <w:r>
              <w:rPr>
                <w:rFonts w:ascii="宋体" w:hAnsi="宋体" w:cs="宋体" w:eastAsia="宋体" w:hint="default"/>
                <w:w w:val="100"/>
                <w:sz w:val="21"/>
                <w:szCs w:val="21"/>
              </w:rPr>
              <w:t> </w:t>
            </w:r>
            <w:r>
              <w:rPr>
                <w:rFonts w:ascii="宋体" w:hAnsi="宋体" w:cs="宋体" w:eastAsia="宋体" w:hint="default"/>
                <w:sz w:val="21"/>
                <w:szCs w:val="21"/>
              </w:rPr>
              <w:t>应收款项，不再包括在具有类似信用风险特征</w:t>
            </w:r>
            <w:r>
              <w:rPr>
                <w:rFonts w:ascii="宋体" w:hAnsi="宋体" w:cs="宋体" w:eastAsia="宋体" w:hint="default"/>
                <w:w w:val="100"/>
                <w:sz w:val="21"/>
                <w:szCs w:val="21"/>
              </w:rPr>
              <w:t> </w:t>
            </w:r>
            <w:r>
              <w:rPr>
                <w:rFonts w:ascii="宋体" w:hAnsi="宋体" w:cs="宋体" w:eastAsia="宋体" w:hint="default"/>
                <w:sz w:val="21"/>
                <w:szCs w:val="21"/>
              </w:rPr>
              <w:t>的应收款项组合中进行减值测试。</w:t>
            </w:r>
          </w:p>
        </w:tc>
      </w:tr>
    </w:tbl>
    <w:p>
      <w:pPr>
        <w:spacing w:line="240" w:lineRule="auto" w:before="9"/>
        <w:rPr>
          <w:rFonts w:ascii="宋体" w:hAnsi="宋体" w:cs="宋体" w:eastAsia="宋体" w:hint="default"/>
          <w:b/>
          <w:bCs/>
          <w:sz w:val="24"/>
          <w:szCs w:val="24"/>
        </w:rPr>
      </w:pPr>
    </w:p>
    <w:p>
      <w:pPr>
        <w:pStyle w:val="Heading2"/>
        <w:spacing w:line="240" w:lineRule="auto" w:before="36"/>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2"/>
        <w:rPr>
          <w:rFonts w:ascii="宋体" w:hAnsi="宋体" w:cs="宋体" w:eastAsia="宋体" w:hint="default"/>
          <w:b/>
          <w:bCs/>
          <w:sz w:val="20"/>
          <w:szCs w:val="20"/>
        </w:rPr>
      </w:pPr>
    </w:p>
    <w:p>
      <w:pPr>
        <w:pStyle w:val="BodyText"/>
        <w:spacing w:line="240" w:lineRule="auto" w:before="36"/>
        <w:ind w:left="218" w:right="2940"/>
        <w:jc w:val="left"/>
      </w:pPr>
      <w:r>
        <w:rPr/>
        <w:t>组合中，采用账龄分析法计提坏账准备的</w:t>
      </w:r>
    </w:p>
    <w:p>
      <w:pPr>
        <w:pStyle w:val="BodyText"/>
        <w:spacing w:line="240" w:lineRule="auto" w:before="37"/>
        <w:ind w:left="218" w:right="294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1</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BodyText"/>
        <w:spacing w:line="240" w:lineRule="auto" w:before="36"/>
        <w:ind w:left="218" w:right="2940"/>
        <w:jc w:val="left"/>
      </w:pPr>
      <w:r>
        <w:rPr/>
        <w:t>组合中，采用余额百分比法计提坏账准备的</w:t>
      </w:r>
    </w:p>
    <w:p>
      <w:pPr>
        <w:pStyle w:val="BodyText"/>
        <w:spacing w:line="273" w:lineRule="auto" w:before="37"/>
        <w:ind w:left="218" w:right="4829"/>
        <w:jc w:val="left"/>
      </w:pPr>
      <w:r>
        <w:rPr/>
        <w:t>□适用</w:t>
      </w:r>
      <w:r>
        <w:rPr>
          <w:spacing w:val="-2"/>
        </w:rPr>
        <w:t> </w:t>
      </w:r>
      <w:r>
        <w:rPr/>
        <w:t>√不适用</w:t>
      </w:r>
      <w:r>
        <w:rPr>
          <w:w w:val="100"/>
        </w:rPr>
        <w:t> </w:t>
      </w:r>
      <w:r>
        <w:rPr>
          <w:spacing w:val="-2"/>
        </w:rPr>
        <w:t>组合中，采用其他方法计提坏账准备的</w:t>
      </w:r>
    </w:p>
    <w:p>
      <w:pPr>
        <w:spacing w:line="324" w:lineRule="auto" w:before="7"/>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32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4"/>
              <w:ind w:left="100" w:right="182" w:firstLine="420"/>
              <w:jc w:val="both"/>
              <w:rPr>
                <w:rFonts w:ascii="宋体" w:hAnsi="宋体" w:cs="宋体" w:eastAsia="宋体" w:hint="default"/>
                <w:sz w:val="21"/>
                <w:szCs w:val="21"/>
              </w:rPr>
            </w:pPr>
            <w:r>
              <w:rPr>
                <w:rFonts w:ascii="宋体" w:hAnsi="宋体" w:cs="宋体" w:eastAsia="宋体" w:hint="default"/>
                <w:spacing w:val="-2"/>
                <w:sz w:val="21"/>
                <w:szCs w:val="21"/>
              </w:rPr>
              <w:t>本公司对于单项金额虽不重大但具备以下特</w:t>
            </w:r>
            <w:r>
              <w:rPr>
                <w:rFonts w:ascii="宋体" w:hAnsi="宋体" w:cs="宋体" w:eastAsia="宋体" w:hint="default"/>
                <w:w w:val="100"/>
                <w:sz w:val="21"/>
                <w:szCs w:val="21"/>
              </w:rPr>
              <w:t> </w:t>
            </w:r>
            <w:r>
              <w:rPr>
                <w:rFonts w:ascii="宋体" w:hAnsi="宋体" w:cs="宋体" w:eastAsia="宋体" w:hint="default"/>
                <w:spacing w:val="-2"/>
                <w:sz w:val="21"/>
                <w:szCs w:val="21"/>
              </w:rPr>
              <w:t>征的应收款项，单独进行减值测试，有客观证据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表明其发生了减值的，根据其未来现金流量现值</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低于其账面价值的差额，确认减值损失，计提坏</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p>
      <w:pPr>
        <w:spacing w:line="2431" w:lineRule="exact"/>
        <w:ind w:left="105" w:right="0" w:firstLine="0"/>
        <w:rPr>
          <w:rFonts w:ascii="宋体" w:hAnsi="宋体" w:cs="宋体" w:eastAsia="宋体" w:hint="default"/>
          <w:sz w:val="20"/>
          <w:szCs w:val="20"/>
        </w:rPr>
      </w:pPr>
      <w:r>
        <w:rPr>
          <w:rFonts w:ascii="宋体" w:hAnsi="宋体" w:cs="宋体" w:eastAsia="宋体" w:hint="default"/>
          <w:position w:val="-48"/>
          <w:sz w:val="20"/>
          <w:szCs w:val="20"/>
        </w:rPr>
        <w:pict>
          <v:group style="width:453pt;height:121.6pt;mso-position-horizontal-relative:char;mso-position-vertical-relative:line" coordorigin="0,0" coordsize="9060,2432">
            <v:group style="position:absolute;left:10;top:10;width:4330;height:2" coordorigin="10,10" coordsize="4330,2">
              <v:shape style="position:absolute;left:10;top:10;width:4330;height:2" coordorigin="10,10" coordsize="4330,0" path="m10,10l4340,10e" filled="false" stroked="true" strokeweight=".48pt" strokecolor="#000000">
                <v:path arrowok="t"/>
              </v:shape>
            </v:group>
            <v:group style="position:absolute;left:4349;top:10;width:4701;height:2" coordorigin="4349,10" coordsize="4701,2">
              <v:shape style="position:absolute;left:4349;top:10;width:4701;height:2" coordorigin="4349,10" coordsize="4701,0" path="m4349,10l9050,10e" filled="false" stroked="true" strokeweight=".48pt" strokecolor="#000000">
                <v:path arrowok="t"/>
              </v:shape>
            </v:group>
            <v:group style="position:absolute;left:5;top:5;width:2;height:2422" coordorigin="5,5" coordsize="2,2422">
              <v:shape style="position:absolute;left:5;top:5;width:2;height:2422" coordorigin="5,5" coordsize="0,2422" path="m5,5l5,2427e" filled="false" stroked="true" strokeweight=".48pt" strokecolor="#000000">
                <v:path arrowok="t"/>
              </v:shape>
            </v:group>
            <v:group style="position:absolute;left:10;top:2422;width:4330;height:2" coordorigin="10,2422" coordsize="4330,2">
              <v:shape style="position:absolute;left:10;top:2422;width:4330;height:2" coordorigin="10,2422" coordsize="4330,0" path="m10,2422l4340,2422e" filled="false" stroked="true" strokeweight=".48pt" strokecolor="#000000">
                <v:path arrowok="t"/>
              </v:shape>
            </v:group>
            <v:group style="position:absolute;left:4345;top:5;width:2;height:2422" coordorigin="4345,5" coordsize="2,2422">
              <v:shape style="position:absolute;left:4345;top:5;width:2;height:2422" coordorigin="4345,5" coordsize="0,2422" path="m4345,5l4345,2427e" filled="false" stroked="true" strokeweight=".47998pt" strokecolor="#000000">
                <v:path arrowok="t"/>
              </v:shape>
            </v:group>
            <v:group style="position:absolute;left:4349;top:2422;width:4701;height:2" coordorigin="4349,2422" coordsize="4701,2">
              <v:shape style="position:absolute;left:4349;top:2422;width:4701;height:2" coordorigin="4349,2422" coordsize="4701,0" path="m4349,2422l9050,2422e" filled="false" stroked="true" strokeweight=".48pt" strokecolor="#000000">
                <v:path arrowok="t"/>
              </v:shape>
            </v:group>
            <v:group style="position:absolute;left:9054;top:5;width:2;height:2422" coordorigin="9054,5" coordsize="2,2422">
              <v:shape style="position:absolute;left:9054;top:5;width:2;height:2422" coordorigin="9054,5" coordsize="0,2422" path="m9054,5l9054,2427e" filled="false" stroked="true" strokeweight=".47998pt" strokecolor="#000000">
                <v:path arrowok="t"/>
              </v:shape>
              <v:shape style="position:absolute;left:4345;top:10;width:4710;height:2413" type="#_x0000_t202" filled="false" stroked="false">
                <v:textbox inset="0,0,0,0">
                  <w:txbxContent>
                    <w:p>
                      <w:pPr>
                        <w:spacing w:line="348" w:lineRule="auto" w:before="81"/>
                        <w:ind w:left="105" w:right="187" w:firstLine="0"/>
                        <w:jc w:val="both"/>
                        <w:rPr>
                          <w:rFonts w:ascii="宋体" w:hAnsi="宋体" w:cs="宋体" w:eastAsia="宋体" w:hint="default"/>
                          <w:sz w:val="21"/>
                          <w:szCs w:val="21"/>
                        </w:rPr>
                      </w:pPr>
                      <w:r>
                        <w:rPr>
                          <w:rFonts w:ascii="宋体" w:hAnsi="宋体" w:cs="宋体" w:eastAsia="宋体" w:hint="default"/>
                          <w:spacing w:val="-2"/>
                          <w:sz w:val="21"/>
                          <w:szCs w:val="21"/>
                        </w:rPr>
                        <w:t>账准备：与对方存在争议或涉及诉讼、仲裁的应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收款项；已有明显迹象表明债务人很可能无法履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行还款义务的应收款项；等等。</w:t>
                      </w:r>
                    </w:p>
                    <w:p>
                      <w:pPr>
                        <w:spacing w:line="348" w:lineRule="auto" w:before="31"/>
                        <w:ind w:left="105" w:right="187" w:firstLine="420"/>
                        <w:jc w:val="left"/>
                        <w:rPr>
                          <w:rFonts w:ascii="宋体" w:hAnsi="宋体" w:cs="宋体" w:eastAsia="宋体" w:hint="default"/>
                          <w:sz w:val="21"/>
                          <w:szCs w:val="21"/>
                        </w:rPr>
                      </w:pPr>
                      <w:r>
                        <w:rPr>
                          <w:rFonts w:ascii="宋体" w:hAnsi="宋体" w:cs="宋体" w:eastAsia="宋体" w:hint="default"/>
                          <w:spacing w:val="-2"/>
                          <w:sz w:val="21"/>
                          <w:szCs w:val="21"/>
                        </w:rPr>
                        <w:t>本公司对关联方及保证金类的应收款项单独</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进行减值测试，单独测试未发生减值的金融资产</w:t>
                      </w:r>
                    </w:p>
                    <w:p>
                      <w:pPr>
                        <w:spacing w:before="31"/>
                        <w:ind w:left="105" w:right="0" w:firstLine="0"/>
                        <w:jc w:val="both"/>
                        <w:rPr>
                          <w:rFonts w:ascii="宋体" w:hAnsi="宋体" w:cs="宋体" w:eastAsia="宋体" w:hint="default"/>
                          <w:sz w:val="21"/>
                          <w:szCs w:val="21"/>
                        </w:rPr>
                      </w:pPr>
                      <w:r>
                        <w:rPr>
                          <w:rFonts w:ascii="宋体" w:hAnsi="宋体" w:cs="宋体" w:eastAsia="宋体" w:hint="default"/>
                          <w:sz w:val="21"/>
                          <w:szCs w:val="21"/>
                        </w:rPr>
                        <w:t>未计提减值准备。</w:t>
                      </w:r>
                    </w:p>
                  </w:txbxContent>
                </v:textbox>
                <w10:wrap type="none"/>
              </v:shape>
            </v:group>
          </v:group>
        </w:pict>
      </w:r>
      <w:r>
        <w:rPr>
          <w:rFonts w:ascii="宋体" w:hAnsi="宋体" w:cs="宋体" w:eastAsia="宋体" w:hint="default"/>
          <w:position w:val="-48"/>
          <w:sz w:val="20"/>
          <w:szCs w:val="20"/>
        </w:rPr>
      </w:r>
    </w:p>
    <w:p>
      <w:pPr>
        <w:spacing w:line="240" w:lineRule="auto" w:before="5"/>
        <w:rPr>
          <w:rFonts w:ascii="宋体" w:hAnsi="宋体" w:cs="宋体" w:eastAsia="宋体" w:hint="default"/>
          <w:b/>
          <w:bCs/>
          <w:sz w:val="24"/>
          <w:szCs w:val="24"/>
        </w:rPr>
      </w:pPr>
    </w:p>
    <w:p>
      <w:pPr>
        <w:pStyle w:val="Heading2"/>
        <w:spacing w:line="240" w:lineRule="auto" w:before="36"/>
        <w:ind w:right="3537"/>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spacing w:line="240" w:lineRule="auto" w:before="1"/>
        <w:rPr>
          <w:rFonts w:ascii="宋体" w:hAnsi="宋体" w:cs="宋体" w:eastAsia="宋体" w:hint="default"/>
          <w:b/>
          <w:bCs/>
          <w:sz w:val="14"/>
          <w:szCs w:val="14"/>
        </w:rPr>
      </w:pPr>
    </w:p>
    <w:p>
      <w:pPr>
        <w:pStyle w:val="BodyText"/>
        <w:spacing w:line="348" w:lineRule="auto"/>
        <w:ind w:left="1058" w:right="3537" w:hanging="420"/>
        <w:jc w:val="left"/>
      </w:pPr>
      <w:r>
        <w:rPr/>
        <w:t>（</w:t>
      </w:r>
      <w:r>
        <w:rPr>
          <w:rFonts w:ascii="宋体" w:hAnsi="宋体" w:cs="宋体" w:eastAsia="宋体" w:hint="default"/>
        </w:rPr>
        <w:t>1</w:t>
      </w:r>
      <w:r>
        <w:rPr/>
        <w:t>）存货的分类</w:t>
      </w:r>
      <w:r>
        <w:rPr>
          <w:w w:val="100"/>
        </w:rPr>
        <w:t> </w:t>
      </w:r>
      <w:r>
        <w:rPr>
          <w:spacing w:val="-2"/>
        </w:rPr>
        <w:t>存货主要包括库存商品和低值易耗品。</w:t>
      </w:r>
    </w:p>
    <w:p>
      <w:pPr>
        <w:pStyle w:val="BodyText"/>
        <w:spacing w:line="456" w:lineRule="auto" w:before="151"/>
        <w:ind w:left="1058" w:right="0" w:hanging="420"/>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存货在取得时按实际成本计价，存货成本包括采购成本、加工成本和其他成本。</w:t>
      </w:r>
    </w:p>
    <w:p>
      <w:pPr>
        <w:pStyle w:val="BodyText"/>
        <w:spacing w:line="350" w:lineRule="auto" w:before="54"/>
        <w:ind w:left="638" w:right="0"/>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348" w:lineRule="auto" w:before="29"/>
        <w:ind w:left="218" w:right="0"/>
        <w:jc w:val="left"/>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350" w:lineRule="auto" w:before="31"/>
        <w:ind w:left="218" w:right="217" w:firstLine="419"/>
        <w:jc w:val="both"/>
      </w:pPr>
      <w:r>
        <w:rPr>
          <w:spacing w:val="-2"/>
        </w:rPr>
        <w:t>在资产负债表日，存货按照成本与可变现净值孰低计量。当其可变现净值低于成本时，提取</w:t>
      </w:r>
      <w:r>
        <w:rPr>
          <w:w w:val="100"/>
        </w:rPr>
        <w:t> </w:t>
      </w:r>
      <w:r>
        <w:rPr/>
        <w:t>存货跌价准备。存货跌价准备按单个存货项目的成本高于其可变现净值的差额提取。</w:t>
      </w:r>
    </w:p>
    <w:p>
      <w:pPr>
        <w:pStyle w:val="BodyText"/>
        <w:spacing w:line="350" w:lineRule="auto" w:before="27"/>
        <w:ind w:left="218" w:right="21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29"/>
        <w:ind w:left="638" w:right="3537"/>
        <w:jc w:val="left"/>
      </w:pPr>
      <w:r>
        <w:rPr/>
        <w:t>（</w:t>
      </w:r>
      <w:r>
        <w:rPr>
          <w:rFonts w:ascii="宋体" w:hAnsi="宋体" w:cs="宋体" w:eastAsia="宋体" w:hint="default"/>
        </w:rPr>
        <w:t>4</w:t>
      </w:r>
      <w:r>
        <w:rPr/>
        <w:t>）存货的盘存制度为永续盘存制。</w:t>
      </w:r>
    </w:p>
    <w:p>
      <w:pPr>
        <w:spacing w:line="240" w:lineRule="auto" w:before="8"/>
        <w:rPr>
          <w:rFonts w:ascii="宋体" w:hAnsi="宋体" w:cs="宋体" w:eastAsia="宋体" w:hint="default"/>
          <w:sz w:val="18"/>
          <w:szCs w:val="18"/>
        </w:rPr>
      </w:pPr>
    </w:p>
    <w:p>
      <w:pPr>
        <w:pStyle w:val="BodyText"/>
        <w:spacing w:line="240" w:lineRule="auto"/>
        <w:ind w:left="638" w:right="3537"/>
        <w:jc w:val="left"/>
      </w:pPr>
      <w:r>
        <w:rPr/>
        <w:t>（</w:t>
      </w:r>
      <w:r>
        <w:rPr>
          <w:rFonts w:ascii="宋体" w:hAnsi="宋体" w:cs="宋体" w:eastAsia="宋体" w:hint="default"/>
        </w:rPr>
        <w:t>5</w:t>
      </w:r>
      <w:r>
        <w:rPr/>
        <w:t>）低值易耗品于领用时按一次摊销法摊销。</w:t>
      </w:r>
    </w:p>
    <w:p>
      <w:pPr>
        <w:spacing w:line="240" w:lineRule="auto" w:before="0"/>
        <w:rPr>
          <w:rFonts w:ascii="宋体" w:hAnsi="宋体" w:cs="宋体" w:eastAsia="宋体" w:hint="default"/>
          <w:sz w:val="20"/>
          <w:szCs w:val="20"/>
        </w:rPr>
      </w:pPr>
    </w:p>
    <w:p>
      <w:pPr>
        <w:pStyle w:val="Heading2"/>
        <w:spacing w:line="326" w:lineRule="auto" w:before="150"/>
        <w:ind w:right="6703"/>
        <w:jc w:val="left"/>
        <w:rPr>
          <w:rFonts w:ascii="宋体" w:hAnsi="宋体" w:cs="宋体" w:eastAsia="宋体" w:hint="default"/>
          <w:b w:val="0"/>
          <w:bCs w:val="0"/>
        </w:rPr>
      </w:pPr>
      <w:r>
        <w:rPr>
          <w:rFonts w:ascii="宋体" w:hAnsi="宋体" w:cs="宋体" w:eastAsia="宋体" w:hint="default"/>
        </w:rPr>
        <w:t>13.</w:t>
      </w:r>
      <w:r>
        <w:rPr>
          <w:rFonts w:ascii="宋体" w:hAnsi="宋体" w:cs="宋体" w:eastAsia="宋体" w:hint="default"/>
          <w:spacing w:val="4"/>
        </w:rPr>
        <w:t> </w:t>
      </w:r>
      <w:r>
        <w:rPr/>
        <w:t>划分为持有待售资产</w:t>
      </w:r>
      <w:r>
        <w:rPr>
          <w:w w:val="100"/>
        </w:rPr>
        <w:t> </w:t>
      </w:r>
      <w:r>
        <w:rPr>
          <w:rFonts w:ascii="宋体" w:hAnsi="宋体" w:cs="宋体" w:eastAsia="宋体" w:hint="default"/>
          <w:b w:val="0"/>
          <w:bCs w:val="0"/>
        </w:rPr>
        <w:t>不适用</w:t>
      </w:r>
    </w:p>
    <w:p>
      <w:pPr>
        <w:spacing w:line="240" w:lineRule="auto" w:before="6"/>
        <w:rPr>
          <w:rFonts w:ascii="宋体" w:hAnsi="宋体" w:cs="宋体" w:eastAsia="宋体" w:hint="default"/>
          <w:sz w:val="25"/>
          <w:szCs w:val="25"/>
        </w:rPr>
      </w:pPr>
    </w:p>
    <w:p>
      <w:pPr>
        <w:spacing w:line="400"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pacing w:val="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本部分所指的长期股权投资是指本公司对被投资单位具有控制、共同控制或重大影响的长期</w:t>
      </w:r>
    </w:p>
    <w:p>
      <w:pPr>
        <w:pStyle w:val="BodyText"/>
        <w:spacing w:line="260" w:lineRule="exact"/>
        <w:ind w:left="218" w:right="0"/>
        <w:jc w:val="left"/>
      </w:pPr>
      <w:r>
        <w:rPr/>
        <w:t>股权投资。本公司对被投资单位不具有控制、共同控制或重大影响的长期股权投资，作为可供出</w:t>
      </w:r>
    </w:p>
    <w:p>
      <w:pPr>
        <w:pStyle w:val="BodyText"/>
        <w:spacing w:line="350" w:lineRule="auto" w:before="123"/>
        <w:ind w:left="218" w:right="0"/>
        <w:jc w:val="left"/>
      </w:pPr>
      <w:r>
        <w:rPr>
          <w:spacing w:val="-2"/>
        </w:rPr>
        <w:t>售金融资产或以公允价值计量且其变动计入当期损益的金融资产核算，其会计政策详见附注五、</w:t>
      </w:r>
      <w:r>
        <w:rPr>
          <w:spacing w:val="-26"/>
        </w:rPr>
        <w:t> </w:t>
      </w:r>
      <w:r>
        <w:rPr>
          <w:spacing w:val="-26"/>
        </w:rPr>
      </w:r>
      <w:r>
        <w:rPr>
          <w:rFonts w:ascii="宋体" w:hAnsi="宋体" w:cs="宋体" w:eastAsia="宋体" w:hint="default"/>
        </w:rPr>
        <w:t>10</w:t>
      </w:r>
      <w:r>
        <w:rPr/>
        <w:t>“金融工具”。</w:t>
      </w:r>
    </w:p>
    <w:p>
      <w:pPr>
        <w:pStyle w:val="BodyText"/>
        <w:spacing w:line="348" w:lineRule="auto" w:before="29"/>
        <w:ind w:left="218" w:right="21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spacing w:after="0" w:line="348" w:lineRule="auto"/>
        <w:jc w:val="both"/>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558" w:right="126"/>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对于同一控制下的企业合并取得的长期股权投资，在合并日按照被合并方所有者权益在最终</w:t>
      </w:r>
    </w:p>
    <w:p>
      <w:pPr>
        <w:pStyle w:val="BodyText"/>
        <w:spacing w:line="350" w:lineRule="auto" w:before="29"/>
        <w:ind w:right="126"/>
        <w:jc w:val="left"/>
      </w:pPr>
      <w:r>
        <w:rPr/>
        <w:t>控制方合并财务报表中的账面价值的份额作为长期股权投资的初始投资成本。长期股权投资初始</w:t>
      </w:r>
      <w:r>
        <w:rPr>
          <w:w w:val="100"/>
        </w:rPr>
        <w:t> </w:t>
      </w:r>
      <w:r>
        <w:rPr>
          <w:spacing w:val="-6"/>
          <w:w w:val="100"/>
        </w:rPr>
        <w:t>投资成本与支付的现金、转让的非现金资产以及所承担债务账面价值之间的差额，调整资本公积；</w:t>
      </w:r>
      <w:r>
        <w:rPr>
          <w:spacing w:val="-104"/>
          <w:w w:val="100"/>
        </w:rPr>
        <w:t> </w:t>
      </w:r>
      <w:r>
        <w:rPr>
          <w:spacing w:val="-104"/>
          <w:w w:val="100"/>
        </w:rPr>
      </w:r>
      <w:r>
        <w:rPr/>
        <w:t>资本公积不足冲减的，调整留存收益。以发行权益性证券作为合并对价的，在合并日按照被合并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w w:val="100"/>
        </w:rPr>
        <w:t> </w:t>
      </w:r>
      <w:r>
        <w:rPr/>
        <w:t>额，调整资本公积；资本公积不足冲减的，调整留存收益。通过多次交易分步取得同一控制下被</w:t>
      </w:r>
      <w:r>
        <w:rPr>
          <w:w w:val="100"/>
        </w:rPr>
        <w:t> </w:t>
      </w:r>
      <w:r>
        <w:rPr/>
        <w:t>合并方的股权，最终形成同一控制下企业合并的，应分别是否属于“一揽子交易”进行处理：属</w:t>
      </w:r>
      <w:r>
        <w:rPr>
          <w:w w:val="100"/>
        </w:rPr>
        <w:t> </w:t>
      </w:r>
      <w:r>
        <w:rPr/>
        <w:t>于“一揽子交易”的，将各项交易作为一项取得控制权的交易进行会计处理。不属于“一揽子交</w:t>
      </w:r>
      <w:r>
        <w:rPr>
          <w:w w:val="100"/>
        </w:rPr>
        <w:t> </w:t>
      </w:r>
      <w:r>
        <w:rPr/>
        <w:t>易”的，在合并日按照应享有被合并方所有者权益在最终控制方合并财务报表中的账面价值的份</w:t>
      </w:r>
      <w:r>
        <w:rPr>
          <w:w w:val="100"/>
        </w:rPr>
        <w:t> </w:t>
      </w:r>
      <w:r>
        <w:rPr/>
        <w:t>额作为长期股权投资的初始投资成本，长期股权投资初始投资成本与达到合并前的长期股权投资</w:t>
      </w:r>
      <w:r>
        <w:rPr>
          <w:w w:val="100"/>
        </w:rPr>
        <w:t> </w:t>
      </w:r>
      <w:r>
        <w:rPr/>
        <w:t>账面价值加上合并日进一步取得股份新支付对价的账面价值之和的差额，调整资本公积；资本公</w:t>
      </w:r>
      <w:r>
        <w:rPr>
          <w:w w:val="100"/>
        </w:rPr>
        <w:t> </w:t>
      </w:r>
      <w:r>
        <w:rPr/>
        <w:t>积不足冲减的，调整留存收益。合并日之前持有的股权投资因采用权益法核算或为可供出售金融</w:t>
      </w:r>
      <w:r>
        <w:rPr>
          <w:w w:val="100"/>
        </w:rPr>
        <w:t> </w:t>
      </w:r>
      <w:r>
        <w:rPr/>
        <w:t>资产而确认的其他综合收益，暂不进行会计处理。</w:t>
      </w:r>
    </w:p>
    <w:p>
      <w:pPr>
        <w:pStyle w:val="BodyText"/>
        <w:spacing w:line="350" w:lineRule="auto" w:before="27"/>
        <w:ind w:right="204" w:firstLine="419"/>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348" w:lineRule="auto" w:before="29"/>
        <w:ind w:right="126" w:firstLine="419"/>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50" w:lineRule="auto" w:before="31"/>
        <w:ind w:right="126" w:firstLine="419"/>
        <w:jc w:val="left"/>
      </w:pPr>
      <w:r>
        <w:rPr/>
        <w:t>除企业合并形成的长期股权投资外的其他股权投资，按成本进行初始计量，该成本视长期股</w:t>
      </w:r>
      <w:r>
        <w:rPr>
          <w:w w:val="100"/>
        </w:rPr>
        <w:t> </w:t>
      </w:r>
      <w:r>
        <w:rPr/>
        <w:t>权投资取得方式的不同，分别按照本公司实际支付的现金购买价款、本公司发行的权益性证券的</w:t>
      </w:r>
      <w:r>
        <w:rPr>
          <w:w w:val="100"/>
        </w:rPr>
        <w:t> </w:t>
      </w: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240" w:lineRule="auto" w:before="29"/>
        <w:ind w:left="558" w:right="2940"/>
        <w:jc w:val="left"/>
      </w:pPr>
      <w:r>
        <w:rPr/>
        <w:t>（</w:t>
      </w:r>
      <w:r>
        <w:rPr>
          <w:rFonts w:ascii="宋体" w:hAnsi="宋体" w:cs="宋体" w:eastAsia="宋体" w:hint="default"/>
        </w:rPr>
        <w:t>2</w:t>
      </w:r>
      <w:r>
        <w:rPr/>
        <w:t>）后续计量及损益确认方法</w:t>
      </w:r>
    </w:p>
    <w:p>
      <w:pPr>
        <w:spacing w:after="0" w:line="240" w:lineRule="auto"/>
        <w:jc w:val="left"/>
        <w:sectPr>
          <w:pgSz w:w="11910" w:h="16840"/>
          <w:pgMar w:header="882"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对被投资单位具有共同控制（构成共同经营者除外）或重大影响的长期股权投资，采用权益</w:t>
      </w:r>
      <w:r>
        <w:rPr>
          <w:w w:val="100"/>
        </w:rPr>
        <w:t> </w:t>
      </w:r>
      <w:r>
        <w:rPr/>
        <w:t>法核算。此外，公司财务报表采用成本法核算能够对被投资单位实施控制的长期股权投资。</w:t>
      </w:r>
    </w:p>
    <w:p>
      <w:pPr>
        <w:pStyle w:val="BodyText"/>
        <w:spacing w:line="348" w:lineRule="auto" w:before="29"/>
        <w:ind w:left="558" w:right="0"/>
        <w:jc w:val="left"/>
      </w:pPr>
      <w:r>
        <w:rPr/>
        <w:t>①成本法核算的长期股权投资</w:t>
      </w:r>
      <w:r>
        <w:rPr>
          <w:w w:val="100"/>
        </w:rPr>
        <w:t> </w:t>
      </w:r>
      <w:r>
        <w:rPr>
          <w:spacing w:val="-2"/>
        </w:rPr>
        <w:t>采用成本法核算时，长期股权投资按初始投资成本计价，追加或收回投资调整长期股权投资</w:t>
      </w:r>
    </w:p>
    <w:p>
      <w:pPr>
        <w:pStyle w:val="BodyText"/>
        <w:spacing w:line="350" w:lineRule="auto" w:before="31"/>
        <w:ind w:right="0"/>
        <w:jc w:val="left"/>
      </w:pPr>
      <w:r>
        <w:rPr>
          <w:spacing w:val="-2"/>
        </w:rPr>
        <w:t>的成本。除取得投资时实际支付的价款或者对价中包含的已宣告但尚未发放的现金股利或者利润</w:t>
      </w:r>
      <w:r>
        <w:rPr>
          <w:spacing w:val="-26"/>
        </w:rPr>
        <w:t> </w:t>
      </w:r>
      <w:r>
        <w:rPr>
          <w:spacing w:val="-26"/>
        </w:rPr>
      </w:r>
      <w:r>
        <w:rPr/>
        <w:t>外，当期投资收益按照享有被投资单位宣告发放的现金股利或利润确认。</w:t>
      </w:r>
    </w:p>
    <w:p>
      <w:pPr>
        <w:pStyle w:val="BodyText"/>
        <w:spacing w:line="350" w:lineRule="auto" w:before="27"/>
        <w:ind w:left="558" w:right="0"/>
        <w:jc w:val="left"/>
      </w:pPr>
      <w:r>
        <w:rPr/>
        <w:t>②权益法核算的长期股权投资</w:t>
      </w:r>
      <w:r>
        <w:rPr>
          <w:w w:val="100"/>
        </w:rPr>
        <w:t> </w:t>
      </w:r>
      <w:r>
        <w:rPr>
          <w:spacing w:val="-2"/>
        </w:rPr>
        <w:t>采用权益法核算时，长期股权投资的初始投资成本大于投资时应享有被投资单位可辨认净资</w:t>
      </w:r>
    </w:p>
    <w:p>
      <w:pPr>
        <w:pStyle w:val="BodyText"/>
        <w:spacing w:line="348" w:lineRule="auto" w:before="30"/>
        <w:ind w:right="0"/>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0" w:lineRule="auto" w:before="31"/>
        <w:ind w:right="0"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p>
    <w:p>
      <w:pPr>
        <w:pStyle w:val="BodyText"/>
        <w:spacing w:line="350" w:lineRule="auto" w:before="29"/>
        <w:ind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50" w:lineRule="auto" w:before="27"/>
        <w:ind w:right="208" w:firstLine="419"/>
        <w:jc w:val="both"/>
      </w:pPr>
      <w:r>
        <w:rPr/>
        <w:t>对于本公司</w:t>
      </w:r>
      <w:r>
        <w:rPr>
          <w:spacing w:val="-70"/>
        </w:rPr>
        <w:t> </w:t>
      </w:r>
      <w:r>
        <w:rPr>
          <w:rFonts w:ascii="宋体" w:hAnsi="宋体" w:cs="宋体" w:eastAsia="宋体" w:hint="default"/>
        </w:rPr>
        <w:t>2008</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日首次执行新会计准则之前已经持有的对联营企业和合营企业的长</w:t>
      </w:r>
      <w:r>
        <w:rPr>
          <w:w w:val="100"/>
        </w:rPr>
        <w:t> </w:t>
      </w:r>
      <w:r>
        <w:rPr>
          <w:spacing w:val="-2"/>
        </w:rPr>
        <w:t>期股权投资，如存在与该投资相关的股权投资借方差额，按原剩余期限直线摊销的金额计入当期</w:t>
      </w:r>
      <w:r>
        <w:rPr>
          <w:spacing w:val="-25"/>
        </w:rPr>
        <w:t> </w:t>
      </w:r>
      <w:r>
        <w:rPr>
          <w:spacing w:val="-25"/>
        </w:rPr>
      </w:r>
      <w:r>
        <w:rPr/>
        <w:t>损益。</w:t>
      </w:r>
    </w:p>
    <w:p>
      <w:pPr>
        <w:pStyle w:val="BodyText"/>
        <w:spacing w:line="240" w:lineRule="auto" w:before="27"/>
        <w:ind w:left="558" w:right="0"/>
        <w:jc w:val="left"/>
      </w:pPr>
      <w:r>
        <w:rPr/>
        <w:t>③收购少数股权</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在编制合并财务报表时，因购买少数股权新增的长期股权投资与按照新增持股比例计算应享</w:t>
      </w:r>
      <w:r>
        <w:rPr>
          <w:w w:val="100"/>
        </w:rPr>
        <w:t> </w:t>
      </w: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50" w:lineRule="auto" w:before="27"/>
        <w:ind w:left="558" w:right="0"/>
        <w:jc w:val="left"/>
      </w:pPr>
      <w:r>
        <w:rPr/>
        <w:t>④处置长期股权投资</w:t>
      </w:r>
      <w:r>
        <w:rPr>
          <w:w w:val="100"/>
        </w:rPr>
        <w:t> </w:t>
      </w:r>
      <w:r>
        <w:rPr>
          <w:spacing w:val="-2"/>
        </w:rPr>
        <w:t>在合并财务报表中，母公司在不丧失控制权的情况下部分处置对子公司的长期股权投资，处</w:t>
      </w:r>
    </w:p>
    <w:p>
      <w:pPr>
        <w:pStyle w:val="BodyText"/>
        <w:spacing w:line="348" w:lineRule="auto" w:before="29"/>
        <w:ind w:right="137"/>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公司的长期股权投资导致丧失对子公司控制权的，按本附注四、</w:t>
      </w:r>
      <w:r>
        <w:rPr>
          <w:rFonts w:ascii="宋体" w:hAnsi="宋体" w:cs="宋体" w:eastAsia="宋体" w:hint="default"/>
          <w:spacing w:val="-2"/>
        </w:rPr>
        <w:t>5</w:t>
      </w:r>
      <w:r>
        <w:rPr>
          <w:spacing w:val="-2"/>
        </w:rPr>
        <w:t>、（</w:t>
      </w:r>
      <w:r>
        <w:rPr>
          <w:rFonts w:ascii="宋体" w:hAnsi="宋体" w:cs="宋体" w:eastAsia="宋体" w:hint="default"/>
          <w:spacing w:val="-2"/>
        </w:rPr>
        <w:t>2</w:t>
      </w:r>
      <w:r>
        <w:rPr>
          <w:spacing w:val="-2"/>
        </w:rPr>
        <w:t>）“合并财务报表编制的</w:t>
      </w:r>
      <w:r>
        <w:rPr>
          <w:spacing w:val="-23"/>
        </w:rPr>
        <w:t> </w:t>
      </w:r>
      <w:r>
        <w:rPr>
          <w:spacing w:val="-23"/>
        </w:rPr>
      </w:r>
      <w:r>
        <w:rPr/>
        <w:t>方法”中所述的相关会计政策处理。</w:t>
      </w:r>
    </w:p>
    <w:p>
      <w:pPr>
        <w:pStyle w:val="BodyText"/>
        <w:spacing w:line="348" w:lineRule="auto" w:before="32"/>
        <w:ind w:right="137" w:firstLine="419"/>
        <w:jc w:val="both"/>
      </w:pPr>
      <w:r>
        <w:rPr>
          <w:spacing w:val="-2"/>
        </w:rPr>
        <w:t>其他情形下的长期股权投资处置，对于处置的股权，其账面价值与实际取得价款的差额，计</w:t>
      </w:r>
      <w:r>
        <w:rPr>
          <w:w w:val="100"/>
        </w:rPr>
        <w:t> </w:t>
      </w:r>
      <w:r>
        <w:rPr/>
        <w:t>入当期损益。</w:t>
      </w:r>
    </w:p>
    <w:p>
      <w:pPr>
        <w:pStyle w:val="BodyText"/>
        <w:spacing w:line="350" w:lineRule="auto" w:before="31"/>
        <w:ind w:right="13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6"/>
        </w:rPr>
        <w:t> </w:t>
      </w:r>
      <w:r>
        <w:rPr>
          <w:spacing w:val="-26"/>
        </w:rPr>
      </w:r>
      <w:r>
        <w:rPr/>
        <w:t>而确认的所有者权益，按比例结转入当期损益。</w:t>
      </w:r>
    </w:p>
    <w:p>
      <w:pPr>
        <w:pStyle w:val="BodyText"/>
        <w:spacing w:line="348" w:lineRule="auto" w:before="29"/>
        <w:ind w:right="13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350" w:lineRule="auto" w:before="31"/>
        <w:ind w:right="13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350" w:lineRule="auto" w:before="27"/>
        <w:ind w:right="1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p>
    <w:p>
      <w:pPr>
        <w:spacing w:after="0" w:line="35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126"/>
        <w:jc w:val="left"/>
      </w:pP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50" w:lineRule="auto" w:before="29"/>
        <w:ind w:left="218"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326"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6"/>
        <w:rPr>
          <w:rFonts w:ascii="宋体" w:hAnsi="宋体" w:cs="宋体" w:eastAsia="宋体" w:hint="default"/>
          <w:sz w:val="25"/>
          <w:szCs w:val="25"/>
        </w:rPr>
      </w:pPr>
    </w:p>
    <w:p>
      <w:pPr>
        <w:pStyle w:val="Heading2"/>
        <w:spacing w:line="324"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0" w:lineRule="auto" w:before="110"/>
        <w:ind w:left="218" w:right="237" w:firstLine="419"/>
        <w:jc w:val="both"/>
      </w:pPr>
      <w:r>
        <w:rPr>
          <w:spacing w:val="-2"/>
        </w:rPr>
        <w:t>固定资产是指为生产商品、提供劳务、出租或经营管理而持有的，使用寿命超过一个会计年</w:t>
      </w:r>
      <w:r>
        <w:rPr>
          <w:w w:val="100"/>
        </w:rPr>
        <w:t> </w:t>
      </w: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ind w:right="2940"/>
        <w:jc w:val="left"/>
        <w:rPr>
          <w:b w:val="0"/>
          <w:bCs w:val="0"/>
        </w:rPr>
      </w:pPr>
      <w:r>
        <w:rPr>
          <w:rFonts w:ascii="宋体" w:hAnsi="宋体" w:cs="宋体" w:eastAsia="宋体" w:hint="default"/>
        </w:rPr>
        <w:t>(2).</w:t>
      </w:r>
      <w:r>
        <w:rPr/>
        <w:t>折旧方法</w:t>
      </w:r>
      <w:r>
        <w:rPr>
          <w:b w:val="0"/>
          <w:bCs w:val="0"/>
        </w:rPr>
      </w:r>
    </w:p>
    <w:p>
      <w:pPr>
        <w:pStyle w:val="BodyText"/>
        <w:spacing w:line="273" w:lineRule="auto" w:before="97"/>
        <w:ind w:left="218" w:right="237" w:firstLine="419"/>
        <w:jc w:val="both"/>
      </w:pPr>
      <w:r>
        <w:rPr>
          <w:spacing w:val="-2"/>
        </w:rPr>
        <w:t>固定资产从达到预定可使用状态的次月起，采用年限平均法在使用寿命内计提折旧。各类固</w:t>
      </w:r>
      <w:r>
        <w:rPr>
          <w:w w:val="100"/>
        </w:rPr>
        <w:t> </w:t>
      </w:r>
      <w:r>
        <w:rPr/>
        <w:t>定资产的使用寿命、预计净残值和年折旧率如下：</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50-70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1.90-1.36</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19.00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9.50-19.50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19.00</w:t>
            </w:r>
          </w:p>
        </w:tc>
      </w:tr>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73" w:lineRule="auto" w:before="97"/>
        <w:ind w:left="218" w:right="237"/>
        <w:jc w:val="both"/>
      </w:pPr>
      <w:r>
        <w:rPr>
          <w:spacing w:val="-2"/>
        </w:rPr>
        <w:t>融资租赁为实质上转移了与资产所有权有关的全部风险和报酬的租赁，其所有权最终可能转移，</w:t>
      </w:r>
      <w:r>
        <w:rPr>
          <w:spacing w:val="-25"/>
        </w:rPr>
        <w:t> </w:t>
      </w:r>
      <w:r>
        <w:rPr>
          <w:spacing w:val="-25"/>
        </w:rPr>
      </w:r>
      <w:r>
        <w:rPr>
          <w:spacing w:val="-2"/>
        </w:rPr>
        <w:t>也可能不转移。以融资租赁方式租入的固定资产采用与自有固定资产一致的政策计提租赁资产折</w:t>
      </w:r>
      <w:r>
        <w:rPr>
          <w:spacing w:val="-25"/>
        </w:rPr>
        <w:t> </w:t>
      </w:r>
      <w:r>
        <w:rPr>
          <w:spacing w:val="-25"/>
        </w:rPr>
      </w:r>
      <w:r>
        <w:rPr>
          <w:spacing w:val="-2"/>
        </w:rPr>
        <w:t>旧。能够合理确定租赁期届满时取得租赁资产所有权的在租赁资产使用寿命内计提折旧，无法合</w:t>
      </w:r>
      <w:r>
        <w:rPr>
          <w:spacing w:val="-25"/>
        </w:rPr>
        <w:t> </w:t>
      </w:r>
      <w:r>
        <w:rPr>
          <w:spacing w:val="-25"/>
        </w:rPr>
      </w:r>
      <w:r>
        <w:rPr>
          <w:spacing w:val="-2"/>
        </w:rPr>
        <w:t>理确定租赁期届满能够取得租赁资产所有权的，在租赁期与租赁资产使用寿命两者中较短的期间</w:t>
      </w:r>
      <w:r>
        <w:rPr>
          <w:spacing w:val="-25"/>
        </w:rPr>
        <w:t> </w:t>
      </w:r>
      <w:r>
        <w:rPr>
          <w:spacing w:val="-25"/>
        </w:rPr>
      </w:r>
      <w:r>
        <w:rPr/>
        <w:t>内计提折旧。</w:t>
      </w:r>
    </w:p>
    <w:p>
      <w:pPr>
        <w:spacing w:after="0" w:line="273" w:lineRule="auto"/>
        <w:jc w:val="both"/>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before="36"/>
        <w:ind w:left="138" w:right="2543"/>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right="137" w:firstLine="419"/>
        <w:jc w:val="both"/>
      </w:pPr>
      <w:r>
        <w:rPr>
          <w:spacing w:val="-2"/>
        </w:rPr>
        <w:t>在建工程成本按实际工程支出确定，包括在建期间发生的各项工程支出</w:t>
      </w:r>
      <w:r>
        <w:rPr>
          <w:color w:val="FF0000"/>
          <w:spacing w:val="-2"/>
        </w:rPr>
        <w:t>、</w:t>
      </w:r>
      <w:r>
        <w:rPr>
          <w:spacing w:val="-2"/>
        </w:rPr>
        <w:t>工程达到预定可使</w:t>
      </w:r>
      <w:r>
        <w:rPr>
          <w:w w:val="100"/>
        </w:rPr>
        <w:t> </w:t>
      </w: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40" w:lineRule="auto" w:before="27"/>
        <w:ind w:left="618" w:right="0"/>
        <w:jc w:val="left"/>
      </w:pPr>
      <w:r>
        <w:rPr/>
        <w:t>在建工程的减值测试方法和减值准备计提方法详见附注五、</w:t>
      </w:r>
      <w:r>
        <w:rPr>
          <w:rFonts w:ascii="宋体" w:hAnsi="宋体" w:cs="宋体" w:eastAsia="宋体" w:hint="default"/>
        </w:rPr>
        <w:t>14</w:t>
      </w:r>
      <w:r>
        <w:rPr/>
        <w:t>“长期资产减值”。</w:t>
      </w:r>
    </w:p>
    <w:p>
      <w:pPr>
        <w:spacing w:line="240" w:lineRule="auto" w:before="0"/>
        <w:rPr>
          <w:rFonts w:ascii="宋体" w:hAnsi="宋体" w:cs="宋体" w:eastAsia="宋体" w:hint="default"/>
          <w:sz w:val="20"/>
          <w:szCs w:val="20"/>
        </w:rPr>
      </w:pPr>
    </w:p>
    <w:p>
      <w:pPr>
        <w:pStyle w:val="Heading2"/>
        <w:spacing w:line="240" w:lineRule="auto" w:before="150"/>
        <w:ind w:left="138" w:right="2543"/>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right="128" w:firstLine="419"/>
        <w:jc w:val="both"/>
      </w:pPr>
      <w:r>
        <w:rPr>
          <w:spacing w:val="-7"/>
          <w:w w:val="100"/>
        </w:rPr>
        <w:t>借款费用包括借款利息、折价或溢价的摊销、辅助费用以及因外币借款而发生的汇兑差额等。</w:t>
      </w:r>
      <w:r>
        <w:rPr>
          <w:w w:val="100"/>
        </w:rPr>
        <w:t> </w:t>
      </w: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350" w:lineRule="auto" w:before="27"/>
        <w:ind w:right="1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50" w:lineRule="auto" w:before="29"/>
        <w:ind w:right="137" w:firstLine="419"/>
        <w:jc w:val="both"/>
      </w:pPr>
      <w:r>
        <w:rPr>
          <w:spacing w:val="-2"/>
        </w:rPr>
        <w:t>资本化期间内，外币专门借款的汇兑差额全部予以资本化；外币一般借款的汇兑差额计入当</w:t>
      </w:r>
      <w:r>
        <w:rPr>
          <w:w w:val="100"/>
        </w:rPr>
        <w:t> </w:t>
      </w:r>
      <w:r>
        <w:rPr/>
        <w:t>期损益。</w:t>
      </w:r>
    </w:p>
    <w:p>
      <w:pPr>
        <w:pStyle w:val="BodyText"/>
        <w:spacing w:line="350" w:lineRule="auto" w:before="27"/>
        <w:ind w:right="137" w:firstLine="419"/>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348" w:lineRule="auto" w:before="29"/>
        <w:ind w:right="190" w:firstLine="419"/>
        <w:jc w:val="both"/>
      </w:pPr>
      <w:r>
        <w:rPr>
          <w:spacing w:val="-2"/>
        </w:rPr>
        <w:t>如果符合资本化条件的资产在购建或生产过程中发生非正常中断、并且中断时间连续超过</w:t>
      </w:r>
      <w:r>
        <w:rPr>
          <w:spacing w:val="3"/>
        </w:rPr>
        <w:t> </w:t>
      </w:r>
      <w:r>
        <w:rPr>
          <w:rFonts w:ascii="宋体" w:hAnsi="宋体" w:cs="宋体" w:eastAsia="宋体" w:hint="default"/>
        </w:rPr>
        <w:t>3</w:t>
      </w:r>
      <w:r>
        <w:rPr>
          <w:rFonts w:ascii="宋体" w:hAnsi="宋体" w:cs="宋体" w:eastAsia="宋体" w:hint="default"/>
          <w:w w:val="100"/>
        </w:rPr>
        <w:t> </w:t>
      </w:r>
      <w:r>
        <w:rPr/>
        <w:t>个月的，暂停借款费用的资本化，直至资产的购建或生产活动重新开始。</w:t>
      </w:r>
    </w:p>
    <w:p>
      <w:pPr>
        <w:spacing w:line="240" w:lineRule="auto" w:before="3"/>
        <w:rPr>
          <w:rFonts w:ascii="宋体" w:hAnsi="宋体" w:cs="宋体" w:eastAsia="宋体" w:hint="default"/>
          <w:sz w:val="24"/>
          <w:szCs w:val="24"/>
        </w:rPr>
      </w:pPr>
    </w:p>
    <w:p>
      <w:pPr>
        <w:spacing w:line="324" w:lineRule="auto" w:before="0"/>
        <w:ind w:left="138" w:right="7679"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324" w:lineRule="auto" w:before="24"/>
        <w:ind w:left="138" w:right="7679"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2"/>
        <w:spacing w:line="240" w:lineRule="auto" w:before="23"/>
        <w:ind w:left="138" w:right="254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97"/>
        <w:ind w:left="138" w:right="2543"/>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auto" w:before="97"/>
        <w:ind w:right="0"/>
        <w:jc w:val="left"/>
      </w:pPr>
      <w:r>
        <w:rPr>
          <w:spacing w:val="-2"/>
        </w:rPr>
        <w:t>无形资产按成本进行初始计量。与无形资产有关的支出，如果相关的经济利益很可能流入本公司</w:t>
      </w:r>
      <w:r>
        <w:rPr>
          <w:spacing w:val="-25"/>
        </w:rPr>
        <w:t> </w:t>
      </w:r>
      <w:r>
        <w:rPr>
          <w:spacing w:val="-25"/>
        </w:rPr>
      </w:r>
      <w:r>
        <w:rPr>
          <w:spacing w:val="-2"/>
        </w:rPr>
        <w:t>且其成本能可靠地计量，则计入无形资产成本。除此以外的其他项目的支出，在发生时计入当期</w:t>
      </w:r>
      <w:r>
        <w:rPr>
          <w:spacing w:val="-25"/>
        </w:rPr>
        <w:t> </w:t>
      </w:r>
      <w:r>
        <w:rPr>
          <w:spacing w:val="-25"/>
        </w:rPr>
      </w:r>
      <w:r>
        <w:rPr/>
        <w:t>损益。</w:t>
      </w:r>
      <w:r>
        <w:rPr>
          <w:spacing w:val="-102"/>
        </w:rPr>
        <w:t> </w:t>
      </w:r>
      <w:r>
        <w:rPr>
          <w:spacing w:val="-2"/>
        </w:rPr>
        <w:t>取得的土地使用权通常作为无形资产核算。自行开发建造厂房等建筑物，相关的土地使用权支出</w:t>
      </w:r>
      <w:r>
        <w:rPr>
          <w:spacing w:val="-25"/>
        </w:rPr>
        <w:t> </w:t>
      </w:r>
      <w:r>
        <w:rPr>
          <w:spacing w:val="-25"/>
        </w:rPr>
      </w:r>
      <w:r>
        <w:rPr>
          <w:spacing w:val="-2"/>
        </w:rPr>
        <w:t>和建筑物建造成本则分别作为无形资产和固定资产核算。如为外购的房屋及建筑物，则将有关价</w:t>
      </w:r>
      <w:r>
        <w:rPr>
          <w:spacing w:val="-25"/>
        </w:rPr>
        <w:t> </w:t>
      </w:r>
      <w:r>
        <w:rPr>
          <w:spacing w:val="-25"/>
        </w:rPr>
      </w:r>
      <w:r>
        <w:rPr/>
        <w:t>款在土地使用权和建筑物之间进行分配，难以合理分配的，全部作为固定资产处理。</w:t>
      </w:r>
      <w:r>
        <w:rPr>
          <w:w w:val="100"/>
        </w:rPr>
        <w:t> </w:t>
      </w:r>
      <w:r>
        <w:rPr>
          <w:spacing w:val="-2"/>
        </w:rPr>
        <w:t>使用寿命有限的无形资产自可供使用时起，对其原值在其预计使用寿命内采用直线法分期平均摊</w:t>
      </w:r>
      <w:r>
        <w:rPr>
          <w:spacing w:val="-25"/>
        </w:rPr>
        <w:t> </w:t>
      </w:r>
      <w:r>
        <w:rPr>
          <w:spacing w:val="-25"/>
        </w:rPr>
      </w:r>
      <w:r>
        <w:rPr/>
        <w:t>销。使用寿命不确定的无形资产不予摊销。</w:t>
      </w:r>
    </w:p>
    <w:p>
      <w:pPr>
        <w:spacing w:after="0" w:line="273" w:lineRule="auto"/>
        <w:jc w:val="left"/>
        <w:sectPr>
          <w:footerReference w:type="default" r:id="rId50"/>
          <w:pgSz w:w="11910" w:h="16840"/>
          <w:pgMar w:footer="1195" w:header="882" w:top="1120" w:bottom="1380" w:left="1660" w:right="1140"/>
        </w:sectPr>
      </w:pPr>
    </w:p>
    <w:p>
      <w:pPr>
        <w:spacing w:line="240" w:lineRule="auto" w:before="10"/>
        <w:rPr>
          <w:rFonts w:ascii="宋体" w:hAnsi="宋体" w:cs="宋体" w:eastAsia="宋体" w:hint="default"/>
          <w:sz w:val="26"/>
          <w:szCs w:val="26"/>
        </w:rPr>
      </w:pPr>
    </w:p>
    <w:p>
      <w:pPr>
        <w:pStyle w:val="BodyText"/>
        <w:spacing w:line="273" w:lineRule="auto" w:before="36"/>
        <w:ind w:right="0"/>
        <w:jc w:val="left"/>
      </w:pPr>
      <w:r>
        <w:rPr>
          <w:spacing w:val="-2"/>
        </w:rPr>
        <w:t>期末，对使用寿命有限的无形资产的使用寿命和摊销方法进行复核，如发生变更则作为会计估计</w:t>
      </w:r>
      <w:r>
        <w:rPr>
          <w:spacing w:val="-25"/>
        </w:rPr>
        <w:t> </w:t>
      </w:r>
      <w:r>
        <w:rPr>
          <w:spacing w:val="-25"/>
        </w:rPr>
      </w:r>
      <w:r>
        <w:rPr>
          <w:spacing w:val="-2"/>
        </w:rPr>
        <w:t>变更处理。此外，还对使用寿命不确定的无形资产的使用寿命进行复核，如果有证据表明该无形</w:t>
      </w:r>
      <w:r>
        <w:rPr>
          <w:spacing w:val="-25"/>
        </w:rPr>
        <w:t> </w:t>
      </w:r>
      <w:r>
        <w:rPr>
          <w:spacing w:val="-25"/>
        </w:rPr>
      </w:r>
      <w:r>
        <w:rPr>
          <w:spacing w:val="-2"/>
        </w:rPr>
        <w:t>资产为企业带来经济利益的期限是可预见的，则估计其使用寿命并按照使用寿命有限的无形资产</w:t>
      </w:r>
      <w:r>
        <w:rPr>
          <w:spacing w:val="-25"/>
        </w:rPr>
        <w:t> </w:t>
      </w:r>
      <w:r>
        <w:rPr>
          <w:spacing w:val="-25"/>
        </w:rPr>
      </w:r>
      <w:r>
        <w:rPr/>
        <w:t>的摊销政策进行摊销。</w:t>
      </w:r>
      <w:r>
        <w:rPr>
          <w:w w:val="100"/>
        </w:rPr>
        <w:t> </w:t>
      </w:r>
      <w:r>
        <w:rPr/>
        <w:t>无形资产的减值测试方法和减值准备计提方法详见附注五、</w:t>
      </w:r>
      <w:r>
        <w:rPr>
          <w:rFonts w:ascii="宋体" w:hAnsi="宋体" w:cs="宋体" w:eastAsia="宋体" w:hint="default"/>
        </w:rPr>
        <w:t>22</w:t>
      </w:r>
      <w:r>
        <w:rPr/>
        <w:t>“长期资产减值”。</w:t>
      </w:r>
    </w:p>
    <w:p>
      <w:pPr>
        <w:spacing w:line="240" w:lineRule="auto" w:before="0"/>
        <w:rPr>
          <w:rFonts w:ascii="宋体" w:hAnsi="宋体" w:cs="宋体" w:eastAsia="宋体" w:hint="default"/>
          <w:sz w:val="29"/>
          <w:szCs w:val="29"/>
        </w:rPr>
      </w:pPr>
    </w:p>
    <w:p>
      <w:pPr>
        <w:pStyle w:val="Heading2"/>
        <w:spacing w:line="240" w:lineRule="auto"/>
        <w:ind w:left="138" w:right="2543"/>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73" w:lineRule="auto" w:before="97"/>
        <w:ind w:right="2543"/>
        <w:jc w:val="left"/>
      </w:pPr>
      <w:r>
        <w:rPr/>
        <w:t>本公司内部研究开发项目的支出分为研究阶段支出与开发阶段支出。</w:t>
      </w:r>
      <w:r>
        <w:rPr>
          <w:w w:val="100"/>
        </w:rPr>
        <w:t> </w:t>
      </w:r>
      <w:r>
        <w:rPr/>
        <w:t>研究阶段的支出，于发生时计入当期损益。</w:t>
      </w:r>
    </w:p>
    <w:p>
      <w:pPr>
        <w:spacing w:line="240" w:lineRule="auto" w:before="6"/>
        <w:rPr>
          <w:rFonts w:ascii="宋体" w:hAnsi="宋体" w:cs="宋体" w:eastAsia="宋体" w:hint="default"/>
          <w:sz w:val="24"/>
          <w:szCs w:val="24"/>
        </w:rPr>
      </w:pPr>
    </w:p>
    <w:p>
      <w:pPr>
        <w:pStyle w:val="BodyText"/>
        <w:spacing w:line="273" w:lineRule="auto"/>
        <w:ind w:right="0"/>
        <w:jc w:val="left"/>
      </w:pPr>
      <w:r>
        <w:rPr>
          <w:spacing w:val="-2"/>
        </w:rPr>
        <w:t>开发阶段的支出同时满足下列条件的，确认为无形资产，不能满足下述条件的开发阶段的支出计</w:t>
      </w:r>
      <w:r>
        <w:rPr>
          <w:spacing w:val="-25"/>
        </w:rPr>
        <w:t> </w:t>
      </w:r>
      <w:r>
        <w:rPr>
          <w:spacing w:val="-25"/>
        </w:rPr>
      </w:r>
      <w:r>
        <w:rPr/>
        <w:t>入当期损益：</w:t>
      </w:r>
    </w:p>
    <w:p>
      <w:pPr>
        <w:pStyle w:val="BodyText"/>
        <w:spacing w:line="240" w:lineRule="auto" w:before="7"/>
        <w:ind w:right="2543"/>
        <w:jc w:val="left"/>
      </w:pPr>
      <w:r>
        <w:rPr/>
        <w:t>①</w:t>
      </w:r>
      <w:r>
        <w:rPr>
          <w:spacing w:val="-6"/>
        </w:rPr>
        <w:t> </w:t>
      </w:r>
      <w:r>
        <w:rPr/>
        <w:t>完成该无形资产以使其能够使用或出售在技术上具有可行性；</w:t>
      </w:r>
    </w:p>
    <w:p>
      <w:pPr>
        <w:pStyle w:val="BodyText"/>
        <w:spacing w:line="240" w:lineRule="auto" w:before="37"/>
        <w:ind w:right="2543"/>
        <w:jc w:val="left"/>
      </w:pPr>
      <w:r>
        <w:rPr/>
        <w:t>②</w:t>
      </w:r>
      <w:r>
        <w:rPr>
          <w:spacing w:val="-3"/>
        </w:rPr>
        <w:t> </w:t>
      </w:r>
      <w:r>
        <w:rPr/>
        <w:t>具有完成该无形资产并使用或出售的意图；</w:t>
      </w:r>
    </w:p>
    <w:p>
      <w:pPr>
        <w:pStyle w:val="BodyText"/>
        <w:spacing w:line="273" w:lineRule="auto" w:before="37"/>
        <w:ind w:right="126"/>
        <w:jc w:val="left"/>
      </w:pPr>
      <w:r>
        <w:rPr>
          <w:w w:val="100"/>
        </w:rPr>
        <w:t>③</w:t>
      </w:r>
      <w:r>
        <w:rPr>
          <w:spacing w:val="10"/>
          <w:w w:val="100"/>
        </w:rPr>
        <w:t> </w:t>
      </w:r>
      <w:r>
        <w:rPr>
          <w:spacing w:val="-4"/>
          <w:w w:val="100"/>
        </w:rPr>
        <w:t>无形资产产生经济利益的方式，包括能够证明运用该无形资产生产的产品存在市场或无形资产</w:t>
      </w:r>
      <w:r>
        <w:rPr>
          <w:spacing w:val="-104"/>
          <w:w w:val="100"/>
        </w:rPr>
        <w:t> </w:t>
      </w:r>
      <w:r>
        <w:rPr>
          <w:spacing w:val="-104"/>
          <w:w w:val="100"/>
        </w:rPr>
      </w:r>
      <w:r>
        <w:rPr/>
        <w:t>自身存在市场，无形资产将在内部使用的，能够证明其有用性；</w:t>
      </w:r>
    </w:p>
    <w:p>
      <w:pPr>
        <w:pStyle w:val="BodyText"/>
        <w:spacing w:line="273" w:lineRule="auto" w:before="7"/>
        <w:ind w:right="0"/>
        <w:jc w:val="left"/>
      </w:pPr>
      <w:r>
        <w:rPr/>
        <w:t>④</w:t>
      </w:r>
      <w:r>
        <w:rPr>
          <w:spacing w:val="52"/>
        </w:rPr>
        <w:t> </w:t>
      </w:r>
      <w:r>
        <w:rPr>
          <w:spacing w:val="-4"/>
        </w:rPr>
        <w:t>有足够的技术、财务资源和其他资源支持，以完成该无形资产的开发，并有能力使用或出售该</w:t>
      </w:r>
      <w:r>
        <w:rPr>
          <w:spacing w:val="-95"/>
        </w:rPr>
        <w:t> </w:t>
      </w:r>
      <w:r>
        <w:rPr>
          <w:spacing w:val="-95"/>
        </w:rPr>
      </w:r>
      <w:r>
        <w:rPr/>
        <w:t>无形资产；</w:t>
      </w:r>
    </w:p>
    <w:p>
      <w:pPr>
        <w:pStyle w:val="BodyText"/>
        <w:spacing w:line="273" w:lineRule="auto" w:before="7"/>
        <w:ind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1"/>
        <w:rPr>
          <w:rFonts w:ascii="宋体" w:hAnsi="宋体" w:cs="宋体" w:eastAsia="宋体" w:hint="default"/>
          <w:sz w:val="29"/>
          <w:szCs w:val="29"/>
        </w:rPr>
      </w:pPr>
    </w:p>
    <w:p>
      <w:pPr>
        <w:spacing w:line="40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对于固定资产、在建工程、使用寿命有限的无形资产、以成本模式计量的投资性房地产及对</w:t>
      </w:r>
    </w:p>
    <w:p>
      <w:pPr>
        <w:pStyle w:val="BodyText"/>
        <w:spacing w:line="260" w:lineRule="exact"/>
        <w:ind w:right="0"/>
        <w:jc w:val="left"/>
      </w:pPr>
      <w:r>
        <w:rPr/>
        <w:t>子公司、合营企业、联营企业的长期股权投资等非流动非金融资产，本公司于资产负债表日判断</w:t>
      </w:r>
    </w:p>
    <w:p>
      <w:pPr>
        <w:pStyle w:val="BodyText"/>
        <w:spacing w:line="348" w:lineRule="auto" w:before="126"/>
        <w:ind w:right="137"/>
        <w:jc w:val="both"/>
      </w:pP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0" w:lineRule="auto" w:before="31"/>
        <w:ind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6"/>
        </w:rPr>
        <w:t> </w:t>
      </w:r>
      <w:r>
        <w:rPr>
          <w:spacing w:val="-26"/>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spacing w:after="0" w:line="350" w:lineRule="auto"/>
        <w:jc w:val="both"/>
        <w:sectPr>
          <w:footerReference w:type="default" r:id="rId51"/>
          <w:pgSz w:w="11910" w:h="16840"/>
          <w:pgMar w:footer="1195" w:header="882" w:top="1120" w:bottom="1380" w:left="1660" w:right="1140"/>
          <w:pgNumType w:start="8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29"/>
        <w:ind w:left="558"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40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pacing w:val="2"/>
          <w:sz w:val="21"/>
          <w:szCs w:val="21"/>
        </w:rPr>
        <w:t> </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长期待摊费用为已经发生但应由报告期和以后各期负担的分摊期限在一年以上的各项费用。</w:t>
      </w:r>
    </w:p>
    <w:p>
      <w:pPr>
        <w:pStyle w:val="BodyText"/>
        <w:spacing w:line="260" w:lineRule="exact"/>
        <w:ind w:right="0"/>
        <w:jc w:val="left"/>
      </w:pPr>
      <w:r>
        <w:rPr/>
        <w:t>本公司的长期待摊费用主要包括装修费、版权费。长期待摊费用在预计受益期间按直线法摊销。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324" w:lineRule="auto"/>
        <w:ind w:left="138"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0" w:lineRule="auto" w:before="110"/>
        <w:ind w:right="217" w:firstLine="419"/>
        <w:jc w:val="both"/>
      </w:pPr>
      <w:r>
        <w:rPr>
          <w:spacing w:val="-2"/>
        </w:rPr>
        <w:t>短期薪酬主要包括工资、奖金、津贴和补贴、职工福利费、医疗保险费、生育保险费、工伤</w:t>
      </w:r>
      <w:r>
        <w:rPr>
          <w:w w:val="100"/>
        </w:rPr>
        <w:t> </w:t>
      </w: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6"/>
        </w:rPr>
        <w:t> </w:t>
      </w:r>
      <w:r>
        <w:rPr>
          <w:spacing w:val="-26"/>
        </w:rPr>
      </w:r>
      <w:r>
        <w:rPr/>
        <w:t>非货币性福利按公允价值计量。</w:t>
      </w:r>
    </w:p>
    <w:p>
      <w:pPr>
        <w:spacing w:line="240" w:lineRule="auto" w:before="12"/>
        <w:rPr>
          <w:rFonts w:ascii="宋体" w:hAnsi="宋体" w:cs="宋体" w:eastAsia="宋体" w:hint="default"/>
          <w:sz w:val="23"/>
          <w:szCs w:val="23"/>
        </w:rPr>
      </w:pPr>
    </w:p>
    <w:p>
      <w:pPr>
        <w:spacing w:line="40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离职后福利主要包括设定提存计划。其中设定提存计划主要包括基本养老保险、失业保险，</w:t>
      </w:r>
    </w:p>
    <w:p>
      <w:pPr>
        <w:pStyle w:val="BodyText"/>
        <w:spacing w:line="260" w:lineRule="exact"/>
        <w:ind w:right="0"/>
        <w:jc w:val="left"/>
      </w:pPr>
      <w:r>
        <w:rPr/>
        <w:t>相应的应缴存金额于发生时计入相关资产成本或当期损益。</w:t>
      </w:r>
    </w:p>
    <w:p>
      <w:pPr>
        <w:spacing w:line="240" w:lineRule="auto" w:before="0"/>
        <w:rPr>
          <w:rFonts w:ascii="宋体" w:hAnsi="宋体" w:cs="宋体" w:eastAsia="宋体" w:hint="default"/>
          <w:sz w:val="20"/>
          <w:szCs w:val="20"/>
        </w:rPr>
      </w:pPr>
    </w:p>
    <w:p>
      <w:pPr>
        <w:spacing w:line="400" w:lineRule="auto" w:before="15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在职工劳动合同到期之前解除与职工的劳动关系，或为鼓励职工自愿接受裁减而提出给予补</w:t>
      </w:r>
    </w:p>
    <w:p>
      <w:pPr>
        <w:pStyle w:val="BodyText"/>
        <w:spacing w:line="258" w:lineRule="exact"/>
        <w:ind w:right="0"/>
        <w:jc w:val="left"/>
      </w:pPr>
      <w:r>
        <w:rPr/>
        <w:t>偿的建议，在本公司不能单方面撤回因解除劳动关系计划或裁减建议所提供的辞退福利时，和本</w:t>
      </w:r>
    </w:p>
    <w:p>
      <w:pPr>
        <w:pStyle w:val="BodyText"/>
        <w:spacing w:line="348" w:lineRule="auto" w:before="126"/>
        <w:ind w:right="0"/>
        <w:jc w:val="left"/>
      </w:pP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48" w:lineRule="auto" w:before="31"/>
        <w:ind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spacing w:after="0" w:line="348" w:lineRule="auto"/>
        <w:jc w:val="both"/>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spacing w:line="400"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本公司向职工提供的其他长期职工福利，符合设定提存计划的，按照设定提存计划进行会计</w:t>
      </w:r>
    </w:p>
    <w:p>
      <w:pPr>
        <w:pStyle w:val="BodyText"/>
        <w:spacing w:line="260" w:lineRule="exact"/>
        <w:ind w:right="2543"/>
        <w:jc w:val="left"/>
      </w:pPr>
      <w:r>
        <w:rPr/>
        <w:t>处理，除此之外按照设定受益计划进行会计处理。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ind w:left="138" w:right="2543"/>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spacing w:line="240" w:lineRule="auto" w:before="0"/>
        <w:rPr>
          <w:rFonts w:ascii="宋体" w:hAnsi="宋体" w:cs="宋体" w:eastAsia="宋体" w:hint="default"/>
          <w:b/>
          <w:bCs/>
          <w:sz w:val="14"/>
          <w:szCs w:val="14"/>
        </w:rPr>
      </w:pPr>
    </w:p>
    <w:p>
      <w:pPr>
        <w:pStyle w:val="BodyText"/>
        <w:spacing w:line="348" w:lineRule="auto"/>
        <w:ind w:right="0" w:firstLine="419"/>
        <w:jc w:val="left"/>
      </w:pP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r>
        <w:rPr>
          <w:w w:val="100"/>
        </w:rPr>
        <w:t> </w:t>
      </w: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350" w:lineRule="auto" w:before="31"/>
        <w:ind w:right="0" w:firstLine="419"/>
        <w:jc w:val="left"/>
      </w:pPr>
      <w:r>
        <w:rPr>
          <w:spacing w:val="-2"/>
        </w:rPr>
        <w:t>在资产负债表日，考虑与或有事项有关的风险、不确定性和货币时间价值等因素，按照履行</w:t>
      </w:r>
      <w:r>
        <w:rPr>
          <w:w w:val="100"/>
        </w:rPr>
        <w:t> </w:t>
      </w:r>
      <w:r>
        <w:rPr/>
        <w:t>相关现时义务所需支出的最佳估计数对预计负债进行计量。</w:t>
      </w:r>
    </w:p>
    <w:p>
      <w:pPr>
        <w:pStyle w:val="BodyText"/>
        <w:spacing w:line="350" w:lineRule="auto" w:before="27"/>
        <w:ind w:right="0" w:firstLine="419"/>
        <w:jc w:val="left"/>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pStyle w:val="BodyText"/>
        <w:spacing w:line="348" w:lineRule="auto" w:before="29"/>
        <w:ind w:left="558" w:right="0"/>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50" w:lineRule="auto" w:before="31"/>
        <w:ind w:right="0"/>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50" w:lineRule="auto" w:before="27"/>
        <w:ind w:left="558" w:right="0"/>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240" w:lineRule="auto" w:before="29"/>
        <w:ind w:right="2543"/>
        <w:jc w:val="left"/>
      </w:pPr>
      <w:r>
        <w:rPr/>
        <w:t>按照与重组有关的直接支出确定预计负债金额。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24" w:lineRule="auto" w:before="0"/>
        <w:ind w:left="138" w:right="7679"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5"/>
          <w:szCs w:val="25"/>
        </w:rPr>
      </w:pPr>
    </w:p>
    <w:p>
      <w:pPr>
        <w:pStyle w:val="Heading2"/>
        <w:spacing w:line="324" w:lineRule="auto"/>
        <w:ind w:left="138" w:right="5573"/>
        <w:jc w:val="left"/>
        <w:rPr>
          <w:rFonts w:ascii="宋体" w:hAnsi="宋体" w:cs="宋体" w:eastAsia="宋体" w:hint="default"/>
          <w:b w:val="0"/>
          <w:bCs w:val="0"/>
        </w:rPr>
      </w:pPr>
      <w:r>
        <w:rPr>
          <w:rFonts w:ascii="宋体" w:hAnsi="宋体" w:cs="宋体" w:eastAsia="宋体" w:hint="default"/>
        </w:rPr>
        <w:t>27. </w:t>
      </w:r>
      <w:r>
        <w:rPr/>
        <w:t>优先股、永续债等其他金融工具</w:t>
      </w:r>
      <w:r>
        <w:rPr>
          <w:w w:val="100"/>
        </w:rPr>
        <w:t> </w:t>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left="558" w:right="0"/>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348" w:lineRule="auto" w:before="29"/>
        <w:ind w:right="0"/>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350" w:lineRule="auto" w:before="31"/>
        <w:ind w:left="558" w:right="0"/>
        <w:jc w:val="left"/>
      </w:pPr>
      <w:r>
        <w:rPr/>
        <w:t>（</w:t>
      </w:r>
      <w:r>
        <w:rPr>
          <w:rFonts w:ascii="宋体" w:hAnsi="宋体" w:cs="宋体" w:eastAsia="宋体"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240" w:lineRule="auto" w:before="27"/>
        <w:ind w:right="2543"/>
        <w:jc w:val="left"/>
      </w:pPr>
      <w:r>
        <w:rPr/>
        <w:t>的劳务收入。劳务交易的完工进度按已完工作的测量确定。</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提供劳务交易的结果能够可靠估计是指同时满足：①收入的金额能够可靠地计量；②相关的</w:t>
      </w:r>
      <w:r>
        <w:rPr>
          <w:w w:val="100"/>
        </w:rPr>
        <w:t> </w:t>
      </w:r>
      <w:r>
        <w:rPr>
          <w:spacing w:val="-2"/>
        </w:rPr>
        <w:t>经济利益很可能流入企业；③交易的完工程度能够可靠地确定；④交易中已发生和将发生的成本</w:t>
      </w:r>
      <w:r>
        <w:rPr>
          <w:spacing w:val="-26"/>
        </w:rPr>
        <w:t> </w:t>
      </w:r>
      <w:r>
        <w:rPr>
          <w:spacing w:val="-26"/>
        </w:rPr>
      </w:r>
      <w:r>
        <w:rPr/>
        <w:t>能够可靠地计量。</w:t>
      </w:r>
    </w:p>
    <w:p>
      <w:pPr>
        <w:pStyle w:val="BodyText"/>
        <w:spacing w:line="350" w:lineRule="auto" w:before="27"/>
        <w:ind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350" w:lineRule="auto" w:before="27"/>
        <w:ind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350" w:lineRule="auto" w:before="27"/>
        <w:ind w:left="558" w:right="3467"/>
        <w:jc w:val="left"/>
      </w:pPr>
      <w:r>
        <w:rPr/>
        <w:t>（</w:t>
      </w:r>
      <w:r>
        <w:rPr>
          <w:rFonts w:ascii="宋体" w:hAnsi="宋体" w:cs="宋体" w:eastAsia="宋体" w:hint="default"/>
        </w:rPr>
        <w:t>3</w:t>
      </w:r>
      <w:r>
        <w:rPr/>
        <w:t>）使用费收入</w:t>
      </w:r>
      <w:r>
        <w:rPr>
          <w:w w:val="100"/>
        </w:rPr>
        <w:t> </w:t>
      </w:r>
      <w:r>
        <w:rPr>
          <w:spacing w:val="-2"/>
        </w:rPr>
        <w:t>根据有关合同或协议，按权责发生制确认收入。</w:t>
      </w:r>
    </w:p>
    <w:p>
      <w:pPr>
        <w:pStyle w:val="BodyText"/>
        <w:spacing w:line="348" w:lineRule="auto" w:before="29"/>
        <w:ind w:left="558" w:right="2543"/>
        <w:jc w:val="left"/>
      </w:pPr>
      <w:r>
        <w:rPr/>
        <w:t>（</w:t>
      </w:r>
      <w:r>
        <w:rPr>
          <w:rFonts w:ascii="宋体" w:hAnsi="宋体" w:cs="宋体" w:eastAsia="宋体" w:hint="default"/>
        </w:rPr>
        <w:t>4</w:t>
      </w:r>
      <w:r>
        <w:rPr/>
        <w:t>）利息收入</w:t>
      </w:r>
      <w:r>
        <w:rPr>
          <w:w w:val="100"/>
        </w:rPr>
        <w:t> </w:t>
      </w:r>
      <w:r>
        <w:rPr>
          <w:spacing w:val="-2"/>
        </w:rPr>
        <w:t>按照他人使用本集团货币资金的时间和实际利率计算确定</w:t>
      </w:r>
    </w:p>
    <w:p>
      <w:pPr>
        <w:pStyle w:val="BodyText"/>
        <w:spacing w:line="350" w:lineRule="auto" w:before="31"/>
        <w:ind w:left="558" w:right="0"/>
        <w:jc w:val="left"/>
      </w:pPr>
      <w:r>
        <w:rPr/>
        <w:t>（</w:t>
      </w:r>
      <w:r>
        <w:rPr>
          <w:rFonts w:ascii="宋体" w:hAnsi="宋体" w:cs="宋体" w:eastAsia="宋体" w:hint="default"/>
        </w:rPr>
        <w:t>5</w:t>
      </w:r>
      <w:r>
        <w:rPr/>
        <w:t>）本集团收入的具体确认方法</w:t>
      </w:r>
      <w:r>
        <w:rPr>
          <w:w w:val="100"/>
        </w:rPr>
        <w:t> </w:t>
      </w:r>
      <w:r>
        <w:rPr>
          <w:spacing w:val="-2"/>
        </w:rPr>
        <w:t>本公司业务收入主要为广告发布及宣传服务收入，按照与客户签订的合同约定服务内容及价</w:t>
      </w:r>
    </w:p>
    <w:p>
      <w:pPr>
        <w:pStyle w:val="BodyText"/>
        <w:spacing w:line="350" w:lineRule="auto" w:before="27"/>
        <w:ind w:right="0"/>
        <w:jc w:val="left"/>
      </w:pPr>
      <w:r>
        <w:rPr>
          <w:spacing w:val="-2"/>
        </w:rPr>
        <w:t>格，经与客户确认的广告发布及宣传服务的排期表（具体发布期间），根据以已提供服务的期间</w:t>
      </w:r>
      <w:r>
        <w:rPr>
          <w:spacing w:val="-25"/>
        </w:rPr>
        <w:t> </w:t>
      </w:r>
      <w:r>
        <w:rPr>
          <w:spacing w:val="-25"/>
        </w:rPr>
      </w:r>
      <w:r>
        <w:rPr/>
        <w:t>占服务总期间的比例来确定完工进度，按照完工百分比法确认当期收入。</w:t>
      </w:r>
    </w:p>
    <w:p>
      <w:pPr>
        <w:pStyle w:val="BodyText"/>
        <w:spacing w:line="348" w:lineRule="auto" w:before="29"/>
        <w:ind w:right="137" w:firstLine="419"/>
        <w:jc w:val="both"/>
      </w:pPr>
      <w:r>
        <w:rPr>
          <w:spacing w:val="-2"/>
        </w:rPr>
        <w:t>本公司信息服务费收入，按照与客户签订的合同约定的服务内容、价格及信息服务提供期向</w:t>
      </w:r>
      <w:r>
        <w:rPr>
          <w:w w:val="100"/>
        </w:rPr>
        <w:t> </w:t>
      </w:r>
      <w:r>
        <w:rPr>
          <w:spacing w:val="-2"/>
        </w:rPr>
        <w:t>客户提供信息服务（新闻信息、图片信息等），依据以已提供服务期占总服务期的比例来确定完</w:t>
      </w:r>
      <w:r>
        <w:rPr>
          <w:spacing w:val="-25"/>
        </w:rPr>
        <w:t> </w:t>
      </w:r>
      <w:r>
        <w:rPr>
          <w:spacing w:val="-25"/>
        </w:rPr>
      </w:r>
      <w:r>
        <w:rPr/>
        <w:t>工进度，按照完工百分比法确认当期收入。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2"/>
        <w:spacing w:line="324" w:lineRule="auto"/>
        <w:ind w:left="138" w:right="3467"/>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48" w:lineRule="auto" w:before="110"/>
        <w:ind w:right="137" w:firstLine="419"/>
        <w:jc w:val="both"/>
      </w:pPr>
      <w:r>
        <w:rPr>
          <w:spacing w:val="-2"/>
        </w:rPr>
        <w:t>与资产相关的政府补助，确认为递延收益，并在相关资产的使用寿命内平均分配计入当期损</w:t>
      </w:r>
      <w:r>
        <w:rPr>
          <w:w w:val="100"/>
        </w:rPr>
        <w:t> </w:t>
      </w:r>
      <w:r>
        <w:rPr/>
        <w:t>益。</w:t>
      </w:r>
    </w:p>
    <w:p>
      <w:pPr>
        <w:spacing w:line="400" w:lineRule="auto" w:before="5"/>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与收益相关的政府补助，用于补偿以后期间的相关费用和损失的，确认为递延收益，并在确</w:t>
      </w:r>
    </w:p>
    <w:p>
      <w:pPr>
        <w:pStyle w:val="BodyText"/>
        <w:spacing w:line="260" w:lineRule="exact"/>
        <w:ind w:right="0"/>
        <w:jc w:val="left"/>
      </w:pPr>
      <w:r>
        <w:rPr/>
        <w:t>认相关费用的期间计入当期损益；用于补偿已经发生的相关费用和损失的，直接计入当期损益。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ind w:left="138" w:right="2543"/>
        <w:jc w:val="left"/>
        <w:rPr>
          <w:b w:val="0"/>
          <w:bCs w:val="0"/>
        </w:rPr>
      </w:pPr>
      <w:r>
        <w:rPr>
          <w:rFonts w:ascii="宋体" w:hAnsi="宋体" w:cs="宋体" w:eastAsia="宋体" w:hint="default"/>
        </w:rPr>
        <w:t>30. </w:t>
      </w:r>
      <w:r>
        <w:rPr/>
        <w:t>递延所得税资产</w:t>
      </w:r>
      <w:r>
        <w:rPr>
          <w:rFonts w:ascii="宋体" w:hAnsi="宋体" w:cs="宋体" w:eastAsia="宋体" w:hint="default"/>
        </w:rPr>
        <w:t>/</w:t>
      </w:r>
      <w:r>
        <w:rPr/>
        <w:t>递延所得税负债</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558" w:right="2543"/>
        <w:jc w:val="left"/>
      </w:pPr>
      <w:r>
        <w:rPr/>
        <w:t>（</w:t>
      </w:r>
      <w:r>
        <w:rPr>
          <w:rFonts w:ascii="宋体" w:hAnsi="宋体" w:cs="宋体" w:eastAsia="宋体" w:hint="default"/>
        </w:rPr>
        <w:t>1</w:t>
      </w:r>
      <w:r>
        <w:rPr/>
        <w:t>）当期所得税</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资产负债表日，对于当期和以前期间形成的当期所得税负债（或资产），以按照税法规定计</w:t>
      </w:r>
      <w:r>
        <w:rPr>
          <w:w w:val="100"/>
        </w:rPr>
        <w:t> </w:t>
      </w: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350" w:lineRule="auto" w:before="27"/>
        <w:ind w:left="558" w:right="0"/>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48" w:lineRule="auto" w:before="29"/>
        <w:ind w:right="0"/>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31"/>
        <w:ind w:left="558" w:right="0"/>
        <w:jc w:val="left"/>
      </w:pPr>
      <w:r>
        <w:rPr/>
        <w:t>与商誉的初始确认有关，以及与既不是企业合并、发生时也不影响会计利润和应纳税所得额</w:t>
      </w:r>
    </w:p>
    <w:p>
      <w:pPr>
        <w:pStyle w:val="BodyText"/>
        <w:spacing w:line="348" w:lineRule="auto" w:before="126"/>
        <w:ind w:right="0"/>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350" w:lineRule="auto" w:before="31"/>
        <w:ind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6"/>
        </w:rPr>
        <w:t> </w:t>
      </w:r>
      <w:r>
        <w:rPr>
          <w:spacing w:val="-26"/>
        </w:rPr>
      </w:r>
      <w:r>
        <w:rPr/>
        <w:t>的应纳税所得额为限，确认其他可抵扣暂时性差异产生的递延所得税资产。</w:t>
      </w:r>
    </w:p>
    <w:p>
      <w:pPr>
        <w:pStyle w:val="BodyText"/>
        <w:spacing w:line="350" w:lineRule="auto" w:before="29"/>
        <w:ind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50" w:lineRule="auto" w:before="27"/>
        <w:ind w:right="21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0" w:lineRule="auto" w:before="29"/>
        <w:ind w:right="217" w:firstLine="419"/>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48" w:lineRule="auto" w:before="29"/>
        <w:ind w:left="558" w:right="3121"/>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48" w:lineRule="auto" w:before="31"/>
        <w:ind w:right="21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6"/>
        </w:rPr>
        <w:t> </w:t>
      </w:r>
      <w:r>
        <w:rPr>
          <w:spacing w:val="-26"/>
        </w:rPr>
      </w:r>
      <w:r>
        <w:rPr/>
        <w:t>所得税和递延所得税费用或收益计入当期损益。</w:t>
      </w:r>
    </w:p>
    <w:p>
      <w:pPr>
        <w:pStyle w:val="BodyText"/>
        <w:spacing w:line="350" w:lineRule="auto" w:before="31"/>
        <w:ind w:left="558" w:right="0"/>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40" w:lineRule="auto" w:before="27"/>
        <w:ind w:right="0"/>
        <w:jc w:val="left"/>
      </w:pPr>
      <w:r>
        <w:rPr/>
        <w:t>司当期所得税资产及当期所得税负债以抵销后的净额列报。</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324" w:lineRule="auto"/>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48" w:lineRule="auto" w:before="110"/>
        <w:ind w:left="558" w:right="0"/>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31"/>
        <w:ind w:right="0"/>
        <w:jc w:val="both"/>
      </w:pPr>
      <w:r>
        <w:rPr/>
        <w:t>接费用计入当期损益。或有租金于实际发生时计入当期损益。</w:t>
      </w:r>
    </w:p>
    <w:p>
      <w:pPr>
        <w:pStyle w:val="BodyText"/>
        <w:spacing w:line="348" w:lineRule="auto" w:before="126"/>
        <w:ind w:left="558"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50" w:lineRule="auto" w:before="31"/>
        <w:ind w:right="130"/>
        <w:jc w:val="both"/>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12"/>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14"/>
          <w:szCs w:val="14"/>
        </w:rPr>
      </w:pPr>
    </w:p>
    <w:p>
      <w:pPr>
        <w:pStyle w:val="BodyText"/>
        <w:spacing w:line="350" w:lineRule="auto"/>
        <w:ind w:left="558" w:right="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50" w:lineRule="auto" w:before="29"/>
        <w:ind w:right="137"/>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350" w:lineRule="auto" w:before="27"/>
        <w:ind w:right="137" w:firstLine="419"/>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348" w:lineRule="auto" w:before="29"/>
        <w:ind w:left="558" w:right="0"/>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48" w:lineRule="auto" w:before="31"/>
        <w:ind w:right="137"/>
        <w:jc w:val="both"/>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p>
    <w:p>
      <w:pPr>
        <w:pStyle w:val="BodyText"/>
        <w:spacing w:line="350" w:lineRule="auto" w:before="31"/>
        <w:ind w:right="137" w:firstLine="419"/>
        <w:jc w:val="both"/>
      </w:pPr>
      <w:r>
        <w:rPr>
          <w:spacing w:val="-2"/>
        </w:rPr>
        <w:t>未实现融资收益在租赁期内采用实际利率法计算确认当期的融资收入。或有租金于实际发生</w:t>
      </w:r>
      <w:r>
        <w:rPr>
          <w:w w:val="100"/>
        </w:rPr>
        <w:t> </w:t>
      </w:r>
      <w:r>
        <w:rPr/>
        <w:t>时计入当期损益。</w:t>
      </w:r>
    </w:p>
    <w:p>
      <w:pPr>
        <w:spacing w:after="0" w:line="350" w:lineRule="auto"/>
        <w:jc w:val="both"/>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spacing w:line="400"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pacing w:val="1"/>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本公司在运用会计政策过程中，由于经营活动内在的不确定性，本公司需要对无法准确计量</w:t>
      </w:r>
    </w:p>
    <w:p>
      <w:pPr>
        <w:pStyle w:val="BodyText"/>
        <w:spacing w:line="260" w:lineRule="exact"/>
        <w:ind w:right="0"/>
        <w:jc w:val="both"/>
      </w:pPr>
      <w:r>
        <w:rPr/>
        <w:t>的报表项目的账面价值进行判断、估计和假设。这些判断、估计和假设是基于本公司管理层过去</w:t>
      </w:r>
    </w:p>
    <w:p>
      <w:pPr>
        <w:pStyle w:val="BodyText"/>
        <w:spacing w:line="350" w:lineRule="auto" w:before="126"/>
        <w:ind w:right="208"/>
        <w:jc w:val="both"/>
      </w:pP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6"/>
        </w:rPr>
        <w:t> </w:t>
      </w:r>
      <w:r>
        <w:rPr>
          <w:spacing w:val="-26"/>
        </w:rPr>
      </w:r>
      <w:r>
        <w:rPr/>
        <w:t>金额进行重大调整。</w:t>
      </w:r>
    </w:p>
    <w:p>
      <w:pPr>
        <w:pStyle w:val="BodyText"/>
        <w:spacing w:line="350" w:lineRule="auto" w:before="27"/>
        <w:ind w:right="21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27"/>
        <w:ind w:left="558" w:right="0"/>
        <w:jc w:val="left"/>
      </w:pPr>
      <w:r>
        <w:rPr/>
        <w:t>于资产负债表日，本公司需对财务报表项目金额进行判断、估计和假设的重要领域如下：</w:t>
      </w:r>
    </w:p>
    <w:p>
      <w:pPr>
        <w:pStyle w:val="BodyText"/>
        <w:spacing w:line="240" w:lineRule="auto" w:before="126"/>
        <w:ind w:left="558" w:right="0"/>
        <w:jc w:val="left"/>
      </w:pPr>
      <w:r>
        <w:rPr/>
        <w:t>（</w:t>
      </w:r>
      <w:r>
        <w:rPr>
          <w:rFonts w:ascii="宋体" w:hAnsi="宋体" w:cs="宋体" w:eastAsia="宋体" w:hint="default"/>
        </w:rPr>
        <w:t>1</w:t>
      </w:r>
      <w:r>
        <w:rPr/>
        <w:t>）租赁的归类</w:t>
      </w:r>
    </w:p>
    <w:p>
      <w:pPr>
        <w:pStyle w:val="BodyText"/>
        <w:spacing w:line="350" w:lineRule="auto" w:before="126"/>
        <w:ind w:right="104" w:firstLine="419"/>
        <w:jc w:val="left"/>
      </w:pPr>
      <w:r>
        <w:rPr/>
        <w:t>本公司根据《企业会计准则第</w:t>
      </w:r>
      <w:r>
        <w:rPr>
          <w:spacing w:val="-52"/>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350" w:lineRule="auto" w:before="27"/>
        <w:ind w:left="558" w:right="0"/>
        <w:jc w:val="left"/>
      </w:pPr>
      <w:r>
        <w:rPr/>
        <w:t>（</w:t>
      </w:r>
      <w:r>
        <w:rPr>
          <w:rFonts w:ascii="宋体" w:hAnsi="宋体" w:cs="宋体" w:eastAsia="宋体" w:hint="default"/>
        </w:rPr>
        <w:t>2</w:t>
      </w:r>
      <w:r>
        <w:rPr/>
        <w:t>）坏账准备计提</w:t>
      </w:r>
      <w:r>
        <w:rPr>
          <w:w w:val="100"/>
        </w:rPr>
        <w:t> </w:t>
      </w:r>
      <w:r>
        <w:rPr>
          <w:spacing w:val="-2"/>
        </w:rPr>
        <w:t>本公司根据应收款项的会计政策，采用备抵法核算坏账损失。应收账款减值是基于评估应收</w:t>
      </w:r>
    </w:p>
    <w:p>
      <w:pPr>
        <w:pStyle w:val="BodyText"/>
        <w:spacing w:line="348" w:lineRule="auto" w:before="29"/>
        <w:ind w:right="217"/>
        <w:jc w:val="both"/>
      </w:pPr>
      <w:r>
        <w:rPr>
          <w:spacing w:val="-2"/>
        </w:rPr>
        <w:t>账款的可收回性。鉴定应收账款减值要求管理层的判断和估计。实际的结果与原先估计的差异将</w:t>
      </w:r>
      <w:r>
        <w:rPr>
          <w:spacing w:val="-25"/>
        </w:rPr>
        <w:t> </w:t>
      </w:r>
      <w:r>
        <w:rPr>
          <w:spacing w:val="-25"/>
        </w:rPr>
      </w:r>
      <w:r>
        <w:rPr/>
        <w:t>在估计被改变的期间影响应收账款的账面价值及应收账款坏账准备的计提或转回。</w:t>
      </w:r>
    </w:p>
    <w:p>
      <w:pPr>
        <w:pStyle w:val="BodyText"/>
        <w:spacing w:line="350" w:lineRule="auto" w:before="31"/>
        <w:ind w:left="558" w:right="0"/>
        <w:jc w:val="left"/>
      </w:pPr>
      <w:r>
        <w:rPr/>
        <w:t>（</w:t>
      </w:r>
      <w:r>
        <w:rPr>
          <w:rFonts w:ascii="宋体" w:hAnsi="宋体" w:cs="宋体" w:eastAsia="宋体" w:hint="default"/>
        </w:rPr>
        <w:t>3</w:t>
      </w:r>
      <w:r>
        <w:rPr/>
        <w:t>）存货跌价准备</w:t>
      </w:r>
      <w:r>
        <w:rPr>
          <w:w w:val="100"/>
        </w:rPr>
        <w:t> </w:t>
      </w:r>
      <w:r>
        <w:rPr>
          <w:spacing w:val="-2"/>
        </w:rPr>
        <w:t>本公司根据存货会计政策，按照成本与可变现净值孰低计量，对成本高于可变现净值及陈旧</w:t>
      </w:r>
    </w:p>
    <w:p>
      <w:pPr>
        <w:pStyle w:val="BodyText"/>
        <w:spacing w:line="350" w:lineRule="auto" w:before="27"/>
        <w:ind w:right="217"/>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350" w:lineRule="auto" w:before="29"/>
        <w:ind w:left="558" w:right="0"/>
        <w:jc w:val="left"/>
      </w:pPr>
      <w:r>
        <w:rPr/>
        <w:t>（</w:t>
      </w:r>
      <w:r>
        <w:rPr>
          <w:rFonts w:ascii="宋体" w:hAnsi="宋体" w:cs="宋体" w:eastAsia="宋体" w:hint="default"/>
        </w:rPr>
        <w:t>4</w:t>
      </w:r>
      <w:r>
        <w:rPr/>
        <w:t>）金融工具公允价值</w:t>
      </w:r>
      <w:r>
        <w:rPr>
          <w:w w:val="100"/>
        </w:rPr>
        <w:t> </w:t>
      </w:r>
      <w:r>
        <w:rPr>
          <w:spacing w:val="-2"/>
        </w:rPr>
        <w:t>对不存在活跃交易市场的金融工具，本公司通过各种估值方法确定其公允价值。这些估值方</w:t>
      </w:r>
    </w:p>
    <w:p>
      <w:pPr>
        <w:pStyle w:val="BodyText"/>
        <w:spacing w:line="350" w:lineRule="auto" w:before="27"/>
        <w:ind w:right="217"/>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t>公允价值产生影响。</w:t>
      </w:r>
    </w:p>
    <w:p>
      <w:pPr>
        <w:pStyle w:val="BodyText"/>
        <w:spacing w:line="350" w:lineRule="auto" w:before="27"/>
        <w:ind w:left="558" w:right="0"/>
        <w:jc w:val="left"/>
      </w:pPr>
      <w:r>
        <w:rPr/>
        <w:t>（</w:t>
      </w:r>
      <w:r>
        <w:rPr>
          <w:rFonts w:ascii="宋体" w:hAnsi="宋体" w:cs="宋体" w:eastAsia="宋体" w:hint="default"/>
        </w:rPr>
        <w:t>5</w:t>
      </w:r>
      <w:r>
        <w:rPr/>
        <w:t>）持有至到期投资</w:t>
      </w:r>
      <w:r>
        <w:rPr>
          <w:w w:val="100"/>
        </w:rPr>
        <w:t> </w:t>
      </w:r>
      <w:r>
        <w:rPr>
          <w:spacing w:val="-2"/>
        </w:rPr>
        <w:t>本公司将符合条件的有固定或可确定还款金额和固定到期日且本公司有明确意图和能力持有</w:t>
      </w:r>
    </w:p>
    <w:p>
      <w:pPr>
        <w:pStyle w:val="BodyText"/>
        <w:spacing w:line="240" w:lineRule="auto" w:before="29"/>
        <w:ind w:right="0"/>
        <w:jc w:val="both"/>
      </w:pPr>
      <w:r>
        <w:rPr/>
        <w:t>至到期的非衍生金融资产归类为持有至到期投资。进行此项归类工作需涉及大量的判断。在进行</w:t>
      </w:r>
    </w:p>
    <w:p>
      <w:pPr>
        <w:spacing w:after="0" w:line="24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jc w:val="both"/>
      </w:pPr>
      <w:r>
        <w:rPr>
          <w:spacing w:val="-2"/>
        </w:rPr>
        <w:t>判断的过程中，本公司会对其持有该类投资至到期日的意愿和能力进行评估。除特定情况外（例</w:t>
      </w:r>
      <w:r>
        <w:rPr>
          <w:spacing w:val="-25"/>
        </w:rPr>
        <w:t> </w:t>
      </w:r>
      <w:r>
        <w:rPr>
          <w:spacing w:val="-25"/>
        </w:rPr>
      </w:r>
      <w:r>
        <w:rPr>
          <w:spacing w:val="-2"/>
        </w:rPr>
        <w:t>如在接近到期日时出售金额不重大的投资），如果本公司未能将这些投资持有至到期日，则须将</w:t>
      </w:r>
      <w:r>
        <w:rPr>
          <w:spacing w:val="-25"/>
        </w:rPr>
        <w:t> </w:t>
      </w:r>
      <w:r>
        <w:rPr>
          <w:spacing w:val="-25"/>
        </w:rPr>
      </w:r>
      <w:r>
        <w:rPr>
          <w:spacing w:val="-2"/>
        </w:rPr>
        <w:t>全部该类投资重分类至可供出售金融资产，且在本会计年度及以后两个完整的会计年度内不得再</w:t>
      </w:r>
      <w:r>
        <w:rPr>
          <w:spacing w:val="-25"/>
        </w:rPr>
        <w:t> </w:t>
      </w:r>
      <w:r>
        <w:rPr>
          <w:spacing w:val="-25"/>
        </w:rPr>
      </w:r>
      <w:r>
        <w:rPr>
          <w:spacing w:val="-2"/>
        </w:rPr>
        <w:t>将该金融资产划分为持有至到期投资。如出现此类情况，可能对财务报表上所列报的相关金融资</w:t>
      </w:r>
      <w:r>
        <w:rPr>
          <w:spacing w:val="-25"/>
        </w:rPr>
        <w:t> </w:t>
      </w:r>
      <w:r>
        <w:rPr>
          <w:spacing w:val="-25"/>
        </w:rPr>
      </w:r>
      <w:r>
        <w:rPr/>
        <w:t>产价值产生重大的影响，并且可能影响本公司的金融工具风险管理策略。</w:t>
      </w:r>
    </w:p>
    <w:p>
      <w:pPr>
        <w:pStyle w:val="BodyText"/>
        <w:spacing w:line="348" w:lineRule="auto" w:before="29"/>
        <w:ind w:left="558" w:right="0"/>
        <w:jc w:val="left"/>
      </w:pPr>
      <w:r>
        <w:rPr/>
        <w:t>（</w:t>
      </w:r>
      <w:r>
        <w:rPr>
          <w:rFonts w:ascii="宋体" w:hAnsi="宋体" w:cs="宋体" w:eastAsia="宋体" w:hint="default"/>
        </w:rPr>
        <w:t>6</w:t>
      </w:r>
      <w:r>
        <w:rPr/>
        <w:t>）持有至到期投资减值</w:t>
      </w:r>
      <w:r>
        <w:rPr>
          <w:w w:val="100"/>
        </w:rPr>
        <w:t> </w:t>
      </w:r>
      <w:r>
        <w:rPr>
          <w:spacing w:val="-2"/>
        </w:rPr>
        <w:t>本公司确定持有至到期投资是否减值在很大程度上依赖于管理层的判断。发生减值的客观证</w:t>
      </w:r>
    </w:p>
    <w:p>
      <w:pPr>
        <w:pStyle w:val="BodyText"/>
        <w:spacing w:line="350" w:lineRule="auto" w:before="31"/>
        <w:ind w:right="137"/>
        <w:jc w:val="both"/>
      </w:pPr>
      <w:r>
        <w:rPr>
          <w:spacing w:val="-2"/>
        </w:rPr>
        <w:t>据包括发行方发生严重财务困难使该金融资产无法在活跃市场继续交易、无法履行合同条款（例</w:t>
      </w:r>
      <w:r>
        <w:rPr>
          <w:spacing w:val="-25"/>
        </w:rPr>
        <w:t> </w:t>
      </w:r>
      <w:r>
        <w:rPr>
          <w:spacing w:val="-25"/>
        </w:rPr>
      </w:r>
      <w:r>
        <w:rPr>
          <w:spacing w:val="-2"/>
        </w:rPr>
        <w:t>如，偿付利息或本金发生违约）等。在进行判断的过程中，本公司需评估发生减值的客观证据对</w:t>
      </w:r>
      <w:r>
        <w:rPr>
          <w:spacing w:val="-25"/>
        </w:rPr>
        <w:t> </w:t>
      </w:r>
      <w:r>
        <w:rPr>
          <w:spacing w:val="-25"/>
        </w:rPr>
      </w:r>
      <w:r>
        <w:rPr/>
        <w:t>该项投资预计未来现金流的影响。</w:t>
      </w:r>
    </w:p>
    <w:p>
      <w:pPr>
        <w:pStyle w:val="BodyText"/>
        <w:spacing w:line="350" w:lineRule="auto" w:before="29"/>
        <w:ind w:left="558" w:right="0"/>
        <w:jc w:val="left"/>
      </w:pPr>
      <w:r>
        <w:rPr/>
        <w:t>（</w:t>
      </w:r>
      <w:r>
        <w:rPr>
          <w:rFonts w:ascii="宋体" w:hAnsi="宋体" w:cs="宋体" w:eastAsia="宋体" w:hint="default"/>
        </w:rPr>
        <w:t>7</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350" w:lineRule="auto" w:before="27"/>
        <w:ind w:right="137"/>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350" w:lineRule="auto" w:before="27"/>
        <w:ind w:left="558" w:right="0"/>
        <w:jc w:val="left"/>
      </w:pPr>
      <w:r>
        <w:rPr/>
        <w:t>（</w:t>
      </w:r>
      <w:r>
        <w:rPr>
          <w:rFonts w:ascii="宋体" w:hAnsi="宋体" w:cs="宋体" w:eastAsia="宋体" w:hint="default"/>
        </w:rPr>
        <w:t>8</w:t>
      </w:r>
      <w:r>
        <w:rPr/>
        <w:t>）非金融非流动资产减值准备</w:t>
      </w:r>
      <w:r>
        <w:rPr>
          <w:w w:val="100"/>
        </w:rPr>
        <w:t> </w:t>
      </w:r>
      <w:r>
        <w:rPr>
          <w:spacing w:val="-2"/>
        </w:rPr>
        <w:t>本公司于资产负债表日对除金融资产之外的非流动资产判断是否存在可能发生减值的迹象。</w:t>
      </w:r>
    </w:p>
    <w:p>
      <w:pPr>
        <w:pStyle w:val="BodyText"/>
        <w:spacing w:line="348" w:lineRule="auto" w:before="29"/>
        <w:ind w:left="0" w:right="13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348" w:lineRule="auto" w:before="31"/>
        <w:ind w:left="558" w:right="0"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350" w:lineRule="auto" w:before="31"/>
        <w:ind w:left="558" w:right="0"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350" w:lineRule="auto" w:before="27"/>
        <w:ind w:right="137"/>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48" w:lineRule="auto" w:before="29"/>
        <w:ind w:right="13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348" w:lineRule="auto" w:before="31"/>
        <w:ind w:left="558" w:right="0"/>
        <w:jc w:val="left"/>
      </w:pPr>
      <w:r>
        <w:rPr/>
        <w:t>（</w:t>
      </w:r>
      <w:r>
        <w:rPr>
          <w:rFonts w:ascii="宋体" w:hAnsi="宋体" w:cs="宋体" w:eastAsia="宋体" w:hint="default"/>
        </w:rPr>
        <w:t>9</w:t>
      </w:r>
      <w:r>
        <w:rPr/>
        <w:t>）折旧和摊销</w:t>
      </w:r>
      <w:r>
        <w:rPr>
          <w:w w:val="100"/>
        </w:rPr>
        <w:t> </w:t>
      </w:r>
      <w:r>
        <w:rPr>
          <w:spacing w:val="-2"/>
        </w:rPr>
        <w:t>本公司对投资性房地产、固定资产和无形资产在考虑其残值后，在使用寿命内按直线法计提</w:t>
      </w:r>
    </w:p>
    <w:p>
      <w:pPr>
        <w:pStyle w:val="BodyText"/>
        <w:spacing w:line="348" w:lineRule="auto" w:before="31"/>
        <w:ind w:right="137"/>
        <w:jc w:val="both"/>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spacing w:after="0" w:line="348"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638" w:right="126"/>
        <w:jc w:val="left"/>
      </w:pPr>
      <w:r>
        <w:rPr/>
        <w:t>（</w:t>
      </w:r>
      <w:r>
        <w:rPr>
          <w:rFonts w:ascii="宋体" w:hAnsi="宋体" w:cs="宋体" w:eastAsia="宋体" w:hint="default"/>
        </w:rPr>
        <w:t>10</w:t>
      </w:r>
      <w:r>
        <w:rPr/>
        <w:t>）递延所得税资产</w:t>
      </w:r>
      <w:r>
        <w:rPr>
          <w:w w:val="100"/>
        </w:rPr>
        <w:t> </w:t>
      </w:r>
      <w:r>
        <w:rPr>
          <w:spacing w:val="-2"/>
        </w:rPr>
        <w:t>在很有可能有足够的应纳税利润来抵扣亏损的限度内，本公司就所有未利用的税务亏损确认</w:t>
      </w:r>
    </w:p>
    <w:p>
      <w:pPr>
        <w:pStyle w:val="BodyText"/>
        <w:spacing w:line="348" w:lineRule="auto" w:before="29"/>
        <w:ind w:left="218" w:right="0"/>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350" w:lineRule="auto" w:before="31"/>
        <w:ind w:left="638" w:right="126"/>
        <w:jc w:val="left"/>
      </w:pPr>
      <w:r>
        <w:rPr/>
        <w:t>（</w:t>
      </w:r>
      <w:r>
        <w:rPr>
          <w:rFonts w:ascii="宋体" w:hAnsi="宋体" w:cs="宋体" w:eastAsia="宋体" w:hint="default"/>
        </w:rPr>
        <w:t>11</w:t>
      </w:r>
      <w:r>
        <w:rPr/>
        <w:t>）所得税</w:t>
      </w:r>
      <w:r>
        <w:rPr>
          <w:w w:val="100"/>
        </w:rPr>
        <w:t> </w:t>
      </w:r>
      <w:r>
        <w:rPr>
          <w:spacing w:val="-2"/>
        </w:rPr>
        <w:t>本公司在正常的经营活动中，有部分交易其最终的税务处理和计算存在一定的不确定性。部</w:t>
      </w:r>
    </w:p>
    <w:p>
      <w:pPr>
        <w:pStyle w:val="BodyText"/>
        <w:spacing w:line="350" w:lineRule="auto" w:before="27"/>
        <w:ind w:left="218" w:right="126"/>
        <w:jc w:val="left"/>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pStyle w:val="BodyText"/>
        <w:spacing w:line="348" w:lineRule="auto" w:before="30"/>
        <w:ind w:left="638" w:right="126"/>
        <w:jc w:val="left"/>
      </w:pPr>
      <w:r>
        <w:rPr/>
        <w:t>（</w:t>
      </w:r>
      <w:r>
        <w:rPr>
          <w:rFonts w:ascii="宋体" w:hAnsi="宋体" w:cs="宋体" w:eastAsia="宋体" w:hint="default"/>
        </w:rPr>
        <w:t>12</w:t>
      </w:r>
      <w:r>
        <w:rPr/>
        <w:t>）预计负债</w:t>
      </w:r>
      <w:r>
        <w:rPr>
          <w:spacing w:val="-103"/>
        </w:rPr>
        <w:t> </w:t>
      </w:r>
      <w:r>
        <w:rPr>
          <w:spacing w:val="-103"/>
        </w:rPr>
      </w:r>
      <w:r>
        <w:rPr>
          <w:spacing w:val="-2"/>
        </w:rPr>
        <w:t>本公司根据合约条款、现有知识及历史经验，对产品质量保证、预计合同亏损、延迟交货违</w:t>
      </w:r>
    </w:p>
    <w:p>
      <w:pPr>
        <w:pStyle w:val="BodyText"/>
        <w:spacing w:line="350" w:lineRule="auto" w:before="31"/>
        <w:ind w:left="218" w:right="237"/>
        <w:jc w:val="both"/>
      </w:pPr>
      <w:r>
        <w:rPr>
          <w:spacing w:val="-2"/>
        </w:rPr>
        <w:t>约金等估计并计提相应准备。在该等或有事项已经形成一项现时义务，且履行该等现时义务很可</w:t>
      </w:r>
      <w:r>
        <w:rPr>
          <w:spacing w:val="-25"/>
        </w:rPr>
        <w:t> </w:t>
      </w:r>
      <w:r>
        <w:rPr>
          <w:spacing w:val="-25"/>
        </w:rPr>
      </w: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348" w:lineRule="auto" w:before="29"/>
        <w:ind w:left="218" w:right="237" w:firstLine="419"/>
        <w:jc w:val="both"/>
      </w:pPr>
      <w:r>
        <w:rPr>
          <w:spacing w:val="-2"/>
        </w:rPr>
        <w:t>其中，本公司会就出售、维修及改造所售商品向客户提供的售后质量维修承诺预计负债。预</w:t>
      </w:r>
      <w:r>
        <w:rPr>
          <w:w w:val="100"/>
        </w:rPr>
        <w:t> </w:t>
      </w:r>
      <w:r>
        <w:rPr>
          <w:spacing w:val="-2"/>
        </w:rPr>
        <w:t>计负债时已考虑本公司近期的维修经验数据，但近期的维修经验可能无法反映将来的维修情况。</w:t>
      </w:r>
      <w:r>
        <w:rPr>
          <w:spacing w:val="-25"/>
        </w:rPr>
        <w:t> </w:t>
      </w:r>
      <w:r>
        <w:rPr>
          <w:spacing w:val="-25"/>
        </w:rPr>
      </w:r>
      <w:r>
        <w:rPr/>
        <w:t>这项准备的任何增加或减少，均可能影响未来年度的损益。</w:t>
      </w:r>
    </w:p>
    <w:p>
      <w:pPr>
        <w:spacing w:line="240" w:lineRule="auto" w:before="3"/>
        <w:rPr>
          <w:rFonts w:ascii="宋体" w:hAnsi="宋体" w:cs="宋体" w:eastAsia="宋体" w:hint="default"/>
          <w:sz w:val="24"/>
          <w:szCs w:val="24"/>
        </w:rPr>
      </w:pPr>
    </w:p>
    <w:p>
      <w:pPr>
        <w:pStyle w:val="Heading2"/>
        <w:spacing w:line="324"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3"/>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324" w:lineRule="auto" w:before="148"/>
        <w:ind w:right="8201"/>
        <w:jc w:val="left"/>
        <w:rPr>
          <w:rFonts w:ascii="宋体" w:hAnsi="宋体" w:cs="宋体" w:eastAsia="宋体" w:hint="default"/>
          <w:b w:val="0"/>
          <w:bCs w:val="0"/>
        </w:rPr>
      </w:pPr>
      <w:r>
        <w:rPr>
          <w:rFonts w:ascii="宋体" w:hAnsi="宋体" w:cs="宋体" w:eastAsia="宋体" w:hint="default"/>
        </w:rPr>
        <w:t>34.</w:t>
      </w:r>
      <w:r>
        <w:rPr>
          <w:rFonts w:ascii="宋体" w:hAnsi="宋体" w:cs="宋体" w:eastAsia="宋体" w:hint="default"/>
          <w:spacing w:val="2"/>
        </w:rPr>
        <w:t> </w:t>
      </w:r>
      <w:r>
        <w:rPr/>
        <w:t>其他</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r>
        <w:rPr/>
        <w:t>六、税项</w:t>
      </w:r>
      <w:r>
        <w:rPr>
          <w:b w:val="0"/>
          <w:bCs w:val="0"/>
        </w:rPr>
      </w:r>
    </w:p>
    <w:p>
      <w:pPr>
        <w:pStyle w:val="Heading2"/>
        <w:spacing w:line="240" w:lineRule="auto" w:before="97"/>
        <w:ind w:right="0"/>
        <w:jc w:val="both"/>
        <w:rPr>
          <w:b w:val="0"/>
          <w:bCs w:val="0"/>
        </w:rPr>
      </w:pPr>
      <w:r>
        <w:rPr>
          <w:rFonts w:ascii="宋体" w:hAnsi="宋体" w:cs="宋体" w:eastAsia="宋体" w:hint="default"/>
        </w:rPr>
        <w:t>1. </w:t>
      </w:r>
      <w:r>
        <w:rPr>
          <w:rFonts w:ascii="宋体" w:hAnsi="宋体" w:cs="宋体" w:eastAsia="宋体" w:hint="default"/>
          <w:spacing w:val="3"/>
        </w:rPr>
        <w:t> </w:t>
      </w:r>
      <w:r>
        <w:rPr/>
        <w:t>主要税种及税率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25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的税率计算</w:t>
            </w:r>
            <w:r>
              <w:rPr>
                <w:rFonts w:ascii="宋体" w:hAnsi="宋体" w:cs="宋体" w:eastAsia="宋体" w:hint="default"/>
                <w:w w:val="100"/>
                <w:sz w:val="21"/>
                <w:szCs w:val="21"/>
              </w:rPr>
              <w:t> </w:t>
            </w:r>
            <w:r>
              <w:rPr>
                <w:rFonts w:ascii="宋体" w:hAnsi="宋体" w:cs="宋体" w:eastAsia="宋体" w:hint="default"/>
                <w:spacing w:val="-2"/>
                <w:sz w:val="21"/>
                <w:szCs w:val="21"/>
              </w:rPr>
              <w:t>销项税，并按扣除当期允许抵扣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的进项税额后的差额计缴增值</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宋体" w:hAnsi="宋体" w:cs="宋体" w:eastAsia="宋体" w:hint="default"/>
                <w:spacing w:val="-47"/>
                <w:sz w:val="21"/>
                <w:szCs w:val="21"/>
              </w:rPr>
              <w:t> </w:t>
            </w:r>
            <w:r>
              <w:rPr>
                <w:rFonts w:ascii="宋体" w:hAnsi="宋体" w:cs="宋体" w:eastAsia="宋体" w:hint="default"/>
                <w:spacing w:val="-8"/>
                <w:sz w:val="21"/>
                <w:szCs w:val="21"/>
              </w:rPr>
              <w:t>3%</w:t>
            </w:r>
            <w:r>
              <w:rPr>
                <w:rFonts w:ascii="宋体" w:hAnsi="宋体" w:cs="宋体" w:eastAsia="宋体" w:hint="default"/>
                <w:spacing w:val="-8"/>
                <w:sz w:val="21"/>
                <w:szCs w:val="21"/>
              </w:rPr>
              <w:t>、</w:t>
            </w:r>
            <w:r>
              <w:rPr>
                <w:rFonts w:ascii="宋体" w:hAnsi="宋体" w:cs="宋体" w:eastAsia="宋体" w:hint="default"/>
                <w:spacing w:val="-8"/>
                <w:sz w:val="21"/>
                <w:szCs w:val="21"/>
              </w:rPr>
              <w:t>5%</w:t>
            </w:r>
            <w:r>
              <w:rPr>
                <w:rFonts w:ascii="宋体" w:hAnsi="宋体" w:cs="宋体" w:eastAsia="宋体" w:hint="default"/>
                <w:spacing w:val="-8"/>
                <w:sz w:val="21"/>
                <w:szCs w:val="21"/>
              </w:rPr>
              <w:t>计缴营业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bl>
    <w:p>
      <w:pPr>
        <w:spacing w:after="0" w:line="26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7"/>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详见下表</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按照提供广告服务取得的计费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销售额的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bl>
    <w:p>
      <w:pPr>
        <w:spacing w:line="240" w:lineRule="auto" w:before="2"/>
        <w:rPr>
          <w:rFonts w:ascii="宋体" w:hAnsi="宋体" w:cs="宋体" w:eastAsia="宋体" w:hint="default"/>
          <w:b/>
          <w:bCs/>
          <w:sz w:val="20"/>
          <w:szCs w:val="20"/>
        </w:rPr>
      </w:pPr>
    </w:p>
    <w:p>
      <w:pPr>
        <w:pStyle w:val="BodyText"/>
        <w:spacing w:line="240" w:lineRule="auto" w:before="36"/>
        <w:ind w:left="218" w:right="2940"/>
        <w:jc w:val="left"/>
      </w:pPr>
      <w:r>
        <w:rPr/>
        <w:t>存在不同企业所得税税率纳税主体的，披露情况说明</w:t>
      </w:r>
    </w:p>
    <w:p>
      <w:pPr>
        <w:pStyle w:val="BodyText"/>
        <w:spacing w:line="240" w:lineRule="auto" w:before="37"/>
        <w:ind w:left="218" w:right="294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7"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北京丹鼎四海文化传播有限公司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北京书香文府数字技术有限公司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北京聚点艺盛文化传播有限责任公司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衡阳天言信息技术有限公司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天津人民澳客科技有限公司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上海微屏投资管理有限公司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上海青露网络科技有限公司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芜湖阶梯网络技术有限公司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25%</w:t>
            </w:r>
          </w:p>
        </w:tc>
      </w:tr>
    </w:tbl>
    <w:p>
      <w:pPr>
        <w:pStyle w:val="BodyText"/>
        <w:spacing w:line="240" w:lineRule="auto" w:before="74"/>
        <w:ind w:left="700" w:right="2940"/>
        <w:jc w:val="left"/>
      </w:pPr>
      <w:r>
        <w:rPr/>
        <w:t>境外主要子公司主要税种和税率</w:t>
      </w:r>
    </w:p>
    <w:p>
      <w:pPr>
        <w:pStyle w:val="BodyText"/>
        <w:spacing w:line="240" w:lineRule="auto" w:before="124"/>
        <w:ind w:left="700" w:right="2940"/>
        <w:jc w:val="left"/>
      </w:pPr>
      <w:r>
        <w:rPr/>
        <w:t>①人民网香港有限责任公司主要税种和税率如下：</w:t>
      </w:r>
    </w:p>
    <w:p>
      <w:pPr>
        <w:spacing w:after="0" w:line="240" w:lineRule="auto"/>
        <w:jc w:val="left"/>
        <w:sectPr>
          <w:footerReference w:type="default" r:id="rId52"/>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73"/>
        <w:gridCol w:w="3204"/>
        <w:gridCol w:w="2941"/>
      </w:tblGrid>
      <w:tr>
        <w:trPr>
          <w:trHeight w:val="41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176"/>
              <w:jc w:val="right"/>
              <w:rPr>
                <w:rFonts w:ascii="宋体" w:hAnsi="宋体" w:cs="宋体" w:eastAsia="宋体" w:hint="default"/>
                <w:sz w:val="21"/>
                <w:szCs w:val="21"/>
              </w:rPr>
            </w:pPr>
            <w:r>
              <w:rPr>
                <w:rFonts w:ascii="宋体" w:hAnsi="宋体" w:cs="宋体" w:eastAsia="宋体" w:hint="default"/>
                <w:spacing w:val="-1"/>
                <w:sz w:val="21"/>
                <w:szCs w:val="21"/>
              </w:rPr>
              <w:t>计税依据</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率</w:t>
            </w:r>
          </w:p>
        </w:tc>
      </w:tr>
      <w:tr>
        <w:trPr>
          <w:trHeight w:val="410"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98"/>
              <w:jc w:val="right"/>
              <w:rPr>
                <w:rFonts w:ascii="宋体" w:hAnsi="宋体" w:cs="宋体" w:eastAsia="宋体" w:hint="default"/>
                <w:sz w:val="21"/>
                <w:szCs w:val="21"/>
              </w:rPr>
            </w:pPr>
            <w:r>
              <w:rPr>
                <w:rFonts w:ascii="宋体" w:hAnsi="宋体" w:cs="宋体" w:eastAsia="宋体" w:hint="default"/>
                <w:spacing w:val="-1"/>
                <w:sz w:val="21"/>
                <w:szCs w:val="21"/>
              </w:rPr>
              <w:t>按应纳税所得额计征</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16.5%</w:t>
            </w:r>
          </w:p>
        </w:tc>
      </w:tr>
    </w:tbl>
    <w:p>
      <w:pPr>
        <w:pStyle w:val="BodyText"/>
        <w:spacing w:line="240" w:lineRule="auto" w:before="74"/>
        <w:ind w:left="780" w:right="0"/>
        <w:jc w:val="left"/>
      </w:pPr>
      <w:r>
        <w:rPr/>
        <w:t>②人民网日本株式会社主要税种和税率如下：</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013"/>
        <w:gridCol w:w="3264"/>
        <w:gridCol w:w="2941"/>
      </w:tblGrid>
      <w:tr>
        <w:trPr>
          <w:trHeight w:val="322"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率</w:t>
            </w:r>
          </w:p>
        </w:tc>
      </w:tr>
      <w:tr>
        <w:trPr>
          <w:trHeight w:val="410"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25.50%</w:t>
            </w:r>
          </w:p>
        </w:tc>
      </w:tr>
      <w:tr>
        <w:trPr>
          <w:trHeight w:val="1436"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76"/>
              <w:ind w:left="100" w:right="-3"/>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w:t>
            </w:r>
            <w:r>
              <w:rPr>
                <w:rFonts w:ascii="宋体" w:hAnsi="宋体" w:cs="宋体" w:eastAsia="宋体" w:hint="default"/>
                <w:w w:val="100"/>
                <w:sz w:val="21"/>
                <w:szCs w:val="21"/>
              </w:rPr>
              <w:t> </w:t>
            </w:r>
            <w:r>
              <w:rPr>
                <w:rFonts w:ascii="宋体" w:hAnsi="宋体" w:cs="宋体" w:eastAsia="宋体" w:hint="default"/>
                <w:spacing w:val="-1"/>
                <w:sz w:val="21"/>
                <w:szCs w:val="21"/>
              </w:rPr>
              <w:t>税劳务收入为基础计算销项税额，</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在扣除当期允许抵扣的进项税额</w:t>
            </w:r>
            <w:r>
              <w:rPr>
                <w:rFonts w:ascii="宋体" w:hAnsi="宋体" w:cs="宋体" w:eastAsia="宋体" w:hint="default"/>
                <w:w w:val="100"/>
                <w:sz w:val="21"/>
                <w:szCs w:val="21"/>
              </w:rPr>
              <w:t> </w:t>
            </w:r>
            <w:r>
              <w:rPr>
                <w:rFonts w:ascii="宋体" w:hAnsi="宋体" w:cs="宋体" w:eastAsia="宋体" w:hint="default"/>
                <w:sz w:val="21"/>
                <w:szCs w:val="21"/>
              </w:rPr>
              <w:t>后，差额部分为应交消费税</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z w:val="21"/>
              </w:rPr>
              <w:t>8.00%</w:t>
            </w:r>
          </w:p>
        </w:tc>
      </w:tr>
      <w:tr>
        <w:trPr>
          <w:trHeight w:val="410" w:hRule="exact"/>
        </w:trPr>
        <w:tc>
          <w:tcPr>
            <w:tcW w:w="3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事业税</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1"/>
                <w:sz w:val="21"/>
                <w:szCs w:val="21"/>
              </w:rPr>
              <w:t> </w:t>
            </w:r>
            <w:r>
              <w:rPr>
                <w:rFonts w:ascii="宋体" w:hAnsi="宋体" w:cs="宋体" w:eastAsia="宋体" w:hint="default"/>
                <w:sz w:val="21"/>
                <w:szCs w:val="21"/>
              </w:rPr>
              <w:t>万日元以下</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2.70%</w:t>
            </w:r>
          </w:p>
        </w:tc>
      </w:tr>
      <w:tr>
        <w:trPr>
          <w:trHeight w:val="408" w:hRule="exact"/>
        </w:trPr>
        <w:tc>
          <w:tcPr>
            <w:tcW w:w="3013" w:type="dxa"/>
            <w:vMerge/>
            <w:tcBorders>
              <w:left w:val="single" w:sz="4" w:space="0" w:color="000000"/>
              <w:right w:val="single" w:sz="4" w:space="0" w:color="000000"/>
            </w:tcBorders>
          </w:tcPr>
          <w:p>
            <w:pP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超 </w:t>
            </w:r>
            <w:r>
              <w:rPr>
                <w:rFonts w:ascii="宋体" w:hAnsi="宋体" w:cs="宋体" w:eastAsia="宋体" w:hint="default"/>
                <w:sz w:val="21"/>
                <w:szCs w:val="21"/>
              </w:rPr>
              <w:t>400 </w:t>
            </w:r>
            <w:r>
              <w:rPr>
                <w:rFonts w:ascii="宋体" w:hAnsi="宋体" w:cs="宋体" w:eastAsia="宋体" w:hint="default"/>
                <w:sz w:val="21"/>
                <w:szCs w:val="21"/>
              </w:rPr>
              <w:t>万日元</w:t>
            </w:r>
            <w:r>
              <w:rPr>
                <w:rFonts w:ascii="宋体" w:hAnsi="宋体" w:cs="宋体" w:eastAsia="宋体" w:hint="default"/>
                <w:sz w:val="21"/>
                <w:szCs w:val="21"/>
              </w:rPr>
              <w:t>~ 800</w:t>
            </w:r>
            <w:r>
              <w:rPr>
                <w:rFonts w:ascii="宋体" w:hAnsi="宋体" w:cs="宋体" w:eastAsia="宋体" w:hint="default"/>
                <w:spacing w:val="-54"/>
                <w:sz w:val="21"/>
                <w:szCs w:val="21"/>
              </w:rPr>
              <w:t> </w:t>
            </w:r>
            <w:r>
              <w:rPr>
                <w:rFonts w:ascii="宋体" w:hAnsi="宋体" w:cs="宋体" w:eastAsia="宋体" w:hint="default"/>
                <w:sz w:val="21"/>
                <w:szCs w:val="21"/>
              </w:rPr>
              <w:t>万日元以下</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4.00%</w:t>
            </w:r>
          </w:p>
        </w:tc>
      </w:tr>
      <w:tr>
        <w:trPr>
          <w:trHeight w:val="410" w:hRule="exact"/>
        </w:trPr>
        <w:tc>
          <w:tcPr>
            <w:tcW w:w="3013" w:type="dxa"/>
            <w:vMerge/>
            <w:tcBorders>
              <w:left w:val="single" w:sz="4" w:space="0" w:color="000000"/>
              <w:bottom w:val="single" w:sz="4" w:space="0" w:color="000000"/>
              <w:right w:val="single" w:sz="4" w:space="0" w:color="000000"/>
            </w:tcBorders>
          </w:tcPr>
          <w:p>
            <w:pP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超 </w:t>
            </w:r>
            <w:r>
              <w:rPr>
                <w:rFonts w:ascii="宋体" w:hAnsi="宋体" w:cs="宋体" w:eastAsia="宋体" w:hint="default"/>
                <w:sz w:val="21"/>
                <w:szCs w:val="21"/>
              </w:rPr>
              <w:t>800</w:t>
            </w:r>
            <w:r>
              <w:rPr>
                <w:rFonts w:ascii="宋体" w:hAnsi="宋体" w:cs="宋体" w:eastAsia="宋体" w:hint="default"/>
                <w:spacing w:val="-52"/>
                <w:sz w:val="21"/>
                <w:szCs w:val="21"/>
              </w:rPr>
              <w:t> </w:t>
            </w:r>
            <w:r>
              <w:rPr>
                <w:rFonts w:ascii="宋体" w:hAnsi="宋体" w:cs="宋体" w:eastAsia="宋体" w:hint="default"/>
                <w:sz w:val="21"/>
                <w:szCs w:val="21"/>
              </w:rPr>
              <w:t>万日元</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5.30%</w:t>
            </w:r>
          </w:p>
        </w:tc>
      </w:tr>
      <w:tr>
        <w:trPr>
          <w:trHeight w:val="410"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地方特別法人税</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事业税额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81.00%</w:t>
            </w:r>
          </w:p>
        </w:tc>
      </w:tr>
      <w:tr>
        <w:trPr>
          <w:trHeight w:val="410"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东京都民税</w:t>
            </w:r>
          </w:p>
        </w:tc>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法人税额十平均额</w:t>
            </w:r>
            <w:r>
              <w:rPr>
                <w:rFonts w:ascii="宋体" w:hAnsi="宋体" w:cs="宋体" w:eastAsia="宋体" w:hint="default"/>
                <w:sz w:val="21"/>
                <w:szCs w:val="21"/>
              </w:rPr>
              <w:t>(</w:t>
            </w:r>
            <w:r>
              <w:rPr>
                <w:rFonts w:ascii="宋体" w:hAnsi="宋体" w:cs="宋体" w:eastAsia="宋体" w:hint="default"/>
                <w:sz w:val="21"/>
                <w:szCs w:val="21"/>
              </w:rPr>
              <w:t>日元</w:t>
            </w:r>
            <w:r>
              <w:rPr>
                <w:rFonts w:ascii="宋体" w:hAnsi="宋体" w:cs="宋体" w:eastAsia="宋体" w:hint="default"/>
                <w:sz w:val="21"/>
                <w:szCs w:val="21"/>
              </w:rPr>
              <w:t>)</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hAnsi="宋体" w:cs="宋体" w:eastAsia="宋体" w:hint="default"/>
                <w:sz w:val="21"/>
                <w:szCs w:val="21"/>
              </w:rPr>
              <w:t>17.3 %+180,000.00</w:t>
            </w:r>
            <w:r>
              <w:rPr>
                <w:rFonts w:ascii="宋体" w:hAnsi="宋体" w:cs="宋体" w:eastAsia="宋体" w:hint="default"/>
                <w:spacing w:val="1"/>
                <w:sz w:val="21"/>
                <w:szCs w:val="21"/>
              </w:rPr>
              <w:t> </w:t>
            </w:r>
            <w:r>
              <w:rPr>
                <w:rFonts w:ascii="宋体" w:hAnsi="宋体" w:cs="宋体" w:eastAsia="宋体" w:hint="default"/>
                <w:sz w:val="21"/>
                <w:szCs w:val="21"/>
              </w:rPr>
              <w:t>日元</w:t>
            </w:r>
          </w:p>
        </w:tc>
      </w:tr>
    </w:tbl>
    <w:p>
      <w:pPr>
        <w:spacing w:line="240" w:lineRule="auto" w:before="9"/>
        <w:rPr>
          <w:rFonts w:ascii="宋体" w:hAnsi="宋体" w:cs="宋体" w:eastAsia="宋体" w:hint="default"/>
          <w:sz w:val="24"/>
          <w:szCs w:val="24"/>
        </w:rPr>
      </w:pPr>
    </w:p>
    <w:p>
      <w:pPr>
        <w:pStyle w:val="Heading2"/>
        <w:tabs>
          <w:tab w:pos="722" w:val="left" w:leader="none"/>
        </w:tabs>
        <w:spacing w:line="240" w:lineRule="auto" w:before="36"/>
        <w:ind w:left="298" w:right="0"/>
        <w:jc w:val="left"/>
        <w:rPr>
          <w:b w:val="0"/>
          <w:bCs w:val="0"/>
        </w:rPr>
      </w:pPr>
      <w:r>
        <w:rPr>
          <w:rFonts w:ascii="宋体" w:hAnsi="宋体" w:cs="宋体" w:eastAsia="宋体" w:hint="default"/>
          <w:w w:val="95"/>
        </w:rPr>
        <w:t>2.</w:t>
        <w:tab/>
      </w:r>
      <w:r>
        <w:rPr/>
        <w:t>税收优惠</w:t>
      </w:r>
      <w:r>
        <w:rPr>
          <w:b w:val="0"/>
          <w:bCs w:val="0"/>
        </w:rPr>
      </w:r>
    </w:p>
    <w:p>
      <w:pPr>
        <w:pStyle w:val="BodyText"/>
        <w:spacing w:line="350" w:lineRule="auto" w:before="162"/>
        <w:ind w:left="298" w:right="308" w:firstLine="419"/>
        <w:jc w:val="both"/>
      </w:pPr>
      <w:r>
        <w:rPr>
          <w:spacing w:val="-4"/>
        </w:rPr>
        <w:t>（</w:t>
      </w:r>
      <w:r>
        <w:rPr>
          <w:rFonts w:ascii="宋体" w:hAnsi="宋体" w:cs="宋体" w:eastAsia="宋体" w:hint="default"/>
          <w:spacing w:val="-4"/>
        </w:rPr>
        <w:t>1</w:t>
      </w:r>
      <w:r>
        <w:rPr>
          <w:spacing w:val="-4"/>
        </w:rPr>
        <w:t>）人民网股份有限公司根据财政部、国家税务总局、中宣部下发《关于继续实施文化体制</w:t>
      </w:r>
      <w:r>
        <w:rPr>
          <w:w w:val="100"/>
        </w:rPr>
        <w:t> </w:t>
      </w:r>
      <w:r>
        <w:rPr>
          <w:spacing w:val="-2"/>
        </w:rPr>
        <w:t>改革中经营性文化事业单位转制为企业若干税收政策的通知》（财税【</w:t>
      </w:r>
      <w:r>
        <w:rPr>
          <w:rFonts w:ascii="宋体" w:hAnsi="宋体" w:cs="宋体" w:eastAsia="宋体" w:hint="default"/>
          <w:spacing w:val="-2"/>
        </w:rPr>
        <w:t>2014</w:t>
      </w:r>
      <w:r>
        <w:rPr>
          <w:spacing w:val="-2"/>
        </w:rPr>
        <w:t>】</w:t>
      </w:r>
      <w:r>
        <w:rPr>
          <w:rFonts w:ascii="宋体" w:hAnsi="宋体" w:cs="宋体" w:eastAsia="宋体" w:hint="default"/>
          <w:spacing w:val="-2"/>
        </w:rPr>
        <w:t>84</w:t>
      </w:r>
      <w:r>
        <w:rPr>
          <w:spacing w:val="-2"/>
        </w:rPr>
        <w:t>号）规定，可继</w:t>
      </w:r>
      <w:r>
        <w:rPr>
          <w:spacing w:val="-19"/>
        </w:rPr>
        <w:t> </w:t>
      </w:r>
      <w:r>
        <w:rPr>
          <w:spacing w:val="-19"/>
        </w:rPr>
      </w:r>
      <w:r>
        <w:rPr>
          <w:spacing w:val="-2"/>
        </w:rPr>
        <w:t>续享受《财政部国家税务总局关于文化体制改革中经营性文化事业单位转制为企业的若干税收优</w:t>
      </w:r>
      <w:r>
        <w:rPr>
          <w:spacing w:val="-25"/>
        </w:rPr>
        <w:t> </w:t>
      </w:r>
      <w:r>
        <w:rPr>
          <w:spacing w:val="-25"/>
        </w:rPr>
      </w:r>
      <w:r>
        <w:rPr>
          <w:spacing w:val="-2"/>
        </w:rPr>
        <w:t>惠政策问题的通知》（财税【</w:t>
      </w:r>
      <w:r>
        <w:rPr>
          <w:rFonts w:ascii="宋体" w:hAnsi="宋体" w:cs="宋体" w:eastAsia="宋体" w:hint="default"/>
          <w:spacing w:val="-2"/>
        </w:rPr>
        <w:t>2009</w:t>
      </w:r>
      <w:r>
        <w:rPr>
          <w:spacing w:val="-2"/>
        </w:rPr>
        <w:t>】</w:t>
      </w:r>
      <w:r>
        <w:rPr>
          <w:rFonts w:ascii="宋体" w:hAnsi="宋体" w:cs="宋体" w:eastAsia="宋体" w:hint="default"/>
          <w:spacing w:val="-2"/>
        </w:rPr>
        <w:t>34</w:t>
      </w:r>
      <w:r>
        <w:rPr>
          <w:spacing w:val="-2"/>
        </w:rPr>
        <w:t>号）规定的税收政策。</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日免</w:t>
      </w:r>
      <w:r>
        <w:rPr>
          <w:spacing w:val="-6"/>
        </w:rPr>
        <w:t> </w:t>
      </w:r>
      <w:r>
        <w:rPr/>
        <w:t>征企业所得税。</w:t>
      </w:r>
    </w:p>
    <w:p>
      <w:pPr>
        <w:pStyle w:val="BodyText"/>
        <w:spacing w:line="350" w:lineRule="auto" w:before="27"/>
        <w:ind w:left="298" w:right="308" w:firstLine="419"/>
        <w:jc w:val="both"/>
      </w:pPr>
      <w:r>
        <w:rPr>
          <w:spacing w:val="-4"/>
        </w:rPr>
        <w:t>（</w:t>
      </w:r>
      <w:r>
        <w:rPr>
          <w:rFonts w:ascii="宋体" w:hAnsi="宋体" w:cs="宋体" w:eastAsia="宋体" w:hint="default"/>
          <w:spacing w:val="-4"/>
        </w:rPr>
        <w:t>2</w:t>
      </w:r>
      <w:r>
        <w:rPr>
          <w:spacing w:val="-4"/>
        </w:rPr>
        <w:t>）微屏软件科技（上海）有限公司被上海市经济和信息化委员会认定为双软企业，颁发了</w:t>
      </w:r>
      <w:r>
        <w:rPr>
          <w:w w:val="100"/>
        </w:rPr>
        <w:t> </w:t>
      </w:r>
      <w:r>
        <w:rPr>
          <w:spacing w:val="-2"/>
        </w:rPr>
        <w:t>编号为沪</w:t>
      </w:r>
      <w:r>
        <w:rPr>
          <w:rFonts w:ascii="宋体" w:hAnsi="宋体" w:cs="宋体" w:eastAsia="宋体" w:hint="default"/>
          <w:spacing w:val="-2"/>
        </w:rPr>
        <w:t>DGY-2013-0379</w:t>
      </w:r>
      <w:r>
        <w:rPr>
          <w:spacing w:val="-2"/>
        </w:rPr>
        <w:t>的软件产品登记证书和编号为沪</w:t>
      </w:r>
      <w:r>
        <w:rPr>
          <w:rFonts w:ascii="宋体" w:hAnsi="宋体" w:cs="宋体" w:eastAsia="宋体" w:hint="default"/>
          <w:spacing w:val="-2"/>
        </w:rPr>
        <w:t>R-2013-0034</w:t>
      </w:r>
      <w:r>
        <w:rPr>
          <w:spacing w:val="-2"/>
        </w:rPr>
        <w:t>的软件企业认定证书；根据</w:t>
      </w:r>
    </w:p>
    <w:p>
      <w:pPr>
        <w:pStyle w:val="BodyText"/>
        <w:spacing w:line="348" w:lineRule="auto" w:before="29"/>
        <w:ind w:left="298" w:right="0"/>
        <w:jc w:val="left"/>
      </w:pPr>
      <w:r>
        <w:rPr>
          <w:spacing w:val="-6"/>
          <w:w w:val="100"/>
        </w:rPr>
        <w:t>《财政部国家税务总局关于进一步鼓励软件产业和集成电路产业发展企业所得税政策的通知》（财</w:t>
      </w:r>
      <w:r>
        <w:rPr>
          <w:w w:val="100"/>
        </w:rPr>
        <w:t> </w:t>
      </w:r>
      <w:r>
        <w:rPr/>
        <w:t>税【</w:t>
      </w:r>
      <w:r>
        <w:rPr>
          <w:rFonts w:ascii="宋体" w:hAnsi="宋体" w:cs="宋体" w:eastAsia="宋体" w:hint="default"/>
        </w:rPr>
        <w:t>2012</w:t>
      </w:r>
      <w:r>
        <w:rPr/>
        <w:t>】</w:t>
      </w:r>
      <w:r>
        <w:rPr>
          <w:rFonts w:ascii="宋体" w:hAnsi="宋体" w:cs="宋体" w:eastAsia="宋体" w:hint="default"/>
        </w:rPr>
        <w:t>27</w:t>
      </w:r>
      <w:r>
        <w:rPr/>
        <w:t>号）的相关规定，新创办软件企业经认定后，自获利年度起，享受企业所得税“两</w:t>
      </w:r>
      <w:r>
        <w:rPr>
          <w:w w:val="100"/>
        </w:rPr>
        <w:t> </w:t>
      </w:r>
      <w:r>
        <w:rPr>
          <w:spacing w:val="-4"/>
        </w:rPr>
        <w:t>免三减半”的优惠政策；公司</w:t>
      </w:r>
      <w:r>
        <w:rPr>
          <w:rFonts w:ascii="宋体" w:hAnsi="宋体" w:cs="宋体" w:eastAsia="宋体" w:hint="default"/>
          <w:spacing w:val="-4"/>
        </w:rPr>
        <w:t>2015</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12</w:t>
      </w:r>
      <w:r>
        <w:rPr>
          <w:spacing w:val="-4"/>
        </w:rPr>
        <w:t>日取得上海市嘉定区财税局沪地税嘉六【</w:t>
      </w:r>
      <w:r>
        <w:rPr>
          <w:rFonts w:ascii="宋体" w:hAnsi="宋体" w:cs="宋体" w:eastAsia="宋体" w:hint="default"/>
          <w:spacing w:val="-4"/>
        </w:rPr>
        <w:t>2015</w:t>
      </w:r>
      <w:r>
        <w:rPr>
          <w:spacing w:val="-4"/>
        </w:rPr>
        <w:t>】</w:t>
      </w:r>
      <w:r>
        <w:rPr>
          <w:rFonts w:ascii="宋体" w:hAnsi="宋体" w:cs="宋体" w:eastAsia="宋体" w:hint="default"/>
          <w:spacing w:val="-4"/>
        </w:rPr>
        <w:t>000006</w:t>
      </w:r>
      <w:r>
        <w:rPr>
          <w:rFonts w:ascii="宋体" w:hAnsi="宋体" w:cs="宋体" w:eastAsia="宋体" w:hint="default"/>
          <w:spacing w:val="-6"/>
        </w:rPr>
        <w:t> </w:t>
      </w:r>
      <w:r>
        <w:rPr>
          <w:rFonts w:ascii="宋体" w:hAnsi="宋体" w:cs="宋体" w:eastAsia="宋体" w:hint="default"/>
          <w:spacing w:val="-6"/>
        </w:rPr>
      </w:r>
      <w:r>
        <w:rPr>
          <w:spacing w:val="-4"/>
        </w:rPr>
        <w:t>号批文，同意微屏软件科技（上海）有限公司自</w:t>
      </w:r>
      <w:r>
        <w:rPr>
          <w:rFonts w:ascii="宋体" w:hAnsi="宋体" w:cs="宋体" w:eastAsia="宋体" w:hint="default"/>
          <w:spacing w:val="-4"/>
        </w:rPr>
        <w:t>2014</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日免征企业所得税，</w:t>
      </w:r>
      <w:r>
        <w:rPr>
          <w:spacing w:val="-7"/>
        </w:rPr>
        <w:t> </w:t>
      </w:r>
      <w:r>
        <w:rPr>
          <w:spacing w:val="-7"/>
        </w:rPr>
      </w:r>
      <w:r>
        <w:rPr/>
        <w:t>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月</w:t>
      </w:r>
      <w:r>
        <w:rPr>
          <w:rFonts w:ascii="宋体" w:hAnsi="宋体" w:cs="宋体" w:eastAsia="宋体" w:hint="default"/>
        </w:rPr>
        <w:t>12</w:t>
      </w:r>
      <w:r>
        <w:rPr/>
        <w:t>月</w:t>
      </w:r>
      <w:r>
        <w:rPr>
          <w:rFonts w:ascii="宋体" w:hAnsi="宋体" w:cs="宋体" w:eastAsia="宋体" w:hint="default"/>
        </w:rPr>
        <w:t>31</w:t>
      </w:r>
      <w:r>
        <w:rPr/>
        <w:t>日减半征收企业所得税。</w:t>
      </w:r>
    </w:p>
    <w:p>
      <w:pPr>
        <w:pStyle w:val="BodyText"/>
        <w:spacing w:line="350" w:lineRule="auto" w:before="31"/>
        <w:ind w:left="298" w:right="308" w:firstLine="419"/>
        <w:jc w:val="both"/>
      </w:pPr>
      <w:r>
        <w:rPr>
          <w:spacing w:val="-4"/>
        </w:rPr>
        <w:t>（</w:t>
      </w:r>
      <w:r>
        <w:rPr>
          <w:rFonts w:ascii="宋体" w:hAnsi="宋体" w:cs="宋体" w:eastAsia="宋体" w:hint="default"/>
          <w:spacing w:val="-4"/>
        </w:rPr>
        <w:t>3</w:t>
      </w:r>
      <w:r>
        <w:rPr>
          <w:spacing w:val="-4"/>
        </w:rPr>
        <w:t>）成都古羌科技有限公司根据《国家税务总局关于深入实施西部大开发战略有关企业所得</w:t>
      </w:r>
      <w:r>
        <w:rPr>
          <w:w w:val="100"/>
        </w:rPr>
        <w:t> </w:t>
      </w:r>
      <w:r>
        <w:rPr>
          <w:spacing w:val="-2"/>
        </w:rPr>
        <w:t>税问题的公告》（国税总局【</w:t>
      </w:r>
      <w:r>
        <w:rPr>
          <w:rFonts w:ascii="宋体" w:hAnsi="宋体" w:cs="宋体" w:eastAsia="宋体" w:hint="default"/>
          <w:spacing w:val="-2"/>
        </w:rPr>
        <w:t>2012</w:t>
      </w:r>
      <w:r>
        <w:rPr>
          <w:spacing w:val="-2"/>
        </w:rPr>
        <w:t>】</w:t>
      </w:r>
      <w:r>
        <w:rPr>
          <w:rFonts w:ascii="宋体" w:hAnsi="宋体" w:cs="宋体" w:eastAsia="宋体" w:hint="default"/>
          <w:spacing w:val="-2"/>
        </w:rPr>
        <w:t>12</w:t>
      </w:r>
      <w:r>
        <w:rPr>
          <w:spacing w:val="-2"/>
        </w:rPr>
        <w:t>号）自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日，对设在西部地区</w:t>
      </w:r>
      <w:r>
        <w:rPr>
          <w:spacing w:val="-5"/>
        </w:rPr>
        <w:t> </w:t>
      </w:r>
      <w:r>
        <w:rPr>
          <w:spacing w:val="-5"/>
        </w:rPr>
      </w:r>
      <w:r>
        <w:rPr>
          <w:spacing w:val="-2"/>
        </w:rPr>
        <w:t>以《西部地区鼓励类产业目录》中规定的产业项目为主营业务，且其当年度主营业务收入占企业</w:t>
      </w:r>
      <w:r>
        <w:rPr>
          <w:spacing w:val="-25"/>
        </w:rPr>
        <w:t> </w:t>
      </w:r>
      <w:r>
        <w:rPr>
          <w:spacing w:val="-25"/>
        </w:rPr>
      </w:r>
      <w:r>
        <w:rPr>
          <w:spacing w:val="-2"/>
        </w:rPr>
        <w:t>收入总额</w:t>
      </w:r>
      <w:r>
        <w:rPr>
          <w:rFonts w:ascii="宋体" w:hAnsi="宋体" w:cs="宋体" w:eastAsia="宋体" w:hint="default"/>
          <w:spacing w:val="-2"/>
        </w:rPr>
        <w:t>70</w:t>
      </w:r>
      <w:r>
        <w:rPr>
          <w:spacing w:val="-2"/>
        </w:rPr>
        <w:t>％以上的企业，经企业申请，主管税务机关审核确认后，可减按</w:t>
      </w:r>
      <w:r>
        <w:rPr>
          <w:rFonts w:ascii="宋体" w:hAnsi="宋体" w:cs="宋体" w:eastAsia="宋体" w:hint="default"/>
          <w:spacing w:val="-2"/>
        </w:rPr>
        <w:t>15</w:t>
      </w:r>
      <w:r>
        <w:rPr>
          <w:spacing w:val="-2"/>
        </w:rPr>
        <w:t>％税率缴纳企业所</w:t>
      </w:r>
      <w:r>
        <w:rPr>
          <w:spacing w:val="-25"/>
        </w:rPr>
        <w:t> </w:t>
      </w:r>
      <w:r>
        <w:rPr>
          <w:spacing w:val="-25"/>
        </w:rPr>
      </w:r>
      <w:r>
        <w:rPr/>
        <w:t>得税。本年度已通过主管税务机关审核，按</w:t>
      </w:r>
      <w:r>
        <w:rPr>
          <w:rFonts w:ascii="宋体" w:hAnsi="宋体" w:cs="宋体" w:eastAsia="宋体" w:hint="default"/>
        </w:rPr>
        <w:t>15</w:t>
      </w:r>
      <w:r>
        <w:rPr/>
        <w:t>％税率缴纳企业所得税。</w:t>
      </w:r>
    </w:p>
    <w:p>
      <w:pPr>
        <w:pStyle w:val="BodyText"/>
        <w:spacing w:line="350" w:lineRule="auto" w:before="27"/>
        <w:ind w:left="298" w:right="318" w:firstLine="419"/>
        <w:jc w:val="both"/>
      </w:pPr>
      <w:r>
        <w:rPr/>
        <w:t>（</w:t>
      </w:r>
      <w:r>
        <w:rPr>
          <w:rFonts w:ascii="宋体" w:hAnsi="宋体" w:cs="宋体" w:eastAsia="宋体" w:hint="default"/>
        </w:rPr>
        <w:t>4</w:t>
      </w:r>
      <w:r>
        <w:rPr/>
        <w:t>）人民澳客传媒科技有限公司于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日被认定为高新技术企业，取得了编号为</w:t>
      </w:r>
      <w:r>
        <w:rPr>
          <w:w w:val="100"/>
        </w:rPr>
        <w:t> </w:t>
      </w:r>
      <w:r>
        <w:rPr>
          <w:rFonts w:ascii="宋体" w:hAnsi="宋体" w:cs="宋体" w:eastAsia="宋体" w:hint="default"/>
          <w:spacing w:val="-2"/>
        </w:rPr>
        <w:t>GR201411001798</w:t>
      </w:r>
      <w:r>
        <w:rPr>
          <w:spacing w:val="-2"/>
        </w:rPr>
        <w:t>的高新技术企业证书，有效期为三年，根据《中华人民共和国企业所得税法》、</w:t>
      </w:r>
    </w:p>
    <w:p>
      <w:pPr>
        <w:spacing w:after="0" w:line="350" w:lineRule="auto"/>
        <w:jc w:val="both"/>
        <w:sectPr>
          <w:footerReference w:type="default" r:id="rId53"/>
          <w:pgSz w:w="11910" w:h="16840"/>
          <w:pgMar w:footer="1195" w:header="882" w:top="1120" w:bottom="1380" w:left="1500" w:right="960"/>
          <w:pgNumType w:start="9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50" w:lineRule="auto"/>
        <w:ind w:right="217"/>
        <w:jc w:val="both"/>
      </w:pPr>
      <w:r>
        <w:rPr>
          <w:spacing w:val="-2"/>
        </w:rPr>
        <w:t>《中华人民共和国企业所得税法实施条例》有关高新技术企业税收优惠的规定，公司在高新技术</w:t>
      </w:r>
      <w:r>
        <w:rPr>
          <w:spacing w:val="-25"/>
        </w:rPr>
        <w:t> </w:t>
      </w:r>
      <w:r>
        <w:rPr>
          <w:spacing w:val="-25"/>
        </w:rPr>
      </w:r>
      <w:r>
        <w:rPr/>
        <w:t>企业资格有效期内可减按</w:t>
      </w:r>
      <w:r>
        <w:rPr>
          <w:rFonts w:ascii="宋体" w:hAnsi="宋体" w:cs="宋体" w:eastAsia="宋体" w:hint="default"/>
        </w:rPr>
        <w:t>15%</w:t>
      </w:r>
      <w:r>
        <w:rPr/>
        <w:t>的税率计缴企业所得税。</w:t>
      </w:r>
    </w:p>
    <w:p>
      <w:pPr>
        <w:pStyle w:val="BodyText"/>
        <w:spacing w:line="240" w:lineRule="auto" w:before="29"/>
        <w:ind w:left="541" w:right="520"/>
        <w:jc w:val="center"/>
      </w:pPr>
      <w:r>
        <w:rPr/>
        <w:t>（</w:t>
      </w:r>
      <w:r>
        <w:rPr>
          <w:rFonts w:ascii="宋体" w:hAnsi="宋体" w:cs="宋体" w:eastAsia="宋体" w:hint="default"/>
        </w:rPr>
        <w:t>5</w:t>
      </w:r>
      <w:r>
        <w:rPr/>
        <w:t>）人民视讯文化有限公司北京市经济和信息化委员会认定为软件企业，颁发了编号为</w:t>
      </w:r>
    </w:p>
    <w:p>
      <w:pPr>
        <w:pStyle w:val="BodyText"/>
        <w:spacing w:line="350" w:lineRule="auto" w:before="123"/>
        <w:ind w:right="208"/>
        <w:jc w:val="both"/>
      </w:pPr>
      <w:r>
        <w:rPr>
          <w:rFonts w:ascii="宋体" w:hAnsi="宋体" w:cs="宋体" w:eastAsia="宋体" w:hint="default"/>
          <w:spacing w:val="-4"/>
        </w:rPr>
        <w:t>R-2013-1864</w:t>
      </w:r>
      <w:r>
        <w:rPr>
          <w:spacing w:val="-4"/>
        </w:rPr>
        <w:t>号软件企业认定证书，根据《财政部国家税务总局关于进一步鼓励软件产业和集成电</w:t>
      </w:r>
      <w:r>
        <w:rPr>
          <w:spacing w:val="-14"/>
        </w:rPr>
        <w:t> </w:t>
      </w:r>
      <w:r>
        <w:rPr>
          <w:spacing w:val="-14"/>
        </w:rPr>
      </w:r>
      <w:r>
        <w:rPr>
          <w:spacing w:val="-2"/>
        </w:rPr>
        <w:t>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号）的规定，</w:t>
      </w:r>
      <w:r>
        <w:rPr>
          <w:rFonts w:ascii="宋体" w:hAnsi="宋体" w:cs="宋体" w:eastAsia="宋体" w:hint="default"/>
          <w:spacing w:val="-2"/>
        </w:rPr>
        <w:t>2013</w:t>
      </w:r>
      <w:r>
        <w:rPr>
          <w:spacing w:val="-2"/>
        </w:rPr>
        <w:t>年度免征企业所得税，</w:t>
      </w:r>
      <w:r>
        <w:rPr>
          <w:spacing w:val="-16"/>
        </w:rPr>
        <w:t> </w:t>
      </w:r>
      <w:r>
        <w:rPr>
          <w:spacing w:val="-16"/>
        </w:rPr>
      </w:r>
      <w:r>
        <w:rPr/>
        <w:t>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月</w:t>
      </w:r>
      <w:r>
        <w:rPr>
          <w:rFonts w:ascii="宋体" w:hAnsi="宋体" w:cs="宋体" w:eastAsia="宋体" w:hint="default"/>
        </w:rPr>
        <w:t>12</w:t>
      </w:r>
      <w:r>
        <w:rPr/>
        <w:t>月</w:t>
      </w:r>
      <w:r>
        <w:rPr>
          <w:rFonts w:ascii="宋体" w:hAnsi="宋体" w:cs="宋体" w:eastAsia="宋体" w:hint="default"/>
        </w:rPr>
        <w:t>31</w:t>
      </w:r>
      <w:r>
        <w:rPr/>
        <w:t>日减半征收企业所得税，本年度所得税率为</w:t>
      </w:r>
      <w:r>
        <w:rPr>
          <w:rFonts w:ascii="宋体" w:hAnsi="宋体" w:cs="宋体" w:eastAsia="宋体" w:hint="default"/>
        </w:rPr>
        <w:t>12.5%</w:t>
      </w:r>
      <w:r>
        <w:rPr/>
        <w:t>。</w:t>
      </w:r>
    </w:p>
    <w:p>
      <w:pPr>
        <w:pStyle w:val="BodyText"/>
        <w:spacing w:line="350" w:lineRule="auto" w:before="27"/>
        <w:ind w:right="104" w:firstLine="419"/>
        <w:jc w:val="both"/>
      </w:pPr>
      <w:r>
        <w:rPr>
          <w:spacing w:val="-4"/>
        </w:rPr>
        <w:t>（</w:t>
      </w:r>
      <w:r>
        <w:rPr>
          <w:rFonts w:ascii="宋体" w:hAnsi="宋体" w:cs="宋体" w:eastAsia="宋体" w:hint="default"/>
          <w:spacing w:val="-4"/>
        </w:rPr>
        <w:t>6</w:t>
      </w:r>
      <w:r>
        <w:rPr>
          <w:spacing w:val="-4"/>
        </w:rPr>
        <w:t>）北京人民在线网络有限公司被北京市经济和信息化委员会认定为软件企业，颁发了编号</w:t>
      </w:r>
      <w:r>
        <w:rPr>
          <w:w w:val="100"/>
        </w:rPr>
        <w:t> </w:t>
      </w:r>
      <w:r>
        <w:rPr>
          <w:spacing w:val="-4"/>
        </w:rPr>
        <w:t>为京</w:t>
      </w:r>
      <w:r>
        <w:rPr>
          <w:rFonts w:ascii="宋体" w:hAnsi="宋体" w:cs="宋体" w:eastAsia="宋体" w:hint="default"/>
          <w:spacing w:val="-4"/>
        </w:rPr>
        <w:t>R-2013-0252</w:t>
      </w:r>
      <w:r>
        <w:rPr>
          <w:spacing w:val="-4"/>
        </w:rPr>
        <w:t>号软件企业认定证书，根据《财政部国家税务总局关于进一步鼓励软件产业和集</w:t>
      </w:r>
      <w:r>
        <w:rPr>
          <w:spacing w:val="-14"/>
        </w:rPr>
        <w:t> </w:t>
      </w:r>
      <w:r>
        <w:rPr>
          <w:spacing w:val="-14"/>
        </w:rPr>
      </w:r>
      <w:r>
        <w:rPr/>
        <w:t>成电路产业发展企业所得税政策的通知》（财税【</w:t>
      </w:r>
      <w:r>
        <w:rPr>
          <w:rFonts w:ascii="宋体" w:hAnsi="宋体" w:cs="宋体" w:eastAsia="宋体" w:hint="default"/>
        </w:rPr>
        <w:t>2012</w:t>
      </w:r>
      <w:r>
        <w:rPr/>
        <w:t>】</w:t>
      </w:r>
      <w:r>
        <w:rPr>
          <w:rFonts w:ascii="宋体" w:hAnsi="宋体" w:cs="宋体" w:eastAsia="宋体" w:hint="default"/>
        </w:rPr>
        <w:t>27</w:t>
      </w:r>
      <w:r>
        <w:rPr/>
        <w:t>号）的规定，</w:t>
      </w:r>
      <w:r>
        <w:rPr>
          <w:rFonts w:ascii="宋体" w:hAnsi="宋体" w:cs="宋体" w:eastAsia="宋体" w:hint="default"/>
        </w:rPr>
        <w:t>2012</w:t>
      </w:r>
      <w:r>
        <w:rPr/>
        <w:t>年度至</w:t>
      </w:r>
      <w:r>
        <w:rPr>
          <w:rFonts w:ascii="宋体" w:hAnsi="宋体" w:cs="宋体" w:eastAsia="宋体" w:hint="default"/>
        </w:rPr>
        <w:t>2013</w:t>
      </w:r>
      <w:r>
        <w:rPr/>
        <w:t>年度免</w:t>
      </w:r>
      <w:r>
        <w:rPr>
          <w:w w:val="100"/>
        </w:rPr>
        <w:t> </w:t>
      </w:r>
      <w:r>
        <w:rPr>
          <w:spacing w:val="-5"/>
          <w:w w:val="100"/>
        </w:rPr>
        <w:t>征企业所得税，自</w:t>
      </w:r>
      <w:r>
        <w:rPr>
          <w:rFonts w:ascii="宋体" w:hAnsi="宋体" w:cs="宋体" w:eastAsia="宋体" w:hint="default"/>
          <w:spacing w:val="-5"/>
          <w:w w:val="100"/>
        </w:rPr>
        <w:t>2014</w:t>
      </w:r>
      <w:r>
        <w:rPr>
          <w:spacing w:val="-5"/>
          <w:w w:val="100"/>
        </w:rPr>
        <w:t>年</w:t>
      </w:r>
      <w:r>
        <w:rPr>
          <w:rFonts w:ascii="宋体" w:hAnsi="宋体" w:cs="宋体" w:eastAsia="宋体" w:hint="default"/>
          <w:spacing w:val="-5"/>
          <w:w w:val="100"/>
        </w:rPr>
        <w:t>1</w:t>
      </w:r>
      <w:r>
        <w:rPr>
          <w:spacing w:val="-5"/>
          <w:w w:val="100"/>
        </w:rPr>
        <w:t>月</w:t>
      </w:r>
      <w:r>
        <w:rPr>
          <w:rFonts w:ascii="宋体" w:hAnsi="宋体" w:cs="宋体" w:eastAsia="宋体" w:hint="default"/>
          <w:spacing w:val="-5"/>
          <w:w w:val="100"/>
        </w:rPr>
        <w:t>1</w:t>
      </w:r>
      <w:r>
        <w:rPr>
          <w:spacing w:val="-5"/>
          <w:w w:val="100"/>
        </w:rPr>
        <w:t>日至</w:t>
      </w:r>
      <w:r>
        <w:rPr>
          <w:rFonts w:ascii="宋体" w:hAnsi="宋体" w:cs="宋体" w:eastAsia="宋体" w:hint="default"/>
          <w:spacing w:val="-5"/>
          <w:w w:val="100"/>
        </w:rPr>
        <w:t>2016</w:t>
      </w:r>
      <w:r>
        <w:rPr>
          <w:spacing w:val="-5"/>
          <w:w w:val="100"/>
        </w:rPr>
        <w:t>月</w:t>
      </w:r>
      <w:r>
        <w:rPr>
          <w:rFonts w:ascii="宋体" w:hAnsi="宋体" w:cs="宋体" w:eastAsia="宋体" w:hint="default"/>
          <w:spacing w:val="-5"/>
          <w:w w:val="100"/>
        </w:rPr>
        <w:t>12</w:t>
      </w:r>
      <w:r>
        <w:rPr>
          <w:spacing w:val="-5"/>
          <w:w w:val="100"/>
        </w:rPr>
        <w:t>月</w:t>
      </w:r>
      <w:r>
        <w:rPr>
          <w:rFonts w:ascii="宋体" w:hAnsi="宋体" w:cs="宋体" w:eastAsia="宋体" w:hint="default"/>
          <w:spacing w:val="-5"/>
          <w:w w:val="100"/>
        </w:rPr>
        <w:t>31</w:t>
      </w:r>
      <w:r>
        <w:rPr>
          <w:spacing w:val="-5"/>
          <w:w w:val="100"/>
        </w:rPr>
        <w:t>日减半征收企业所得税，本年度所得税率为</w:t>
      </w:r>
      <w:r>
        <w:rPr>
          <w:rFonts w:ascii="宋体" w:hAnsi="宋体" w:cs="宋体" w:eastAsia="宋体" w:hint="default"/>
          <w:spacing w:val="-5"/>
          <w:w w:val="100"/>
        </w:rPr>
        <w:t>12.5%</w:t>
      </w:r>
      <w:r>
        <w:rPr>
          <w:spacing w:val="-5"/>
          <w:w w:val="100"/>
        </w:rPr>
        <w:t>。</w:t>
      </w:r>
    </w:p>
    <w:p>
      <w:pPr>
        <w:pStyle w:val="BodyText"/>
        <w:spacing w:line="239" w:lineRule="exact"/>
        <w:ind w:right="0"/>
        <w:jc w:val="both"/>
      </w:pPr>
      <w:r>
        <w:rPr/>
        <w:t>（</w:t>
      </w:r>
      <w:r>
        <w:rPr>
          <w:rFonts w:ascii="宋体" w:hAnsi="宋体" w:cs="宋体" w:eastAsia="宋体" w:hint="default"/>
        </w:rPr>
        <w:t>7</w:t>
      </w:r>
      <w:r>
        <w:rPr/>
        <w:t>）自</w:t>
      </w:r>
      <w:r>
        <w:rPr>
          <w:spacing w:val="-54"/>
        </w:rPr>
        <w:t> </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日起，对增值税小规模纳税人中月销售额不超过</w:t>
      </w:r>
      <w:r>
        <w:rPr>
          <w:spacing w:val="-54"/>
        </w:rPr>
        <w:t> </w:t>
      </w:r>
      <w:r>
        <w:rPr>
          <w:rFonts w:ascii="宋体" w:hAnsi="宋体" w:cs="宋体" w:eastAsia="宋体" w:hint="default"/>
        </w:rPr>
        <w:t>2</w:t>
      </w:r>
      <w:r>
        <w:rPr>
          <w:rFonts w:ascii="宋体" w:hAnsi="宋体" w:cs="宋体" w:eastAsia="宋体" w:hint="default"/>
          <w:spacing w:val="-54"/>
        </w:rPr>
        <w:t> </w:t>
      </w:r>
      <w:r>
        <w:rPr/>
        <w:t>万元的企业或非企业性</w:t>
      </w:r>
    </w:p>
    <w:p>
      <w:pPr>
        <w:pStyle w:val="BodyText"/>
        <w:spacing w:line="240" w:lineRule="auto" w:before="37"/>
        <w:ind w:right="0"/>
        <w:jc w:val="both"/>
      </w:pPr>
      <w:r>
        <w:rPr/>
        <w:t>单位，暂免征收增值税；对营业税纳税人中月营业额不超过</w:t>
      </w:r>
      <w:r>
        <w:rPr>
          <w:spacing w:val="-54"/>
        </w:rPr>
        <w:t> </w:t>
      </w:r>
      <w:r>
        <w:rPr>
          <w:rFonts w:ascii="宋体" w:hAnsi="宋体" w:cs="宋体" w:eastAsia="宋体" w:hint="default"/>
        </w:rPr>
        <w:t>2</w:t>
      </w:r>
      <w:r>
        <w:rPr>
          <w:rFonts w:ascii="宋体" w:hAnsi="宋体" w:cs="宋体" w:eastAsia="宋体" w:hint="default"/>
          <w:spacing w:val="-56"/>
        </w:rPr>
        <w:t> </w:t>
      </w:r>
      <w:r>
        <w:rPr/>
        <w:t>万元的企业或非企业性单位，暂免</w:t>
      </w:r>
    </w:p>
    <w:p>
      <w:pPr>
        <w:pStyle w:val="BodyText"/>
        <w:spacing w:line="240" w:lineRule="auto" w:before="37"/>
        <w:ind w:right="0"/>
        <w:jc w:val="both"/>
      </w:pPr>
      <w:r>
        <w:rPr>
          <w:spacing w:val="-8"/>
        </w:rPr>
        <w:t>征收营业税。自</w:t>
      </w:r>
      <w:r>
        <w:rPr>
          <w:spacing w:val="-41"/>
        </w:rPr>
        <w:t> </w:t>
      </w:r>
      <w:r>
        <w:rPr>
          <w:rFonts w:ascii="宋体" w:hAnsi="宋体" w:cs="宋体" w:eastAsia="宋体" w:hint="default"/>
        </w:rPr>
        <w:t>2014</w:t>
      </w:r>
      <w:r>
        <w:rPr>
          <w:rFonts w:ascii="宋体" w:hAnsi="宋体" w:cs="宋体" w:eastAsia="宋体" w:hint="default"/>
          <w:spacing w:val="-41"/>
        </w:rPr>
        <w:t> </w:t>
      </w:r>
      <w:r>
        <w:rPr/>
        <w:t>年</w:t>
      </w:r>
      <w:r>
        <w:rPr>
          <w:spacing w:val="-42"/>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4"/>
        </w:rPr>
        <w:t> </w:t>
      </w:r>
      <w:r>
        <w:rPr>
          <w:spacing w:val="-4"/>
        </w:rPr>
        <w:t>日起</w:t>
      </w:r>
      <w:r>
        <w:rPr>
          <w:rFonts w:ascii="宋体" w:hAnsi="宋体" w:cs="宋体" w:eastAsia="宋体" w:hint="default"/>
          <w:spacing w:val="-4"/>
        </w:rPr>
        <w:t>,</w:t>
      </w:r>
      <w:r>
        <w:rPr>
          <w:spacing w:val="-4"/>
        </w:rPr>
        <w:t>增值税小规模纳税人兼营营业税应税项目的，应当分别核算</w:t>
      </w:r>
    </w:p>
    <w:p>
      <w:pPr>
        <w:pStyle w:val="BodyText"/>
        <w:spacing w:line="240" w:lineRule="auto" w:before="37"/>
        <w:ind w:right="0"/>
        <w:jc w:val="both"/>
      </w:pPr>
      <w:r>
        <w:rPr>
          <w:w w:val="100"/>
        </w:rPr>
        <w:t>增值</w:t>
      </w:r>
      <w:r>
        <w:rPr>
          <w:spacing w:val="-3"/>
          <w:w w:val="100"/>
        </w:rPr>
        <w:t>税</w:t>
      </w:r>
      <w:r>
        <w:rPr>
          <w:w w:val="100"/>
        </w:rPr>
        <w:t>应</w:t>
      </w:r>
      <w:r>
        <w:rPr>
          <w:spacing w:val="-3"/>
          <w:w w:val="100"/>
        </w:rPr>
        <w:t>税</w:t>
      </w:r>
      <w:r>
        <w:rPr>
          <w:w w:val="100"/>
        </w:rPr>
        <w:t>项</w:t>
      </w:r>
      <w:r>
        <w:rPr>
          <w:spacing w:val="-3"/>
          <w:w w:val="100"/>
        </w:rPr>
        <w:t>目</w:t>
      </w:r>
      <w:r>
        <w:rPr>
          <w:w w:val="100"/>
        </w:rPr>
        <w:t>的</w:t>
      </w:r>
      <w:r>
        <w:rPr>
          <w:spacing w:val="-3"/>
          <w:w w:val="100"/>
        </w:rPr>
        <w:t>销</w:t>
      </w:r>
      <w:r>
        <w:rPr>
          <w:w w:val="100"/>
        </w:rPr>
        <w:t>售</w:t>
      </w:r>
      <w:r>
        <w:rPr>
          <w:spacing w:val="-3"/>
          <w:w w:val="100"/>
        </w:rPr>
        <w:t>额</w:t>
      </w:r>
      <w:r>
        <w:rPr>
          <w:w w:val="100"/>
        </w:rPr>
        <w:t>和营</w:t>
      </w:r>
      <w:r>
        <w:rPr>
          <w:spacing w:val="-3"/>
          <w:w w:val="100"/>
        </w:rPr>
        <w:t>业</w:t>
      </w:r>
      <w:r>
        <w:rPr>
          <w:w w:val="100"/>
        </w:rPr>
        <w:t>税</w:t>
      </w:r>
      <w:r>
        <w:rPr>
          <w:spacing w:val="-3"/>
          <w:w w:val="100"/>
        </w:rPr>
        <w:t>应</w:t>
      </w:r>
      <w:r>
        <w:rPr>
          <w:w w:val="100"/>
        </w:rPr>
        <w:t>税</w:t>
      </w:r>
      <w:r>
        <w:rPr>
          <w:spacing w:val="-3"/>
          <w:w w:val="100"/>
        </w:rPr>
        <w:t>项</w:t>
      </w:r>
      <w:r>
        <w:rPr>
          <w:w w:val="100"/>
        </w:rPr>
        <w:t>目</w:t>
      </w:r>
      <w:r>
        <w:rPr>
          <w:spacing w:val="-3"/>
          <w:w w:val="100"/>
        </w:rPr>
        <w:t>的</w:t>
      </w:r>
      <w:r>
        <w:rPr>
          <w:w w:val="100"/>
        </w:rPr>
        <w:t>营</w:t>
      </w:r>
      <w:r>
        <w:rPr>
          <w:spacing w:val="-3"/>
          <w:w w:val="100"/>
        </w:rPr>
        <w:t>业</w:t>
      </w:r>
      <w:r>
        <w:rPr>
          <w:w w:val="100"/>
        </w:rPr>
        <w:t>额</w:t>
      </w:r>
      <w:r>
        <w:rPr>
          <w:spacing w:val="-101"/>
          <w:w w:val="100"/>
        </w:rPr>
        <w:t>，</w:t>
      </w:r>
      <w:r>
        <w:rPr>
          <w:w w:val="100"/>
        </w:rPr>
        <w:t>月</w:t>
      </w:r>
      <w:r>
        <w:rPr>
          <w:spacing w:val="-3"/>
          <w:w w:val="100"/>
        </w:rPr>
        <w:t>销</w:t>
      </w:r>
      <w:r>
        <w:rPr>
          <w:w w:val="100"/>
        </w:rPr>
        <w:t>售额</w:t>
      </w:r>
      <w:r>
        <w:rPr>
          <w:spacing w:val="-3"/>
          <w:w w:val="100"/>
        </w:rPr>
        <w:t>不超</w:t>
      </w:r>
      <w:r>
        <w:rPr>
          <w:w w:val="100"/>
        </w:rPr>
        <w:t>过</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万</w:t>
      </w:r>
      <w:r>
        <w:rPr>
          <w:spacing w:val="-101"/>
          <w:w w:val="100"/>
        </w:rPr>
        <w:t>元</w:t>
      </w:r>
      <w:r>
        <w:rPr>
          <w:w w:val="100"/>
        </w:rPr>
        <w:t>（</w:t>
      </w:r>
      <w:r>
        <w:rPr>
          <w:spacing w:val="-3"/>
          <w:w w:val="100"/>
        </w:rPr>
        <w:t>按</w:t>
      </w:r>
      <w:r>
        <w:rPr>
          <w:w w:val="100"/>
        </w:rPr>
        <w:t>季</w:t>
      </w:r>
      <w:r>
        <w:rPr>
          <w:spacing w:val="-3"/>
          <w:w w:val="100"/>
        </w:rPr>
        <w:t>纳</w:t>
      </w:r>
      <w:r>
        <w:rPr>
          <w:w w:val="100"/>
        </w:rPr>
        <w:t>税</w:t>
      </w:r>
      <w:r>
        <w:rPr>
          <w:spacing w:val="-52"/>
        </w:rPr>
        <w:t> </w:t>
      </w:r>
      <w:r>
        <w:rPr>
          <w:rFonts w:ascii="宋体" w:hAnsi="宋体" w:cs="宋体" w:eastAsia="宋体" w:hint="default"/>
          <w:w w:val="100"/>
        </w:rPr>
        <w:t>9</w:t>
      </w:r>
      <w:r>
        <w:rPr>
          <w:rFonts w:ascii="宋体" w:hAnsi="宋体" w:cs="宋体" w:eastAsia="宋体" w:hint="default"/>
          <w:spacing w:val="-53"/>
        </w:rPr>
        <w:t> </w:t>
      </w:r>
      <w:r>
        <w:rPr>
          <w:spacing w:val="-3"/>
          <w:w w:val="100"/>
        </w:rPr>
        <w:t>万元）</w:t>
      </w:r>
      <w:r>
        <w:rPr>
          <w:w w:val="100"/>
        </w:rPr>
      </w:r>
    </w:p>
    <w:p>
      <w:pPr>
        <w:pStyle w:val="BodyText"/>
        <w:spacing w:line="273" w:lineRule="auto" w:before="37"/>
        <w:ind w:right="217"/>
        <w:jc w:val="both"/>
      </w:pPr>
      <w:r>
        <w:rPr/>
        <w:t>的，免征增值税；月营业额不超过</w:t>
      </w:r>
      <w:r>
        <w:rPr>
          <w:spacing w:val="-54"/>
        </w:rPr>
        <w:t> </w:t>
      </w:r>
      <w:r>
        <w:rPr>
          <w:rFonts w:ascii="宋体" w:hAnsi="宋体" w:cs="宋体" w:eastAsia="宋体" w:hint="default"/>
        </w:rPr>
        <w:t>3</w:t>
      </w:r>
      <w:r>
        <w:rPr>
          <w:rFonts w:ascii="宋体" w:hAnsi="宋体" w:cs="宋体" w:eastAsia="宋体" w:hint="default"/>
          <w:spacing w:val="-56"/>
        </w:rPr>
        <w:t> </w:t>
      </w:r>
      <w:r>
        <w:rPr/>
        <w:t>万元（按季纳税</w:t>
      </w:r>
      <w:r>
        <w:rPr>
          <w:spacing w:val="-54"/>
        </w:rPr>
        <w:t> </w:t>
      </w:r>
      <w:r>
        <w:rPr>
          <w:rFonts w:ascii="宋体" w:hAnsi="宋体" w:cs="宋体" w:eastAsia="宋体" w:hint="default"/>
        </w:rPr>
        <w:t>9</w:t>
      </w:r>
      <w:r>
        <w:rPr>
          <w:rFonts w:ascii="宋体" w:hAnsi="宋体" w:cs="宋体" w:eastAsia="宋体" w:hint="default"/>
          <w:spacing w:val="-54"/>
        </w:rPr>
        <w:t> </w:t>
      </w:r>
      <w:r>
        <w:rPr/>
        <w:t>万元）的，免征营业税。成都古羌科技有</w:t>
      </w:r>
      <w:r>
        <w:rPr>
          <w:w w:val="100"/>
        </w:rPr>
        <w:t> </w:t>
      </w:r>
      <w:r>
        <w:rPr>
          <w:spacing w:val="-2"/>
        </w:rPr>
        <w:t>限公司子公司北京聚点艺盛文化传播有限责任公司和衡阳天言信息技术有限公司，为小规模纳税</w:t>
      </w:r>
      <w:r>
        <w:rPr>
          <w:spacing w:val="-25"/>
        </w:rPr>
        <w:t> </w:t>
      </w:r>
      <w:r>
        <w:rPr>
          <w:spacing w:val="-25"/>
        </w:rPr>
      </w:r>
      <w:r>
        <w:rPr/>
        <w:t>人，享受相关免税政策。</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060"/>
        </w:sectPr>
      </w:pPr>
    </w:p>
    <w:p>
      <w:pPr>
        <w:pStyle w:val="Heading2"/>
        <w:spacing w:line="324"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673" w:space="3849"/>
            <w:col w:w="266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23"/>
        <w:gridCol w:w="3300"/>
        <w:gridCol w:w="3327"/>
      </w:tblGrid>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1,107,156.66</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1,261,499.06</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1,249,464,575.30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1,511,822,997.75</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780,904.26</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7,267,496.62</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1,251,352,636.22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1,520,351,993.43</w:t>
            </w:r>
          </w:p>
        </w:tc>
      </w:tr>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17,096,377.74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19,300,877.24</w:t>
            </w:r>
          </w:p>
        </w:tc>
      </w:tr>
    </w:tbl>
    <w:p>
      <w:pPr>
        <w:spacing w:line="240" w:lineRule="auto" w:before="10"/>
        <w:rPr>
          <w:rFonts w:ascii="宋体" w:hAnsi="宋体" w:cs="宋体" w:eastAsia="宋体" w:hint="default"/>
          <w:sz w:val="24"/>
          <w:szCs w:val="24"/>
        </w:rPr>
      </w:pPr>
    </w:p>
    <w:p>
      <w:pPr>
        <w:pStyle w:val="Heading2"/>
        <w:spacing w:line="240" w:lineRule="auto" w:before="36"/>
        <w:ind w:left="13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right="0"/>
        <w:jc w:val="left"/>
      </w:pPr>
      <w:r>
        <w:rPr/>
        <w:t>□适用</w:t>
      </w:r>
      <w:r>
        <w:rPr>
          <w:spacing w:val="-1"/>
        </w:rPr>
        <w:t> </w:t>
      </w:r>
      <w:r>
        <w:rPr/>
        <w:t>√不适用</w:t>
      </w:r>
    </w:p>
    <w:p>
      <w:pPr>
        <w:spacing w:after="0" w:line="240" w:lineRule="auto"/>
        <w:jc w:val="left"/>
        <w:sectPr>
          <w:type w:val="continuous"/>
          <w:pgSz w:w="11910" w:h="16840"/>
          <w:pgMar w:top="1120" w:bottom="1380" w:left="1660" w:right="1060"/>
        </w:sectPr>
      </w:pPr>
    </w:p>
    <w:p>
      <w:pPr>
        <w:spacing w:before="20"/>
        <w:ind w:left="6938" w:right="697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54"/>
          <w:footerReference w:type="default" r:id="rId55"/>
          <w:pgSz w:w="16840" w:h="11910" w:orient="landscape"/>
          <w:pgMar w:header="0" w:footer="0" w:top="800" w:bottom="280" w:left="840" w:right="740"/>
        </w:sectPr>
      </w:pPr>
    </w:p>
    <w:p>
      <w:pPr>
        <w:pStyle w:val="Heading2"/>
        <w:spacing w:line="240" w:lineRule="auto" w:before="36"/>
        <w:ind w:left="684" w:right="-17"/>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97"/>
        <w:ind w:left="684" w:right="-17"/>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pStyle w:val="BodyText"/>
        <w:spacing w:line="240" w:lineRule="auto" w:before="97"/>
        <w:ind w:left="684" w:right="-17"/>
        <w:jc w:val="left"/>
      </w:pPr>
      <w:r>
        <w:rPr/>
        <w:t>□适用 √不适用</w:t>
      </w:r>
    </w:p>
    <w:p>
      <w:pPr>
        <w:pStyle w:val="Heading2"/>
        <w:spacing w:line="240" w:lineRule="auto" w:before="97"/>
        <w:ind w:left="684" w:right="-17"/>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97"/>
        <w:ind w:left="684" w:right="-17"/>
        <w:jc w:val="left"/>
      </w:pPr>
      <w:r>
        <w:rPr/>
        <w:t>□适用 √不适用</w:t>
      </w:r>
    </w:p>
    <w:p>
      <w:pPr>
        <w:pStyle w:val="Heading2"/>
        <w:spacing w:line="240" w:lineRule="auto" w:before="97"/>
        <w:ind w:left="684" w:right="-17"/>
        <w:jc w:val="left"/>
        <w:rPr>
          <w:b w:val="0"/>
          <w:bCs w:val="0"/>
        </w:rPr>
      </w:pPr>
      <w:r>
        <w:rPr>
          <w:rFonts w:ascii="宋体" w:hAnsi="宋体" w:cs="宋体" w:eastAsia="宋体" w:hint="default"/>
        </w:rPr>
        <w:t>(3).</w:t>
      </w:r>
      <w:r>
        <w:rPr>
          <w:rFonts w:ascii="宋体" w:hAnsi="宋体" w:cs="宋体" w:eastAsia="宋体" w:hint="default"/>
          <w:spacing w:val="-3"/>
        </w:rPr>
        <w:t> </w:t>
      </w:r>
      <w:r>
        <w:rPr/>
        <w:t>期末公司已背书或贴现且在资产负债表日尚未到期的应收票据：</w:t>
      </w:r>
      <w:r>
        <w:rPr>
          <w:b w:val="0"/>
          <w:bCs w:val="0"/>
        </w:rPr>
      </w:r>
    </w:p>
    <w:p>
      <w:pPr>
        <w:pStyle w:val="BodyText"/>
        <w:spacing w:line="240" w:lineRule="auto" w:before="97"/>
        <w:ind w:left="684" w:right="-17"/>
        <w:jc w:val="left"/>
      </w:pPr>
      <w:r>
        <w:rPr/>
        <w:t>□适用 √不适用</w:t>
      </w:r>
    </w:p>
    <w:p>
      <w:pPr>
        <w:pStyle w:val="Heading2"/>
        <w:spacing w:line="240" w:lineRule="auto" w:before="97"/>
        <w:ind w:left="684" w:right="-17"/>
        <w:jc w:val="left"/>
        <w:rPr>
          <w:b w:val="0"/>
          <w:bCs w:val="0"/>
        </w:rPr>
      </w:pPr>
      <w:r>
        <w:rPr>
          <w:rFonts w:ascii="宋体" w:hAnsi="宋体" w:cs="宋体" w:eastAsia="宋体" w:hint="default"/>
        </w:rPr>
        <w:t>(4).</w:t>
      </w:r>
      <w:r>
        <w:rPr>
          <w:rFonts w:ascii="宋体" w:hAnsi="宋体" w:cs="宋体" w:eastAsia="宋体" w:hint="default"/>
          <w:spacing w:val="-2"/>
        </w:rPr>
        <w:t> </w:t>
      </w:r>
      <w:r>
        <w:rPr/>
        <w:t>期末公司因出票人未履约而将其转应收账款的票据</w:t>
      </w:r>
      <w:r>
        <w:rPr>
          <w:b w:val="0"/>
          <w:bCs w:val="0"/>
        </w:rPr>
      </w:r>
    </w:p>
    <w:p>
      <w:pPr>
        <w:spacing w:line="324" w:lineRule="auto" w:before="97"/>
        <w:ind w:left="684" w:right="4837"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2"/>
        <w:spacing w:line="240" w:lineRule="auto" w:before="23"/>
        <w:ind w:left="684" w:right="-17"/>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5"/>
        <w:ind w:left="684"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380" w:left="840" w:right="740"/>
          <w:cols w:num="2" w:equalWidth="0">
            <w:col w:w="7117" w:space="4674"/>
            <w:col w:w="3469"/>
          </w:cols>
        </w:sectPr>
      </w:pP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436"/>
        <w:gridCol w:w="1669"/>
        <w:gridCol w:w="854"/>
        <w:gridCol w:w="1560"/>
        <w:gridCol w:w="708"/>
        <w:gridCol w:w="1562"/>
        <w:gridCol w:w="1702"/>
        <w:gridCol w:w="713"/>
        <w:gridCol w:w="1421"/>
        <w:gridCol w:w="708"/>
        <w:gridCol w:w="1692"/>
      </w:tblGrid>
      <w:tr>
        <w:trPr>
          <w:trHeight w:val="322" w:hRule="exact"/>
        </w:trPr>
        <w:tc>
          <w:tcPr>
            <w:tcW w:w="24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436" w:type="dxa"/>
            <w:vMerge/>
            <w:tcBorders>
              <w:left w:val="single" w:sz="4" w:space="0" w:color="000000"/>
              <w:right w:val="single" w:sz="4" w:space="0" w:color="000000"/>
            </w:tcBorders>
          </w:tcPr>
          <w:p>
            <w:pP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2" w:type="dxa"/>
            <w:vMerge w:val="restart"/>
            <w:tcBorders>
              <w:top w:val="single" w:sz="4" w:space="0" w:color="000000"/>
              <w:left w:val="single" w:sz="4" w:space="0" w:color="000000"/>
              <w:right w:val="single" w:sz="4" w:space="0" w:color="000000"/>
            </w:tcBorders>
          </w:tcPr>
          <w:p>
            <w:pPr>
              <w:pStyle w:val="TableParagraph"/>
              <w:spacing w:line="273" w:lineRule="auto" w:before="148"/>
              <w:ind w:left="566" w:right="56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2" w:type="dxa"/>
            <w:vMerge w:val="restart"/>
            <w:tcBorders>
              <w:top w:val="single" w:sz="4" w:space="0" w:color="000000"/>
              <w:left w:val="single" w:sz="4" w:space="0" w:color="000000"/>
              <w:right w:val="single" w:sz="4" w:space="0" w:color="000000"/>
            </w:tcBorders>
          </w:tcPr>
          <w:p>
            <w:pPr>
              <w:pStyle w:val="TableParagraph"/>
              <w:spacing w:line="273" w:lineRule="auto" w:before="148"/>
              <w:ind w:left="634" w:right="62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634" w:hRule="exact"/>
        </w:trPr>
        <w:tc>
          <w:tcPr>
            <w:tcW w:w="2436" w:type="dxa"/>
            <w:vMerge/>
            <w:tcBorders>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 w:right="29"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56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 w:right="29"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692" w:type="dxa"/>
            <w:vMerge/>
            <w:tcBorders>
              <w:left w:val="single" w:sz="4" w:space="0" w:color="000000"/>
              <w:bottom w:val="single" w:sz="4" w:space="0" w:color="000000"/>
              <w:right w:val="single" w:sz="4" w:space="0" w:color="000000"/>
            </w:tcBorders>
          </w:tcPr>
          <w:p>
            <w:pPr/>
          </w:p>
        </w:tc>
      </w:tr>
      <w:tr>
        <w:trPr>
          <w:trHeight w:val="63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4"/>
              <w:jc w:val="left"/>
              <w:rPr>
                <w:rFonts w:ascii="宋体" w:hAnsi="宋体" w:cs="宋体" w:eastAsia="宋体" w:hint="default"/>
                <w:sz w:val="21"/>
                <w:szCs w:val="21"/>
              </w:rPr>
            </w:pPr>
            <w:r>
              <w:rPr>
                <w:rFonts w:ascii="宋体" w:hAnsi="宋体" w:cs="宋体" w:eastAsia="宋体" w:hint="default"/>
                <w:spacing w:val="-2"/>
                <w:sz w:val="21"/>
                <w:szCs w:val="21"/>
              </w:rPr>
              <w:t>单项金额重大并单独计提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坏账准备的应收账款</w:t>
            </w:r>
          </w:p>
        </w:tc>
        <w:tc>
          <w:tcPr>
            <w:tcW w:w="16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4"/>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坏账准备的应收账款</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543,958,485.66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17,292,834.78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sz w:val="21"/>
              </w:rPr>
              <w:t>3.18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sz w:val="21"/>
              </w:rPr>
              <w:t>526,665,650.88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451,351,905.27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9,727,470.38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sz w:val="21"/>
              </w:rPr>
              <w:t>2.16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441,624,434.89</w:t>
            </w:r>
          </w:p>
        </w:tc>
      </w:tr>
      <w:tr>
        <w:trPr>
          <w:trHeight w:val="637"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4"/>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单项金额不重大但单独计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提坏账准备的应收账款</w:t>
            </w:r>
          </w:p>
        </w:tc>
        <w:tc>
          <w:tcPr>
            <w:tcW w:w="16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543,958,485.66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17,292,834.78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sz w:val="21"/>
              </w:rPr>
              <w:t>526,665,650.88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451,351,905.27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9,727,470.38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441,624,434.89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63"/>
        <w:ind w:left="6938" w:right="6955" w:firstLine="0"/>
        <w:jc w:val="center"/>
        <w:rPr>
          <w:rFonts w:ascii="Calibri" w:hAnsi="Calibri" w:cs="Calibri" w:eastAsia="Calibri" w:hint="default"/>
          <w:sz w:val="18"/>
          <w:szCs w:val="18"/>
        </w:rPr>
      </w:pPr>
      <w:r>
        <w:rPr>
          <w:rFonts w:ascii="Calibri"/>
          <w:b/>
          <w:sz w:val="18"/>
        </w:rPr>
        <w:t>93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40" w:right="7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6"/>
          <w:pgSz w:w="11910" w:h="16840"/>
          <w:pgMar w:footer="1195" w:header="0" w:top="1120" w:bottom="1380" w:left="1580" w:right="1120"/>
          <w:pgNumType w:start="94"/>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期末单项金额重大并单项计提坏帐准备的应收账款</w:t>
      </w:r>
    </w:p>
    <w:p>
      <w:pPr>
        <w:pStyle w:val="BodyText"/>
        <w:spacing w:line="273" w:lineRule="auto" w:before="37"/>
        <w:ind w:left="2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7"/>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9"/>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4844" w:space="1678"/>
            <w:col w:w="268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2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445,269,537.81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3,832,580.37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0.86</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445,269,537.81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3,832,580.37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0.86</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51,120,931.79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2,287,872.39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4.48</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19,993,938.92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1,995,470.25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9.98</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18,372,422.37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3,918,611.64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21.33</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7,855,943.89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3,912,589.25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49.80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1,345,710.88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1,345,710.88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543,958,485.66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17,292,834.78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3.18</w:t>
            </w:r>
          </w:p>
        </w:tc>
      </w:tr>
    </w:tbl>
    <w:p>
      <w:pPr>
        <w:pStyle w:val="BodyText"/>
        <w:spacing w:line="254" w:lineRule="auto"/>
        <w:ind w:left="218" w:right="1868"/>
        <w:jc w:val="left"/>
      </w:pPr>
      <w:r>
        <w:rPr/>
        <w:t>确定该组合依据的说明：</w:t>
      </w:r>
      <w:r>
        <w:rPr>
          <w:w w:val="100"/>
        </w:rPr>
        <w:t> </w:t>
      </w:r>
      <w:r>
        <w:rPr/>
        <w:t>注：本公司以账龄为信用风险特征组合的确定依据。</w:t>
      </w:r>
    </w:p>
    <w:p>
      <w:pPr>
        <w:spacing w:line="240" w:lineRule="auto" w:before="6"/>
        <w:rPr>
          <w:rFonts w:ascii="宋体" w:hAnsi="宋体" w:cs="宋体" w:eastAsia="宋体" w:hint="default"/>
          <w:sz w:val="24"/>
          <w:szCs w:val="24"/>
        </w:rPr>
      </w:pPr>
    </w:p>
    <w:p>
      <w:pPr>
        <w:pStyle w:val="BodyText"/>
        <w:spacing w:line="240" w:lineRule="auto"/>
        <w:ind w:left="218" w:right="1868"/>
        <w:jc w:val="left"/>
      </w:pPr>
      <w:r>
        <w:rPr/>
        <w:t>组合中，采用余额百分比法计提坏账准备的应收账款：</w:t>
      </w:r>
    </w:p>
    <w:p>
      <w:pPr>
        <w:pStyle w:val="BodyText"/>
        <w:spacing w:line="240" w:lineRule="auto" w:before="37"/>
        <w:ind w:left="218" w:right="1868"/>
        <w:jc w:val="left"/>
      </w:pPr>
      <w:r>
        <w:rPr/>
        <w:t>□适用√不适用</w:t>
      </w:r>
    </w:p>
    <w:p>
      <w:pPr>
        <w:spacing w:line="240" w:lineRule="auto" w:before="0"/>
        <w:rPr>
          <w:rFonts w:ascii="宋体" w:hAnsi="宋体" w:cs="宋体" w:eastAsia="宋体" w:hint="default"/>
          <w:sz w:val="20"/>
          <w:szCs w:val="20"/>
        </w:rPr>
      </w:pPr>
    </w:p>
    <w:p>
      <w:pPr>
        <w:pStyle w:val="Heading2"/>
        <w:spacing w:line="240" w:lineRule="auto" w:before="148"/>
        <w:ind w:right="1868"/>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97"/>
        <w:ind w:left="218" w:right="0"/>
        <w:jc w:val="left"/>
      </w:pPr>
      <w:r>
        <w:rPr/>
        <w:t>本期计提坏账准备金额</w:t>
      </w:r>
      <w:r>
        <w:rPr>
          <w:spacing w:val="-55"/>
        </w:rPr>
        <w:t> </w:t>
      </w:r>
      <w:r>
        <w:rPr>
          <w:rFonts w:ascii="宋体" w:hAnsi="宋体" w:cs="宋体" w:eastAsia="宋体" w:hint="default"/>
        </w:rPr>
        <w:t>7,604,138.46</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237,859.16</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26"/>
          <w:szCs w:val="26"/>
        </w:rPr>
      </w:pPr>
    </w:p>
    <w:p>
      <w:pPr>
        <w:pStyle w:val="BodyText"/>
        <w:spacing w:line="240" w:lineRule="auto"/>
        <w:ind w:left="218" w:right="1868"/>
        <w:jc w:val="left"/>
      </w:pPr>
      <w:r>
        <w:rPr/>
        <w:t>其中本期坏账准备收回或转回金额重要的：</w:t>
      </w:r>
    </w:p>
    <w:p>
      <w:pPr>
        <w:pStyle w:val="BodyText"/>
        <w:spacing w:line="240" w:lineRule="auto" w:before="37"/>
        <w:ind w:left="218" w:right="18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868"/>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97"/>
        <w:ind w:left="218" w:right="18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right="1868"/>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638" w:right="0"/>
        <w:jc w:val="left"/>
      </w:pPr>
      <w:r>
        <w:rPr/>
        <w:t>本公司本年按欠款方归集的年末余额前五名应收账款汇总金额为</w:t>
      </w:r>
      <w:r>
        <w:rPr>
          <w:spacing w:val="-54"/>
        </w:rPr>
        <w:t> </w:t>
      </w:r>
      <w:r>
        <w:rPr>
          <w:rFonts w:ascii="宋体" w:hAnsi="宋体" w:cs="宋体" w:eastAsia="宋体" w:hint="default"/>
        </w:rPr>
        <w:t>118,351,462.81</w:t>
      </w:r>
      <w:r>
        <w:rPr>
          <w:rFonts w:ascii="宋体" w:hAnsi="宋体" w:cs="宋体" w:eastAsia="宋体" w:hint="default"/>
          <w:spacing w:val="-56"/>
        </w:rPr>
        <w:t> </w:t>
      </w:r>
      <w:r>
        <w:rPr>
          <w:spacing w:val="-12"/>
        </w:rPr>
        <w:t>元，占</w:t>
      </w:r>
    </w:p>
    <w:p>
      <w:pPr>
        <w:pStyle w:val="BodyText"/>
        <w:spacing w:line="240" w:lineRule="auto" w:before="123"/>
        <w:ind w:left="218" w:right="0"/>
        <w:jc w:val="left"/>
      </w:pPr>
      <w:r>
        <w:rPr/>
        <w:t>应收账款年末余额合计数的比例为 </w:t>
      </w:r>
      <w:r>
        <w:rPr>
          <w:rFonts w:ascii="宋体" w:hAnsi="宋体" w:cs="宋体" w:eastAsia="宋体" w:hint="default"/>
        </w:rPr>
        <w:t>21.75</w:t>
      </w:r>
      <w:r>
        <w:rPr>
          <w:rFonts w:ascii="宋体" w:hAnsi="宋体" w:cs="宋体" w:eastAsia="宋体" w:hint="default"/>
          <w:spacing w:val="-56"/>
        </w:rPr>
        <w:t> </w:t>
      </w:r>
      <w:r>
        <w:rPr>
          <w:rFonts w:ascii="宋体" w:hAnsi="宋体" w:cs="宋体" w:eastAsia="宋体" w:hint="default"/>
        </w:rPr>
        <w:t>%</w:t>
      </w:r>
      <w:r>
        <w:rPr/>
        <w:t>，相应计提的坏账准备年末余额汇总金额为</w:t>
      </w:r>
    </w:p>
    <w:p>
      <w:pPr>
        <w:pStyle w:val="BodyText"/>
        <w:spacing w:line="240" w:lineRule="auto" w:before="126"/>
        <w:ind w:left="218" w:right="1868"/>
        <w:jc w:val="left"/>
      </w:pPr>
      <w:r>
        <w:rPr>
          <w:rFonts w:ascii="宋体" w:hAnsi="宋体" w:cs="宋体" w:eastAsia="宋体" w:hint="default"/>
        </w:rPr>
        <w:t>638,604.73</w:t>
      </w:r>
      <w:r>
        <w:rPr>
          <w:rFonts w:ascii="宋体" w:hAnsi="宋体" w:cs="宋体" w:eastAsia="宋体" w:hint="default"/>
          <w:spacing w:val="-51"/>
        </w:rPr>
        <w:t> </w:t>
      </w:r>
      <w:r>
        <w:rPr>
          <w:spacing w:val="-3"/>
        </w:rPr>
        <w:t>元。</w:t>
      </w:r>
      <w:r>
        <w:rPr/>
      </w:r>
    </w:p>
    <w:p>
      <w:pPr>
        <w:spacing w:line="240" w:lineRule="auto" w:before="4"/>
        <w:rPr>
          <w:rFonts w:ascii="宋体" w:hAnsi="宋体" w:cs="宋体" w:eastAsia="宋体" w:hint="default"/>
          <w:sz w:val="28"/>
          <w:szCs w:val="28"/>
        </w:rPr>
      </w:pPr>
    </w:p>
    <w:p>
      <w:pPr>
        <w:pStyle w:val="Heading2"/>
        <w:spacing w:line="307" w:lineRule="auto"/>
        <w:ind w:left="112" w:right="4601"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w w:val="100"/>
        </w:rPr>
        <w:t> </w:t>
      </w:r>
      <w:r>
        <w:rPr>
          <w:rFonts w:ascii="宋体" w:hAnsi="宋体" w:cs="宋体" w:eastAsia="宋体" w:hint="default"/>
          <w:b w:val="0"/>
          <w:bCs w:val="0"/>
        </w:rPr>
        <w:t>无</w:t>
      </w:r>
    </w:p>
    <w:p>
      <w:pPr>
        <w:spacing w:line="240" w:lineRule="auto" w:before="5"/>
        <w:rPr>
          <w:rFonts w:ascii="宋体" w:hAnsi="宋体" w:cs="宋体" w:eastAsia="宋体" w:hint="default"/>
          <w:sz w:val="22"/>
          <w:szCs w:val="22"/>
        </w:rPr>
      </w:pPr>
    </w:p>
    <w:p>
      <w:pPr>
        <w:pStyle w:val="Heading2"/>
        <w:spacing w:line="307" w:lineRule="auto"/>
        <w:ind w:left="112" w:right="3759" w:firstLine="10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w w:val="100"/>
        </w:rPr>
        <w:t> </w:t>
      </w:r>
      <w:r>
        <w:rPr>
          <w:rFonts w:ascii="宋体" w:hAnsi="宋体" w:cs="宋体" w:eastAsia="宋体" w:hint="default"/>
          <w:b w:val="0"/>
          <w:bCs w:val="0"/>
        </w:rPr>
        <w:t>无</w:t>
      </w:r>
    </w:p>
    <w:p>
      <w:pPr>
        <w:spacing w:after="0" w:line="307" w:lineRule="auto"/>
        <w:jc w:val="left"/>
        <w:rPr>
          <w:rFonts w:ascii="宋体" w:hAnsi="宋体" w:cs="宋体" w:eastAsia="宋体" w:hint="default"/>
        </w:rPr>
        <w:sectPr>
          <w:type w:val="continuous"/>
          <w:pgSz w:w="11910" w:h="16840"/>
          <w:pgMar w:top="1120" w:bottom="1380" w:left="1580" w:right="112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640" w:right="1120"/>
        </w:sectPr>
      </w:pPr>
    </w:p>
    <w:p>
      <w:pPr>
        <w:pStyle w:val="Heading2"/>
        <w:spacing w:line="240" w:lineRule="auto" w:before="36"/>
        <w:ind w:left="15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97"/>
        <w:ind w:left="15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676" w:space="3846"/>
            <w:col w:w="262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9"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18,749,155.41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75.75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59,883,128.35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94.67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5,162,836.15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20.86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2,898,548.86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4.58</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502,328.92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2.03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196,762.15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0.31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337,947.13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1.37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276,447.13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0.44</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24,752,267.61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63,254,886.49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BodyText"/>
        <w:spacing w:line="254" w:lineRule="auto" w:before="36"/>
        <w:ind w:left="158" w:right="330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5"/>
        <w:rPr>
          <w:rFonts w:ascii="宋体" w:hAnsi="宋体" w:cs="宋体" w:eastAsia="宋体" w:hint="default"/>
          <w:sz w:val="27"/>
          <w:szCs w:val="27"/>
        </w:rPr>
      </w:pPr>
    </w:p>
    <w:p>
      <w:pPr>
        <w:pStyle w:val="Heading2"/>
        <w:spacing w:line="240" w:lineRule="auto"/>
        <w:ind w:left="158" w:right="3301"/>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350" w:lineRule="auto" w:before="164"/>
        <w:ind w:left="158" w:right="575" w:firstLine="419"/>
        <w:jc w:val="left"/>
      </w:pPr>
      <w:r>
        <w:rPr/>
        <w:t>本公司按预付对象归集的年末余额前五名预付账款汇总金额为</w:t>
      </w:r>
      <w:r>
        <w:rPr>
          <w:spacing w:val="-56"/>
        </w:rPr>
        <w:t> </w:t>
      </w:r>
      <w:r>
        <w:rPr>
          <w:rFonts w:ascii="宋体" w:hAnsi="宋体" w:cs="宋体" w:eastAsia="宋体" w:hint="default"/>
        </w:rPr>
        <w:t>13,256,039.51</w:t>
      </w:r>
      <w:r>
        <w:rPr>
          <w:rFonts w:ascii="宋体" w:hAnsi="宋体" w:cs="宋体" w:eastAsia="宋体" w:hint="default"/>
          <w:spacing w:val="-55"/>
        </w:rPr>
        <w:t> </w:t>
      </w:r>
      <w:r>
        <w:rPr/>
        <w:t>元，占预</w:t>
      </w:r>
      <w:r>
        <w:rPr>
          <w:w w:val="100"/>
        </w:rPr>
        <w:t> </w:t>
      </w:r>
      <w:r>
        <w:rPr/>
        <w:t>付账款年末余额合计数的比例为</w:t>
      </w:r>
      <w:r>
        <w:rPr>
          <w:spacing w:val="-56"/>
        </w:rPr>
        <w:t> </w:t>
      </w:r>
      <w:r>
        <w:rPr>
          <w:rFonts w:ascii="宋体" w:hAnsi="宋体" w:cs="宋体" w:eastAsia="宋体" w:hint="default"/>
        </w:rPr>
        <w:t>53.55%</w:t>
      </w:r>
      <w:r>
        <w:rPr/>
        <w:t>。</w:t>
      </w:r>
    </w:p>
    <w:p>
      <w:pPr>
        <w:pStyle w:val="Heading2"/>
        <w:spacing w:line="240" w:lineRule="auto" w:before="3"/>
        <w:ind w:left="158" w:right="3301"/>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97"/>
        <w:ind w:left="158" w:right="330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58" w:right="3301"/>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97"/>
        <w:ind w:left="158" w:right="3301"/>
        <w:jc w:val="left"/>
      </w:pPr>
      <w:r>
        <w:rPr/>
        <w:t>□适用</w:t>
      </w:r>
      <w:r>
        <w:rPr>
          <w:spacing w:val="-1"/>
        </w:rPr>
        <w:t> </w:t>
      </w:r>
      <w:r>
        <w:rPr/>
        <w:t>√不适用</w:t>
      </w:r>
    </w:p>
    <w:p>
      <w:pPr>
        <w:spacing w:after="0" w:line="240" w:lineRule="auto"/>
        <w:jc w:val="left"/>
        <w:sectPr>
          <w:type w:val="continuous"/>
          <w:pgSz w:w="11910" w:h="16840"/>
          <w:pgMar w:top="1120" w:bottom="1380" w:left="1640" w:right="112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6840" w:h="11910" w:orient="landscape"/>
          <w:pgMar w:header="0" w:footer="0" w:top="800" w:bottom="280" w:left="1300" w:right="1380"/>
        </w:sectPr>
      </w:pPr>
    </w:p>
    <w:p>
      <w:pPr>
        <w:spacing w:line="240" w:lineRule="auto" w:before="8"/>
        <w:rPr>
          <w:rFonts w:ascii="宋体" w:hAnsi="宋体" w:cs="宋体" w:eastAsia="宋体" w:hint="default"/>
          <w:sz w:val="14"/>
          <w:szCs w:val="14"/>
        </w:rPr>
      </w:pPr>
    </w:p>
    <w:p>
      <w:pPr>
        <w:pStyle w:val="Heading2"/>
        <w:spacing w:line="240" w:lineRule="auto"/>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97"/>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49"/>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630" w:space="8830"/>
            <w:col w:w="2700"/>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630"/>
        <w:gridCol w:w="1426"/>
        <w:gridCol w:w="1011"/>
        <w:gridCol w:w="1322"/>
        <w:gridCol w:w="1015"/>
        <w:gridCol w:w="1428"/>
        <w:gridCol w:w="1428"/>
        <w:gridCol w:w="963"/>
        <w:gridCol w:w="1322"/>
        <w:gridCol w:w="965"/>
        <w:gridCol w:w="1426"/>
      </w:tblGrid>
      <w:tr>
        <w:trPr>
          <w:trHeight w:val="322"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630" w:type="dxa"/>
            <w:vMerge/>
            <w:tcBorders>
              <w:left w:val="single" w:sz="4" w:space="0" w:color="000000"/>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3" w:lineRule="auto" w:before="148"/>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3" w:lineRule="auto" w:before="148"/>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634" w:hRule="exact"/>
        </w:trPr>
        <w:tc>
          <w:tcPr>
            <w:tcW w:w="1630"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77"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28"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9" w:right="53"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94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8"/>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8"/>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42,605,745.59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3"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2,664,592.99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1" w:right="0"/>
              <w:jc w:val="left"/>
              <w:rPr>
                <w:rFonts w:ascii="宋体" w:hAnsi="宋体" w:cs="宋体" w:eastAsia="宋体" w:hint="default"/>
                <w:sz w:val="21"/>
                <w:szCs w:val="21"/>
              </w:rPr>
            </w:pPr>
            <w:r>
              <w:rPr>
                <w:rFonts w:ascii="宋体"/>
                <w:sz w:val="21"/>
              </w:rPr>
              <w:t>6.25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sz w:val="21"/>
              </w:rPr>
              <w:t>39,941,152.60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50,024,509.88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7"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1,891,204.12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8" w:right="0"/>
              <w:jc w:val="left"/>
              <w:rPr>
                <w:rFonts w:ascii="宋体" w:hAnsi="宋体" w:cs="宋体" w:eastAsia="宋体" w:hint="default"/>
                <w:sz w:val="21"/>
                <w:szCs w:val="21"/>
              </w:rPr>
            </w:pPr>
            <w:r>
              <w:rPr>
                <w:rFonts w:ascii="宋体"/>
                <w:sz w:val="21"/>
              </w:rPr>
              <w:t>3.78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sz w:val="21"/>
              </w:rPr>
              <w:t>48,133,305.76</w:t>
            </w:r>
          </w:p>
        </w:tc>
      </w:tr>
      <w:tr>
        <w:trPr>
          <w:trHeight w:val="12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8"/>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42,605,745.59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2,664,592.99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39,941,152.60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50,024,509.88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1,891,204.12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48,133,305.76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40" w:right="0"/>
        <w:jc w:val="left"/>
      </w:pPr>
      <w:r>
        <w:rPr/>
        <w:t>期末单项金额重大并单项计提坏帐准备的其他应收款</w:t>
      </w:r>
    </w:p>
    <w:p>
      <w:pPr>
        <w:pStyle w:val="BodyText"/>
        <w:spacing w:line="240" w:lineRule="auto" w:before="37"/>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63"/>
        <w:ind w:left="6395" w:right="6399" w:firstLine="0"/>
        <w:jc w:val="center"/>
        <w:rPr>
          <w:rFonts w:ascii="Calibri" w:hAnsi="Calibri" w:cs="Calibri" w:eastAsia="Calibri" w:hint="default"/>
          <w:sz w:val="18"/>
          <w:szCs w:val="18"/>
        </w:rPr>
      </w:pPr>
      <w:r>
        <w:rPr>
          <w:rFonts w:ascii="Calibri"/>
          <w:b/>
          <w:sz w:val="18"/>
        </w:rPr>
        <w:t>96 </w:t>
      </w:r>
      <w:r>
        <w:rPr>
          <w:rFonts w:ascii="Calibri"/>
          <w:sz w:val="18"/>
        </w:rPr>
        <w:t>/</w:t>
      </w:r>
      <w:r>
        <w:rPr>
          <w:rFonts w:ascii="Calibri"/>
          <w:spacing w:val="-4"/>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9"/>
          <w:pgSz w:w="11910" w:h="16840"/>
          <w:pgMar w:footer="1195" w:header="0" w:top="1120" w:bottom="1380" w:left="1580" w:right="1040"/>
          <w:pgNumType w:start="97"/>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组合中，按账龄分析法计提坏账准备的其他应收款：</w:t>
      </w:r>
    </w:p>
    <w:p>
      <w:pPr>
        <w:pStyle w:val="BodyText"/>
        <w:spacing w:line="240" w:lineRule="auto" w:before="37"/>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4"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19,623,818.79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53,608.56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0.27</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19,623,818.79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53,608.56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0.27</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13,795,020.46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534,014.09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3.87</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4,319,625.63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460.14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0.01</w:t>
            </w:r>
          </w:p>
        </w:tc>
      </w:tr>
      <w:tr>
        <w:trPr>
          <w:trHeight w:val="32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2,607,548.65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2,176.20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0.08</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102,398.00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2,157,334.06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2,074,334.00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96.15</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42,605,745.59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2,664,592.99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6.25</w:t>
            </w:r>
          </w:p>
        </w:tc>
      </w:tr>
    </w:tbl>
    <w:p>
      <w:pPr>
        <w:spacing w:line="240" w:lineRule="auto" w:before="2"/>
        <w:rPr>
          <w:rFonts w:ascii="宋体" w:hAnsi="宋体" w:cs="宋体" w:eastAsia="宋体" w:hint="default"/>
          <w:sz w:val="20"/>
          <w:szCs w:val="20"/>
        </w:rPr>
      </w:pPr>
    </w:p>
    <w:p>
      <w:pPr>
        <w:pStyle w:val="BodyText"/>
        <w:spacing w:line="273" w:lineRule="auto" w:before="36"/>
        <w:ind w:left="218" w:right="2940"/>
        <w:jc w:val="left"/>
      </w:pPr>
      <w:r>
        <w:rPr/>
        <w:t>确定该组合依据的说明：</w:t>
      </w:r>
      <w:r>
        <w:rPr>
          <w:w w:val="100"/>
        </w:rPr>
        <w:t> </w:t>
      </w:r>
      <w:r>
        <w:rPr/>
        <w:t>注：本公司以账龄为信用风险特征组合的确定依据。</w:t>
      </w:r>
    </w:p>
    <w:p>
      <w:pPr>
        <w:spacing w:line="240" w:lineRule="auto" w:before="6"/>
        <w:rPr>
          <w:rFonts w:ascii="宋体" w:hAnsi="宋体" w:cs="宋体" w:eastAsia="宋体" w:hint="default"/>
          <w:sz w:val="24"/>
          <w:szCs w:val="24"/>
        </w:rPr>
      </w:pPr>
    </w:p>
    <w:p>
      <w:pPr>
        <w:pStyle w:val="BodyText"/>
        <w:spacing w:line="240" w:lineRule="auto"/>
        <w:ind w:left="218" w:right="2940"/>
        <w:jc w:val="left"/>
      </w:pPr>
      <w:r>
        <w:rPr/>
        <w:t>组合中，采用余额百分比法计提坏账准备的其他应收款：</w:t>
      </w:r>
    </w:p>
    <w:p>
      <w:pPr>
        <w:pStyle w:val="BodyText"/>
        <w:spacing w:line="240" w:lineRule="auto" w:before="37"/>
        <w:ind w:left="218" w:right="2940"/>
        <w:jc w:val="left"/>
      </w:pPr>
      <w:r>
        <w:rPr/>
        <w:t>□适用√不适用</w:t>
      </w:r>
    </w:p>
    <w:p>
      <w:pPr>
        <w:spacing w:line="240" w:lineRule="auto" w:before="9"/>
        <w:rPr>
          <w:rFonts w:ascii="宋体" w:hAnsi="宋体" w:cs="宋体" w:eastAsia="宋体" w:hint="default"/>
          <w:sz w:val="26"/>
          <w:szCs w:val="26"/>
        </w:rPr>
      </w:pPr>
    </w:p>
    <w:p>
      <w:pPr>
        <w:pStyle w:val="BodyText"/>
        <w:spacing w:line="240" w:lineRule="auto"/>
        <w:ind w:left="218" w:right="2940"/>
        <w:jc w:val="left"/>
      </w:pPr>
      <w:r>
        <w:rPr/>
        <w:t>组合中，采用其他方法计提坏账准备的其他应收款：</w:t>
      </w:r>
    </w:p>
    <w:p>
      <w:pPr>
        <w:pStyle w:val="BodyText"/>
        <w:spacing w:line="240" w:lineRule="auto" w:before="3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94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3" w:lineRule="auto" w:before="97"/>
        <w:ind w:left="218" w:right="1081"/>
        <w:jc w:val="left"/>
      </w:pPr>
      <w:r>
        <w:rPr/>
        <w:t>本期计提坏账准备金额</w:t>
      </w:r>
      <w:r>
        <w:rPr>
          <w:spacing w:val="-54"/>
        </w:rPr>
        <w:t> </w:t>
      </w:r>
      <w:r>
        <w:rPr>
          <w:rFonts w:ascii="宋体" w:hAnsi="宋体" w:cs="宋体" w:eastAsia="宋体" w:hint="default"/>
        </w:rPr>
        <w:t>991,276.91</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203,445.97</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0" w:lineRule="auto" w:before="7"/>
        <w:ind w:left="218" w:right="2940"/>
        <w:jc w:val="left"/>
      </w:pPr>
      <w:r>
        <w:rPr/>
        <w:t>□适用</w:t>
      </w:r>
      <w:r>
        <w:rPr>
          <w:spacing w:val="-1"/>
        </w:rPr>
        <w:t> </w:t>
      </w:r>
      <w:r>
        <w:rPr/>
        <w:t>√不适用</w:t>
      </w:r>
    </w:p>
    <w:p>
      <w:pPr>
        <w:pStyle w:val="Heading2"/>
        <w:spacing w:line="240" w:lineRule="auto" w:before="97"/>
        <w:ind w:right="294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25,227,850.21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21,150,623.50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1,176,957.32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3,042,893.50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5,196,693.82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16,405,972.02</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5,217,233.22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4,303,633.23</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3,037,022.47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3,813,630.21</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1,775,565.72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620,524.93</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974,422.83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687,232.49</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00" w:right="0"/>
              <w:jc w:val="left"/>
              <w:rPr>
                <w:rFonts w:ascii="宋体" w:hAnsi="宋体" w:cs="宋体" w:eastAsia="宋体" w:hint="default"/>
                <w:sz w:val="21"/>
                <w:szCs w:val="21"/>
              </w:rPr>
            </w:pPr>
            <w:r>
              <w:rPr>
                <w:rFonts w:ascii="宋体"/>
                <w:sz w:val="21"/>
              </w:rPr>
              <w:t>42,605,745.59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12" w:right="0"/>
              <w:jc w:val="left"/>
              <w:rPr>
                <w:rFonts w:ascii="宋体" w:hAnsi="宋体" w:cs="宋体" w:eastAsia="宋体" w:hint="default"/>
                <w:sz w:val="21"/>
                <w:szCs w:val="21"/>
              </w:rPr>
            </w:pPr>
            <w:r>
              <w:rPr>
                <w:rFonts w:ascii="宋体"/>
                <w:sz w:val="21"/>
              </w:rPr>
              <w:t>50,024,509.88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97"/>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950"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2" w:right="108"/>
              <w:jc w:val="center"/>
              <w:rPr>
                <w:rFonts w:ascii="宋体" w:hAnsi="宋体" w:cs="宋体" w:eastAsia="宋体" w:hint="default"/>
                <w:sz w:val="21"/>
                <w:szCs w:val="21"/>
              </w:rPr>
            </w:pPr>
            <w:r>
              <w:rPr>
                <w:rFonts w:ascii="宋体" w:hAnsi="宋体" w:cs="宋体" w:eastAsia="宋体" w:hint="default"/>
                <w:sz w:val="21"/>
                <w:szCs w:val="21"/>
              </w:rPr>
              <w:t>占其他应收款期</w:t>
            </w:r>
            <w:r>
              <w:rPr>
                <w:rFonts w:ascii="宋体" w:hAnsi="宋体" w:cs="宋体" w:eastAsia="宋体" w:hint="default"/>
                <w:w w:val="100"/>
                <w:sz w:val="21"/>
                <w:szCs w:val="21"/>
              </w:rPr>
              <w:t> </w:t>
            </w:r>
            <w:r>
              <w:rPr>
                <w:rFonts w:ascii="宋体" w:hAnsi="宋体" w:cs="宋体" w:eastAsia="宋体" w:hint="default"/>
                <w:sz w:val="21"/>
                <w:szCs w:val="21"/>
              </w:rPr>
              <w:t>末余额合计数的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381" w:right="3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2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10,364,683.88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5"/>
              <w:jc w:val="center"/>
              <w:rPr>
                <w:rFonts w:ascii="宋体" w:hAnsi="宋体" w:cs="宋体" w:eastAsia="宋体" w:hint="default"/>
                <w:sz w:val="21"/>
                <w:szCs w:val="21"/>
              </w:rPr>
            </w:pPr>
            <w:r>
              <w:rPr>
                <w:rFonts w:ascii="宋体" w:hAnsi="宋体" w:cs="宋体" w:eastAsia="宋体" w:hint="default"/>
                <w:sz w:val="21"/>
                <w:szCs w:val="21"/>
              </w:rPr>
              <w:t>两年以内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24.33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518,234.19</w:t>
            </w:r>
          </w:p>
        </w:tc>
      </w:tr>
      <w:tr>
        <w:trPr>
          <w:trHeight w:val="327"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6,909,315.48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75"/>
              <w:jc w:val="center"/>
              <w:rPr>
                <w:rFonts w:ascii="宋体" w:hAnsi="宋体" w:cs="宋体" w:eastAsia="宋体" w:hint="default"/>
                <w:sz w:val="21"/>
                <w:szCs w:val="21"/>
              </w:rPr>
            </w:pPr>
            <w:r>
              <w:rPr>
                <w:rFonts w:ascii="宋体" w:hAnsi="宋体" w:cs="宋体" w:eastAsia="宋体" w:hint="default"/>
                <w:sz w:val="21"/>
                <w:szCs w:val="21"/>
              </w:rPr>
              <w:t>四年以内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z w:val="21"/>
              </w:rPr>
              <w:t>16.22</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4,030,632.04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75"/>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9.46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40,306.32</w:t>
            </w:r>
          </w:p>
        </w:tc>
      </w:tr>
      <w:tr>
        <w:trPr>
          <w:trHeight w:val="32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5"/>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4.69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2,000,000.00</w:t>
            </w:r>
          </w:p>
        </w:tc>
      </w:tr>
      <w:tr>
        <w:trPr>
          <w:trHeight w:val="32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1,360,588.63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5"/>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3.19</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24,665,220.03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57.89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2,558,540.51</w:t>
            </w:r>
          </w:p>
        </w:tc>
      </w:tr>
    </w:tbl>
    <w:p>
      <w:pPr>
        <w:spacing w:line="240" w:lineRule="auto" w:before="9"/>
        <w:rPr>
          <w:rFonts w:ascii="宋体" w:hAnsi="宋体" w:cs="宋体" w:eastAsia="宋体" w:hint="default"/>
          <w:sz w:val="24"/>
          <w:szCs w:val="24"/>
        </w:rPr>
      </w:pPr>
    </w:p>
    <w:p>
      <w:pPr>
        <w:pStyle w:val="Heading2"/>
        <w:spacing w:line="240" w:lineRule="auto" w:before="36"/>
        <w:ind w:right="294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326" w:lineRule="auto" w:before="147"/>
        <w:ind w:right="445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5"/>
          <w:szCs w:val="25"/>
        </w:rPr>
      </w:pPr>
    </w:p>
    <w:p>
      <w:pPr>
        <w:pStyle w:val="Heading2"/>
        <w:spacing w:line="324" w:lineRule="auto"/>
        <w:ind w:right="3404"/>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849" w:val="left" w:leader="none"/>
          <w:tab w:pos="1057" w:val="left" w:leader="none"/>
        </w:tabs>
        <w:spacing w:line="324" w:lineRule="auto" w:before="36"/>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368"/>
        <w:gridCol w:w="1328"/>
        <w:gridCol w:w="1114"/>
        <w:gridCol w:w="1328"/>
        <w:gridCol w:w="1327"/>
        <w:gridCol w:w="1105"/>
        <w:gridCol w:w="1327"/>
      </w:tblGrid>
      <w:tr>
        <w:trPr>
          <w:trHeight w:val="327" w:hRule="exact"/>
        </w:trPr>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7" w:hRule="exact"/>
        </w:trPr>
        <w:tc>
          <w:tcPr>
            <w:tcW w:w="1368"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1,144,077.20</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1,144,077.20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595,001.95</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595,001.95</w:t>
            </w:r>
          </w:p>
        </w:tc>
      </w:tr>
      <w:tr>
        <w:trPr>
          <w:trHeight w:val="329"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发出商品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15,811.97</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15,811.97</w:t>
            </w:r>
          </w:p>
        </w:tc>
        <w:tc>
          <w:tcPr>
            <w:tcW w:w="1327"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周转材料</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3,689,058.82</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3,689,058.82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2,808,507.12</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2,808,507.12</w:t>
            </w:r>
          </w:p>
        </w:tc>
      </w:tr>
      <w:tr>
        <w:trPr>
          <w:trHeight w:val="326"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67"/>
              <w:jc w:val="righ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4,848,947.99</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4,848,947.99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3,403,509.07</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3,403,509.07</w:t>
            </w:r>
          </w:p>
        </w:tc>
      </w:tr>
    </w:tbl>
    <w:p>
      <w:pPr>
        <w:spacing w:line="240" w:lineRule="auto" w:before="10"/>
        <w:rPr>
          <w:rFonts w:ascii="宋体" w:hAnsi="宋体" w:cs="宋体" w:eastAsia="宋体" w:hint="default"/>
          <w:sz w:val="21"/>
          <w:szCs w:val="21"/>
        </w:rPr>
      </w:pPr>
    </w:p>
    <w:p>
      <w:pPr>
        <w:pStyle w:val="Heading2"/>
        <w:tabs>
          <w:tab w:pos="849" w:val="left" w:leader="none"/>
        </w:tabs>
        <w:spacing w:line="324" w:lineRule="auto" w:before="36"/>
        <w:ind w:right="7168"/>
        <w:jc w:val="left"/>
        <w:rPr>
          <w:rFonts w:ascii="宋体" w:hAnsi="宋体" w:cs="宋体" w:eastAsia="宋体" w:hint="default"/>
          <w:b w:val="0"/>
          <w:bCs w:val="0"/>
        </w:rPr>
      </w:pPr>
      <w:r>
        <w:rPr>
          <w:rFonts w:ascii="宋体" w:hAnsi="宋体" w:cs="宋体" w:eastAsia="宋体" w:hint="default"/>
          <w:w w:val="95"/>
        </w:rPr>
        <w:t>(2).</w:t>
        <w:tab/>
      </w:r>
      <w:r>
        <w:rPr/>
        <w:t>存货跌价准备</w:t>
      </w:r>
      <w:r>
        <w:rPr>
          <w:spacing w:val="-104"/>
        </w:rPr>
        <w:t> </w:t>
      </w:r>
      <w:r>
        <w:rPr>
          <w:rFonts w:ascii="宋体" w:hAnsi="宋体" w:cs="宋体" w:eastAsia="宋体" w:hint="default"/>
          <w:b w:val="0"/>
          <w:bCs w:val="0"/>
        </w:rPr>
        <w:t>无</w:t>
      </w:r>
    </w:p>
    <w:p>
      <w:pPr>
        <w:pStyle w:val="Heading2"/>
        <w:tabs>
          <w:tab w:pos="849" w:val="left" w:leader="none"/>
        </w:tabs>
        <w:spacing w:line="326" w:lineRule="auto" w:before="23"/>
        <w:ind w:right="4006"/>
        <w:jc w:val="left"/>
        <w:rPr>
          <w:rFonts w:ascii="宋体" w:hAnsi="宋体" w:cs="宋体" w:eastAsia="宋体" w:hint="default"/>
          <w:b w:val="0"/>
          <w:bCs w:val="0"/>
        </w:rPr>
      </w:pPr>
      <w:r>
        <w:rPr>
          <w:rFonts w:ascii="宋体" w:hAnsi="宋体" w:cs="宋体" w:eastAsia="宋体" w:hint="default"/>
          <w:w w:val="95"/>
        </w:rPr>
        <w:t>(3).</w:t>
        <w:tab/>
      </w:r>
      <w:r>
        <w:rPr>
          <w:spacing w:val="-1"/>
        </w:rPr>
        <w:t>存货期末余额含有借款费用资本化金额的说明：</w:t>
      </w:r>
      <w:r>
        <w:rPr>
          <w:spacing w:val="-86"/>
        </w:rPr>
        <w:t> </w:t>
      </w:r>
      <w:r>
        <w:rPr>
          <w:spacing w:val="-86"/>
        </w:rPr>
      </w:r>
      <w:r>
        <w:rPr>
          <w:rFonts w:ascii="宋体" w:hAnsi="宋体" w:cs="宋体" w:eastAsia="宋体" w:hint="default"/>
          <w:b w:val="0"/>
          <w:bCs w:val="0"/>
        </w:rPr>
        <w:t>无</w:t>
      </w:r>
    </w:p>
    <w:p>
      <w:pPr>
        <w:spacing w:after="0" w:line="326" w:lineRule="auto"/>
        <w:jc w:val="left"/>
        <w:rPr>
          <w:rFonts w:ascii="宋体" w:hAnsi="宋体" w:cs="宋体" w:eastAsia="宋体" w:hint="default"/>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tabs>
          <w:tab w:pos="849" w:val="left" w:leader="none"/>
        </w:tabs>
        <w:spacing w:line="240" w:lineRule="auto" w:before="36"/>
        <w:ind w:right="294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940"/>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spacing w:line="240" w:lineRule="auto" w:before="0"/>
        <w:rPr>
          <w:rFonts w:ascii="宋体" w:hAnsi="宋体" w:cs="宋体" w:eastAsia="宋体" w:hint="default"/>
          <w:b/>
          <w:bCs/>
          <w:sz w:val="20"/>
          <w:szCs w:val="20"/>
        </w:rPr>
      </w:pPr>
    </w:p>
    <w:p>
      <w:pPr>
        <w:pStyle w:val="BodyText"/>
        <w:spacing w:line="273" w:lineRule="auto" w:before="147"/>
        <w:ind w:left="218" w:right="1972"/>
        <w:jc w:val="left"/>
      </w:pPr>
      <w:r>
        <w:rPr>
          <w:spacing w:val="-2"/>
        </w:rPr>
        <w:t>其他说明</w:t>
      </w:r>
      <w:r>
        <w:rPr>
          <w:spacing w:val="-100"/>
        </w:rPr>
        <w:t> </w:t>
      </w:r>
      <w:r>
        <w:rPr>
          <w:spacing w:val="-100"/>
        </w:rPr>
      </w:r>
      <w:r>
        <w:rPr/>
        <w:t>无</w:t>
      </w:r>
    </w:p>
    <w:p>
      <w:pPr>
        <w:spacing w:line="240" w:lineRule="auto" w:before="1"/>
        <w:rPr>
          <w:rFonts w:ascii="宋体" w:hAnsi="宋体" w:cs="宋体" w:eastAsia="宋体" w:hint="default"/>
          <w:sz w:val="29"/>
          <w:szCs w:val="29"/>
        </w:rPr>
      </w:pPr>
    </w:p>
    <w:p>
      <w:pPr>
        <w:pStyle w:val="Heading2"/>
        <w:spacing w:line="240" w:lineRule="auto"/>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269" w:val="left" w:leader="none"/>
        </w:tabs>
        <w:spacing w:line="240" w:lineRule="auto" w:before="146"/>
        <w:ind w:left="218" w:right="0"/>
        <w:jc w:val="left"/>
      </w:pPr>
      <w:r>
        <w:rPr>
          <w:spacing w:val="-1"/>
        </w:rPr>
        <w:t>单位：元</w:t>
        <w:tab/>
      </w:r>
      <w:r>
        <w:rPr>
          <w:spacing w:val="-2"/>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478" w:val="left" w:leader="none"/>
        </w:tabs>
        <w:spacing w:line="240" w:lineRule="auto"/>
        <w:ind w:left="426"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568,900,000.00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将于一年内摊销的长期待摊费用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4,622,734.03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4,272,187.23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23,969.67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1,065,292.52</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586,188.46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27,401,209.43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575,174,215.01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393,697,366.33</w:t>
            </w:r>
          </w:p>
        </w:tc>
      </w:tr>
    </w:tbl>
    <w:p>
      <w:pPr>
        <w:spacing w:line="240" w:lineRule="auto" w:before="2"/>
        <w:rPr>
          <w:rFonts w:ascii="宋体" w:hAnsi="宋体" w:cs="宋体" w:eastAsia="宋体" w:hint="default"/>
          <w:sz w:val="20"/>
          <w:szCs w:val="20"/>
        </w:rPr>
      </w:pPr>
    </w:p>
    <w:p>
      <w:pPr>
        <w:pStyle w:val="BodyText"/>
        <w:spacing w:line="273" w:lineRule="auto" w:before="36"/>
        <w:ind w:left="218" w:right="8208"/>
        <w:jc w:val="left"/>
      </w:pPr>
      <w:r>
        <w:rPr/>
        <w:t>其他说明</w:t>
      </w:r>
      <w:r>
        <w:rPr>
          <w:w w:val="100"/>
        </w:rPr>
        <w:t> </w:t>
      </w:r>
      <w:r>
        <w:rPr/>
        <w:t>无</w:t>
      </w:r>
    </w:p>
    <w:p>
      <w:pPr>
        <w:spacing w:after="0" w:line="273"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0"/>
          <w:footerReference w:type="default" r:id="rId61"/>
          <w:pgSz w:w="16840" w:h="11910" w:orient="landscape"/>
          <w:pgMar w:header="882" w:footer="1195" w:top="1120" w:bottom="1380" w:left="780" w:right="1360"/>
          <w:pgNumType w:start="100"/>
        </w:sectPr>
      </w:pPr>
    </w:p>
    <w:p>
      <w:pPr>
        <w:spacing w:line="240" w:lineRule="auto" w:before="0"/>
        <w:rPr>
          <w:rFonts w:ascii="宋体" w:hAnsi="宋体" w:cs="宋体" w:eastAsia="宋体" w:hint="default"/>
          <w:sz w:val="15"/>
          <w:szCs w:val="15"/>
        </w:rPr>
      </w:pPr>
    </w:p>
    <w:p>
      <w:pPr>
        <w:pStyle w:val="Heading2"/>
        <w:spacing w:line="240" w:lineRule="auto"/>
        <w:ind w:left="660" w:right="-8"/>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BodyText"/>
        <w:spacing w:line="240" w:lineRule="auto" w:before="97"/>
        <w:ind w:left="660" w:right="-8"/>
        <w:jc w:val="left"/>
      </w:pPr>
      <w:r>
        <w:rPr/>
        <w:t>√适用 □不适用</w:t>
      </w:r>
    </w:p>
    <w:p>
      <w:pPr>
        <w:pStyle w:val="Heading2"/>
        <w:tabs>
          <w:tab w:pos="1303" w:val="left" w:leader="none"/>
        </w:tabs>
        <w:spacing w:line="240" w:lineRule="auto" w:before="97"/>
        <w:ind w:left="660"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tabs>
          <w:tab w:pos="1711" w:val="left" w:leader="none"/>
        </w:tabs>
        <w:spacing w:line="240" w:lineRule="auto"/>
        <w:ind w:left="660" w:right="0"/>
        <w:jc w:val="left"/>
      </w:pPr>
      <w:r>
        <w:rPr>
          <w:spacing w:val="-1"/>
        </w:rPr>
        <w:t>单位：元</w:t>
        <w:tab/>
        <w:t>币种：人民币</w:t>
      </w:r>
    </w:p>
    <w:p>
      <w:pPr>
        <w:spacing w:after="0" w:line="240" w:lineRule="auto"/>
        <w:jc w:val="left"/>
        <w:sectPr>
          <w:type w:val="continuous"/>
          <w:pgSz w:w="16840" w:h="11910" w:orient="landscape"/>
          <w:pgMar w:top="1120" w:bottom="1380" w:left="780" w:right="1360"/>
          <w:cols w:num="2" w:equalWidth="0">
            <w:col w:w="3414" w:space="8149"/>
            <w:col w:w="3137"/>
          </w:cols>
        </w:sectPr>
      </w:pPr>
    </w:p>
    <w:p>
      <w:pPr>
        <w:spacing w:line="240" w:lineRule="auto" w:before="10"/>
        <w:rPr>
          <w:rFonts w:ascii="宋体" w:hAnsi="宋体" w:cs="宋体" w:eastAsia="宋体" w:hint="default"/>
          <w:sz w:val="3"/>
          <w:szCs w:val="3"/>
        </w:rPr>
      </w:pPr>
    </w:p>
    <w:tbl>
      <w:tblPr>
        <w:tblW w:w="0" w:type="auto"/>
        <w:jc w:val="left"/>
        <w:tblInd w:w="621" w:type="dxa"/>
        <w:tblLayout w:type="fixed"/>
        <w:tblCellMar>
          <w:top w:w="0" w:type="dxa"/>
          <w:left w:w="0" w:type="dxa"/>
          <w:bottom w:w="0" w:type="dxa"/>
          <w:right w:w="0" w:type="dxa"/>
        </w:tblCellMar>
        <w:tblLook w:val="01E0"/>
      </w:tblPr>
      <w:tblGrid>
        <w:gridCol w:w="3411"/>
        <w:gridCol w:w="1805"/>
        <w:gridCol w:w="1781"/>
        <w:gridCol w:w="1733"/>
        <w:gridCol w:w="1714"/>
        <w:gridCol w:w="1738"/>
        <w:gridCol w:w="1755"/>
      </w:tblGrid>
      <w:tr>
        <w:trPr>
          <w:trHeight w:val="326" w:hRule="exact"/>
        </w:trPr>
        <w:tc>
          <w:tcPr>
            <w:tcW w:w="3411" w:type="dxa"/>
            <w:vMerge w:val="restart"/>
            <w:tcBorders>
              <w:top w:val="single" w:sz="6" w:space="0" w:color="000000"/>
              <w:left w:val="single" w:sz="6" w:space="0" w:color="000000"/>
              <w:right w:val="single" w:sz="6" w:space="0" w:color="000000"/>
            </w:tcBorders>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7" w:hRule="exact"/>
        </w:trPr>
        <w:tc>
          <w:tcPr>
            <w:tcW w:w="3411" w:type="dxa"/>
            <w:vMerge/>
            <w:tcBorders>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28,250,000.00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sz w:val="21"/>
              </w:rPr>
              <w:t>9,500,000.00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18,750,000.00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83,164,947.94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21,592,582.72</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61,572,365.22</w:t>
            </w:r>
          </w:p>
        </w:tc>
      </w:tr>
      <w:tr>
        <w:trPr>
          <w:trHeight w:val="329"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41"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5"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54,914,947.94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12,092,582.72</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42,822,365.22</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28,250,000.00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sz w:val="21"/>
              </w:rPr>
              <w:t>9,500,000.00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18,750,000.00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28,250,000.00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9,500,000.00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18,750,000.00</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28,250,000.00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sz w:val="21"/>
              </w:rPr>
              <w:t>9,500,000.00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18,750,000.00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83,164,947.94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21,592,582.72</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61,572,365.22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780" w:right="1360"/>
        </w:sectPr>
      </w:pPr>
    </w:p>
    <w:p>
      <w:pPr>
        <w:pStyle w:val="Heading2"/>
        <w:tabs>
          <w:tab w:pos="1303" w:val="left" w:leader="none"/>
        </w:tabs>
        <w:spacing w:line="240" w:lineRule="auto" w:before="36"/>
        <w:ind w:left="660"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97"/>
        <w:ind w:left="660" w:right="0"/>
        <w:jc w:val="left"/>
      </w:pPr>
      <w:r>
        <w:rPr/>
        <w:t>□适用 √不适用</w:t>
      </w:r>
    </w:p>
    <w:p>
      <w:pPr>
        <w:pStyle w:val="Heading2"/>
        <w:tabs>
          <w:tab w:pos="1303" w:val="left" w:leader="none"/>
        </w:tabs>
        <w:spacing w:line="240" w:lineRule="auto" w:before="97"/>
        <w:ind w:left="660"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97"/>
        <w:ind w:left="66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11" w:val="left" w:leader="none"/>
        </w:tabs>
        <w:spacing w:line="240" w:lineRule="auto" w:before="156"/>
        <w:ind w:left="660" w:right="0"/>
        <w:jc w:val="left"/>
      </w:pPr>
      <w:r>
        <w:rPr>
          <w:spacing w:val="-1"/>
        </w:rPr>
        <w:t>单位：元</w:t>
        <w:tab/>
        <w:t>币种：人民币</w:t>
      </w:r>
    </w:p>
    <w:p>
      <w:pPr>
        <w:spacing w:after="0" w:line="240" w:lineRule="auto"/>
        <w:jc w:val="left"/>
        <w:sectPr>
          <w:type w:val="continuous"/>
          <w:pgSz w:w="16840" w:h="11910" w:orient="landscape"/>
          <w:pgMar w:top="1120" w:bottom="1380" w:left="780" w:right="1360"/>
          <w:cols w:num="2" w:equalWidth="0">
            <w:col w:w="5101" w:space="6462"/>
            <w:col w:w="3137"/>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95"/>
        <w:gridCol w:w="1731"/>
        <w:gridCol w:w="720"/>
        <w:gridCol w:w="845"/>
        <w:gridCol w:w="1748"/>
        <w:gridCol w:w="1584"/>
        <w:gridCol w:w="722"/>
        <w:gridCol w:w="721"/>
        <w:gridCol w:w="1872"/>
        <w:gridCol w:w="862"/>
        <w:gridCol w:w="980"/>
      </w:tblGrid>
      <w:tr>
        <w:trPr>
          <w:trHeight w:val="569" w:hRule="exact"/>
        </w:trPr>
        <w:tc>
          <w:tcPr>
            <w:tcW w:w="2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50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2" w:type="dxa"/>
            <w:vMerge w:val="restart"/>
            <w:tcBorders>
              <w:top w:val="single" w:sz="4" w:space="0" w:color="000000"/>
              <w:left w:val="single" w:sz="4" w:space="0" w:color="000000"/>
              <w:right w:val="single" w:sz="4" w:space="0" w:color="000000"/>
            </w:tcBorders>
          </w:tcPr>
          <w:p>
            <w:pPr>
              <w:pStyle w:val="TableParagraph"/>
              <w:spacing w:line="273" w:lineRule="auto" w:before="16"/>
              <w:ind w:left="108" w:right="10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167" w:right="166"/>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746" w:hRule="exact"/>
        </w:trPr>
        <w:tc>
          <w:tcPr>
            <w:tcW w:w="2595" w:type="dxa"/>
            <w:vMerge/>
            <w:tcBorders>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2"/>
              <w:ind w:left="143" w:right="14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2"/>
              <w:ind w:left="206" w:right="20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2"/>
              <w:ind w:left="146" w:right="14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2"/>
              <w:ind w:left="144" w:right="14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62"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r>
      <w:tr>
        <w:trPr>
          <w:trHeight w:val="43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上海东方网股份有限公司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18,630,000.00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18,630,000.00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9,500,000.00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9,500,000.00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center"/>
              <w:rPr>
                <w:rFonts w:ascii="宋体" w:hAnsi="宋体" w:cs="宋体" w:eastAsia="宋体" w:hint="default"/>
                <w:sz w:val="21"/>
                <w:szCs w:val="21"/>
              </w:rPr>
            </w:pPr>
            <w:r>
              <w:rPr>
                <w:rFonts w:ascii="宋体"/>
                <w:sz w:val="21"/>
              </w:rPr>
              <w:t>9,500,000.00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9,500,000.00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19.00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天津爱悦读科技有限公司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28,250,000.00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28,250,000.00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9,500,000.00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7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1300"/>
        </w:sectPr>
      </w:pPr>
    </w:p>
    <w:p>
      <w:pPr>
        <w:pStyle w:val="Heading2"/>
        <w:tabs>
          <w:tab w:pos="863" w:val="left" w:leader="none"/>
        </w:tabs>
        <w:spacing w:line="240" w:lineRule="auto" w:before="36"/>
        <w:ind w:left="220"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97"/>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4872" w:space="6691"/>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812"/>
        <w:gridCol w:w="2635"/>
        <w:gridCol w:w="2681"/>
        <w:gridCol w:w="2465"/>
        <w:gridCol w:w="2496"/>
      </w:tblGrid>
      <w:tr>
        <w:trPr>
          <w:trHeight w:val="634"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5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1" w:right="679"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5" w:right="701" w:hanging="420"/>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21,592,582.72</w:t>
            </w: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21,592,582.72</w:t>
            </w:r>
          </w:p>
        </w:tc>
      </w:tr>
      <w:tr>
        <w:trPr>
          <w:trHeight w:val="32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12,092,582.72</w:t>
            </w: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12,092,582.72</w:t>
            </w:r>
          </w:p>
        </w:tc>
      </w:tr>
      <w:tr>
        <w:trPr>
          <w:trHeight w:val="32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9,500,000.00</w:t>
            </w:r>
          </w:p>
        </w:tc>
        <w:tc>
          <w:tcPr>
            <w:tcW w:w="2681"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9,500,000.00</w:t>
            </w:r>
          </w:p>
        </w:tc>
      </w:tr>
    </w:tbl>
    <w:p>
      <w:pPr>
        <w:spacing w:line="240" w:lineRule="auto" w:before="10"/>
        <w:rPr>
          <w:rFonts w:ascii="宋体" w:hAnsi="宋体" w:cs="宋体" w:eastAsia="宋体" w:hint="default"/>
          <w:sz w:val="24"/>
          <w:szCs w:val="24"/>
        </w:rPr>
      </w:pPr>
    </w:p>
    <w:p>
      <w:pPr>
        <w:pStyle w:val="Heading2"/>
        <w:tabs>
          <w:tab w:pos="863" w:val="left" w:leader="none"/>
        </w:tabs>
        <w:spacing w:line="240" w:lineRule="auto" w:before="36"/>
        <w:ind w:left="220" w:right="163"/>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97"/>
        <w:ind w:left="220" w:right="1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6840" w:h="11910" w:orient="landscape"/>
          <w:pgMar w:top="1120" w:bottom="1380" w:left="1220" w:right="1300"/>
        </w:sectPr>
      </w:pPr>
    </w:p>
    <w:p>
      <w:pPr>
        <w:pStyle w:val="Heading2"/>
        <w:spacing w:line="240" w:lineRule="auto" w:before="36"/>
        <w:ind w:left="220" w:right="-17"/>
        <w:jc w:val="left"/>
        <w:rPr>
          <w:b w:val="0"/>
          <w:bCs w:val="0"/>
        </w:rPr>
      </w:pPr>
      <w:r>
        <w:rPr>
          <w:rFonts w:ascii="宋体" w:hAnsi="宋体" w:cs="宋体" w:eastAsia="宋体" w:hint="default"/>
        </w:rPr>
        <w:t>15</w:t>
      </w:r>
      <w:r>
        <w:rPr/>
        <w:t>、</w:t>
      </w:r>
      <w:r>
        <w:rPr>
          <w:spacing w:val="-23"/>
        </w:rPr>
        <w:t> </w:t>
      </w:r>
      <w:r>
        <w:rPr/>
        <w:t>持有至到期投资</w:t>
      </w:r>
      <w:r>
        <w:rPr>
          <w:b w:val="0"/>
          <w:bCs w:val="0"/>
        </w:rPr>
      </w:r>
    </w:p>
    <w:p>
      <w:pPr>
        <w:spacing w:line="273" w:lineRule="auto" w:before="97"/>
        <w:ind w:left="220"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755" w:space="8807"/>
            <w:col w:w="2758"/>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756"/>
        <w:gridCol w:w="1976"/>
        <w:gridCol w:w="1769"/>
        <w:gridCol w:w="1848"/>
        <w:gridCol w:w="1954"/>
        <w:gridCol w:w="1810"/>
        <w:gridCol w:w="1824"/>
      </w:tblGrid>
      <w:tr>
        <w:trPr>
          <w:trHeight w:val="326" w:hRule="exact"/>
        </w:trPr>
        <w:tc>
          <w:tcPr>
            <w:tcW w:w="2756" w:type="dxa"/>
            <w:vMerge w:val="restart"/>
            <w:tcBorders>
              <w:top w:val="single" w:sz="6" w:space="0" w:color="000000"/>
              <w:left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2756" w:type="dxa"/>
            <w:vMerge/>
            <w:tcBorders>
              <w:left w:val="single" w:sz="6" w:space="0" w:color="000000"/>
              <w:bottom w:val="single" w:sz="6" w:space="0" w:color="000000"/>
              <w:right w:val="single" w:sz="6" w:space="0" w:color="000000"/>
            </w:tcBorders>
          </w:tcPr>
          <w:p>
            <w:pP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5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韩国首尔可变现债券</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50,857.43</w:t>
            </w:r>
          </w:p>
        </w:tc>
        <w:tc>
          <w:tcPr>
            <w:tcW w:w="176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50,857.43</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52,195.05</w:t>
            </w:r>
          </w:p>
        </w:tc>
        <w:tc>
          <w:tcPr>
            <w:tcW w:w="181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52,195.05</w:t>
            </w:r>
          </w:p>
        </w:tc>
      </w:tr>
      <w:tr>
        <w:trPr>
          <w:trHeight w:val="326"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开放式资产管理计划</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19,480,800.00</w:t>
            </w:r>
          </w:p>
        </w:tc>
        <w:tc>
          <w:tcPr>
            <w:tcW w:w="176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19,480,800.00</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20,000,000.00</w:t>
            </w:r>
          </w:p>
        </w:tc>
        <w:tc>
          <w:tcPr>
            <w:tcW w:w="181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20,000,000.00</w:t>
            </w:r>
          </w:p>
        </w:tc>
      </w:tr>
      <w:tr>
        <w:trPr>
          <w:trHeight w:val="329"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19,531,657.43</w:t>
            </w:r>
          </w:p>
        </w:tc>
        <w:tc>
          <w:tcPr>
            <w:tcW w:w="176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19,531,657.43</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20,052,195.05</w:t>
            </w:r>
          </w:p>
        </w:tc>
        <w:tc>
          <w:tcPr>
            <w:tcW w:w="181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20,052,195.05</w:t>
            </w:r>
          </w:p>
        </w:tc>
      </w:tr>
    </w:tbl>
    <w:p>
      <w:pPr>
        <w:spacing w:after="0" w:line="262"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left="820" w:right="11323"/>
        <w:jc w:val="left"/>
        <w:rPr>
          <w:b w:val="0"/>
          <w:bCs w:val="0"/>
        </w:rPr>
      </w:pPr>
      <w:r>
        <w:rPr>
          <w:rFonts w:ascii="宋体" w:hAnsi="宋体" w:cs="宋体" w:eastAsia="宋体" w:hint="default"/>
        </w:rPr>
        <w:t>(2).</w:t>
      </w:r>
      <w:r>
        <w:rPr/>
        <w:t>期末重要的持有至到期投资：</w:t>
      </w:r>
      <w:r>
        <w:rPr>
          <w:b w:val="0"/>
          <w:bCs w:val="0"/>
        </w:rPr>
      </w:r>
    </w:p>
    <w:p>
      <w:pPr>
        <w:spacing w:line="273" w:lineRule="auto" w:before="37"/>
        <w:ind w:left="820" w:right="113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0" w:lineRule="auto" w:before="7"/>
        <w:ind w:left="1240" w:right="11323"/>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48"/>
        <w:ind w:left="820" w:right="11323"/>
        <w:jc w:val="left"/>
        <w:rPr>
          <w:b w:val="0"/>
          <w:bCs w:val="0"/>
        </w:rPr>
      </w:pPr>
      <w:r>
        <w:rPr>
          <w:rFonts w:ascii="宋体" w:hAnsi="宋体" w:cs="宋体" w:eastAsia="宋体" w:hint="default"/>
        </w:rPr>
        <w:t>16</w:t>
      </w:r>
      <w:r>
        <w:rPr/>
        <w:t>、</w:t>
      </w:r>
      <w:r>
        <w:rPr>
          <w:spacing w:val="-24"/>
        </w:rPr>
        <w:t> </w:t>
      </w:r>
      <w:r>
        <w:rPr/>
        <w:t>长期应收款</w:t>
      </w:r>
      <w:r>
        <w:rPr>
          <w:b w:val="0"/>
          <w:bCs w:val="0"/>
        </w:rPr>
      </w:r>
    </w:p>
    <w:p>
      <w:pPr>
        <w:pStyle w:val="BodyText"/>
        <w:spacing w:line="240" w:lineRule="auto" w:before="97"/>
        <w:ind w:left="820" w:right="1132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620" w:right="680"/>
        </w:sectPr>
      </w:pPr>
    </w:p>
    <w:p>
      <w:pPr>
        <w:pStyle w:val="Heading2"/>
        <w:spacing w:line="240" w:lineRule="auto" w:before="36"/>
        <w:ind w:left="82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97"/>
        <w:ind w:left="820"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380" w:left="620" w:right="680"/>
          <w:cols w:num="2" w:equalWidth="0">
            <w:col w:w="2592" w:space="8971"/>
            <w:col w:w="397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616"/>
        <w:gridCol w:w="1656"/>
        <w:gridCol w:w="1561"/>
        <w:gridCol w:w="564"/>
        <w:gridCol w:w="1699"/>
        <w:gridCol w:w="711"/>
        <w:gridCol w:w="1699"/>
        <w:gridCol w:w="852"/>
        <w:gridCol w:w="709"/>
        <w:gridCol w:w="1706"/>
        <w:gridCol w:w="1702"/>
        <w:gridCol w:w="835"/>
      </w:tblGrid>
      <w:tr>
        <w:trPr>
          <w:trHeight w:val="322"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609" w:right="61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5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636"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35" w:type="dxa"/>
            <w:vMerge w:val="restart"/>
            <w:tcBorders>
              <w:top w:val="single" w:sz="4" w:space="0" w:color="000000"/>
              <w:left w:val="single" w:sz="4" w:space="0" w:color="000000"/>
              <w:right w:val="single" w:sz="4" w:space="0" w:color="000000"/>
            </w:tcBorders>
          </w:tcPr>
          <w:p>
            <w:pPr>
              <w:pStyle w:val="TableParagraph"/>
              <w:spacing w:line="273" w:lineRule="auto" w:before="148"/>
              <w:ind w:left="201" w:right="199"/>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258" w:hRule="exact"/>
        </w:trPr>
        <w:tc>
          <w:tcPr>
            <w:tcW w:w="161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6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24" w:right="105" w:hanging="317"/>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39" w:right="13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z w:val="21"/>
                <w:szCs w:val="21"/>
              </w:rPr>
              <w:t>人民浙报传媒</w:t>
            </w:r>
            <w:r>
              <w:rPr>
                <w:rFonts w:ascii="宋体" w:hAnsi="宋体" w:cs="宋体" w:eastAsia="宋体" w:hint="default"/>
                <w:w w:val="100"/>
                <w:sz w:val="21"/>
                <w:szCs w:val="21"/>
              </w:rPr>
              <w:t> </w:t>
            </w:r>
            <w:r>
              <w:rPr>
                <w:rFonts w:ascii="宋体" w:hAnsi="宋体" w:cs="宋体" w:eastAsia="宋体" w:hint="default"/>
                <w:sz w:val="21"/>
                <w:szCs w:val="21"/>
              </w:rPr>
              <w:t>投资有限公司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24,987,296.00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181,767.63</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25,169,063.63</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黑龙江龙教数</w:t>
            </w:r>
            <w:r>
              <w:rPr>
                <w:rFonts w:ascii="宋体" w:hAnsi="宋体" w:cs="宋体" w:eastAsia="宋体" w:hint="default"/>
                <w:w w:val="100"/>
                <w:sz w:val="21"/>
                <w:szCs w:val="21"/>
              </w:rPr>
              <w:t> </w:t>
            </w:r>
            <w:r>
              <w:rPr>
                <w:rFonts w:ascii="宋体" w:hAnsi="宋体" w:cs="宋体" w:eastAsia="宋体" w:hint="default"/>
                <w:sz w:val="21"/>
                <w:szCs w:val="21"/>
              </w:rPr>
              <w:t>媒科技有限公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510,000.00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-39,330.61</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470,669.39</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25,497,296.00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142,437.02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25,639,733.02</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 w:right="0"/>
              <w:jc w:val="center"/>
              <w:rPr>
                <w:rFonts w:ascii="宋体" w:hAnsi="宋体" w:cs="宋体" w:eastAsia="宋体" w:hint="default"/>
                <w:sz w:val="21"/>
                <w:szCs w:val="21"/>
              </w:rPr>
            </w:pPr>
            <w:r>
              <w:rPr>
                <w:rFonts w:ascii="宋体"/>
                <w:sz w:val="21"/>
              </w:rPr>
              <w:t>3,000,000.00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2,919.87</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3,002,919.87</w:t>
            </w:r>
          </w:p>
        </w:tc>
        <w:tc>
          <w:tcPr>
            <w:tcW w:w="8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6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616"/>
        <w:gridCol w:w="1656"/>
        <w:gridCol w:w="1561"/>
        <w:gridCol w:w="564"/>
        <w:gridCol w:w="1699"/>
        <w:gridCol w:w="711"/>
        <w:gridCol w:w="1699"/>
        <w:gridCol w:w="852"/>
        <w:gridCol w:w="709"/>
        <w:gridCol w:w="1706"/>
        <w:gridCol w:w="1702"/>
        <w:gridCol w:w="835"/>
      </w:tblGrid>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北京文华在线</w:t>
            </w:r>
            <w:r>
              <w:rPr>
                <w:rFonts w:ascii="宋体" w:hAnsi="宋体" w:cs="宋体" w:eastAsia="宋体" w:hint="default"/>
                <w:w w:val="100"/>
                <w:sz w:val="21"/>
                <w:szCs w:val="21"/>
              </w:rPr>
              <w:t> </w:t>
            </w:r>
            <w:r>
              <w:rPr>
                <w:rFonts w:ascii="宋体" w:hAnsi="宋体" w:cs="宋体" w:eastAsia="宋体" w:hint="default"/>
                <w:sz w:val="21"/>
                <w:szCs w:val="21"/>
              </w:rPr>
              <w:t>教育科技股份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12,311,203.83</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29,484,090.01</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76,795,293.84</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z w:val="21"/>
                <w:szCs w:val="21"/>
              </w:rPr>
              <w:t>重庆云凤科技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-15,727.68</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284,272.32</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z w:val="21"/>
                <w:szCs w:val="21"/>
              </w:rPr>
              <w:t>深圳市高捷金</w:t>
            </w:r>
            <w:r>
              <w:rPr>
                <w:rFonts w:ascii="宋体" w:hAnsi="宋体" w:cs="宋体" w:eastAsia="宋体" w:hint="default"/>
                <w:w w:val="100"/>
                <w:sz w:val="21"/>
                <w:szCs w:val="21"/>
              </w:rPr>
              <w:t> </w:t>
            </w:r>
            <w:r>
              <w:rPr>
                <w:rFonts w:ascii="宋体" w:hAnsi="宋体" w:cs="宋体" w:eastAsia="宋体" w:hint="default"/>
                <w:sz w:val="21"/>
                <w:szCs w:val="21"/>
              </w:rPr>
              <w:t>台创业投资管</w:t>
            </w:r>
            <w:r>
              <w:rPr>
                <w:rFonts w:ascii="宋体" w:hAnsi="宋体" w:cs="宋体" w:eastAsia="宋体" w:hint="default"/>
                <w:w w:val="100"/>
                <w:sz w:val="21"/>
                <w:szCs w:val="21"/>
              </w:rPr>
              <w:t> </w:t>
            </w:r>
            <w:r>
              <w:rPr>
                <w:rFonts w:ascii="宋体" w:hAnsi="宋体" w:cs="宋体" w:eastAsia="宋体" w:hint="default"/>
                <w:sz w:val="21"/>
                <w:szCs w:val="21"/>
              </w:rPr>
              <w:t>理有限公司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300,000.00</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华茂金台（北</w:t>
            </w:r>
            <w:r>
              <w:rPr>
                <w:rFonts w:ascii="宋体" w:hAnsi="宋体" w:cs="宋体" w:eastAsia="宋体" w:hint="default"/>
                <w:w w:val="100"/>
                <w:sz w:val="21"/>
                <w:szCs w:val="21"/>
              </w:rPr>
              <w:t> </w:t>
            </w:r>
            <w:r>
              <w:rPr>
                <w:rFonts w:ascii="宋体" w:hAnsi="宋体" w:cs="宋体" w:eastAsia="宋体" w:hint="default"/>
                <w:spacing w:val="-12"/>
                <w:sz w:val="21"/>
                <w:szCs w:val="21"/>
              </w:rPr>
              <w:t>京）投资管理有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7,200,000.00</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12,298,396.02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30,684,090.01</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87,582,486.03</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25,497,296.00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12,440,833.04</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30,684,090.01</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113,222,219.05</w:t>
            </w:r>
          </w:p>
        </w:tc>
        <w:tc>
          <w:tcPr>
            <w:tcW w:w="8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pStyle w:val="BodyText"/>
        <w:spacing w:line="274" w:lineRule="exact" w:before="36"/>
        <w:ind w:left="820" w:right="11323"/>
        <w:jc w:val="left"/>
      </w:pPr>
      <w:r>
        <w:rPr/>
        <w:t>其他说明</w:t>
      </w:r>
    </w:p>
    <w:p>
      <w:pPr>
        <w:pStyle w:val="BodyText"/>
        <w:spacing w:line="274" w:lineRule="exact"/>
        <w:ind w:left="1240" w:right="11323"/>
        <w:jc w:val="left"/>
      </w:pPr>
      <w:r>
        <w:rPr>
          <w:w w:val="100"/>
        </w:rPr>
        <w:t>无</w:t>
      </w:r>
    </w:p>
    <w:p>
      <w:pPr>
        <w:spacing w:line="240" w:lineRule="auto" w:before="11"/>
        <w:rPr>
          <w:rFonts w:ascii="宋体" w:hAnsi="宋体" w:cs="宋体" w:eastAsia="宋体" w:hint="default"/>
          <w:sz w:val="29"/>
          <w:szCs w:val="29"/>
        </w:rPr>
      </w:pPr>
    </w:p>
    <w:p>
      <w:pPr>
        <w:pStyle w:val="Heading2"/>
        <w:spacing w:line="240" w:lineRule="auto"/>
        <w:ind w:left="820" w:right="11323"/>
        <w:jc w:val="left"/>
        <w:rPr>
          <w:b w:val="0"/>
          <w:bCs w:val="0"/>
        </w:rPr>
      </w:pPr>
      <w:r>
        <w:rPr>
          <w:rFonts w:ascii="宋体" w:hAnsi="宋体" w:cs="宋体" w:eastAsia="宋体" w:hint="default"/>
        </w:rPr>
        <w:t>18</w:t>
      </w:r>
      <w:r>
        <w:rPr/>
        <w:t>、</w:t>
      </w:r>
      <w:r>
        <w:rPr>
          <w:spacing w:val="-23"/>
        </w:rPr>
        <w:t> </w:t>
      </w:r>
      <w:r>
        <w:rPr/>
        <w:t>投资性房地产</w:t>
      </w:r>
      <w:r>
        <w:rPr>
          <w:b w:val="0"/>
          <w:bCs w:val="0"/>
        </w:rPr>
      </w:r>
    </w:p>
    <w:p>
      <w:pPr>
        <w:pStyle w:val="BodyText"/>
        <w:spacing w:line="240" w:lineRule="auto" w:before="97"/>
        <w:ind w:left="820" w:right="11323"/>
        <w:jc w:val="left"/>
      </w:pPr>
      <w:r>
        <w:rPr/>
        <w:t>□适用 √不适用</w:t>
      </w:r>
    </w:p>
    <w:p>
      <w:pPr>
        <w:spacing w:after="0" w:line="240" w:lineRule="auto"/>
        <w:jc w:val="left"/>
        <w:sectPr>
          <w:pgSz w:w="16840" w:h="11910" w:orient="landscape"/>
          <w:pgMar w:header="882" w:footer="1195" w:top="1120" w:bottom="1380" w:left="6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300" w:right="1360"/>
        </w:sectPr>
      </w:pPr>
    </w:p>
    <w:p>
      <w:pPr>
        <w:spacing w:line="240" w:lineRule="auto" w:before="0"/>
        <w:rPr>
          <w:rFonts w:ascii="宋体" w:hAnsi="宋体" w:cs="宋体" w:eastAsia="宋体" w:hint="default"/>
          <w:sz w:val="15"/>
          <w:szCs w:val="15"/>
        </w:rPr>
      </w:pPr>
    </w:p>
    <w:p>
      <w:pPr>
        <w:pStyle w:val="Heading2"/>
        <w:spacing w:line="240" w:lineRule="auto"/>
        <w:ind w:left="140" w:right="-20"/>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2"/>
        <w:spacing w:line="240" w:lineRule="auto" w:before="97"/>
        <w:ind w:left="140" w:right="-20"/>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191" w:val="left" w:leader="none"/>
        </w:tabs>
        <w:spacing w:line="240" w:lineRule="auto" w:before="155"/>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996" w:space="9567"/>
            <w:col w:w="261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620"/>
        <w:gridCol w:w="2678"/>
        <w:gridCol w:w="2681"/>
        <w:gridCol w:w="2677"/>
        <w:gridCol w:w="2280"/>
      </w:tblGrid>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9,600,000.00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191,572,461.65</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48,815,527.49</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249,987,989.14</w:t>
            </w: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300,000.00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78,819,513.34</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238,723.44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79,358,236.78</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300,000.00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72,252,103.96</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198,338.58</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72,750,442.54</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5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5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1,717,955.36</w:t>
            </w: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1,717,955.36</w:t>
            </w: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4,849,454.02</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40,384.86</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4,889,838.88</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13,115,097.58</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5,129,062.50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18,244,160.08</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976,424.07</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259,629.30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1,236,053.37</w:t>
            </w:r>
          </w:p>
        </w:tc>
      </w:tr>
      <w:tr>
        <w:trPr>
          <w:trHeight w:val="32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12,138,673.51</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4,869,433.20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17,008,106.71</w:t>
            </w: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9,900,000.00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257,276,877.41</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43,925,188.43</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311,102,065.84</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10,857.14</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98,936,793.61</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7,508,456.24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106,456,106.99</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130,964.26</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29,229,093.75</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4,441,937.67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33,801,995.68</w:t>
            </w: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130,964.26</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28,989,837.25</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4,422,919.77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33,543,721.28</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239,256.50</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19,017.90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258,274.40</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5,957,302.08</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98,665.86</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6,055,967.94</w:t>
            </w:r>
          </w:p>
        </w:tc>
      </w:tr>
      <w:tr>
        <w:trPr>
          <w:trHeight w:val="32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631,922.59</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84,857.66</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716,780.25</w:t>
            </w: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5,325,379.49</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13,808.20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5,339,187.69</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141,821.40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122,208,585.28</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11,851,728.05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134,202,134.73</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620"/>
        <w:gridCol w:w="2678"/>
        <w:gridCol w:w="2681"/>
        <w:gridCol w:w="2677"/>
        <w:gridCol w:w="2280"/>
      </w:tblGrid>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678" w:type="dxa"/>
            <w:tcBorders>
              <w:top w:val="single" w:sz="6" w:space="0" w:color="000000"/>
              <w:left w:val="single" w:sz="6" w:space="0" w:color="000000"/>
              <w:bottom w:val="single" w:sz="6" w:space="0" w:color="000000"/>
              <w:right w:val="single" w:sz="6" w:space="0" w:color="000000"/>
            </w:tcBorders>
          </w:tcPr>
          <w:p>
            <w:pPr/>
          </w:p>
        </w:tc>
        <w:tc>
          <w:tcPr>
            <w:tcW w:w="2681" w:type="dxa"/>
            <w:tcBorders>
              <w:top w:val="single" w:sz="6" w:space="0" w:color="000000"/>
              <w:left w:val="single" w:sz="6" w:space="0" w:color="000000"/>
              <w:bottom w:val="single" w:sz="6" w:space="0" w:color="000000"/>
              <w:right w:val="single" w:sz="6" w:space="0" w:color="000000"/>
            </w:tcBorders>
          </w:tcPr>
          <w:p>
            <w:pPr/>
          </w:p>
        </w:tc>
        <w:tc>
          <w:tcPr>
            <w:tcW w:w="2677"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9,758,178.60</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135,068,292.13</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32,073,460.38</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176,899,931.11</w:t>
            </w:r>
          </w:p>
        </w:tc>
      </w:tr>
      <w:tr>
        <w:trPr>
          <w:trHeight w:val="326"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9,589,142.86</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92,635,668.04</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41,307,071.25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143,531,882.15</w:t>
            </w:r>
          </w:p>
        </w:tc>
      </w:tr>
    </w:tbl>
    <w:p>
      <w:pPr>
        <w:spacing w:line="240" w:lineRule="auto" w:before="9"/>
        <w:rPr>
          <w:rFonts w:ascii="宋体" w:hAnsi="宋体" w:cs="宋体" w:eastAsia="宋体" w:hint="default"/>
          <w:sz w:val="24"/>
          <w:szCs w:val="24"/>
        </w:rPr>
      </w:pPr>
    </w:p>
    <w:p>
      <w:pPr>
        <w:pStyle w:val="Heading2"/>
        <w:spacing w:line="240" w:lineRule="auto" w:before="36"/>
        <w:ind w:left="140" w:right="0"/>
        <w:jc w:val="left"/>
        <w:rPr>
          <w:b w:val="0"/>
          <w:bCs w:val="0"/>
        </w:rPr>
      </w:pPr>
      <w:r>
        <w:rPr>
          <w:rFonts w:ascii="宋体" w:hAnsi="宋体" w:cs="宋体" w:eastAsia="宋体" w:hint="default"/>
        </w:rPr>
        <w:t>(2).</w:t>
      </w:r>
      <w:r>
        <w:rPr>
          <w:rFonts w:ascii="宋体" w:hAnsi="宋体" w:cs="宋体" w:eastAsia="宋体" w:hint="default"/>
          <w:spacing w:val="60"/>
        </w:rPr>
        <w:t> </w:t>
      </w:r>
      <w:r>
        <w:rPr/>
        <w:t>暂时闲置的固定资产情况</w:t>
      </w:r>
      <w:r>
        <w:rPr>
          <w:b w:val="0"/>
          <w:bCs w:val="0"/>
        </w:rPr>
      </w:r>
    </w:p>
    <w:p>
      <w:pPr>
        <w:pStyle w:val="BodyText"/>
        <w:spacing w:line="240" w:lineRule="auto" w:before="97"/>
        <w:ind w:left="140" w:right="0"/>
        <w:jc w:val="left"/>
      </w:pPr>
      <w:r>
        <w:rPr/>
        <w:t>□适用 √不适用</w:t>
      </w:r>
    </w:p>
    <w:p>
      <w:pPr>
        <w:pStyle w:val="Heading2"/>
        <w:spacing w:line="240" w:lineRule="auto" w:before="97"/>
        <w:ind w:left="140" w:right="0"/>
        <w:jc w:val="left"/>
        <w:rPr>
          <w:b w:val="0"/>
          <w:bCs w:val="0"/>
        </w:rPr>
      </w:pPr>
      <w:r>
        <w:rPr>
          <w:rFonts w:ascii="宋体" w:hAnsi="宋体" w:cs="宋体" w:eastAsia="宋体" w:hint="default"/>
        </w:rPr>
        <w:t>(3).</w:t>
      </w:r>
      <w:r>
        <w:rPr>
          <w:rFonts w:ascii="宋体" w:hAnsi="宋体" w:cs="宋体" w:eastAsia="宋体" w:hint="default"/>
          <w:spacing w:val="58"/>
        </w:rPr>
        <w:t> </w:t>
      </w:r>
      <w:r>
        <w:rPr/>
        <w:t>通过融资租赁租入的固定资产情况</w:t>
      </w:r>
      <w:r>
        <w:rPr>
          <w:b w:val="0"/>
          <w:bCs w:val="0"/>
        </w:rPr>
      </w:r>
    </w:p>
    <w:p>
      <w:pPr>
        <w:pStyle w:val="BodyText"/>
        <w:spacing w:line="240" w:lineRule="auto" w:before="97"/>
        <w:ind w:left="140" w:right="0"/>
        <w:jc w:val="left"/>
      </w:pPr>
      <w:r>
        <w:rPr/>
        <w:t>□适用 √不适用</w:t>
      </w:r>
    </w:p>
    <w:p>
      <w:pPr>
        <w:pStyle w:val="Heading2"/>
        <w:spacing w:line="240" w:lineRule="auto" w:before="97"/>
        <w:ind w:left="140" w:right="0"/>
        <w:jc w:val="left"/>
        <w:rPr>
          <w:b w:val="0"/>
          <w:bCs w:val="0"/>
        </w:rPr>
      </w:pPr>
      <w:r>
        <w:rPr>
          <w:rFonts w:ascii="宋体" w:hAnsi="宋体" w:cs="宋体" w:eastAsia="宋体" w:hint="default"/>
        </w:rPr>
        <w:t>(4).</w:t>
      </w:r>
      <w:r>
        <w:rPr>
          <w:rFonts w:ascii="宋体" w:hAnsi="宋体" w:cs="宋体" w:eastAsia="宋体" w:hint="default"/>
          <w:spacing w:val="57"/>
        </w:rPr>
        <w:t> </w:t>
      </w:r>
      <w:r>
        <w:rPr/>
        <w:t>通过经营租赁租出的固定资产</w:t>
      </w:r>
      <w:r>
        <w:rPr>
          <w:b w:val="0"/>
          <w:bCs w:val="0"/>
        </w:rPr>
      </w:r>
    </w:p>
    <w:p>
      <w:pPr>
        <w:pStyle w:val="BodyText"/>
        <w:spacing w:line="240" w:lineRule="auto" w:before="97"/>
        <w:ind w:left="140" w:right="0"/>
        <w:jc w:val="left"/>
      </w:pPr>
      <w:r>
        <w:rPr/>
        <w:t>□适用 √不适用</w:t>
      </w:r>
    </w:p>
    <w:p>
      <w:pPr>
        <w:pStyle w:val="Heading2"/>
        <w:spacing w:line="240" w:lineRule="auto" w:before="97"/>
        <w:ind w:left="140" w:right="0"/>
        <w:jc w:val="left"/>
        <w:rPr>
          <w:b w:val="0"/>
          <w:bCs w:val="0"/>
        </w:rPr>
      </w:pPr>
      <w:r>
        <w:rPr>
          <w:rFonts w:ascii="宋体" w:hAnsi="宋体" w:cs="宋体" w:eastAsia="宋体" w:hint="default"/>
        </w:rPr>
        <w:t>(5).</w:t>
      </w:r>
      <w:r>
        <w:rPr>
          <w:rFonts w:ascii="宋体" w:hAnsi="宋体" w:cs="宋体" w:eastAsia="宋体" w:hint="default"/>
          <w:spacing w:val="58"/>
        </w:rPr>
        <w:t> </w:t>
      </w:r>
      <w:r>
        <w:rPr/>
        <w:t>未办妥产权证书的固定资产情况</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40" w:right="0"/>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40" w:right="0"/>
        <w:jc w:val="left"/>
        <w:rPr>
          <w:b w:val="0"/>
          <w:bCs w:val="0"/>
        </w:rPr>
      </w:pPr>
      <w:r>
        <w:rPr>
          <w:rFonts w:ascii="宋体" w:hAnsi="宋体" w:cs="宋体" w:eastAsia="宋体" w:hint="default"/>
        </w:rPr>
        <w:t>21</w:t>
      </w:r>
      <w:r>
        <w:rPr/>
        <w:t>、</w:t>
      </w:r>
      <w:r>
        <w:rPr>
          <w:spacing w:val="-24"/>
        </w:rPr>
        <w:t> </w:t>
      </w:r>
      <w:r>
        <w:rPr/>
        <w:t>工程物资</w:t>
      </w:r>
      <w:r>
        <w:rPr>
          <w:b w:val="0"/>
          <w:bCs w:val="0"/>
        </w:rPr>
      </w:r>
    </w:p>
    <w:p>
      <w:pPr>
        <w:pStyle w:val="BodyText"/>
        <w:spacing w:line="240" w:lineRule="auto" w:before="97"/>
        <w:ind w:left="140" w:right="0"/>
        <w:jc w:val="left"/>
      </w:pPr>
      <w:r>
        <w:rPr/>
        <w:t>□适用 √不适用</w:t>
      </w:r>
    </w:p>
    <w:p>
      <w:pPr>
        <w:spacing w:after="0" w:line="240" w:lineRule="auto"/>
        <w:jc w:val="left"/>
        <w:sectPr>
          <w:pgSz w:w="16840" w:h="11910" w:orient="landscape"/>
          <w:pgMar w:header="882" w:footer="1195"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left="220" w:right="163"/>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97"/>
        <w:ind w:left="220" w:right="16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20" w:right="163"/>
        <w:jc w:val="left"/>
        <w:rPr>
          <w:b w:val="0"/>
          <w:bCs w:val="0"/>
        </w:rPr>
      </w:pPr>
      <w:r>
        <w:rPr>
          <w:rFonts w:ascii="宋体" w:hAnsi="宋体" w:cs="宋体" w:eastAsia="宋体" w:hint="default"/>
        </w:rPr>
        <w:t>23</w:t>
      </w:r>
      <w:r>
        <w:rPr/>
        <w:t>、</w:t>
      </w:r>
      <w:r>
        <w:rPr>
          <w:spacing w:val="-23"/>
        </w:rPr>
        <w:t> </w:t>
      </w:r>
      <w:r>
        <w:rPr/>
        <w:t>生产性生物资产</w:t>
      </w:r>
      <w:r>
        <w:rPr>
          <w:b w:val="0"/>
          <w:bCs w:val="0"/>
        </w:rPr>
      </w:r>
    </w:p>
    <w:p>
      <w:pPr>
        <w:pStyle w:val="BodyText"/>
        <w:spacing w:line="240" w:lineRule="auto" w:before="97"/>
        <w:ind w:left="220" w:right="16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20" w:right="163"/>
        <w:jc w:val="left"/>
        <w:rPr>
          <w:b w:val="0"/>
          <w:bCs w:val="0"/>
        </w:rPr>
      </w:pPr>
      <w:r>
        <w:rPr>
          <w:rFonts w:ascii="宋体" w:hAnsi="宋体" w:cs="宋体" w:eastAsia="宋体" w:hint="default"/>
        </w:rPr>
        <w:t>(1).</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97"/>
        <w:ind w:left="220" w:right="16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20" w:right="163"/>
        <w:jc w:val="left"/>
        <w:rPr>
          <w:b w:val="0"/>
          <w:bCs w:val="0"/>
        </w:rPr>
      </w:pPr>
      <w:r>
        <w:rPr>
          <w:rFonts w:ascii="宋体" w:hAnsi="宋体" w:cs="宋体" w:eastAsia="宋体" w:hint="default"/>
        </w:rPr>
        <w:t>24</w:t>
      </w:r>
      <w:r>
        <w:rPr/>
        <w:t>、</w:t>
      </w:r>
      <w:r>
        <w:rPr>
          <w:spacing w:val="-24"/>
        </w:rPr>
        <w:t> </w:t>
      </w:r>
      <w:r>
        <w:rPr/>
        <w:t>油气资产</w:t>
      </w:r>
      <w:r>
        <w:rPr>
          <w:b w:val="0"/>
          <w:bCs w:val="0"/>
        </w:rPr>
      </w:r>
    </w:p>
    <w:p>
      <w:pPr>
        <w:pStyle w:val="BodyText"/>
        <w:spacing w:line="240" w:lineRule="auto" w:before="97"/>
        <w:ind w:left="220" w:right="1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1220" w:right="1300"/>
        </w:sectPr>
      </w:pPr>
    </w:p>
    <w:p>
      <w:pPr>
        <w:pStyle w:val="Heading2"/>
        <w:spacing w:line="240" w:lineRule="auto" w:before="36"/>
        <w:ind w:left="220" w:right="-20"/>
        <w:jc w:val="left"/>
        <w:rPr>
          <w:b w:val="0"/>
          <w:bCs w:val="0"/>
        </w:rPr>
      </w:pPr>
      <w:r>
        <w:rPr>
          <w:rFonts w:ascii="宋体" w:hAnsi="宋体" w:cs="宋体" w:eastAsia="宋体" w:hint="default"/>
        </w:rPr>
        <w:t>25</w:t>
      </w:r>
      <w:r>
        <w:rPr/>
        <w:t>、</w:t>
      </w:r>
      <w:r>
        <w:rPr>
          <w:spacing w:val="-24"/>
        </w:rPr>
        <w:t> </w:t>
      </w:r>
      <w:r>
        <w:rPr/>
        <w:t>无形资产</w:t>
      </w:r>
      <w:r>
        <w:rPr>
          <w:b w:val="0"/>
          <w:bCs w:val="0"/>
        </w:rPr>
      </w:r>
    </w:p>
    <w:p>
      <w:pPr>
        <w:pStyle w:val="Heading2"/>
        <w:spacing w:line="240" w:lineRule="auto" w:before="97"/>
        <w:ind w:left="220"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091" w:space="947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13"/>
        <w:gridCol w:w="2810"/>
        <w:gridCol w:w="2813"/>
        <w:gridCol w:w="2818"/>
        <w:gridCol w:w="2036"/>
      </w:tblGrid>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版权</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软件</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9" w:right="0"/>
              <w:jc w:val="left"/>
              <w:rPr>
                <w:rFonts w:ascii="宋体" w:hAnsi="宋体" w:cs="宋体" w:eastAsia="宋体" w:hint="default"/>
                <w:sz w:val="21"/>
                <w:szCs w:val="21"/>
              </w:rPr>
            </w:pPr>
            <w:r>
              <w:rPr>
                <w:rFonts w:ascii="宋体"/>
                <w:sz w:val="21"/>
              </w:rPr>
              <w:t>35,283,664.37</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56,590,693.33</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46,109,080.81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137,983,438.51</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3,894,301.08</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3,764,332.39</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7,658,633.47</w:t>
            </w:r>
          </w:p>
        </w:tc>
      </w:tr>
      <w:tr>
        <w:trPr>
          <w:trHeight w:val="349"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3,894,301.08</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3,764,332.39</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7,658,633.47</w:t>
            </w:r>
          </w:p>
        </w:tc>
      </w:tr>
      <w:tr>
        <w:trPr>
          <w:trHeight w:val="636"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613"/>
        <w:gridCol w:w="2810"/>
        <w:gridCol w:w="2813"/>
        <w:gridCol w:w="2818"/>
        <w:gridCol w:w="2036"/>
      </w:tblGrid>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04"/>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7,000,000.00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77,967.08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7,077,967.08</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7,000,000.00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77,967.08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7,077,967.08</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35,283,664.37</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53,484,994.41</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49,795,446.12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138,564,104.90</w:t>
            </w:r>
          </w:p>
        </w:tc>
      </w:tr>
      <w:tr>
        <w:trPr>
          <w:trHeight w:val="351"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5,040,523.44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12,685,628.31</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19,762,041.05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37,488,192.80</w:t>
            </w:r>
          </w:p>
        </w:tc>
      </w:tr>
      <w:tr>
        <w:trPr>
          <w:trHeight w:val="348"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0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5,040,523.44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8,195,646.77</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4,262,723.96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17,498,894.17</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5,040,523.44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8,195,646.77</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4,262,723.96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17,498,894.17</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0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2,916,666.62</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24,467.94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2,941,134.56</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2,916,666.62</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24,467.94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2,941,134.56</w:t>
            </w:r>
          </w:p>
        </w:tc>
      </w:tr>
      <w:tr>
        <w:trPr>
          <w:trHeight w:val="351" w:hRule="exact"/>
        </w:trPr>
        <w:tc>
          <w:tcPr>
            <w:tcW w:w="3613" w:type="dxa"/>
            <w:tcBorders>
              <w:top w:val="single" w:sz="4" w:space="0" w:color="000000"/>
              <w:left w:val="single" w:sz="4" w:space="0" w:color="000000"/>
              <w:bottom w:val="single" w:sz="4" w:space="0" w:color="000000"/>
              <w:right w:val="single" w:sz="4" w:space="0" w:color="000000"/>
            </w:tcBorders>
          </w:tcPr>
          <w:p>
            <w:pP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10,081,046.88</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17,964,608.46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24,000,297.07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52,045,952.41</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0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0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613"/>
        <w:gridCol w:w="2810"/>
        <w:gridCol w:w="2813"/>
        <w:gridCol w:w="2818"/>
        <w:gridCol w:w="2036"/>
      </w:tblGrid>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25,202,617.49</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35,520,385.95</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25,795,149.05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86,518,152.49</w:t>
            </w:r>
          </w:p>
        </w:tc>
      </w:tr>
      <w:tr>
        <w:trPr>
          <w:trHeight w:val="35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30,243,140.93</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43,905,065.02</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26,347,039.76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100,495,245.71</w:t>
            </w: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6"/>
        <w:ind w:left="640"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1220" w:right="1020"/>
        </w:sectPr>
      </w:pPr>
    </w:p>
    <w:p>
      <w:pPr>
        <w:pStyle w:val="Heading2"/>
        <w:spacing w:line="240" w:lineRule="auto" w:before="36"/>
        <w:ind w:left="220" w:right="-18"/>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spacing w:line="324" w:lineRule="auto" w:before="97"/>
        <w:ind w:left="220" w:right="238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pStyle w:val="BodyText"/>
        <w:spacing w:line="240" w:lineRule="auto" w:before="23"/>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6"/>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020"/>
          <w:cols w:num="2" w:equalWidth="0">
            <w:col w:w="4198" w:space="7365"/>
            <w:col w:w="303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141"/>
        <w:gridCol w:w="1013"/>
        <w:gridCol w:w="2300"/>
        <w:gridCol w:w="943"/>
        <w:gridCol w:w="660"/>
        <w:gridCol w:w="1325"/>
        <w:gridCol w:w="1104"/>
        <w:gridCol w:w="588"/>
        <w:gridCol w:w="2297"/>
      </w:tblGrid>
      <w:tr>
        <w:trPr>
          <w:trHeight w:val="322" w:hRule="exact"/>
        </w:trPr>
        <w:tc>
          <w:tcPr>
            <w:tcW w:w="414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13" w:type="dxa"/>
            <w:vMerge w:val="restart"/>
            <w:tcBorders>
              <w:top w:val="single" w:sz="4" w:space="0" w:color="000000"/>
              <w:left w:val="single" w:sz="4" w:space="0" w:color="000000"/>
              <w:right w:val="single" w:sz="4" w:space="0" w:color="000000"/>
            </w:tcBorders>
          </w:tcPr>
          <w:p>
            <w:pPr>
              <w:pStyle w:val="TableParagraph"/>
              <w:spacing w:line="273" w:lineRule="auto" w:before="148"/>
              <w:ind w:left="290" w:right="28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3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297" w:type="dxa"/>
            <w:vMerge w:val="restart"/>
            <w:tcBorders>
              <w:top w:val="single" w:sz="4" w:space="0" w:color="000000"/>
              <w:left w:val="single" w:sz="4" w:space="0" w:color="000000"/>
              <w:right w:val="single" w:sz="4" w:space="0" w:color="000000"/>
            </w:tcBorders>
          </w:tcPr>
          <w:p>
            <w:pPr>
              <w:pStyle w:val="TableParagraph"/>
              <w:spacing w:line="273" w:lineRule="auto" w:before="148"/>
              <w:ind w:left="933" w:right="92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634" w:hRule="exact"/>
        </w:trPr>
        <w:tc>
          <w:tcPr>
            <w:tcW w:w="4141"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13"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6" w:right="128" w:hanging="315"/>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5" w:right="122" w:hanging="209"/>
              <w:jc w:val="left"/>
              <w:rPr>
                <w:rFonts w:ascii="宋体" w:hAnsi="宋体" w:cs="宋体" w:eastAsia="宋体" w:hint="default"/>
                <w:sz w:val="21"/>
                <w:szCs w:val="21"/>
              </w:rPr>
            </w:pPr>
            <w:r>
              <w:rPr>
                <w:rFonts w:ascii="宋体" w:hAnsi="宋体" w:cs="宋体" w:eastAsia="宋体" w:hint="default"/>
                <w:sz w:val="21"/>
                <w:szCs w:val="21"/>
              </w:rPr>
              <w:t>转入当期</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vMerge/>
            <w:tcBorders>
              <w:left w:val="single" w:sz="4" w:space="0" w:color="000000"/>
              <w:bottom w:val="single" w:sz="4" w:space="0" w:color="000000"/>
              <w:right w:val="single" w:sz="4" w:space="0" w:color="000000"/>
            </w:tcBorders>
          </w:tcPr>
          <w:p>
            <w:pPr/>
          </w:p>
        </w:tc>
      </w:tr>
      <w:tr>
        <w:trPr>
          <w:trHeight w:val="32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快连互联网行为审计系统</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01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901,099.77</w:t>
            </w:r>
          </w:p>
        </w:tc>
        <w:tc>
          <w:tcPr>
            <w:tcW w:w="94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901,099.77</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快连公共场所无线上网认证系统</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01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899,266.90</w:t>
            </w:r>
          </w:p>
        </w:tc>
        <w:tc>
          <w:tcPr>
            <w:tcW w:w="94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899,266.90</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Albatrus</w:t>
            </w:r>
            <w:r>
              <w:rPr>
                <w:rFonts w:ascii="宋体" w:hAnsi="宋体" w:cs="宋体" w:eastAsia="宋体" w:hint="default"/>
                <w:spacing w:val="-54"/>
                <w:sz w:val="21"/>
                <w:szCs w:val="21"/>
              </w:rPr>
              <w:t> </w:t>
            </w:r>
            <w:r>
              <w:rPr>
                <w:rFonts w:ascii="宋体" w:hAnsi="宋体" w:cs="宋体" w:eastAsia="宋体" w:hint="default"/>
                <w:sz w:val="21"/>
                <w:szCs w:val="21"/>
              </w:rPr>
              <w:t>无线管控系统</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01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378,544.99</w:t>
            </w:r>
          </w:p>
        </w:tc>
        <w:tc>
          <w:tcPr>
            <w:tcW w:w="94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378,544.99</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CiliOS</w:t>
            </w:r>
            <w:r>
              <w:rPr>
                <w:rFonts w:ascii="宋体" w:hAnsi="宋体" w:cs="宋体" w:eastAsia="宋体" w:hint="default"/>
                <w:spacing w:val="-53"/>
                <w:sz w:val="21"/>
                <w:szCs w:val="21"/>
              </w:rPr>
              <w:t> </w:t>
            </w:r>
            <w:r>
              <w:rPr>
                <w:rFonts w:ascii="宋体" w:hAnsi="宋体" w:cs="宋体" w:eastAsia="宋体" w:hint="default"/>
                <w:sz w:val="21"/>
                <w:szCs w:val="21"/>
              </w:rPr>
              <w:t>无线探针软件系统</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101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291,508.17</w:t>
            </w:r>
          </w:p>
        </w:tc>
        <w:tc>
          <w:tcPr>
            <w:tcW w:w="94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291,508.17</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2,470,419.83</w:t>
            </w:r>
          </w:p>
        </w:tc>
        <w:tc>
          <w:tcPr>
            <w:tcW w:w="94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2,470,419.83</w:t>
            </w:r>
          </w:p>
        </w:tc>
      </w:tr>
    </w:tbl>
    <w:p>
      <w:pPr>
        <w:spacing w:line="240" w:lineRule="auto" w:before="6"/>
        <w:rPr>
          <w:rFonts w:ascii="宋体" w:hAnsi="宋体" w:cs="宋体" w:eastAsia="宋体" w:hint="default"/>
          <w:sz w:val="18"/>
          <w:szCs w:val="18"/>
        </w:rPr>
      </w:pPr>
    </w:p>
    <w:p>
      <w:pPr>
        <w:pStyle w:val="BodyText"/>
        <w:spacing w:line="240" w:lineRule="auto" w:before="36"/>
        <w:ind w:left="220" w:right="0"/>
        <w:jc w:val="left"/>
      </w:pPr>
      <w:r>
        <w:rPr/>
        <w:t>其他说明</w:t>
      </w:r>
    </w:p>
    <w:p>
      <w:pPr>
        <w:pStyle w:val="BodyText"/>
        <w:spacing w:line="273" w:lineRule="auto" w:before="20"/>
        <w:ind w:left="220" w:right="497" w:firstLine="420"/>
        <w:jc w:val="both"/>
      </w:pPr>
      <w:r>
        <w:rPr/>
        <w:t>注</w:t>
      </w:r>
      <w:r>
        <w:rPr>
          <w:spacing w:val="-55"/>
        </w:rPr>
        <w:t> </w:t>
      </w:r>
      <w:r>
        <w:rPr>
          <w:rFonts w:ascii="宋体" w:hAnsi="宋体" w:cs="宋体" w:eastAsia="宋体" w:hint="default"/>
        </w:rPr>
        <w:t>1</w:t>
      </w:r>
      <w:r>
        <w:rPr/>
        <w:t>：快连互联网行为审计系统</w:t>
      </w:r>
      <w:r>
        <w:rPr>
          <w:rFonts w:ascii="宋体" w:hAnsi="宋体" w:cs="宋体" w:eastAsia="宋体" w:hint="default"/>
        </w:rPr>
        <w:t>,</w:t>
      </w:r>
      <w:r>
        <w:rPr/>
        <w:t>以获得《计算机软件著作权登记证书》为资本化依据，自</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8</w:t>
      </w:r>
      <w:r>
        <w:rPr>
          <w:rFonts w:ascii="宋体" w:hAnsi="宋体" w:cs="宋体" w:eastAsia="宋体" w:hint="default"/>
          <w:spacing w:val="-57"/>
        </w:rPr>
        <w:t> </w:t>
      </w:r>
      <w:r>
        <w:rPr/>
        <w:t>月开始进行资本化，截止至期末</w:t>
      </w:r>
      <w:r>
        <w:rPr>
          <w:spacing w:val="-55"/>
        </w:rPr>
        <w:t> </w:t>
      </w:r>
      <w:r>
        <w:rPr>
          <w:rFonts w:ascii="宋体" w:hAnsi="宋体" w:cs="宋体" w:eastAsia="宋体" w:hint="default"/>
        </w:rPr>
        <w:t>1.</w:t>
      </w:r>
      <w:r>
        <w:rPr/>
        <w:t>已认证完成</w:t>
      </w:r>
      <w:r>
        <w:rPr>
          <w:w w:val="100"/>
        </w:rPr>
        <w:t> </w:t>
      </w:r>
      <w:r>
        <w:rPr>
          <w:spacing w:val="-3"/>
        </w:rPr>
        <w:t>审计系统构架方案</w:t>
      </w:r>
      <w:r>
        <w:rPr>
          <w:rFonts w:ascii="宋体" w:hAnsi="宋体" w:cs="宋体" w:eastAsia="宋体" w:hint="default"/>
          <w:spacing w:val="-3"/>
        </w:rPr>
        <w:t>,</w:t>
      </w:r>
      <w:r>
        <w:rPr>
          <w:spacing w:val="-3"/>
        </w:rPr>
        <w:t>并且已经完成服务器构架部署。</w:t>
      </w:r>
      <w:r>
        <w:rPr>
          <w:rFonts w:ascii="宋体" w:hAnsi="宋体" w:cs="宋体" w:eastAsia="宋体" w:hint="default"/>
          <w:spacing w:val="-3"/>
        </w:rPr>
        <w:t>2.</w:t>
      </w:r>
      <w:r>
        <w:rPr>
          <w:spacing w:val="-3"/>
        </w:rPr>
        <w:t>基本认证功能已开发完成。</w:t>
      </w:r>
      <w:r>
        <w:rPr>
          <w:rFonts w:ascii="宋体" w:hAnsi="宋体" w:cs="宋体" w:eastAsia="宋体" w:hint="default"/>
          <w:spacing w:val="-3"/>
        </w:rPr>
        <w:t>3.</w:t>
      </w:r>
      <w:r>
        <w:rPr>
          <w:spacing w:val="-3"/>
        </w:rPr>
        <w:t>针对上网行为审计及上网内容审计，已经可以进行基本实战演示及数</w:t>
      </w:r>
      <w:r>
        <w:rPr>
          <w:spacing w:val="-6"/>
        </w:rPr>
        <w:t> </w:t>
      </w:r>
      <w:r>
        <w:rPr>
          <w:spacing w:val="-6"/>
        </w:rPr>
      </w:r>
      <w:r>
        <w:rPr/>
        <w:t>据分析。</w:t>
      </w:r>
    </w:p>
    <w:p>
      <w:pPr>
        <w:pStyle w:val="BodyText"/>
        <w:spacing w:line="273" w:lineRule="auto" w:before="7"/>
        <w:ind w:left="220" w:right="497" w:firstLine="420"/>
        <w:jc w:val="both"/>
      </w:pPr>
      <w:r>
        <w:rPr/>
        <w:t>注</w:t>
      </w:r>
      <w:r>
        <w:rPr>
          <w:spacing w:val="-42"/>
        </w:rPr>
        <w:t> </w:t>
      </w:r>
      <w:r>
        <w:rPr>
          <w:rFonts w:ascii="宋体" w:hAnsi="宋体" w:cs="宋体" w:eastAsia="宋体" w:hint="default"/>
          <w:spacing w:val="-3"/>
        </w:rPr>
        <w:t>2</w:t>
      </w:r>
      <w:r>
        <w:rPr>
          <w:spacing w:val="-3"/>
        </w:rPr>
        <w:t>：快连公共场所无线上网认证系统</w:t>
      </w:r>
      <w:r>
        <w:rPr>
          <w:rFonts w:ascii="宋体" w:hAnsi="宋体" w:cs="宋体" w:eastAsia="宋体" w:hint="default"/>
          <w:spacing w:val="-3"/>
        </w:rPr>
        <w:t>,</w:t>
      </w:r>
      <w:r>
        <w:rPr>
          <w:rFonts w:ascii="宋体" w:hAnsi="宋体" w:cs="宋体" w:eastAsia="宋体" w:hint="default"/>
          <w:spacing w:val="22"/>
        </w:rPr>
        <w:t> </w:t>
      </w:r>
      <w:r>
        <w:rPr>
          <w:spacing w:val="-4"/>
        </w:rPr>
        <w:t>以获得《计算机软件著作权登记证书》为资本化依据，自</w:t>
      </w:r>
      <w:r>
        <w:rPr>
          <w:spacing w:val="-42"/>
        </w:rPr>
        <w:t> </w:t>
      </w:r>
      <w:r>
        <w:rPr>
          <w:rFonts w:ascii="宋体" w:hAnsi="宋体" w:cs="宋体" w:eastAsia="宋体" w:hint="default"/>
        </w:rPr>
        <w:t>2015</w:t>
      </w:r>
      <w:r>
        <w:rPr>
          <w:rFonts w:ascii="宋体" w:hAnsi="宋体" w:cs="宋体" w:eastAsia="宋体" w:hint="default"/>
          <w:spacing w:val="-45"/>
        </w:rPr>
        <w:t> </w:t>
      </w:r>
      <w:r>
        <w:rPr/>
        <w:t>年</w:t>
      </w:r>
      <w:r>
        <w:rPr>
          <w:spacing w:val="-41"/>
        </w:rPr>
        <w:t> </w:t>
      </w:r>
      <w:r>
        <w:rPr>
          <w:rFonts w:ascii="宋体" w:hAnsi="宋体" w:cs="宋体" w:eastAsia="宋体" w:hint="default"/>
        </w:rPr>
        <w:t>8</w:t>
      </w:r>
      <w:r>
        <w:rPr>
          <w:rFonts w:ascii="宋体" w:hAnsi="宋体" w:cs="宋体" w:eastAsia="宋体" w:hint="default"/>
          <w:spacing w:val="-42"/>
        </w:rPr>
        <w:t> </w:t>
      </w:r>
      <w:r>
        <w:rPr>
          <w:spacing w:val="-3"/>
        </w:rPr>
        <w:t>月开始进行资本化，截止至期末</w:t>
      </w:r>
      <w:r>
        <w:rPr>
          <w:spacing w:val="-42"/>
        </w:rPr>
        <w:t> </w:t>
      </w:r>
      <w:r>
        <w:rPr>
          <w:rFonts w:ascii="宋体" w:hAnsi="宋体" w:cs="宋体" w:eastAsia="宋体" w:hint="default"/>
          <w:spacing w:val="-3"/>
        </w:rPr>
        <w:t>1.</w:t>
      </w:r>
      <w:r>
        <w:rPr>
          <w:spacing w:val="-3"/>
        </w:rPr>
        <w:t>已认</w:t>
      </w:r>
      <w:r>
        <w:rPr>
          <w:spacing w:val="-3"/>
          <w:w w:val="100"/>
        </w:rPr>
        <w:t> </w:t>
      </w:r>
      <w:r>
        <w:rPr>
          <w:spacing w:val="-3"/>
        </w:rPr>
        <w:t>证完成无线上网认证方案</w:t>
      </w:r>
      <w:r>
        <w:rPr>
          <w:rFonts w:ascii="宋体" w:hAnsi="宋体" w:cs="宋体" w:eastAsia="宋体" w:hint="default"/>
          <w:spacing w:val="-3"/>
        </w:rPr>
        <w:t>,</w:t>
      </w:r>
      <w:r>
        <w:rPr>
          <w:spacing w:val="-3"/>
        </w:rPr>
        <w:t>并且已经完成服务器构架方案。</w:t>
      </w:r>
      <w:r>
        <w:rPr>
          <w:rFonts w:ascii="宋体" w:hAnsi="宋体" w:cs="宋体" w:eastAsia="宋体" w:hint="default"/>
          <w:spacing w:val="-3"/>
        </w:rPr>
        <w:t>2.</w:t>
      </w:r>
      <w:r>
        <w:rPr>
          <w:spacing w:val="-3"/>
        </w:rPr>
        <w:t>基本认证功能已开发完成。</w:t>
      </w:r>
      <w:r>
        <w:rPr>
          <w:rFonts w:ascii="宋体" w:hAnsi="宋体" w:cs="宋体" w:eastAsia="宋体" w:hint="default"/>
          <w:spacing w:val="-3"/>
        </w:rPr>
        <w:t>3.</w:t>
      </w:r>
      <w:r>
        <w:rPr>
          <w:spacing w:val="-3"/>
        </w:rPr>
        <w:t>针对项目商业价值，已研究行业竞争对手的商业模式，基本确</w:t>
      </w:r>
      <w:r>
        <w:rPr>
          <w:spacing w:val="-6"/>
        </w:rPr>
        <w:t> </w:t>
      </w:r>
      <w:r>
        <w:rPr>
          <w:spacing w:val="-6"/>
        </w:rPr>
      </w:r>
      <w:r>
        <w:rPr/>
        <w:t>立一套已广告投放为基础的商业变现方式。</w:t>
      </w:r>
    </w:p>
    <w:p>
      <w:pPr>
        <w:spacing w:after="0" w:line="273" w:lineRule="auto"/>
        <w:jc w:val="both"/>
        <w:sectPr>
          <w:type w:val="continuous"/>
          <w:pgSz w:w="16840" w:h="11910" w:orient="landscape"/>
          <w:pgMar w:top="1120" w:bottom="1380" w:left="122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73" w:lineRule="auto" w:before="36"/>
        <w:ind w:left="300" w:right="143" w:firstLine="420"/>
        <w:jc w:val="left"/>
      </w:pPr>
      <w:r>
        <w:rPr/>
        <w:t>注</w:t>
      </w:r>
      <w:r>
        <w:rPr>
          <w:spacing w:val="-54"/>
        </w:rPr>
        <w:t> </w:t>
      </w:r>
      <w:r>
        <w:rPr>
          <w:rFonts w:ascii="宋体" w:hAnsi="宋体" w:cs="宋体" w:eastAsia="宋体" w:hint="default"/>
        </w:rPr>
        <w:t>3</w:t>
      </w:r>
      <w:r>
        <w:rPr/>
        <w:t>：</w:t>
      </w:r>
      <w:r>
        <w:rPr>
          <w:rFonts w:ascii="宋体" w:hAnsi="宋体" w:cs="宋体" w:eastAsia="宋体" w:hint="default"/>
        </w:rPr>
        <w:t>Albatrus</w:t>
      </w:r>
      <w:r>
        <w:rPr>
          <w:rFonts w:ascii="宋体" w:hAnsi="宋体" w:cs="宋体" w:eastAsia="宋体" w:hint="default"/>
          <w:spacing w:val="-56"/>
        </w:rPr>
        <w:t> </w:t>
      </w:r>
      <w:r>
        <w:rPr/>
        <w:t>无线管控系统</w:t>
      </w:r>
      <w:r>
        <w:rPr>
          <w:rFonts w:ascii="宋体" w:hAnsi="宋体" w:cs="宋体" w:eastAsia="宋体" w:hint="default"/>
        </w:rPr>
        <w:t>,</w:t>
      </w:r>
      <w:r>
        <w:rPr>
          <w:rFonts w:ascii="宋体" w:hAnsi="宋体" w:cs="宋体" w:eastAsia="宋体" w:hint="default"/>
          <w:spacing w:val="-3"/>
        </w:rPr>
        <w:t> </w:t>
      </w:r>
      <w:r>
        <w:rPr/>
        <w:t>以获得《计算机软件著作权登记证书》为资本化依据，自</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月开始进行资本化</w:t>
      </w:r>
      <w:r>
        <w:rPr>
          <w:rFonts w:ascii="宋体" w:hAnsi="宋体" w:cs="宋体" w:eastAsia="宋体" w:hint="default"/>
        </w:rPr>
        <w:t>,</w:t>
      </w:r>
      <w:r>
        <w:rPr>
          <w:rFonts w:ascii="宋体" w:hAnsi="宋体" w:cs="宋体" w:eastAsia="宋体" w:hint="default"/>
          <w:spacing w:val="-1"/>
        </w:rPr>
        <w:t> </w:t>
      </w:r>
      <w:r>
        <w:rPr/>
        <w:t>截止至期末</w:t>
      </w:r>
      <w:r>
        <w:rPr>
          <w:spacing w:val="-54"/>
        </w:rPr>
        <w:t> </w:t>
      </w:r>
      <w:r>
        <w:rPr>
          <w:rFonts w:ascii="宋体" w:hAnsi="宋体" w:cs="宋体" w:eastAsia="宋体" w:hint="default"/>
        </w:rPr>
        <w:t>1.</w:t>
      </w:r>
      <w:r>
        <w:rPr/>
        <w:t>实现支持无</w:t>
      </w:r>
      <w:r>
        <w:rPr>
          <w:w w:val="100"/>
        </w:rPr>
        <w:t> </w:t>
      </w:r>
      <w:r>
        <w:rPr>
          <w:spacing w:val="-2"/>
        </w:rPr>
        <w:t>线接入设备和无线探针设备的集中管理。</w:t>
      </w:r>
      <w:r>
        <w:rPr>
          <w:rFonts w:ascii="宋体" w:hAnsi="宋体" w:cs="宋体" w:eastAsia="宋体" w:hint="default"/>
          <w:spacing w:val="-2"/>
        </w:rPr>
        <w:t>2.</w:t>
      </w:r>
      <w:r>
        <w:rPr>
          <w:spacing w:val="-2"/>
        </w:rPr>
        <w:t>实现支持终端信息的查询和管理。</w:t>
      </w:r>
      <w:r>
        <w:rPr>
          <w:rFonts w:ascii="宋体" w:hAnsi="宋体" w:cs="宋体" w:eastAsia="宋体" w:hint="default"/>
          <w:spacing w:val="-2"/>
        </w:rPr>
        <w:t>3.</w:t>
      </w:r>
      <w:r>
        <w:rPr>
          <w:spacing w:val="-2"/>
        </w:rPr>
        <w:t>实现支持用户通过</w:t>
      </w:r>
      <w:r>
        <w:rPr/>
        <w:t> </w:t>
      </w:r>
      <w:r>
        <w:rPr>
          <w:rFonts w:ascii="宋体" w:hAnsi="宋体" w:cs="宋体" w:eastAsia="宋体" w:hint="default"/>
          <w:spacing w:val="-1"/>
        </w:rPr>
        <w:t>portal</w:t>
      </w:r>
      <w:r>
        <w:rPr>
          <w:rFonts w:ascii="宋体" w:hAnsi="宋体" w:cs="宋体" w:eastAsia="宋体" w:hint="default"/>
          <w:spacing w:val="-3"/>
        </w:rPr>
        <w:t> </w:t>
      </w:r>
      <w:r>
        <w:rPr>
          <w:spacing w:val="-2"/>
        </w:rPr>
        <w:t>认证介入无线网络。</w:t>
      </w:r>
    </w:p>
    <w:p>
      <w:pPr>
        <w:pStyle w:val="BodyText"/>
        <w:spacing w:line="273" w:lineRule="auto" w:before="7"/>
        <w:ind w:left="300" w:right="143" w:firstLine="420"/>
        <w:jc w:val="left"/>
      </w:pPr>
      <w:r>
        <w:rPr/>
        <w:t>注</w:t>
      </w:r>
      <w:r>
        <w:rPr>
          <w:spacing w:val="-51"/>
        </w:rPr>
        <w:t> </w:t>
      </w:r>
      <w:r>
        <w:rPr>
          <w:rFonts w:ascii="宋体" w:hAnsi="宋体" w:cs="宋体" w:eastAsia="宋体" w:hint="default"/>
        </w:rPr>
        <w:t>4</w:t>
      </w:r>
      <w:r>
        <w:rPr/>
        <w:t>：</w:t>
      </w:r>
      <w:r>
        <w:rPr>
          <w:spacing w:val="-73"/>
        </w:rPr>
        <w:t> </w:t>
      </w:r>
      <w:r>
        <w:rPr>
          <w:rFonts w:ascii="宋体" w:hAnsi="宋体" w:cs="宋体" w:eastAsia="宋体" w:hint="default"/>
        </w:rPr>
        <w:t>CiliOS</w:t>
      </w:r>
      <w:r>
        <w:rPr>
          <w:rFonts w:ascii="宋体" w:hAnsi="宋体" w:cs="宋体" w:eastAsia="宋体" w:hint="default"/>
          <w:spacing w:val="-51"/>
        </w:rPr>
        <w:t> </w:t>
      </w:r>
      <w:r>
        <w:rPr/>
        <w:t>无线探针软件系统</w:t>
      </w:r>
      <w:r>
        <w:rPr>
          <w:rFonts w:ascii="宋体" w:hAnsi="宋体" w:cs="宋体" w:eastAsia="宋体" w:hint="default"/>
        </w:rPr>
        <w:t>,</w:t>
      </w:r>
      <w:r>
        <w:rPr>
          <w:rFonts w:ascii="宋体" w:hAnsi="宋体" w:cs="宋体" w:eastAsia="宋体" w:hint="default"/>
          <w:spacing w:val="6"/>
        </w:rPr>
        <w:t> </w:t>
      </w:r>
      <w:r>
        <w:rPr>
          <w:spacing w:val="-11"/>
        </w:rPr>
        <w:t>以获得《计算机软件著作权登记证书》为资本化依据，自</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9</w:t>
      </w:r>
      <w:r>
        <w:rPr>
          <w:rFonts w:ascii="宋体" w:hAnsi="宋体" w:cs="宋体" w:eastAsia="宋体" w:hint="default"/>
          <w:spacing w:val="-53"/>
        </w:rPr>
        <w:t> </w:t>
      </w:r>
      <w:r>
        <w:rPr/>
        <w:t>月开始进行资本化</w:t>
      </w:r>
      <w:r>
        <w:rPr>
          <w:rFonts w:ascii="宋体" w:hAnsi="宋体" w:cs="宋体" w:eastAsia="宋体" w:hint="default"/>
        </w:rPr>
        <w:t>,</w:t>
      </w:r>
      <w:r>
        <w:rPr>
          <w:rFonts w:ascii="宋体" w:hAnsi="宋体" w:cs="宋体" w:eastAsia="宋体" w:hint="default"/>
          <w:spacing w:val="3"/>
        </w:rPr>
        <w:t> </w:t>
      </w:r>
      <w:r>
        <w:rPr/>
        <w:t>截止至期末</w:t>
      </w:r>
      <w:r>
        <w:rPr>
          <w:spacing w:val="-51"/>
        </w:rPr>
        <w:t> </w:t>
      </w:r>
      <w:r>
        <w:rPr>
          <w:rFonts w:ascii="宋体" w:hAnsi="宋体" w:cs="宋体" w:eastAsia="宋体" w:hint="default"/>
        </w:rPr>
        <w:t>1.</w:t>
      </w:r>
      <w:r>
        <w:rPr/>
        <w:t>支持</w:t>
      </w:r>
      <w:r>
        <w:rPr>
          <w:spacing w:val="-50"/>
        </w:rPr>
        <w:t> </w:t>
      </w:r>
      <w:r>
        <w:rPr>
          <w:rFonts w:ascii="宋体" w:hAnsi="宋体" w:cs="宋体" w:eastAsia="宋体" w:hint="default"/>
        </w:rPr>
        <w:t>2.4GHZ</w:t>
      </w:r>
      <w:r>
        <w:rPr>
          <w:rFonts w:ascii="宋体" w:hAnsi="宋体" w:cs="宋体" w:eastAsia="宋体" w:hint="default"/>
          <w:w w:val="100"/>
        </w:rPr>
        <w:t> </w:t>
      </w:r>
      <w:r>
        <w:rPr/>
        <w:t>和</w:t>
      </w:r>
      <w:r>
        <w:rPr>
          <w:spacing w:val="-53"/>
        </w:rPr>
        <w:t> </w:t>
      </w:r>
      <w:r>
        <w:rPr>
          <w:rFonts w:ascii="宋体" w:hAnsi="宋体" w:cs="宋体" w:eastAsia="宋体" w:hint="default"/>
        </w:rPr>
        <w:t>5.8GHZ</w:t>
      </w:r>
      <w:r>
        <w:rPr>
          <w:rFonts w:ascii="宋体" w:hAnsi="宋体" w:cs="宋体" w:eastAsia="宋体" w:hint="default"/>
          <w:spacing w:val="-56"/>
        </w:rPr>
        <w:t> </w:t>
      </w:r>
      <w:r>
        <w:rPr/>
        <w:t>频段终端信息和热点信息的采集。</w:t>
      </w:r>
      <w:r>
        <w:rPr>
          <w:rFonts w:ascii="宋体" w:hAnsi="宋体" w:cs="宋体" w:eastAsia="宋体" w:hint="default"/>
        </w:rPr>
        <w:t>2.</w:t>
      </w:r>
      <w:r>
        <w:rPr/>
        <w:t>支持</w:t>
      </w:r>
      <w:r>
        <w:rPr>
          <w:spacing w:val="-56"/>
        </w:rPr>
        <w:t> </w:t>
      </w:r>
      <w:r>
        <w:rPr>
          <w:rFonts w:ascii="宋体" w:hAnsi="宋体" w:cs="宋体" w:eastAsia="宋体" w:hint="default"/>
        </w:rPr>
        <w:t>QQ</w:t>
      </w:r>
      <w:r>
        <w:rPr/>
        <w:t>、微信等多种</w:t>
      </w:r>
      <w:r>
        <w:rPr>
          <w:spacing w:val="-54"/>
        </w:rPr>
        <w:t> </w:t>
      </w:r>
      <w:r>
        <w:rPr>
          <w:rFonts w:ascii="宋体" w:hAnsi="宋体" w:cs="宋体" w:eastAsia="宋体" w:hint="default"/>
        </w:rPr>
        <w:t>APP</w:t>
      </w:r>
      <w:r>
        <w:rPr>
          <w:rFonts w:ascii="宋体" w:hAnsi="宋体" w:cs="宋体" w:eastAsia="宋体" w:hint="default"/>
          <w:spacing w:val="-56"/>
        </w:rPr>
        <w:t> </w:t>
      </w:r>
      <w:r>
        <w:rPr/>
        <w:t>虚拟身份信息的采集。</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140" w:right="1220"/>
        </w:sectPr>
      </w:pPr>
    </w:p>
    <w:p>
      <w:pPr>
        <w:pStyle w:val="Heading2"/>
        <w:spacing w:line="240" w:lineRule="auto" w:before="36"/>
        <w:ind w:left="300" w:right="-20"/>
        <w:jc w:val="left"/>
        <w:rPr>
          <w:b w:val="0"/>
          <w:bCs w:val="0"/>
        </w:rPr>
      </w:pPr>
      <w:r>
        <w:rPr>
          <w:rFonts w:ascii="宋体" w:hAnsi="宋体" w:cs="宋体" w:eastAsia="宋体" w:hint="default"/>
        </w:rPr>
        <w:t>27</w:t>
      </w:r>
      <w:r>
        <w:rPr/>
        <w:t>、</w:t>
      </w:r>
      <w:r>
        <w:rPr>
          <w:spacing w:val="-25"/>
        </w:rPr>
        <w:t> </w:t>
      </w:r>
      <w:r>
        <w:rPr/>
        <w:t>商誉</w:t>
      </w:r>
      <w:r>
        <w:rPr>
          <w:b w:val="0"/>
          <w:bCs w:val="0"/>
        </w:rPr>
      </w:r>
    </w:p>
    <w:p>
      <w:pPr>
        <w:spacing w:line="324" w:lineRule="auto" w:before="97"/>
        <w:ind w:left="300"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351" w:val="left" w:leader="none"/>
        </w:tabs>
        <w:spacing w:line="240" w:lineRule="auto"/>
        <w:ind w:left="300" w:right="0"/>
        <w:jc w:val="left"/>
      </w:pPr>
      <w:r>
        <w:rPr>
          <w:spacing w:val="-1"/>
        </w:rPr>
        <w:t>单位：元</w:t>
        <w:tab/>
        <w:t>币种：人民币</w:t>
      </w:r>
    </w:p>
    <w:p>
      <w:pPr>
        <w:spacing w:after="0" w:line="240" w:lineRule="auto"/>
        <w:jc w:val="left"/>
        <w:sectPr>
          <w:type w:val="continuous"/>
          <w:pgSz w:w="16840" w:h="11910" w:orient="landscape"/>
          <w:pgMar w:top="1120" w:bottom="1380" w:left="1140" w:right="1220"/>
          <w:cols w:num="2" w:equalWidth="0">
            <w:col w:w="2156" w:space="9407"/>
            <w:col w:w="291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82"/>
        <w:gridCol w:w="2715"/>
        <w:gridCol w:w="2475"/>
        <w:gridCol w:w="377"/>
        <w:gridCol w:w="2585"/>
        <w:gridCol w:w="449"/>
        <w:gridCol w:w="3171"/>
      </w:tblGrid>
      <w:tr>
        <w:trPr>
          <w:trHeight w:val="293" w:hRule="exact"/>
        </w:trPr>
        <w:tc>
          <w:tcPr>
            <w:tcW w:w="2482" w:type="dxa"/>
            <w:vMerge w:val="restart"/>
            <w:tcBorders>
              <w:top w:val="single" w:sz="4" w:space="0" w:color="000000"/>
              <w:left w:val="single" w:sz="4" w:space="0" w:color="000000"/>
              <w:right w:val="single" w:sz="4" w:space="0" w:color="000000"/>
            </w:tcBorders>
          </w:tcPr>
          <w:p>
            <w:pPr>
              <w:pStyle w:val="TableParagraph"/>
              <w:spacing w:line="240" w:lineRule="auto" w:before="107"/>
              <w:ind w:left="710" w:right="180"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27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3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482" w:type="dxa"/>
            <w:vMerge/>
            <w:tcBorders>
              <w:left w:val="single" w:sz="4" w:space="0" w:color="000000"/>
              <w:bottom w:val="single" w:sz="4" w:space="0" w:color="000000"/>
              <w:right w:val="single" w:sz="4" w:space="0" w:color="000000"/>
            </w:tcBorders>
          </w:tcPr>
          <w:p>
            <w:pPr/>
          </w:p>
        </w:tc>
        <w:tc>
          <w:tcPr>
            <w:tcW w:w="2715" w:type="dxa"/>
            <w:vMerge/>
            <w:tcBorders>
              <w:left w:val="single" w:sz="4" w:space="0" w:color="000000"/>
              <w:bottom w:val="single" w:sz="4" w:space="0" w:color="000000"/>
              <w:right w:val="single" w:sz="4" w:space="0" w:color="000000"/>
            </w:tcBorders>
          </w:tcPr>
          <w:p>
            <w:pP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6"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77"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vMerge/>
            <w:tcBorders>
              <w:left w:val="single" w:sz="4" w:space="0" w:color="000000"/>
              <w:bottom w:val="single" w:sz="4" w:space="0" w:color="000000"/>
              <w:right w:val="single" w:sz="4" w:space="0" w:color="000000"/>
            </w:tcBorders>
          </w:tcPr>
          <w:p>
            <w:pPr/>
          </w:p>
        </w:tc>
      </w:tr>
      <w:tr>
        <w:trPr>
          <w:trHeight w:val="55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507,084.76</w:t>
            </w:r>
          </w:p>
        </w:tc>
        <w:tc>
          <w:tcPr>
            <w:tcW w:w="2475"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507,084.76</w:t>
            </w:r>
          </w:p>
        </w:tc>
      </w:tr>
      <w:tr>
        <w:trPr>
          <w:trHeight w:val="348"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197,516,318.36</w:t>
            </w:r>
          </w:p>
        </w:tc>
        <w:tc>
          <w:tcPr>
            <w:tcW w:w="2475"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197,516,318.36</w:t>
            </w:r>
          </w:p>
        </w:tc>
      </w:tr>
      <w:tr>
        <w:trPr>
          <w:trHeight w:val="557"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微屏软件科技（上海）有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168,293,421.14</w:t>
            </w:r>
          </w:p>
        </w:tc>
        <w:tc>
          <w:tcPr>
            <w:tcW w:w="2475"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168,293,421.14</w:t>
            </w:r>
          </w:p>
        </w:tc>
      </w:tr>
      <w:tr>
        <w:trPr>
          <w:trHeight w:val="55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北京文化在线科技发展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22,470,957.04</w:t>
            </w:r>
          </w:p>
        </w:tc>
        <w:tc>
          <w:tcPr>
            <w:tcW w:w="2475"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sz w:val="21"/>
              </w:rPr>
              <w:t>22,470,957.04</w:t>
            </w: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2715" w:type="dxa"/>
            <w:tcBorders>
              <w:top w:val="single" w:sz="4" w:space="0" w:color="000000"/>
              <w:left w:val="single" w:sz="4" w:space="0" w:color="000000"/>
              <w:bottom w:val="single" w:sz="4" w:space="0" w:color="000000"/>
              <w:right w:val="single" w:sz="4" w:space="0" w:color="000000"/>
            </w:tcBorders>
          </w:tcPr>
          <w:p>
            <w:pP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9,953,970.07</w:t>
            </w: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9,953,970.07</w:t>
            </w:r>
          </w:p>
        </w:tc>
      </w:tr>
      <w:tr>
        <w:trPr>
          <w:trHeight w:val="30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388,787,781.30</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9,953,970.07</w:t>
            </w:r>
          </w:p>
        </w:tc>
        <w:tc>
          <w:tcPr>
            <w:tcW w:w="377"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sz w:val="21"/>
              </w:rPr>
              <w:t>22,470,957.04</w:t>
            </w:r>
          </w:p>
        </w:tc>
        <w:tc>
          <w:tcPr>
            <w:tcW w:w="449"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376,270,794.33</w:t>
            </w:r>
          </w:p>
        </w:tc>
      </w:tr>
    </w:tbl>
    <w:p>
      <w:pPr>
        <w:spacing w:line="240" w:lineRule="auto" w:before="10"/>
        <w:rPr>
          <w:rFonts w:ascii="宋体" w:hAnsi="宋体" w:cs="宋体" w:eastAsia="宋体" w:hint="default"/>
          <w:sz w:val="24"/>
          <w:szCs w:val="24"/>
        </w:rPr>
      </w:pPr>
    </w:p>
    <w:p>
      <w:pPr>
        <w:spacing w:line="324" w:lineRule="auto" w:before="36"/>
        <w:ind w:left="300" w:right="1230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商誉减值准备</w:t>
      </w:r>
      <w:r>
        <w:rPr>
          <w:rFonts w:ascii="宋体" w:hAnsi="宋体" w:cs="宋体" w:eastAsia="宋体" w:hint="default"/>
          <w:b/>
          <w:bCs/>
          <w:w w:val="100"/>
          <w:sz w:val="21"/>
          <w:szCs w:val="21"/>
        </w:rPr>
        <w:t> </w:t>
      </w:r>
      <w:r>
        <w:rPr>
          <w:rFonts w:ascii="宋体" w:hAnsi="宋体" w:cs="宋体" w:eastAsia="宋体" w:hint="default"/>
          <w:sz w:val="21"/>
          <w:szCs w:val="21"/>
        </w:rPr>
        <w:t>其他说明</w:t>
      </w:r>
    </w:p>
    <w:p>
      <w:pPr>
        <w:pStyle w:val="BodyText"/>
        <w:spacing w:line="238" w:lineRule="exact"/>
        <w:ind w:left="720" w:right="143"/>
        <w:jc w:val="left"/>
      </w:pPr>
      <w:r>
        <w:rPr>
          <w:w w:val="100"/>
        </w:rPr>
        <w:t>无</w:t>
      </w:r>
    </w:p>
    <w:p>
      <w:pPr>
        <w:spacing w:after="0" w:line="238" w:lineRule="exact"/>
        <w:jc w:val="left"/>
        <w:sectPr>
          <w:type w:val="continuous"/>
          <w:pgSz w:w="16840" w:h="11910" w:orient="landscape"/>
          <w:pgMar w:top="1120" w:bottom="1380" w:left="1140" w:right="1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2"/>
          <w:pgSz w:w="16840" w:h="11910" w:orient="landscape"/>
          <w:pgMar w:footer="1195" w:header="882" w:top="1120" w:bottom="1380" w:left="1220" w:right="1300"/>
        </w:sectPr>
      </w:pPr>
    </w:p>
    <w:p>
      <w:pPr>
        <w:pStyle w:val="Heading2"/>
        <w:spacing w:line="240" w:lineRule="auto" w:before="36"/>
        <w:ind w:left="220" w:right="-19"/>
        <w:jc w:val="left"/>
        <w:rPr>
          <w:b w:val="0"/>
          <w:bCs w:val="0"/>
        </w:rPr>
      </w:pPr>
      <w:r>
        <w:rPr>
          <w:rFonts w:ascii="宋体" w:hAnsi="宋体" w:cs="宋体" w:eastAsia="宋体" w:hint="default"/>
        </w:rPr>
        <w:t>28</w:t>
      </w:r>
      <w:r>
        <w:rPr/>
        <w:t>、</w:t>
      </w:r>
      <w:r>
        <w:rPr>
          <w:spacing w:val="-23"/>
        </w:rPr>
        <w:t> </w:t>
      </w:r>
      <w:r>
        <w:rPr/>
        <w:t>长期待摊费用</w:t>
      </w:r>
      <w:r>
        <w:rPr>
          <w:b w:val="0"/>
          <w:bCs w:val="0"/>
        </w:rPr>
      </w:r>
    </w:p>
    <w:p>
      <w:pPr>
        <w:pStyle w:val="BodyText"/>
        <w:spacing w:line="240" w:lineRule="auto" w:before="97"/>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92" w:space="9571"/>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56"/>
        <w:gridCol w:w="2329"/>
        <w:gridCol w:w="2331"/>
        <w:gridCol w:w="2330"/>
        <w:gridCol w:w="2367"/>
        <w:gridCol w:w="2477"/>
      </w:tblGrid>
      <w:tr>
        <w:trPr>
          <w:trHeight w:val="32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1"/>
              <w:jc w:val="right"/>
              <w:rPr>
                <w:rFonts w:ascii="宋体" w:hAnsi="宋体" w:cs="宋体" w:eastAsia="宋体" w:hint="default"/>
                <w:sz w:val="21"/>
                <w:szCs w:val="21"/>
              </w:rPr>
            </w:pPr>
            <w:r>
              <w:rPr>
                <w:rFonts w:ascii="宋体" w:hAnsi="宋体" w:cs="宋体" w:eastAsia="宋体" w:hint="default"/>
                <w:sz w:val="21"/>
                <w:szCs w:val="21"/>
              </w:rPr>
              <w:t>项目</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7"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5,360,911.07</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47,204,298.71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3,896,617.09</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1,037,388.38</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47,631,204.31</w:t>
            </w:r>
          </w:p>
        </w:tc>
      </w:tr>
      <w:tr>
        <w:trPr>
          <w:trHeight w:val="32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1,559,314.88</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1,028,597.66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1,689,984.34</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315,410.98</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582,517.22</w:t>
            </w:r>
          </w:p>
        </w:tc>
      </w:tr>
      <w:tr>
        <w:trPr>
          <w:trHeight w:val="325"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11"/>
              <w:jc w:val="right"/>
              <w:rPr>
                <w:rFonts w:ascii="宋体" w:hAnsi="宋体" w:cs="宋体" w:eastAsia="宋体" w:hint="default"/>
                <w:sz w:val="21"/>
                <w:szCs w:val="21"/>
              </w:rPr>
            </w:pPr>
            <w:r>
              <w:rPr>
                <w:rFonts w:ascii="宋体" w:hAnsi="宋体" w:cs="宋体" w:eastAsia="宋体" w:hint="default"/>
                <w:sz w:val="21"/>
                <w:szCs w:val="21"/>
              </w:rPr>
              <w:t>合计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6,920,225.95</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48,232,896.37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5,586,601.43</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1,352,799.36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48,213,721.53</w:t>
            </w:r>
          </w:p>
        </w:tc>
      </w:tr>
    </w:tbl>
    <w:p>
      <w:pPr>
        <w:spacing w:line="240" w:lineRule="auto" w:before="2"/>
        <w:rPr>
          <w:rFonts w:ascii="宋体" w:hAnsi="宋体" w:cs="宋体" w:eastAsia="宋体" w:hint="default"/>
          <w:sz w:val="20"/>
          <w:szCs w:val="20"/>
        </w:rPr>
      </w:pPr>
    </w:p>
    <w:p>
      <w:pPr>
        <w:pStyle w:val="BodyText"/>
        <w:spacing w:line="273" w:lineRule="auto" w:before="36"/>
        <w:ind w:left="640" w:right="13029" w:hanging="421"/>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6840" w:h="11910" w:orient="landscape"/>
          <w:pgMar w:top="1120" w:bottom="1380" w:left="1220" w:right="1300"/>
        </w:sectPr>
      </w:pPr>
    </w:p>
    <w:p>
      <w:pPr>
        <w:pStyle w:val="Heading2"/>
        <w:spacing w:line="324" w:lineRule="auto" w:before="36"/>
        <w:ind w:left="220" w:right="-17"/>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rFonts w:ascii="宋体" w:hAnsi="宋体" w:cs="宋体" w:eastAsia="宋体" w:hint="default"/>
          <w:spacing w:val="57"/>
        </w:rPr>
        <w:t> </w:t>
      </w:r>
      <w:r>
        <w:rPr/>
        <w:t>未经抵销的递延所得税资产</w:t>
      </w:r>
      <w:r>
        <w:rPr>
          <w:b w:val="0"/>
          <w:bCs w:val="0"/>
        </w:rPr>
      </w:r>
    </w:p>
    <w:p>
      <w:pPr>
        <w:pStyle w:val="BodyText"/>
        <w:spacing w:line="240" w:lineRule="auto" w:before="24"/>
        <w:ind w:left="22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3891" w:space="7672"/>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805"/>
        <w:gridCol w:w="2570"/>
        <w:gridCol w:w="2566"/>
        <w:gridCol w:w="2590"/>
        <w:gridCol w:w="2564"/>
      </w:tblGrid>
      <w:tr>
        <w:trPr>
          <w:trHeight w:val="322" w:hRule="exact"/>
        </w:trPr>
        <w:tc>
          <w:tcPr>
            <w:tcW w:w="380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3805" w:type="dxa"/>
            <w:vMerge/>
            <w:tcBorders>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9"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8" w:right="749"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8"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5" w:right="747"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5,129,304.12</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944,835.58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15,329,844.16</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2,247,741.45</w:t>
            </w:r>
          </w:p>
        </w:tc>
      </w:tr>
      <w:tr>
        <w:trPr>
          <w:trHeight w:val="322"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加速摊销的无形资产</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19,388,417.47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2,946,240.24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17,557,406.04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2,691,243.87</w:t>
            </w:r>
          </w:p>
        </w:tc>
      </w:tr>
      <w:tr>
        <w:trPr>
          <w:trHeight w:val="322"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56,019.16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12,834.00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65,249.94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8,156.24</w:t>
            </w:r>
          </w:p>
        </w:tc>
      </w:tr>
      <w:tr>
        <w:trPr>
          <w:trHeight w:val="322"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24,573,740.75</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3,903,909.82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32,952,500.14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4,947,141.56</w:t>
            </w:r>
          </w:p>
        </w:tc>
      </w:tr>
    </w:tbl>
    <w:p>
      <w:pPr>
        <w:spacing w:after="0" w:line="262"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36"/>
        <w:ind w:left="220" w:right="163"/>
        <w:jc w:val="left"/>
        <w:rPr>
          <w:b w:val="0"/>
          <w:bCs w:val="0"/>
        </w:rPr>
      </w:pPr>
      <w:r>
        <w:rPr>
          <w:rFonts w:ascii="宋体" w:hAnsi="宋体" w:cs="宋体" w:eastAsia="宋体" w:hint="default"/>
        </w:rPr>
        <w:t>(2).</w:t>
      </w:r>
      <w:r>
        <w:rPr>
          <w:rFonts w:ascii="宋体" w:hAnsi="宋体" w:cs="宋体" w:eastAsia="宋体" w:hint="default"/>
          <w:spacing w:val="57"/>
        </w:rPr>
        <w:t> </w:t>
      </w:r>
      <w:r>
        <w:rPr/>
        <w:t>未经抵销的递延所得税负债</w:t>
      </w:r>
      <w:r>
        <w:rPr>
          <w:b w:val="0"/>
          <w:bCs w:val="0"/>
        </w:rPr>
      </w:r>
    </w:p>
    <w:p>
      <w:pPr>
        <w:pStyle w:val="BodyText"/>
        <w:spacing w:line="240" w:lineRule="auto" w:before="97"/>
        <w:ind w:left="220" w:right="163"/>
        <w:jc w:val="left"/>
      </w:pPr>
      <w:r>
        <w:rPr/>
        <w:t>□适用 √不适用</w:t>
      </w:r>
    </w:p>
    <w:p>
      <w:pPr>
        <w:pStyle w:val="Heading2"/>
        <w:spacing w:line="240" w:lineRule="auto" w:before="97"/>
        <w:ind w:left="220" w:right="163"/>
        <w:jc w:val="left"/>
        <w:rPr>
          <w:b w:val="0"/>
          <w:bCs w:val="0"/>
        </w:rPr>
      </w:pPr>
      <w:r>
        <w:rPr>
          <w:rFonts w:ascii="宋体" w:hAnsi="宋体" w:cs="宋体" w:eastAsia="宋体" w:hint="default"/>
        </w:rPr>
        <w:t>(3).</w:t>
      </w:r>
      <w:r>
        <w:rPr>
          <w:rFonts w:ascii="宋体" w:hAnsi="宋体" w:cs="宋体" w:eastAsia="宋体" w:hint="default"/>
          <w:spacing w:val="60"/>
        </w:rPr>
        <w:t> </w:t>
      </w:r>
      <w:r>
        <w:rPr/>
        <w:t>以抵销后净额列示的递延所得税资产或负债：</w:t>
      </w:r>
      <w:r>
        <w:rPr>
          <w:b w:val="0"/>
          <w:bCs w:val="0"/>
        </w:rPr>
      </w:r>
    </w:p>
    <w:p>
      <w:pPr>
        <w:pStyle w:val="BodyText"/>
        <w:spacing w:line="240" w:lineRule="auto" w:before="97"/>
        <w:ind w:left="220" w:right="163"/>
        <w:jc w:val="left"/>
      </w:pPr>
      <w:r>
        <w:rPr/>
        <w:t>□适用 √不适用</w:t>
      </w:r>
    </w:p>
    <w:p>
      <w:pPr>
        <w:pStyle w:val="Heading2"/>
        <w:spacing w:line="240" w:lineRule="auto" w:before="97"/>
        <w:ind w:left="220" w:right="163"/>
        <w:jc w:val="left"/>
        <w:rPr>
          <w:b w:val="0"/>
          <w:bCs w:val="0"/>
        </w:rPr>
      </w:pPr>
      <w:r>
        <w:rPr>
          <w:rFonts w:ascii="宋体" w:hAnsi="宋体" w:cs="宋体" w:eastAsia="宋体" w:hint="default"/>
        </w:rPr>
        <w:t>(4).</w:t>
      </w:r>
      <w:r>
        <w:rPr>
          <w:rFonts w:ascii="宋体" w:hAnsi="宋体" w:cs="宋体" w:eastAsia="宋体" w:hint="default"/>
          <w:spacing w:val="57"/>
        </w:rPr>
        <w:t> </w:t>
      </w:r>
      <w:r>
        <w:rPr/>
        <w:t>未确认递延所得税资产明细</w:t>
      </w:r>
      <w:r>
        <w:rPr>
          <w:b w:val="0"/>
          <w:bCs w:val="0"/>
        </w:rPr>
      </w:r>
    </w:p>
    <w:p>
      <w:pPr>
        <w:pStyle w:val="BodyText"/>
        <w:spacing w:line="240" w:lineRule="auto" w:before="97"/>
        <w:ind w:left="220" w:right="163"/>
        <w:jc w:val="left"/>
      </w:pPr>
      <w:r>
        <w:rPr/>
        <w:t>√适用 □不适用</w:t>
      </w:r>
    </w:p>
    <w:p>
      <w:pPr>
        <w:spacing w:line="240" w:lineRule="auto" w:before="12"/>
        <w:rPr>
          <w:rFonts w:ascii="宋体" w:hAnsi="宋体" w:cs="宋体" w:eastAsia="宋体" w:hint="default"/>
          <w:sz w:val="23"/>
          <w:szCs w:val="23"/>
        </w:rPr>
      </w:pPr>
    </w:p>
    <w:p>
      <w:pPr>
        <w:pStyle w:val="BodyText"/>
        <w:tabs>
          <w:tab w:pos="1051" w:val="left" w:leader="none"/>
        </w:tabs>
        <w:spacing w:line="240" w:lineRule="auto" w:before="36"/>
        <w:ind w:left="0" w:right="21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499"/>
        <w:gridCol w:w="4798"/>
        <w:gridCol w:w="4794"/>
      </w:tblGrid>
      <w:tr>
        <w:trPr>
          <w:trHeight w:val="322"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31"/>
              <w:jc w:val="right"/>
              <w:rPr>
                <w:rFonts w:ascii="宋体" w:hAnsi="宋体" w:cs="宋体" w:eastAsia="宋体" w:hint="default"/>
                <w:sz w:val="21"/>
                <w:szCs w:val="21"/>
              </w:rPr>
            </w:pPr>
            <w:r>
              <w:rPr>
                <w:rFonts w:ascii="宋体" w:hAnsi="宋体" w:cs="宋体" w:eastAsia="宋体" w:hint="default"/>
                <w:sz w:val="21"/>
                <w:szCs w:val="21"/>
              </w:rPr>
              <w:t>项目</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566,618.11</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281,758.20</w:t>
            </w:r>
          </w:p>
        </w:tc>
      </w:tr>
      <w:tr>
        <w:trPr>
          <w:trHeight w:val="322"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40,818,027.13</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37,768,501.58</w:t>
            </w:r>
          </w:p>
        </w:tc>
      </w:tr>
      <w:tr>
        <w:trPr>
          <w:trHeight w:val="324"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31"/>
              <w:jc w:val="right"/>
              <w:rPr>
                <w:rFonts w:ascii="宋体" w:hAnsi="宋体" w:cs="宋体" w:eastAsia="宋体" w:hint="default"/>
                <w:sz w:val="21"/>
                <w:szCs w:val="21"/>
              </w:rPr>
            </w:pPr>
            <w:r>
              <w:rPr>
                <w:rFonts w:ascii="宋体" w:hAnsi="宋体" w:cs="宋体" w:eastAsia="宋体" w:hint="default"/>
                <w:sz w:val="21"/>
                <w:szCs w:val="21"/>
              </w:rPr>
              <w:t>合计</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41,384,645.24</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38,050,259.78</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63"/>
          <w:pgSz w:w="16840" w:h="11910" w:orient="landscape"/>
          <w:pgMar w:footer="1195" w:header="882" w:top="1120" w:bottom="1380" w:left="1220" w:right="1300"/>
        </w:sectPr>
      </w:pPr>
    </w:p>
    <w:p>
      <w:pPr>
        <w:pStyle w:val="Heading2"/>
        <w:spacing w:line="240" w:lineRule="auto" w:before="36"/>
        <w:ind w:left="220" w:right="-17"/>
        <w:jc w:val="left"/>
        <w:rPr>
          <w:b w:val="0"/>
          <w:bCs w:val="0"/>
        </w:rPr>
      </w:pPr>
      <w:r>
        <w:rPr>
          <w:rFonts w:ascii="宋体" w:hAnsi="宋体" w:cs="宋体" w:eastAsia="宋体" w:hint="default"/>
        </w:rPr>
        <w:t>(5).</w:t>
      </w:r>
      <w:r>
        <w:rPr>
          <w:rFonts w:ascii="宋体" w:hAnsi="宋体" w:cs="宋体" w:eastAsia="宋体" w:hint="default"/>
          <w:spacing w:val="56"/>
        </w:rPr>
        <w:t> </w:t>
      </w:r>
      <w:r>
        <w:rPr/>
        <w:t>未确认递延所得税资产的可抵扣亏损将于以下年度到期</w:t>
      </w:r>
      <w:r>
        <w:rPr>
          <w:b w:val="0"/>
          <w:bCs w:val="0"/>
        </w:rPr>
      </w:r>
    </w:p>
    <w:p>
      <w:pPr>
        <w:pStyle w:val="BodyText"/>
        <w:spacing w:line="240" w:lineRule="auto" w:before="97"/>
        <w:ind w:left="22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5868" w:space="5639"/>
            <w:col w:w="2813"/>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48"/>
        <w:gridCol w:w="3558"/>
        <w:gridCol w:w="3620"/>
        <w:gridCol w:w="3665"/>
      </w:tblGrid>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04"/>
              <w:jc w:val="right"/>
              <w:rPr>
                <w:rFonts w:ascii="宋体" w:hAnsi="宋体" w:cs="宋体" w:eastAsia="宋体" w:hint="default"/>
                <w:sz w:val="21"/>
                <w:szCs w:val="21"/>
              </w:rPr>
            </w:pPr>
            <w:r>
              <w:rPr>
                <w:rFonts w:ascii="宋体" w:hAnsi="宋体" w:cs="宋体" w:eastAsia="宋体" w:hint="default"/>
                <w:sz w:val="21"/>
                <w:szCs w:val="21"/>
              </w:rPr>
              <w:t>年份</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4,778,285.62</w:t>
            </w: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220,742.09</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4,120,356.02</w:t>
            </w: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3,161,997.50</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3,161,997.50</w:t>
            </w: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11,864,026.62</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12,050,379.34</w:t>
            </w: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12,968,806.94</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13,657,483.10</w:t>
            </w: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12,602,453.98</w:t>
            </w:r>
          </w:p>
        </w:tc>
        <w:tc>
          <w:tcPr>
            <w:tcW w:w="3620" w:type="dxa"/>
            <w:tcBorders>
              <w:top w:val="single" w:sz="4" w:space="0" w:color="000000"/>
              <w:left w:val="single" w:sz="4" w:space="0" w:color="000000"/>
              <w:bottom w:val="single" w:sz="4" w:space="0" w:color="000000"/>
              <w:right w:val="single" w:sz="4" w:space="0" w:color="000000"/>
            </w:tcBorders>
          </w:tcPr>
          <w:p>
            <w:pPr/>
          </w:p>
        </w:tc>
        <w:tc>
          <w:tcPr>
            <w:tcW w:w="3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04"/>
              <w:jc w:val="right"/>
              <w:rPr>
                <w:rFonts w:ascii="宋体" w:hAnsi="宋体" w:cs="宋体" w:eastAsia="宋体" w:hint="default"/>
                <w:sz w:val="21"/>
                <w:szCs w:val="21"/>
              </w:rPr>
            </w:pPr>
            <w:r>
              <w:rPr>
                <w:rFonts w:ascii="宋体" w:hAnsi="宋体" w:cs="宋体" w:eastAsia="宋体" w:hint="default"/>
                <w:sz w:val="21"/>
                <w:szCs w:val="21"/>
              </w:rPr>
              <w:t>合计</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40,818,027.13</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37,768,501.58</w:t>
            </w:r>
          </w:p>
        </w:tc>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20" w:right="163"/>
        <w:jc w:val="left"/>
      </w:pPr>
      <w:r>
        <w:rPr/>
        <w:t>其他说明：</w:t>
      </w:r>
    </w:p>
    <w:p>
      <w:pPr>
        <w:spacing w:after="0" w:line="240" w:lineRule="auto"/>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560" w:right="0"/>
        <w:jc w:val="left"/>
      </w:pPr>
      <w:r>
        <w:rPr/>
        <w:t>注：由于未来能否获得足够的应纳税所得额具有不确定性，因而未确认为递延所得税资产的可抵扣暂时性差异和可抵扣亏损。</w:t>
      </w:r>
    </w:p>
    <w:p>
      <w:pPr>
        <w:spacing w:line="240" w:lineRule="auto" w:before="7"/>
        <w:rPr>
          <w:rFonts w:ascii="宋体" w:hAnsi="宋体" w:cs="宋体" w:eastAsia="宋体" w:hint="default"/>
          <w:sz w:val="28"/>
          <w:szCs w:val="28"/>
        </w:rPr>
      </w:pPr>
    </w:p>
    <w:p>
      <w:pPr>
        <w:pStyle w:val="Heading2"/>
        <w:spacing w:line="240" w:lineRule="auto" w:before="36"/>
        <w:ind w:left="140"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tabs>
          <w:tab w:pos="1051" w:val="left" w:leader="none"/>
        </w:tabs>
        <w:spacing w:line="240" w:lineRule="auto" w:before="97"/>
        <w:ind w:left="0" w:right="15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412"/>
        <w:gridCol w:w="4824"/>
        <w:gridCol w:w="4700"/>
      </w:tblGrid>
      <w:tr>
        <w:trPr>
          <w:trHeight w:val="329"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83"/>
              <w:jc w:val="right"/>
              <w:rPr>
                <w:rFonts w:ascii="宋体" w:hAnsi="宋体" w:cs="宋体" w:eastAsia="宋体" w:hint="default"/>
                <w:sz w:val="21"/>
                <w:szCs w:val="21"/>
              </w:rPr>
            </w:pPr>
            <w:r>
              <w:rPr>
                <w:rFonts w:ascii="宋体" w:hAnsi="宋体" w:cs="宋体" w:eastAsia="宋体" w:hint="default"/>
                <w:sz w:val="21"/>
                <w:szCs w:val="21"/>
              </w:rPr>
              <w:t>项目</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7"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预付股权转让款</w:t>
            </w:r>
          </w:p>
        </w:tc>
        <w:tc>
          <w:tcPr>
            <w:tcW w:w="4824" w:type="dxa"/>
            <w:tcBorders>
              <w:top w:val="single" w:sz="6" w:space="0" w:color="000000"/>
              <w:left w:val="single" w:sz="6" w:space="0" w:color="000000"/>
              <w:bottom w:val="single" w:sz="6" w:space="0" w:color="000000"/>
              <w:right w:val="single" w:sz="6" w:space="0" w:color="000000"/>
            </w:tcBorders>
          </w:tcPr>
          <w:p>
            <w:pP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22,400,000.00</w:t>
            </w:r>
          </w:p>
        </w:tc>
      </w:tr>
      <w:tr>
        <w:trPr>
          <w:trHeight w:val="326"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预付工程项目款</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335,044,560.12</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270,877,473.84</w:t>
            </w:r>
          </w:p>
        </w:tc>
      </w:tr>
      <w:tr>
        <w:trPr>
          <w:trHeight w:val="329"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83"/>
              <w:jc w:val="right"/>
              <w:rPr>
                <w:rFonts w:ascii="宋体" w:hAnsi="宋体" w:cs="宋体" w:eastAsia="宋体" w:hint="default"/>
                <w:sz w:val="21"/>
                <w:szCs w:val="21"/>
              </w:rPr>
            </w:pPr>
            <w:r>
              <w:rPr>
                <w:rFonts w:ascii="宋体" w:hAnsi="宋体" w:cs="宋体" w:eastAsia="宋体" w:hint="default"/>
                <w:sz w:val="21"/>
                <w:szCs w:val="21"/>
              </w:rPr>
              <w:t>合计</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335,044,560.12</w:t>
            </w:r>
          </w:p>
        </w:tc>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293,277,473.84</w:t>
            </w:r>
          </w:p>
        </w:tc>
      </w:tr>
    </w:tbl>
    <w:p>
      <w:pPr>
        <w:pStyle w:val="BodyText"/>
        <w:spacing w:line="262" w:lineRule="exact"/>
        <w:ind w:left="140" w:right="0"/>
        <w:jc w:val="left"/>
      </w:pPr>
      <w:r>
        <w:rPr/>
        <w:t>其他说明：</w:t>
      </w:r>
    </w:p>
    <w:p>
      <w:pPr>
        <w:pStyle w:val="BodyText"/>
        <w:spacing w:line="273" w:lineRule="auto" w:before="37"/>
        <w:ind w:left="140" w:right="0" w:firstLine="420"/>
        <w:jc w:val="left"/>
      </w:pPr>
      <w:r>
        <w:rPr>
          <w:spacing w:val="-3"/>
        </w:rPr>
        <w:t>注：本年预付工程项目款中 </w:t>
      </w:r>
      <w:r>
        <w:rPr>
          <w:rFonts w:ascii="宋体" w:hAnsi="宋体" w:cs="宋体" w:eastAsia="宋体" w:hint="default"/>
        </w:rPr>
        <w:t>325,000,000.00</w:t>
      </w:r>
      <w:r>
        <w:rPr>
          <w:rFonts w:ascii="宋体" w:hAnsi="宋体" w:cs="宋体" w:eastAsia="宋体" w:hint="default"/>
          <w:spacing w:val="-15"/>
        </w:rPr>
        <w:t> </w:t>
      </w:r>
      <w:r>
        <w:rPr>
          <w:spacing w:val="-4"/>
        </w:rPr>
        <w:t>元为预付蓝汛欣润科技（北京）有限公司云数据中心机房楼款项，相关工程建筑主体已完工，截止至财</w:t>
      </w:r>
      <w:r>
        <w:rPr>
          <w:w w:val="100"/>
        </w:rPr>
        <w:t> </w:t>
      </w:r>
      <w:r>
        <w:rPr/>
        <w:t>务报告批准报出日，仍在进行内部装修，故年末列示为预付工程项目款。</w:t>
      </w:r>
    </w:p>
    <w:p>
      <w:pPr>
        <w:spacing w:line="240" w:lineRule="auto" w:before="0"/>
        <w:rPr>
          <w:rFonts w:ascii="宋体" w:hAnsi="宋体" w:cs="宋体" w:eastAsia="宋体" w:hint="default"/>
          <w:sz w:val="29"/>
          <w:szCs w:val="29"/>
        </w:rPr>
      </w:pPr>
    </w:p>
    <w:p>
      <w:pPr>
        <w:pStyle w:val="Heading2"/>
        <w:spacing w:line="240" w:lineRule="auto"/>
        <w:ind w:left="140" w:right="0"/>
        <w:jc w:val="left"/>
        <w:rPr>
          <w:b w:val="0"/>
          <w:bCs w:val="0"/>
        </w:rPr>
      </w:pPr>
      <w:r>
        <w:rPr>
          <w:rFonts w:ascii="宋体" w:hAnsi="宋体" w:cs="宋体" w:eastAsia="宋体" w:hint="default"/>
        </w:rPr>
        <w:t>31</w:t>
      </w:r>
      <w:r>
        <w:rPr/>
        <w:t>、</w:t>
      </w:r>
      <w:r>
        <w:rPr>
          <w:spacing w:val="-24"/>
        </w:rPr>
        <w:t> </w:t>
      </w:r>
      <w:r>
        <w:rPr/>
        <w:t>短期借款</w:t>
      </w:r>
      <w:r>
        <w:rPr>
          <w:b w:val="0"/>
          <w:bCs w:val="0"/>
        </w:rPr>
      </w:r>
    </w:p>
    <w:p>
      <w:pPr>
        <w:pStyle w:val="BodyText"/>
        <w:spacing w:line="240" w:lineRule="auto" w:before="97"/>
        <w:ind w:left="140" w:right="0"/>
        <w:jc w:val="left"/>
      </w:pPr>
      <w:r>
        <w:rPr/>
        <w:t>□适用 √不适用</w:t>
      </w:r>
    </w:p>
    <w:p>
      <w:pPr>
        <w:spacing w:line="240" w:lineRule="auto" w:before="2"/>
        <w:rPr>
          <w:rFonts w:ascii="宋体" w:hAnsi="宋体" w:cs="宋体" w:eastAsia="宋体" w:hint="default"/>
          <w:sz w:val="28"/>
          <w:szCs w:val="28"/>
        </w:rPr>
      </w:pPr>
    </w:p>
    <w:p>
      <w:pPr>
        <w:pStyle w:val="Heading2"/>
        <w:tabs>
          <w:tab w:pos="771" w:val="left" w:leader="none"/>
        </w:tabs>
        <w:spacing w:line="240" w:lineRule="auto"/>
        <w:ind w:left="140" w:right="0"/>
        <w:jc w:val="left"/>
        <w:rPr>
          <w:b w:val="0"/>
          <w:bCs w:val="0"/>
        </w:rPr>
      </w:pPr>
      <w:r>
        <w:rPr>
          <w:rFonts w:ascii="宋体" w:hAnsi="宋体" w:cs="宋体" w:eastAsia="宋体" w:hint="default"/>
          <w:w w:val="95"/>
        </w:rPr>
        <w:t>(1).</w:t>
        <w:tab/>
      </w:r>
      <w:r>
        <w:rPr/>
        <w:t>已逾期未偿还的短期借款情况</w:t>
      </w:r>
      <w:r>
        <w:rPr>
          <w:b w:val="0"/>
          <w:bCs w:val="0"/>
        </w:rPr>
      </w:r>
    </w:p>
    <w:p>
      <w:pPr>
        <w:pStyle w:val="BodyText"/>
        <w:spacing w:line="240" w:lineRule="auto" w:before="97"/>
        <w:ind w:left="140" w:right="0"/>
        <w:jc w:val="left"/>
      </w:pPr>
      <w:r>
        <w:rPr/>
        <w:t>□适用 √不适用</w:t>
      </w:r>
    </w:p>
    <w:p>
      <w:pPr>
        <w:pStyle w:val="Heading2"/>
        <w:spacing w:line="240" w:lineRule="auto" w:before="97"/>
        <w:ind w:left="140" w:right="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40"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40" w:right="0"/>
        <w:jc w:val="left"/>
        <w:rPr>
          <w:b w:val="0"/>
          <w:bCs w:val="0"/>
        </w:rPr>
      </w:pPr>
      <w:r>
        <w:rPr>
          <w:rFonts w:ascii="宋体" w:hAnsi="宋体" w:cs="宋体" w:eastAsia="宋体" w:hint="default"/>
        </w:rPr>
        <w:t>34</w:t>
      </w:r>
      <w:r>
        <w:rPr/>
        <w:t>、</w:t>
      </w:r>
      <w:r>
        <w:rPr>
          <w:spacing w:val="-24"/>
        </w:rPr>
        <w:t> </w:t>
      </w:r>
      <w:r>
        <w:rPr/>
        <w:t>应付票据</w:t>
      </w:r>
      <w:r>
        <w:rPr>
          <w:b w:val="0"/>
          <w:bCs w:val="0"/>
        </w:rPr>
      </w:r>
    </w:p>
    <w:p>
      <w:pPr>
        <w:pStyle w:val="BodyText"/>
        <w:spacing w:line="240" w:lineRule="auto" w:before="97"/>
        <w:ind w:left="140" w:right="0"/>
        <w:jc w:val="left"/>
      </w:pPr>
      <w:r>
        <w:rPr/>
        <w:t>□适用 √不适用</w:t>
      </w:r>
    </w:p>
    <w:p>
      <w:pPr>
        <w:spacing w:after="0" w:line="240" w:lineRule="auto"/>
        <w:jc w:val="left"/>
        <w:sectPr>
          <w:footerReference w:type="default" r:id="rId64"/>
          <w:pgSz w:w="16840" w:h="11910" w:orient="landscape"/>
          <w:pgMar w:footer="1195" w:header="882" w:top="1120" w:bottom="1380" w:left="1300" w:right="1360"/>
          <w:pgNumType w:start="11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1300"/>
        </w:sectPr>
      </w:pPr>
    </w:p>
    <w:p>
      <w:pPr>
        <w:pStyle w:val="Heading2"/>
        <w:spacing w:line="240" w:lineRule="auto" w:before="36"/>
        <w:ind w:left="220" w:right="-20"/>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97"/>
        <w:ind w:left="220" w:right="-20"/>
        <w:jc w:val="left"/>
        <w:rPr>
          <w:b w:val="0"/>
          <w:bCs w:val="0"/>
        </w:rPr>
      </w:pPr>
      <w:r>
        <w:rPr>
          <w:rFonts w:ascii="宋体" w:hAnsi="宋体" w:cs="宋体" w:eastAsia="宋体" w:hint="default"/>
        </w:rPr>
        <w:t>(1).</w:t>
      </w:r>
      <w:r>
        <w:rPr>
          <w:rFonts w:ascii="宋体" w:hAnsi="宋体" w:cs="宋体" w:eastAsia="宋体" w:hint="default"/>
          <w:spacing w:val="61"/>
        </w:rPr>
        <w:t> </w:t>
      </w:r>
      <w:r>
        <w:rPr/>
        <w:t>应付账款列示</w:t>
      </w:r>
      <w:r>
        <w:rPr>
          <w:b w:val="0"/>
          <w:bCs w:val="0"/>
        </w:rPr>
      </w:r>
    </w:p>
    <w:p>
      <w:pPr>
        <w:pStyle w:val="BodyText"/>
        <w:spacing w:line="240" w:lineRule="auto" w:before="97"/>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076" w:space="9487"/>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424"/>
        <w:gridCol w:w="4464"/>
        <w:gridCol w:w="5202"/>
      </w:tblGrid>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94"/>
              <w:jc w:val="right"/>
              <w:rPr>
                <w:rFonts w:ascii="宋体" w:hAnsi="宋体" w:cs="宋体" w:eastAsia="宋体" w:hint="default"/>
                <w:sz w:val="21"/>
                <w:szCs w:val="21"/>
              </w:rPr>
            </w:pPr>
            <w:r>
              <w:rPr>
                <w:rFonts w:ascii="宋体" w:hAnsi="宋体" w:cs="宋体" w:eastAsia="宋体" w:hint="default"/>
                <w:sz w:val="21"/>
                <w:szCs w:val="21"/>
              </w:rPr>
              <w:t>项目</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104,906,515.24</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88,301,219.36</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6,059,755.28</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4,675,769.85</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23,722,481.99</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10,738,359.08</w:t>
            </w:r>
          </w:p>
        </w:tc>
      </w:tr>
      <w:tr>
        <w:trPr>
          <w:trHeight w:val="324"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3,708,430.88</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2,338,761.06</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583,513.12</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3,001,730.37</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2,435,833.35</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3,954,309.74</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94"/>
              <w:jc w:val="right"/>
              <w:rPr>
                <w:rFonts w:ascii="宋体" w:hAnsi="宋体" w:cs="宋体" w:eastAsia="宋体" w:hint="default"/>
                <w:sz w:val="21"/>
                <w:szCs w:val="21"/>
              </w:rPr>
            </w:pPr>
            <w:r>
              <w:rPr>
                <w:rFonts w:ascii="宋体" w:hAnsi="宋体" w:cs="宋体" w:eastAsia="宋体" w:hint="default"/>
                <w:sz w:val="21"/>
                <w:szCs w:val="21"/>
              </w:rPr>
              <w:t>合计</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141,416,529.86</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113,010,149.46</w:t>
            </w:r>
          </w:p>
        </w:tc>
      </w:tr>
    </w:tbl>
    <w:p>
      <w:pPr>
        <w:spacing w:line="240" w:lineRule="auto" w:before="10"/>
        <w:rPr>
          <w:rFonts w:ascii="宋体" w:hAnsi="宋体" w:cs="宋体" w:eastAsia="宋体" w:hint="default"/>
          <w:sz w:val="24"/>
          <w:szCs w:val="24"/>
        </w:rPr>
      </w:pPr>
    </w:p>
    <w:p>
      <w:pPr>
        <w:pStyle w:val="Heading2"/>
        <w:spacing w:line="240" w:lineRule="auto" w:before="36"/>
        <w:ind w:left="220" w:right="163"/>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10"/>
        </w:rPr>
        <w:t> </w:t>
      </w:r>
      <w:r>
        <w:rPr/>
        <w:t>年的重要应付账款</w:t>
      </w:r>
      <w:r>
        <w:rPr>
          <w:b w:val="0"/>
          <w:bCs w:val="0"/>
        </w:rPr>
      </w:r>
    </w:p>
    <w:p>
      <w:pPr>
        <w:pStyle w:val="BodyText"/>
        <w:spacing w:line="273" w:lineRule="auto" w:before="80"/>
        <w:ind w:left="220" w:right="12503"/>
        <w:jc w:val="left"/>
      </w:pPr>
      <w:r>
        <w:rPr/>
        <w:t>□适用 √不适用</w:t>
      </w:r>
      <w:r>
        <w:rPr>
          <w:w w:val="100"/>
        </w:rPr>
        <w:t> </w:t>
      </w:r>
      <w:r>
        <w:rPr/>
        <w:t>其他说明</w:t>
      </w:r>
    </w:p>
    <w:p>
      <w:pPr>
        <w:pStyle w:val="BodyText"/>
        <w:spacing w:line="240" w:lineRule="auto" w:before="7"/>
        <w:ind w:left="220" w:right="163"/>
        <w:jc w:val="left"/>
      </w:pPr>
      <w:r>
        <w:rPr>
          <w:w w:val="100"/>
        </w:rPr>
        <w:t>无</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6840" w:h="11910" w:orient="landscape"/>
          <w:pgMar w:top="1120" w:bottom="1380" w:left="1220" w:right="1300"/>
        </w:sectPr>
      </w:pPr>
    </w:p>
    <w:p>
      <w:pPr>
        <w:pStyle w:val="Heading2"/>
        <w:spacing w:line="240" w:lineRule="auto" w:before="36"/>
        <w:ind w:left="220" w:right="-19"/>
        <w:jc w:val="left"/>
        <w:rPr>
          <w:b w:val="0"/>
          <w:bCs w:val="0"/>
        </w:rPr>
      </w:pPr>
      <w:r>
        <w:rPr>
          <w:rFonts w:ascii="宋体" w:hAnsi="宋体" w:cs="宋体" w:eastAsia="宋体" w:hint="default"/>
        </w:rPr>
        <w:t>36</w:t>
      </w:r>
      <w:r>
        <w:rPr/>
        <w:t>、</w:t>
      </w:r>
      <w:r>
        <w:rPr>
          <w:spacing w:val="-24"/>
        </w:rPr>
        <w:t> </w:t>
      </w:r>
      <w:r>
        <w:rPr/>
        <w:t>预收款项</w:t>
      </w:r>
      <w:r>
        <w:rPr>
          <w:b w:val="0"/>
          <w:bCs w:val="0"/>
        </w:rPr>
      </w:r>
    </w:p>
    <w:p>
      <w:pPr>
        <w:pStyle w:val="Heading2"/>
        <w:spacing w:line="240" w:lineRule="auto" w:before="97"/>
        <w:ind w:left="220" w:right="-19"/>
        <w:jc w:val="left"/>
        <w:rPr>
          <w:b w:val="0"/>
          <w:bCs w:val="0"/>
        </w:rPr>
      </w:pPr>
      <w:r>
        <w:rPr>
          <w:rFonts w:ascii="宋体" w:hAnsi="宋体" w:cs="宋体" w:eastAsia="宋体" w:hint="default"/>
        </w:rPr>
        <w:t>(1).</w:t>
      </w:r>
      <w:r>
        <w:rPr>
          <w:rFonts w:ascii="宋体" w:hAnsi="宋体" w:cs="宋体" w:eastAsia="宋体" w:hint="default"/>
          <w:spacing w:val="1"/>
        </w:rPr>
        <w:t> </w:t>
      </w:r>
      <w:r>
        <w:rPr/>
        <w:t>预收账款项列示</w:t>
      </w:r>
      <w:r>
        <w:rPr>
          <w:b w:val="0"/>
          <w:bCs w:val="0"/>
        </w:rPr>
      </w:r>
    </w:p>
    <w:p>
      <w:pPr>
        <w:pStyle w:val="BodyText"/>
        <w:spacing w:line="240" w:lineRule="auto" w:before="97"/>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227" w:space="9335"/>
            <w:col w:w="2758"/>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513"/>
        <w:gridCol w:w="4793"/>
        <w:gridCol w:w="4784"/>
      </w:tblGrid>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广告及宣传服务费</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79,206,023.35</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84,649,760.63</w:t>
            </w:r>
          </w:p>
        </w:tc>
      </w:tr>
    </w:tbl>
    <w:p>
      <w:pPr>
        <w:spacing w:after="0" w:line="262"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513"/>
        <w:gridCol w:w="4793"/>
        <w:gridCol w:w="4784"/>
      </w:tblGrid>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66,866,047.04</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58,088,025.52</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26,023,606.95</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12,688,691.38</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移动增值服务费</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7,290,964.71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5,164,142.21</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充值款</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2,521,931.58</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2,444,936.59</w:t>
            </w:r>
          </w:p>
        </w:tc>
      </w:tr>
      <w:tr>
        <w:trPr>
          <w:trHeight w:val="324"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2,077,274.62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3,038,474.74</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互联网彩票服务费</w:t>
            </w:r>
          </w:p>
        </w:tc>
        <w:tc>
          <w:tcPr>
            <w:tcW w:w="4793"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145,975.87</w:t>
            </w:r>
          </w:p>
        </w:tc>
      </w:tr>
      <w:tr>
        <w:trPr>
          <w:trHeight w:val="322"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183,985,848.25</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166,220,006.94</w:t>
            </w:r>
          </w:p>
        </w:tc>
      </w:tr>
    </w:tbl>
    <w:p>
      <w:pPr>
        <w:spacing w:line="240" w:lineRule="auto" w:before="9"/>
        <w:rPr>
          <w:rFonts w:ascii="宋体" w:hAnsi="宋体" w:cs="宋体" w:eastAsia="宋体" w:hint="default"/>
          <w:sz w:val="24"/>
          <w:szCs w:val="24"/>
        </w:rPr>
      </w:pPr>
    </w:p>
    <w:p>
      <w:pPr>
        <w:pStyle w:val="Heading2"/>
        <w:spacing w:line="240" w:lineRule="auto" w:before="36"/>
        <w:ind w:left="220" w:right="163"/>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80"/>
        <w:ind w:left="220" w:right="16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20" w:right="163"/>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3" w:lineRule="auto" w:before="97"/>
        <w:ind w:left="220" w:right="12503"/>
        <w:jc w:val="left"/>
      </w:pPr>
      <w:r>
        <w:rPr/>
        <w:t>□适用 √不适用</w:t>
      </w:r>
      <w:r>
        <w:rPr>
          <w:w w:val="100"/>
        </w:rPr>
        <w:t> </w:t>
      </w:r>
      <w:r>
        <w:rPr/>
        <w:t>其他说明</w:t>
      </w:r>
    </w:p>
    <w:p>
      <w:pPr>
        <w:pStyle w:val="BodyText"/>
        <w:spacing w:line="240" w:lineRule="auto" w:before="7"/>
        <w:ind w:left="220" w:right="163"/>
        <w:jc w:val="left"/>
      </w:pPr>
      <w:r>
        <w:rPr>
          <w:w w:val="100"/>
        </w:rPr>
        <w:t>无</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1220" w:right="1300"/>
        </w:sectPr>
      </w:pPr>
    </w:p>
    <w:p>
      <w:pPr>
        <w:pStyle w:val="Heading2"/>
        <w:spacing w:line="324" w:lineRule="auto" w:before="36"/>
        <w:ind w:left="220" w:right="-15"/>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547" w:space="9016"/>
            <w:col w:w="2757"/>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050"/>
        <w:gridCol w:w="2508"/>
        <w:gridCol w:w="2504"/>
        <w:gridCol w:w="2509"/>
        <w:gridCol w:w="2520"/>
      </w:tblGrid>
      <w:tr>
        <w:trPr>
          <w:trHeight w:val="326" w:hRule="exact"/>
        </w:trPr>
        <w:tc>
          <w:tcPr>
            <w:tcW w:w="40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9" w:hRule="exact"/>
        </w:trPr>
        <w:tc>
          <w:tcPr>
            <w:tcW w:w="40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12,858,309.85</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490,881,726.37</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484,331,806.87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19,408,229.35</w:t>
            </w:r>
          </w:p>
        </w:tc>
      </w:tr>
      <w:tr>
        <w:trPr>
          <w:trHeight w:val="326" w:hRule="exact"/>
        </w:trPr>
        <w:tc>
          <w:tcPr>
            <w:tcW w:w="40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2508"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1,298,056.80</w:t>
            </w:r>
          </w:p>
        </w:tc>
        <w:tc>
          <w:tcPr>
            <w:tcW w:w="2504"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53,651,020.66</w:t>
            </w:r>
          </w:p>
        </w:tc>
        <w:tc>
          <w:tcPr>
            <w:tcW w:w="2509"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53,869,674.01</w:t>
            </w:r>
          </w:p>
        </w:tc>
        <w:tc>
          <w:tcPr>
            <w:tcW w:w="252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1,079,403.45</w:t>
            </w:r>
          </w:p>
        </w:tc>
      </w:tr>
      <w:tr>
        <w:trPr>
          <w:trHeight w:val="326" w:hRule="exact"/>
        </w:trPr>
        <w:tc>
          <w:tcPr>
            <w:tcW w:w="40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2508" w:type="dxa"/>
            <w:tcBorders>
              <w:top w:val="single" w:sz="4" w:space="0" w:color="000000"/>
              <w:left w:val="single" w:sz="6"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2,002,001.67</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2,002,001.67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1"/>
              <w:jc w:val="right"/>
              <w:rPr>
                <w:rFonts w:ascii="宋体" w:hAnsi="宋体" w:cs="宋体" w:eastAsia="宋体" w:hint="default"/>
                <w:sz w:val="21"/>
                <w:szCs w:val="21"/>
              </w:rPr>
            </w:pPr>
            <w:r>
              <w:rPr>
                <w:rFonts w:ascii="宋体"/>
                <w:w w:val="100"/>
                <w:sz w:val="21"/>
              </w:rPr>
              <w:t>-</w:t>
            </w:r>
          </w:p>
        </w:tc>
      </w:tr>
      <w:tr>
        <w:trPr>
          <w:trHeight w:val="329" w:hRule="exact"/>
        </w:trPr>
        <w:tc>
          <w:tcPr>
            <w:tcW w:w="40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14,156,366.65</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546,534,748.70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540,203,482.55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20,487,632.80</w:t>
            </w:r>
          </w:p>
        </w:tc>
      </w:tr>
    </w:tbl>
    <w:p>
      <w:pPr>
        <w:spacing w:after="0" w:line="265"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660"/>
        </w:sectPr>
      </w:pPr>
    </w:p>
    <w:p>
      <w:pPr>
        <w:pStyle w:val="Heading2"/>
        <w:spacing w:line="240" w:lineRule="auto" w:before="36"/>
        <w:ind w:left="220"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left="22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660"/>
          <w:cols w:num="2" w:equalWidth="0">
            <w:col w:w="2124" w:space="9544"/>
            <w:col w:w="3292"/>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13"/>
        <w:gridCol w:w="2942"/>
        <w:gridCol w:w="2720"/>
        <w:gridCol w:w="2487"/>
        <w:gridCol w:w="2328"/>
      </w:tblGrid>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8,445,495.44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423,721,353.75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417,138,900.88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15,027,948.31</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294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3,550,871.87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3,550,871.87</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672,066.95</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27,863,338.37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27,950,486.19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584,919.13</w:t>
            </w:r>
          </w:p>
        </w:tc>
      </w:tr>
      <w:tr>
        <w:trPr>
          <w:trHeight w:val="324"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600,681.34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24,844,414.10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24,927,071.47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518,023.97</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25,744.90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1,151,311.83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1,153,055.49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24,001.24</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45,640.71</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1,867,612.44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1,870,359.23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42,893.92</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1,270,929.64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31,352,856.61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32,615,560.25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8,226.00</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2,469,817.82</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4,271,851.85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2,954,533.76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3,787,135.91</w:t>
            </w: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294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294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294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121,453.92</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121,453.92</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12,858,309.85</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490,881,726.37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484,331,806.87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19,408,229.35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6840" w:h="11910" w:orient="landscape"/>
          <w:pgMar w:top="1120" w:bottom="1380" w:left="1220" w:right="660"/>
        </w:sectPr>
      </w:pPr>
    </w:p>
    <w:p>
      <w:pPr>
        <w:pStyle w:val="Heading2"/>
        <w:spacing w:line="240" w:lineRule="auto" w:before="36"/>
        <w:ind w:left="220" w:right="-1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660"/>
          <w:cols w:num="2" w:equalWidth="0">
            <w:col w:w="2335" w:space="9227"/>
            <w:col w:w="3398"/>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026"/>
        <w:gridCol w:w="2527"/>
        <w:gridCol w:w="2722"/>
        <w:gridCol w:w="2720"/>
        <w:gridCol w:w="2720"/>
      </w:tblGrid>
      <w:tr>
        <w:trPr>
          <w:trHeight w:val="326"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91"/>
              <w:jc w:val="right"/>
              <w:rPr>
                <w:rFonts w:ascii="宋体" w:hAnsi="宋体" w:cs="宋体" w:eastAsia="宋体" w:hint="default"/>
                <w:sz w:val="21"/>
                <w:szCs w:val="21"/>
              </w:rPr>
            </w:pPr>
            <w:r>
              <w:rPr>
                <w:rFonts w:ascii="宋体" w:hAnsi="宋体" w:cs="宋体" w:eastAsia="宋体" w:hint="default"/>
                <w:sz w:val="21"/>
                <w:szCs w:val="21"/>
              </w:rPr>
              <w:t>项目</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9"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2527"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1,138,731.07</w:t>
            </w:r>
          </w:p>
        </w:tc>
        <w:tc>
          <w:tcPr>
            <w:tcW w:w="2722"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51,020,051.82</w:t>
            </w:r>
          </w:p>
        </w:tc>
        <w:tc>
          <w:tcPr>
            <w:tcW w:w="2720"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51,237,629.47</w:t>
            </w:r>
          </w:p>
        </w:tc>
        <w:tc>
          <w:tcPr>
            <w:tcW w:w="2720"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921,153.42</w:t>
            </w:r>
          </w:p>
        </w:tc>
      </w:tr>
      <w:tr>
        <w:trPr>
          <w:trHeight w:val="326"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2527"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159,325.73</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2,630,968.84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2,632,044.54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158,250.03</w:t>
            </w:r>
          </w:p>
        </w:tc>
      </w:tr>
      <w:tr>
        <w:trPr>
          <w:trHeight w:val="326"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91"/>
              <w:jc w:val="right"/>
              <w:rPr>
                <w:rFonts w:ascii="宋体" w:hAnsi="宋体" w:cs="宋体" w:eastAsia="宋体" w:hint="default"/>
                <w:sz w:val="21"/>
                <w:szCs w:val="21"/>
              </w:rPr>
            </w:pPr>
            <w:r>
              <w:rPr>
                <w:rFonts w:ascii="宋体" w:hAnsi="宋体" w:cs="宋体" w:eastAsia="宋体" w:hint="default"/>
                <w:sz w:val="21"/>
                <w:szCs w:val="21"/>
              </w:rPr>
              <w:t>合计</w:t>
            </w:r>
          </w:p>
        </w:tc>
        <w:tc>
          <w:tcPr>
            <w:tcW w:w="2527"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1,298,056.80</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53,651,020.66</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53,869,674.01</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1,079,403.45</w:t>
            </w:r>
          </w:p>
        </w:tc>
      </w:tr>
    </w:tbl>
    <w:p>
      <w:pPr>
        <w:spacing w:after="0" w:line="265" w:lineRule="exact"/>
        <w:jc w:val="right"/>
        <w:rPr>
          <w:rFonts w:ascii="宋体" w:hAnsi="宋体" w:cs="宋体" w:eastAsia="宋体" w:hint="default"/>
          <w:sz w:val="21"/>
          <w:szCs w:val="21"/>
        </w:rPr>
        <w:sectPr>
          <w:type w:val="continuous"/>
          <w:pgSz w:w="16840" w:h="11910" w:orient="landscape"/>
          <w:pgMar w:top="1120" w:bottom="1380" w:left="122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3" w:lineRule="auto"/>
        <w:ind w:left="140" w:right="1296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pStyle w:val="Heading2"/>
        <w:spacing w:line="240" w:lineRule="auto" w:before="36"/>
        <w:ind w:left="140" w:right="0"/>
        <w:jc w:val="left"/>
        <w:rPr>
          <w:b w:val="0"/>
          <w:bCs w:val="0"/>
        </w:rPr>
      </w:pPr>
      <w:r>
        <w:rPr>
          <w:rFonts w:ascii="宋体" w:hAnsi="宋体" w:cs="宋体" w:eastAsia="宋体" w:hint="default"/>
        </w:rPr>
        <w:t>38</w:t>
      </w:r>
      <w:r>
        <w:rPr/>
        <w:t>、</w:t>
      </w:r>
      <w:r>
        <w:rPr>
          <w:spacing w:val="-24"/>
        </w:rPr>
        <w:t> </w:t>
      </w:r>
      <w:r>
        <w:rPr/>
        <w:t>应交税费</w:t>
      </w:r>
      <w:r>
        <w:rPr>
          <w:b w:val="0"/>
          <w:bCs w:val="0"/>
        </w:rPr>
      </w:r>
    </w:p>
    <w:p>
      <w:pPr>
        <w:pStyle w:val="BodyText"/>
        <w:tabs>
          <w:tab w:pos="1051" w:val="left" w:leader="none"/>
        </w:tabs>
        <w:spacing w:line="240" w:lineRule="auto" w:before="97"/>
        <w:ind w:left="0" w:right="15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669"/>
        <w:gridCol w:w="4630"/>
        <w:gridCol w:w="4638"/>
      </w:tblGrid>
      <w:tr>
        <w:trPr>
          <w:trHeight w:val="327"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165"/>
              <w:jc w:val="right"/>
              <w:rPr>
                <w:rFonts w:ascii="宋体" w:hAnsi="宋体" w:cs="宋体" w:eastAsia="宋体" w:hint="default"/>
                <w:sz w:val="21"/>
                <w:szCs w:val="21"/>
              </w:rPr>
            </w:pPr>
            <w:r>
              <w:rPr>
                <w:rFonts w:ascii="宋体" w:hAnsi="宋体" w:cs="宋体" w:eastAsia="宋体" w:hint="default"/>
                <w:sz w:val="21"/>
                <w:szCs w:val="21"/>
              </w:rPr>
              <w:t>项目</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9,751,527.69</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15,443,719.88</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335,528.12</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278,683.20</w:t>
            </w:r>
          </w:p>
        </w:tc>
      </w:tr>
      <w:tr>
        <w:trPr>
          <w:trHeight w:val="329"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1"/>
              <w:jc w:val="right"/>
              <w:rPr>
                <w:rFonts w:ascii="宋体" w:hAnsi="宋体" w:cs="宋体" w:eastAsia="宋体" w:hint="default"/>
                <w:sz w:val="21"/>
                <w:szCs w:val="21"/>
              </w:rPr>
            </w:pPr>
            <w:r>
              <w:rPr>
                <w:rFonts w:ascii="宋体"/>
                <w:spacing w:val="-1"/>
                <w:sz w:val="21"/>
              </w:rPr>
              <w:t>16,786,444.56</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24,940,835.60</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9,321,653.27</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3,059,431.03</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608,705.16</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856,305.61</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276,403.66</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395,305.37</w:t>
            </w:r>
          </w:p>
        </w:tc>
      </w:tr>
      <w:tr>
        <w:trPr>
          <w:trHeight w:val="329"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1"/>
              <w:jc w:val="right"/>
              <w:rPr>
                <w:rFonts w:ascii="宋体" w:hAnsi="宋体" w:cs="宋体" w:eastAsia="宋体" w:hint="default"/>
                <w:sz w:val="21"/>
                <w:szCs w:val="21"/>
              </w:rPr>
            </w:pPr>
            <w:r>
              <w:rPr>
                <w:rFonts w:ascii="宋体"/>
                <w:spacing w:val="-1"/>
                <w:sz w:val="21"/>
              </w:rPr>
              <w:t>1,799,295.80</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1,766,173.82</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172,638.39</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265,401.14</w:t>
            </w:r>
          </w:p>
        </w:tc>
      </w:tr>
      <w:tr>
        <w:trPr>
          <w:trHeight w:val="326"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138,506.70</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237,563.97</w:t>
            </w:r>
          </w:p>
        </w:tc>
      </w:tr>
      <w:tr>
        <w:trPr>
          <w:trHeight w:val="329" w:hRule="exact"/>
        </w:trPr>
        <w:tc>
          <w:tcPr>
            <w:tcW w:w="46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65"/>
              <w:jc w:val="right"/>
              <w:rPr>
                <w:rFonts w:ascii="宋体" w:hAnsi="宋体" w:cs="宋体" w:eastAsia="宋体" w:hint="default"/>
                <w:sz w:val="21"/>
                <w:szCs w:val="21"/>
              </w:rPr>
            </w:pPr>
            <w:r>
              <w:rPr>
                <w:rFonts w:ascii="宋体" w:hAnsi="宋体" w:cs="宋体" w:eastAsia="宋体" w:hint="default"/>
                <w:sz w:val="21"/>
                <w:szCs w:val="21"/>
              </w:rPr>
              <w:t>合计</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39,190,703.35</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47,243,419.62</w:t>
            </w:r>
          </w:p>
        </w:tc>
      </w:tr>
    </w:tbl>
    <w:p>
      <w:pPr>
        <w:spacing w:line="240" w:lineRule="auto" w:before="2"/>
        <w:rPr>
          <w:rFonts w:ascii="宋体" w:hAnsi="宋体" w:cs="宋体" w:eastAsia="宋体" w:hint="default"/>
          <w:sz w:val="20"/>
          <w:szCs w:val="20"/>
        </w:rPr>
      </w:pPr>
    </w:p>
    <w:p>
      <w:pPr>
        <w:pStyle w:val="BodyText"/>
        <w:spacing w:line="273" w:lineRule="auto" w:before="36"/>
        <w:ind w:left="140" w:right="12968"/>
        <w:jc w:val="left"/>
      </w:pPr>
      <w:r>
        <w:rPr/>
        <w:t>其他说明：</w:t>
      </w:r>
      <w:r>
        <w:rPr>
          <w:spacing w:val="-102"/>
        </w:rPr>
        <w:t> </w:t>
      </w:r>
      <w:r>
        <w:rPr>
          <w:spacing w:val="-102"/>
        </w:rPr>
      </w:r>
      <w:r>
        <w:rPr/>
        <w:t>无</w:t>
      </w:r>
    </w:p>
    <w:p>
      <w:pPr>
        <w:spacing w:line="240" w:lineRule="auto" w:before="1"/>
        <w:rPr>
          <w:rFonts w:ascii="宋体" w:hAnsi="宋体" w:cs="宋体" w:eastAsia="宋体" w:hint="default"/>
          <w:sz w:val="29"/>
          <w:szCs w:val="29"/>
        </w:rPr>
      </w:pPr>
    </w:p>
    <w:p>
      <w:pPr>
        <w:pStyle w:val="Heading2"/>
        <w:spacing w:line="240" w:lineRule="auto"/>
        <w:ind w:left="140" w:right="0"/>
        <w:jc w:val="left"/>
        <w:rPr>
          <w:b w:val="0"/>
          <w:bCs w:val="0"/>
        </w:rPr>
      </w:pPr>
      <w:r>
        <w:rPr>
          <w:rFonts w:ascii="宋体" w:hAnsi="宋体" w:cs="宋体" w:eastAsia="宋体" w:hint="default"/>
        </w:rPr>
        <w:t>39</w:t>
      </w:r>
      <w:r>
        <w:rPr/>
        <w:t>、</w:t>
      </w:r>
      <w:r>
        <w:rPr>
          <w:spacing w:val="-24"/>
        </w:rPr>
        <w:t> </w:t>
      </w:r>
      <w:r>
        <w:rPr/>
        <w:t>应付利息</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40" w:right="0"/>
        <w:jc w:val="left"/>
        <w:rPr>
          <w:b w:val="0"/>
          <w:bCs w:val="0"/>
        </w:rPr>
      </w:pPr>
      <w:r>
        <w:rPr>
          <w:rFonts w:ascii="宋体" w:hAnsi="宋体" w:cs="宋体" w:eastAsia="宋体" w:hint="default"/>
        </w:rPr>
        <w:t>40</w:t>
      </w:r>
      <w:r>
        <w:rPr/>
        <w:t>、</w:t>
      </w:r>
      <w:r>
        <w:rPr>
          <w:spacing w:val="-24"/>
        </w:rPr>
        <w:t> </w:t>
      </w:r>
      <w:r>
        <w:rPr/>
        <w:t>应付股利</w:t>
      </w:r>
      <w:r>
        <w:rPr>
          <w:b w:val="0"/>
          <w:bCs w:val="0"/>
        </w:rPr>
      </w:r>
    </w:p>
    <w:p>
      <w:pPr>
        <w:pStyle w:val="BodyText"/>
        <w:spacing w:line="240" w:lineRule="auto" w:before="97"/>
        <w:ind w:left="140" w:right="0"/>
        <w:jc w:val="left"/>
      </w:pPr>
      <w:r>
        <w:rPr/>
        <w:t>□适用 √不适用</w:t>
      </w:r>
    </w:p>
    <w:p>
      <w:pPr>
        <w:spacing w:after="0" w:line="240" w:lineRule="auto"/>
        <w:jc w:val="left"/>
        <w:sectPr>
          <w:pgSz w:w="16840" w:h="11910" w:orient="landscape"/>
          <w:pgMar w:header="882" w:footer="1195"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1300"/>
        </w:sectPr>
      </w:pPr>
    </w:p>
    <w:p>
      <w:pPr>
        <w:pStyle w:val="Heading2"/>
        <w:spacing w:line="240" w:lineRule="auto" w:before="36"/>
        <w:ind w:left="220" w:right="-18"/>
        <w:jc w:val="left"/>
        <w:rPr>
          <w:b w:val="0"/>
          <w:bCs w:val="0"/>
        </w:rPr>
      </w:pPr>
      <w:r>
        <w:rPr>
          <w:rFonts w:ascii="宋体" w:hAnsi="宋体" w:cs="宋体" w:eastAsia="宋体" w:hint="default"/>
        </w:rPr>
        <w:t>41</w:t>
      </w:r>
      <w:r>
        <w:rPr/>
        <w:t>、</w:t>
      </w:r>
      <w:r>
        <w:rPr>
          <w:spacing w:val="-24"/>
        </w:rPr>
        <w:t> </w:t>
      </w:r>
      <w:r>
        <w:rPr/>
        <w:t>其他应付款</w:t>
      </w:r>
      <w:r>
        <w:rPr>
          <w:b w:val="0"/>
          <w:bCs w:val="0"/>
        </w:rPr>
      </w:r>
    </w:p>
    <w:p>
      <w:pPr>
        <w:pStyle w:val="Heading2"/>
        <w:spacing w:line="240" w:lineRule="auto" w:before="97"/>
        <w:ind w:left="220"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97"/>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3279" w:space="8284"/>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551"/>
        <w:gridCol w:w="4671"/>
        <w:gridCol w:w="4868"/>
      </w:tblGrid>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57"/>
              <w:jc w:val="right"/>
              <w:rPr>
                <w:rFonts w:ascii="宋体" w:hAnsi="宋体" w:cs="宋体" w:eastAsia="宋体" w:hint="default"/>
                <w:sz w:val="21"/>
                <w:szCs w:val="21"/>
              </w:rPr>
            </w:pPr>
            <w:r>
              <w:rPr>
                <w:rFonts w:ascii="宋体" w:hAnsi="宋体" w:cs="宋体" w:eastAsia="宋体" w:hint="default"/>
                <w:sz w:val="21"/>
                <w:szCs w:val="21"/>
              </w:rPr>
              <w:t>项目</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33,280,487.11</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21,547,825.96</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20,168,900.00</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130,927,800.00</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会员充值</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9,315,254.34</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22,629,065.81</w:t>
            </w:r>
          </w:p>
        </w:tc>
      </w:tr>
      <w:tr>
        <w:trPr>
          <w:trHeight w:val="324"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1,520,214.16</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732,861.11</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528,163.12</w:t>
            </w:r>
          </w:p>
        </w:tc>
        <w:tc>
          <w:tcPr>
            <w:tcW w:w="48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310,000.00</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1,541,581.89</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57,177.29</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2,148,299.28</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奖学金</w:t>
            </w:r>
          </w:p>
        </w:tc>
        <w:tc>
          <w:tcPr>
            <w:tcW w:w="4671" w:type="dxa"/>
            <w:tcBorders>
              <w:top w:val="single" w:sz="4" w:space="0" w:color="000000"/>
              <w:left w:val="single" w:sz="4" w:space="0" w:color="000000"/>
              <w:bottom w:val="single" w:sz="4" w:space="0" w:color="000000"/>
              <w:right w:val="single" w:sz="4" w:space="0" w:color="000000"/>
            </w:tcBorders>
          </w:tcPr>
          <w:p>
            <w:pP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170,000.00</w:t>
            </w:r>
          </w:p>
        </w:tc>
      </w:tr>
      <w:tr>
        <w:trPr>
          <w:trHeight w:val="322"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2,403,818.97</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555,365.17</w:t>
            </w:r>
          </w:p>
        </w:tc>
      </w:tr>
      <w:tr>
        <w:trPr>
          <w:trHeight w:val="324"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57"/>
              <w:jc w:val="right"/>
              <w:rPr>
                <w:rFonts w:ascii="宋体" w:hAnsi="宋体" w:cs="宋体" w:eastAsia="宋体" w:hint="default"/>
                <w:sz w:val="21"/>
                <w:szCs w:val="21"/>
              </w:rPr>
            </w:pPr>
            <w:r>
              <w:rPr>
                <w:rFonts w:ascii="宋体" w:hAnsi="宋体" w:cs="宋体" w:eastAsia="宋体" w:hint="default"/>
                <w:sz w:val="21"/>
                <w:szCs w:val="21"/>
              </w:rPr>
              <w:t>合计</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67,584,014.99</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180,252,799.22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1220" w:right="1300"/>
        </w:sectPr>
      </w:pPr>
    </w:p>
    <w:p>
      <w:pPr>
        <w:pStyle w:val="Heading2"/>
        <w:spacing w:line="240" w:lineRule="auto" w:before="36"/>
        <w:ind w:left="220" w:right="-16"/>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80"/>
        <w:ind w:left="22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3720" w:space="7843"/>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530"/>
        <w:gridCol w:w="4714"/>
        <w:gridCol w:w="4847"/>
      </w:tblGrid>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7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成都古羌股权转让款</w:t>
            </w:r>
          </w:p>
        </w:tc>
        <w:tc>
          <w:tcPr>
            <w:tcW w:w="47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20,168,900.00</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20,168,900.00</w:t>
            </w:r>
          </w:p>
        </w:tc>
        <w:tc>
          <w:tcPr>
            <w:tcW w:w="4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73" w:lineRule="auto" w:before="36"/>
        <w:ind w:left="220" w:right="13238"/>
        <w:jc w:val="left"/>
      </w:pPr>
      <w:r>
        <w:rPr/>
        <w:t>其他说明</w:t>
      </w:r>
      <w:r>
        <w:rPr>
          <w:w w:val="100"/>
        </w:rPr>
        <w:t> </w:t>
      </w:r>
      <w:r>
        <w:rPr/>
        <w:t>无</w:t>
      </w:r>
    </w:p>
    <w:p>
      <w:pPr>
        <w:spacing w:after="0" w:line="273" w:lineRule="auto"/>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left="220" w:right="163"/>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97"/>
        <w:ind w:left="220" w:right="1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5"/>
          <w:pgSz w:w="16840" w:h="11910" w:orient="landscape"/>
          <w:pgMar w:footer="1195" w:header="882" w:top="1120" w:bottom="1380" w:left="1220" w:right="1300"/>
          <w:pgNumType w:start="118"/>
        </w:sectPr>
      </w:pPr>
    </w:p>
    <w:p>
      <w:pPr>
        <w:pStyle w:val="Heading2"/>
        <w:spacing w:line="240" w:lineRule="auto" w:before="36"/>
        <w:ind w:left="220" w:right="-18"/>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97"/>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995" w:space="8567"/>
            <w:col w:w="2758"/>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530"/>
        <w:gridCol w:w="4728"/>
        <w:gridCol w:w="4832"/>
      </w:tblGrid>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年内到期的长期应付款（附注六、</w:t>
            </w:r>
            <w:r>
              <w:rPr>
                <w:rFonts w:ascii="宋体" w:hAnsi="宋体" w:cs="宋体" w:eastAsia="宋体" w:hint="default"/>
                <w:sz w:val="21"/>
                <w:szCs w:val="21"/>
              </w:rPr>
              <w:t>24</w:t>
            </w:r>
          </w:p>
        </w:tc>
        <w:tc>
          <w:tcPr>
            <w:tcW w:w="4728" w:type="dxa"/>
            <w:tcBorders>
              <w:top w:val="single" w:sz="4" w:space="0" w:color="000000"/>
              <w:left w:val="single" w:sz="4" w:space="0" w:color="000000"/>
              <w:bottom w:val="single" w:sz="4" w:space="0" w:color="000000"/>
              <w:right w:val="single" w:sz="4" w:space="0" w:color="000000"/>
            </w:tcBorders>
          </w:tcPr>
          <w:p>
            <w:pP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366,210.78</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728" w:type="dxa"/>
            <w:tcBorders>
              <w:top w:val="single" w:sz="4" w:space="0" w:color="000000"/>
              <w:left w:val="single" w:sz="4" w:space="0" w:color="000000"/>
              <w:bottom w:val="single" w:sz="4" w:space="0" w:color="000000"/>
              <w:right w:val="single" w:sz="4" w:space="0" w:color="000000"/>
            </w:tcBorders>
          </w:tcPr>
          <w:p>
            <w:pP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366,210.78</w:t>
            </w:r>
          </w:p>
        </w:tc>
      </w:tr>
    </w:tbl>
    <w:p>
      <w:pPr>
        <w:pStyle w:val="BodyText"/>
        <w:spacing w:line="324" w:lineRule="auto" w:before="47"/>
        <w:ind w:left="220" w:right="13028"/>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pStyle w:val="Heading2"/>
        <w:spacing w:line="240" w:lineRule="auto" w:before="36"/>
        <w:ind w:left="220" w:right="163"/>
        <w:jc w:val="left"/>
        <w:rPr>
          <w:b w:val="0"/>
          <w:bCs w:val="0"/>
        </w:rPr>
      </w:pPr>
      <w:r>
        <w:rPr>
          <w:rFonts w:ascii="宋体" w:hAnsi="宋体" w:cs="宋体" w:eastAsia="宋体" w:hint="default"/>
        </w:rPr>
        <w:t>44</w:t>
      </w:r>
      <w:r>
        <w:rPr/>
        <w:t>、</w:t>
      </w:r>
      <w:r>
        <w:rPr>
          <w:spacing w:val="-23"/>
        </w:rPr>
        <w:t> </w:t>
      </w:r>
      <w:r>
        <w:rPr/>
        <w:t>其他流动负债</w:t>
      </w:r>
      <w:r>
        <w:rPr>
          <w:b w:val="0"/>
          <w:bCs w:val="0"/>
        </w:rPr>
      </w:r>
    </w:p>
    <w:p>
      <w:pPr>
        <w:pStyle w:val="BodyText"/>
        <w:tabs>
          <w:tab w:pos="1051" w:val="left" w:leader="none"/>
        </w:tabs>
        <w:spacing w:line="240" w:lineRule="auto" w:before="97"/>
        <w:ind w:left="0" w:right="21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364"/>
        <w:gridCol w:w="4853"/>
        <w:gridCol w:w="4873"/>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促销反卡递延收益</w:t>
            </w:r>
          </w:p>
        </w:tc>
        <w:tc>
          <w:tcPr>
            <w:tcW w:w="4853" w:type="dxa"/>
            <w:tcBorders>
              <w:top w:val="single" w:sz="4" w:space="0" w:color="000000"/>
              <w:left w:val="single" w:sz="4" w:space="0" w:color="000000"/>
              <w:bottom w:val="single" w:sz="4" w:space="0" w:color="000000"/>
              <w:right w:val="single" w:sz="4" w:space="0" w:color="000000"/>
            </w:tcBorders>
          </w:tcPr>
          <w:p>
            <w:pP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156,862.75</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未消耗金币递延收益</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7,274,151.54</w:t>
            </w:r>
          </w:p>
        </w:tc>
        <w:tc>
          <w:tcPr>
            <w:tcW w:w="48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10,826,028.06</w:t>
            </w:r>
          </w:p>
        </w:tc>
        <w:tc>
          <w:tcPr>
            <w:tcW w:w="48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18,100,179.60</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156,862.75</w:t>
            </w:r>
          </w:p>
        </w:tc>
      </w:tr>
    </w:tbl>
    <w:p>
      <w:pPr>
        <w:spacing w:line="240" w:lineRule="auto" w:before="2"/>
        <w:rPr>
          <w:rFonts w:ascii="宋体" w:hAnsi="宋体" w:cs="宋体" w:eastAsia="宋体" w:hint="default"/>
          <w:sz w:val="20"/>
          <w:szCs w:val="20"/>
        </w:rPr>
      </w:pPr>
    </w:p>
    <w:p>
      <w:pPr>
        <w:pStyle w:val="BodyText"/>
        <w:spacing w:line="240" w:lineRule="auto" w:before="36"/>
        <w:ind w:left="220" w:right="163"/>
        <w:jc w:val="left"/>
      </w:pPr>
      <w:r>
        <w:rPr/>
        <w:t>短期应付债券的增减变动：</w:t>
      </w:r>
    </w:p>
    <w:p>
      <w:pPr>
        <w:pStyle w:val="BodyText"/>
        <w:spacing w:line="324" w:lineRule="auto" w:before="37"/>
        <w:ind w:left="220" w:right="12503"/>
        <w:jc w:val="left"/>
      </w:pPr>
      <w:r>
        <w:rPr/>
        <w:t>□适用 √不适用</w:t>
      </w:r>
      <w:r>
        <w:rPr>
          <w:w w:val="100"/>
        </w:rPr>
        <w:t> </w:t>
      </w:r>
      <w:r>
        <w:rPr/>
        <w:t>其他说明：</w:t>
      </w:r>
    </w:p>
    <w:p>
      <w:pPr>
        <w:pStyle w:val="BodyText"/>
        <w:spacing w:line="240" w:lineRule="auto" w:before="23"/>
        <w:ind w:left="220" w:right="163"/>
        <w:jc w:val="left"/>
      </w:pPr>
      <w:r>
        <w:rPr>
          <w:w w:val="100"/>
        </w:rPr>
        <w:t>无</w:t>
      </w:r>
    </w:p>
    <w:p>
      <w:pPr>
        <w:spacing w:after="0" w:line="240" w:lineRule="auto"/>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left="140" w:right="0"/>
        <w:jc w:val="left"/>
        <w:rPr>
          <w:b w:val="0"/>
          <w:bCs w:val="0"/>
        </w:rPr>
      </w:pPr>
      <w:r>
        <w:rPr>
          <w:rFonts w:ascii="宋体" w:hAnsi="宋体" w:cs="宋体" w:eastAsia="宋体" w:hint="default"/>
        </w:rPr>
        <w:t>45</w:t>
      </w:r>
      <w:r>
        <w:rPr/>
        <w:t>、</w:t>
      </w:r>
      <w:r>
        <w:rPr>
          <w:spacing w:val="-24"/>
        </w:rPr>
        <w:t> </w:t>
      </w:r>
      <w:r>
        <w:rPr/>
        <w:t>长期借款</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40" w:right="0"/>
        <w:jc w:val="left"/>
        <w:rPr>
          <w:b w:val="0"/>
          <w:bCs w:val="0"/>
        </w:rPr>
      </w:pPr>
      <w:r>
        <w:rPr>
          <w:rFonts w:ascii="宋体" w:hAnsi="宋体" w:cs="宋体" w:eastAsia="宋体" w:hint="default"/>
        </w:rPr>
        <w:t>46</w:t>
      </w:r>
      <w:r>
        <w:rPr/>
        <w:t>、</w:t>
      </w:r>
      <w:r>
        <w:rPr>
          <w:spacing w:val="-24"/>
        </w:rPr>
        <w:t> </w:t>
      </w:r>
      <w:r>
        <w:rPr/>
        <w:t>应付债券</w:t>
      </w:r>
      <w:r>
        <w:rPr>
          <w:b w:val="0"/>
          <w:bCs w:val="0"/>
        </w:rPr>
      </w:r>
    </w:p>
    <w:p>
      <w:pPr>
        <w:pStyle w:val="BodyText"/>
        <w:spacing w:line="240" w:lineRule="auto" w:before="97"/>
        <w:ind w:left="140"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1300" w:right="1360"/>
        </w:sectPr>
      </w:pPr>
    </w:p>
    <w:p>
      <w:pPr>
        <w:pStyle w:val="Heading2"/>
        <w:spacing w:line="240" w:lineRule="auto" w:before="36"/>
        <w:ind w:left="140" w:right="-7"/>
        <w:jc w:val="left"/>
        <w:rPr>
          <w:b w:val="0"/>
          <w:bCs w:val="0"/>
        </w:rPr>
      </w:pPr>
      <w:r>
        <w:rPr>
          <w:rFonts w:ascii="宋体" w:hAnsi="宋体" w:cs="宋体" w:eastAsia="宋体" w:hint="default"/>
        </w:rPr>
        <w:t>47</w:t>
      </w:r>
      <w:r>
        <w:rPr/>
        <w:t>、</w:t>
      </w:r>
      <w:r>
        <w:rPr>
          <w:spacing w:val="-24"/>
        </w:rPr>
        <w:t> </w:t>
      </w:r>
      <w:r>
        <w:rPr/>
        <w:t>长期应付款</w:t>
      </w:r>
      <w:r>
        <w:rPr>
          <w:b w:val="0"/>
          <w:bCs w:val="0"/>
        </w:rPr>
      </w:r>
    </w:p>
    <w:p>
      <w:pPr>
        <w:pStyle w:val="BodyText"/>
        <w:spacing w:line="240" w:lineRule="auto" w:before="97"/>
        <w:ind w:left="140" w:right="-7"/>
        <w:jc w:val="left"/>
      </w:pPr>
      <w:r>
        <w:rPr/>
        <w:t>√适用 □不适用</w:t>
      </w:r>
    </w:p>
    <w:p>
      <w:pPr>
        <w:pStyle w:val="Heading2"/>
        <w:tabs>
          <w:tab w:pos="841" w:val="left" w:leader="none"/>
        </w:tabs>
        <w:spacing w:line="240" w:lineRule="auto" w:before="97"/>
        <w:ind w:left="140" w:right="-7"/>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3583" w:space="7980"/>
            <w:col w:w="261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938"/>
        <w:gridCol w:w="4500"/>
        <w:gridCol w:w="4499"/>
      </w:tblGrid>
      <w:tr>
        <w:trPr>
          <w:trHeight w:val="326" w:hRule="exact"/>
        </w:trPr>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7" w:hRule="exact"/>
        </w:trPr>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366,210.78</w:t>
            </w:r>
          </w:p>
        </w:tc>
        <w:tc>
          <w:tcPr>
            <w:tcW w:w="449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减：一年内到期部分（附注六、</w:t>
            </w:r>
            <w:r>
              <w:rPr>
                <w:rFonts w:ascii="宋体" w:hAnsi="宋体" w:cs="宋体" w:eastAsia="宋体" w:hint="default"/>
                <w:sz w:val="21"/>
                <w:szCs w:val="21"/>
              </w:rPr>
              <w:t>22</w:t>
            </w:r>
            <w:r>
              <w:rPr>
                <w:rFonts w:ascii="宋体" w:hAnsi="宋体" w:cs="宋体" w:eastAsia="宋体" w:hint="default"/>
                <w:sz w:val="21"/>
                <w:szCs w:val="21"/>
              </w:rPr>
              <w:t>）</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366,210.78</w:t>
            </w:r>
          </w:p>
        </w:tc>
        <w:tc>
          <w:tcPr>
            <w:tcW w:w="449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938" w:type="dxa"/>
            <w:tcBorders>
              <w:top w:val="single" w:sz="6" w:space="0" w:color="000000"/>
              <w:left w:val="single" w:sz="6" w:space="0" w:color="000000"/>
              <w:bottom w:val="single" w:sz="6" w:space="0" w:color="000000"/>
              <w:right w:val="single" w:sz="6" w:space="0" w:color="000000"/>
            </w:tcBorders>
          </w:tcPr>
          <w:p>
            <w:pPr>
              <w:pStyle w:val="TableParagraph"/>
              <w:tabs>
                <w:tab w:pos="446" w:val="left" w:leader="none"/>
              </w:tabs>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366,210.78</w:t>
            </w:r>
          </w:p>
        </w:tc>
        <w:tc>
          <w:tcPr>
            <w:tcW w:w="44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3"/>
          <w:szCs w:val="23"/>
        </w:rPr>
      </w:pPr>
    </w:p>
    <w:p>
      <w:pPr>
        <w:pStyle w:val="BodyText"/>
        <w:spacing w:line="290" w:lineRule="auto" w:before="36"/>
        <w:ind w:left="140" w:right="12968"/>
        <w:jc w:val="left"/>
      </w:pPr>
      <w:r>
        <w:rPr/>
        <w:t>其他说明：</w:t>
      </w:r>
      <w:r>
        <w:rPr>
          <w:spacing w:val="-102"/>
        </w:rPr>
        <w:t> </w:t>
      </w:r>
      <w:r>
        <w:rPr>
          <w:spacing w:val="-102"/>
        </w:rPr>
      </w:r>
      <w:r>
        <w:rPr/>
        <w:t>无</w:t>
      </w:r>
    </w:p>
    <w:p>
      <w:pPr>
        <w:spacing w:line="240" w:lineRule="auto" w:before="8"/>
        <w:rPr>
          <w:rFonts w:ascii="宋体" w:hAnsi="宋体" w:cs="宋体" w:eastAsia="宋体" w:hint="default"/>
          <w:sz w:val="26"/>
          <w:szCs w:val="26"/>
        </w:rPr>
      </w:pPr>
    </w:p>
    <w:p>
      <w:pPr>
        <w:pStyle w:val="Heading2"/>
        <w:spacing w:line="240" w:lineRule="auto"/>
        <w:ind w:left="140" w:right="0"/>
        <w:jc w:val="left"/>
        <w:rPr>
          <w:b w:val="0"/>
          <w:bCs w:val="0"/>
        </w:rPr>
      </w:pPr>
      <w:r>
        <w:rPr>
          <w:rFonts w:ascii="宋体" w:hAnsi="宋体" w:cs="宋体" w:eastAsia="宋体" w:hint="default"/>
        </w:rPr>
        <w:t>48</w:t>
      </w:r>
      <w:r>
        <w:rPr/>
        <w:t>、</w:t>
      </w:r>
      <w:r>
        <w:rPr>
          <w:spacing w:val="-23"/>
        </w:rPr>
        <w:t> </w:t>
      </w:r>
      <w:r>
        <w:rPr/>
        <w:t>长期应付职工薪酬</w:t>
      </w:r>
      <w:r>
        <w:rPr>
          <w:b w:val="0"/>
          <w:bCs w:val="0"/>
        </w:rPr>
      </w:r>
    </w:p>
    <w:p>
      <w:pPr>
        <w:pStyle w:val="BodyText"/>
        <w:spacing w:line="240" w:lineRule="auto" w:before="97"/>
        <w:ind w:left="140" w:right="0"/>
        <w:jc w:val="left"/>
      </w:pPr>
      <w:r>
        <w:rPr/>
        <w:t>□适用 √不适用</w:t>
      </w:r>
    </w:p>
    <w:p>
      <w:pPr>
        <w:pStyle w:val="Heading2"/>
        <w:spacing w:line="240" w:lineRule="auto" w:before="97"/>
        <w:ind w:left="140"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97"/>
        <w:ind w:left="140" w:right="0"/>
        <w:jc w:val="left"/>
      </w:pPr>
      <w:r>
        <w:rPr/>
        <w:t>□适用 √不适用</w:t>
      </w:r>
    </w:p>
    <w:p>
      <w:pPr>
        <w:spacing w:after="0" w:line="240" w:lineRule="auto"/>
        <w:jc w:val="left"/>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36"/>
        <w:ind w:left="140" w:right="0"/>
        <w:jc w:val="left"/>
        <w:rPr>
          <w:b w:val="0"/>
          <w:bCs w:val="0"/>
        </w:rPr>
      </w:pPr>
      <w:r>
        <w:rPr>
          <w:rFonts w:ascii="宋体" w:hAnsi="宋体" w:cs="宋体" w:eastAsia="宋体" w:hint="default"/>
        </w:rPr>
        <w:t>(2)</w:t>
      </w:r>
      <w:r>
        <w:rPr>
          <w:rFonts w:ascii="宋体" w:hAnsi="宋体" w:cs="宋体" w:eastAsia="宋体" w:hint="default"/>
          <w:spacing w:val="2"/>
        </w:rPr>
        <w:t> </w:t>
      </w:r>
      <w:r>
        <w:rPr/>
        <w:t>设定受益计划变动情况</w:t>
      </w:r>
      <w:r>
        <w:rPr>
          <w:b w:val="0"/>
          <w:bCs w:val="0"/>
        </w:rPr>
      </w:r>
    </w:p>
    <w:p>
      <w:pPr>
        <w:pStyle w:val="BodyText"/>
        <w:spacing w:line="240" w:lineRule="auto" w:before="97"/>
        <w:ind w:left="140"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40" w:right="0"/>
        <w:jc w:val="left"/>
        <w:rPr>
          <w:b w:val="0"/>
          <w:bCs w:val="0"/>
        </w:rPr>
      </w:pPr>
      <w:r>
        <w:rPr>
          <w:rFonts w:ascii="宋体" w:hAnsi="宋体" w:cs="宋体" w:eastAsia="宋体" w:hint="default"/>
        </w:rPr>
        <w:t>49</w:t>
      </w:r>
      <w:r>
        <w:rPr/>
        <w:t>、</w:t>
      </w:r>
      <w:r>
        <w:rPr>
          <w:spacing w:val="-24"/>
        </w:rPr>
        <w:t> </w:t>
      </w:r>
      <w:r>
        <w:rPr/>
        <w:t>专项应付款</w:t>
      </w:r>
      <w:r>
        <w:rPr>
          <w:b w:val="0"/>
          <w:bCs w:val="0"/>
        </w:rPr>
      </w:r>
    </w:p>
    <w:p>
      <w:pPr>
        <w:pStyle w:val="BodyText"/>
        <w:spacing w:line="240" w:lineRule="auto" w:before="97"/>
        <w:ind w:left="140"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6"/>
          <w:pgSz w:w="16840" w:h="11910" w:orient="landscape"/>
          <w:pgMar w:footer="1195" w:header="882" w:top="1120" w:bottom="1380" w:left="1300" w:right="1360"/>
        </w:sectPr>
      </w:pPr>
    </w:p>
    <w:p>
      <w:pPr>
        <w:pStyle w:val="Heading2"/>
        <w:spacing w:line="240" w:lineRule="auto" w:before="36"/>
        <w:ind w:left="140" w:right="-18"/>
        <w:jc w:val="left"/>
        <w:rPr>
          <w:b w:val="0"/>
          <w:bCs w:val="0"/>
        </w:rPr>
      </w:pPr>
      <w:r>
        <w:rPr>
          <w:rFonts w:ascii="宋体" w:hAnsi="宋体" w:cs="宋体" w:eastAsia="宋体" w:hint="default"/>
        </w:rPr>
        <w:t>50</w:t>
      </w:r>
      <w:r>
        <w:rPr/>
        <w:t>、</w:t>
      </w:r>
      <w:r>
        <w:rPr>
          <w:spacing w:val="-24"/>
        </w:rPr>
        <w:t> </w:t>
      </w:r>
      <w:r>
        <w:rPr/>
        <w:t>预计负债</w:t>
      </w:r>
      <w:r>
        <w:rPr>
          <w:b w:val="0"/>
          <w:bCs w:val="0"/>
        </w:rPr>
      </w:r>
    </w:p>
    <w:p>
      <w:pPr>
        <w:pStyle w:val="BodyText"/>
        <w:spacing w:line="240" w:lineRule="auto" w:before="97"/>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718" w:space="9845"/>
            <w:col w:w="261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483"/>
        <w:gridCol w:w="3485"/>
        <w:gridCol w:w="3485"/>
        <w:gridCol w:w="3483"/>
      </w:tblGrid>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1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3485"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766,435.52</w:t>
            </w:r>
          </w:p>
        </w:tc>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76" w:right="0"/>
              <w:jc w:val="left"/>
              <w:rPr>
                <w:rFonts w:ascii="宋体" w:hAnsi="宋体" w:cs="宋体" w:eastAsia="宋体" w:hint="default"/>
                <w:sz w:val="21"/>
                <w:szCs w:val="21"/>
              </w:rPr>
            </w:pPr>
            <w:r>
              <w:rPr>
                <w:rFonts w:ascii="宋体" w:hAnsi="宋体" w:cs="宋体" w:eastAsia="宋体" w:hint="default"/>
                <w:sz w:val="21"/>
                <w:szCs w:val="21"/>
              </w:rPr>
              <w:t>合同纠纷</w:t>
            </w:r>
          </w:p>
        </w:tc>
      </w:tr>
      <w:tr>
        <w:trPr>
          <w:trHeight w:val="32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tabs>
                <w:tab w:pos="446"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85"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766,435.52</w:t>
            </w:r>
          </w:p>
        </w:tc>
        <w:tc>
          <w:tcPr>
            <w:tcW w:w="34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left="560" w:right="0"/>
        <w:jc w:val="left"/>
        <w:rPr>
          <w:rFonts w:ascii="宋体" w:hAnsi="宋体" w:cs="宋体" w:eastAsia="宋体" w:hint="default"/>
        </w:rPr>
      </w:pPr>
      <w:r>
        <w:rPr>
          <w:spacing w:val="-2"/>
        </w:rPr>
        <w:t>注：原签约作者彭某于</w:t>
      </w:r>
      <w:r>
        <w:rPr/>
        <w:t> </w:t>
      </w:r>
      <w:r>
        <w:rPr>
          <w:rFonts w:ascii="宋体" w:hAnsi="宋体" w:cs="宋体" w:eastAsia="宋体" w:hint="default"/>
          <w:spacing w:val="-2"/>
        </w:rPr>
        <w:t>2014</w:t>
      </w:r>
      <w:r>
        <w:rPr>
          <w:rFonts w:ascii="宋体" w:hAnsi="宋体" w:cs="宋体" w:eastAsia="宋体" w:hint="default"/>
          <w:spacing w:val="14"/>
        </w:rPr>
        <w:t> </w:t>
      </w:r>
      <w:r>
        <w:rPr>
          <w:spacing w:val="-2"/>
        </w:rPr>
        <w:t>年度就其与本公司之子公司成都古羌科技有限公司所签合同存在纠纷为由向四川省成都中级人民法院提起诉讼，</w:t>
      </w:r>
      <w:r>
        <w:rPr>
          <w:rFonts w:ascii="宋体" w:hAnsi="宋体" w:cs="宋体" w:eastAsia="宋体" w:hint="default"/>
          <w:spacing w:val="-2"/>
        </w:rPr>
        <w:t>2015</w:t>
      </w:r>
    </w:p>
    <w:p>
      <w:pPr>
        <w:pStyle w:val="BodyText"/>
        <w:spacing w:line="240" w:lineRule="auto" w:before="37"/>
        <w:ind w:left="140" w:right="0"/>
        <w:jc w:val="left"/>
        <w:rPr>
          <w:rFonts w:ascii="宋体" w:hAnsi="宋体" w:cs="宋体" w:eastAsia="宋体" w:hint="default"/>
        </w:rPr>
      </w:pPr>
      <w:r>
        <w:rPr>
          <w:spacing w:val="-3"/>
        </w:rPr>
        <w:t>年度经四川省成都中级人民法院人民法院一审判决，本公司应赔偿对方损失人民币 </w:t>
      </w:r>
      <w:r>
        <w:rPr>
          <w:rFonts w:ascii="宋体" w:hAnsi="宋体" w:cs="宋体" w:eastAsia="宋体" w:hint="default"/>
        </w:rPr>
        <w:t>766,435.52 </w:t>
      </w:r>
      <w:r>
        <w:rPr>
          <w:spacing w:val="-6"/>
        </w:rPr>
        <w:t>元。本公司已向四川省高级人民法院提起上诉，截止</w:t>
      </w:r>
      <w:r>
        <w:rPr>
          <w:spacing w:val="-70"/>
        </w:rPr>
        <w:t> </w:t>
      </w:r>
      <w:r>
        <w:rPr>
          <w:rFonts w:ascii="宋体" w:hAnsi="宋体" w:cs="宋体" w:eastAsia="宋体" w:hint="default"/>
        </w:rPr>
        <w:t>2015</w:t>
      </w:r>
    </w:p>
    <w:p>
      <w:pPr>
        <w:pStyle w:val="BodyText"/>
        <w:spacing w:line="240" w:lineRule="auto" w:before="37"/>
        <w:ind w:left="140" w:right="0"/>
        <w:jc w:val="left"/>
      </w:pP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日，本公司预计与该项诉讼相关的损失为人民币</w:t>
      </w:r>
      <w:r>
        <w:rPr>
          <w:spacing w:val="-55"/>
        </w:rPr>
        <w:t> </w:t>
      </w:r>
      <w:r>
        <w:rPr>
          <w:rFonts w:ascii="宋体" w:hAnsi="宋体" w:cs="宋体" w:eastAsia="宋体" w:hint="default"/>
        </w:rPr>
        <w:t>766,435.52</w:t>
      </w:r>
      <w:r>
        <w:rPr>
          <w:rFonts w:ascii="宋体" w:hAnsi="宋体" w:cs="宋体" w:eastAsia="宋体" w:hint="default"/>
          <w:spacing w:val="-55"/>
        </w:rPr>
        <w:t> </w:t>
      </w:r>
      <w:r>
        <w:rPr/>
        <w:t>元。由于四川省高级人民法院尚未作出二审判决，该预计损失具有不确定性。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360"/>
        </w:sectPr>
      </w:pPr>
    </w:p>
    <w:p>
      <w:pPr>
        <w:spacing w:line="240" w:lineRule="auto" w:before="1"/>
        <w:rPr>
          <w:rFonts w:ascii="宋体" w:hAnsi="宋体" w:cs="宋体" w:eastAsia="宋体" w:hint="default"/>
          <w:sz w:val="15"/>
          <w:szCs w:val="15"/>
        </w:rPr>
      </w:pPr>
    </w:p>
    <w:p>
      <w:pPr>
        <w:pStyle w:val="Heading2"/>
        <w:spacing w:line="240" w:lineRule="auto"/>
        <w:ind w:left="140" w:right="-18"/>
        <w:jc w:val="left"/>
        <w:rPr>
          <w:b w:val="0"/>
          <w:bCs w:val="0"/>
        </w:rPr>
      </w:pPr>
      <w:r>
        <w:rPr>
          <w:rFonts w:ascii="宋体" w:hAnsi="宋体" w:cs="宋体" w:eastAsia="宋体" w:hint="default"/>
        </w:rPr>
        <w:t>51</w:t>
      </w:r>
      <w:r>
        <w:rPr/>
        <w:t>、</w:t>
      </w:r>
      <w:r>
        <w:rPr>
          <w:spacing w:val="-24"/>
        </w:rPr>
        <w:t> </w:t>
      </w:r>
      <w:r>
        <w:rPr/>
        <w:t>递延收益</w:t>
      </w:r>
      <w:r>
        <w:rPr>
          <w:b w:val="0"/>
          <w:bCs w:val="0"/>
        </w:rPr>
      </w:r>
    </w:p>
    <w:p>
      <w:pPr>
        <w:pStyle w:val="BodyText"/>
        <w:spacing w:line="240" w:lineRule="auto" w:before="97"/>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718" w:space="10056"/>
            <w:col w:w="2406"/>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55"/>
        <w:gridCol w:w="2259"/>
        <w:gridCol w:w="2283"/>
        <w:gridCol w:w="2256"/>
        <w:gridCol w:w="2329"/>
        <w:gridCol w:w="2456"/>
      </w:tblGrid>
      <w:tr>
        <w:trPr>
          <w:trHeight w:val="351"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7"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16,610,000.00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550,000.00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1,143,333.28</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16,016,666.72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项目拨款</w:t>
            </w:r>
          </w:p>
        </w:tc>
      </w:tr>
      <w:tr>
        <w:trPr>
          <w:trHeight w:val="326"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tabs>
                <w:tab w:pos="446"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16,610,000.00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550,000.00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1,143,333.28</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16,016,666.72</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9"/>
        <w:rPr>
          <w:rFonts w:ascii="宋体" w:hAnsi="宋体" w:cs="宋体" w:eastAsia="宋体" w:hint="default"/>
          <w:sz w:val="24"/>
          <w:szCs w:val="24"/>
        </w:rPr>
      </w:pPr>
    </w:p>
    <w:p>
      <w:pPr>
        <w:pStyle w:val="BodyText"/>
        <w:spacing w:line="240" w:lineRule="auto" w:before="36"/>
        <w:ind w:left="140" w:right="0"/>
        <w:jc w:val="left"/>
      </w:pPr>
      <w:r>
        <w:rPr/>
        <w:t>涉及政府补助的项目：</w:t>
      </w:r>
    </w:p>
    <w:p>
      <w:pPr>
        <w:spacing w:after="0" w:line="240" w:lineRule="auto"/>
        <w:jc w:val="left"/>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tabs>
          <w:tab w:pos="1051" w:val="left" w:leader="none"/>
        </w:tabs>
        <w:spacing w:line="240" w:lineRule="auto" w:before="36"/>
        <w:ind w:left="0" w:right="459"/>
        <w:jc w:val="right"/>
      </w:pPr>
      <w:r>
        <w:rPr>
          <w:spacing w:val="-1"/>
        </w:rPr>
        <w:t>单位：元</w:t>
        <w:tab/>
        <w:t>币种：人民币</w:t>
      </w:r>
    </w:p>
    <w:p>
      <w:pPr>
        <w:spacing w:line="240" w:lineRule="auto" w:before="5"/>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66"/>
        <w:gridCol w:w="2257"/>
        <w:gridCol w:w="1879"/>
        <w:gridCol w:w="2055"/>
        <w:gridCol w:w="1992"/>
        <w:gridCol w:w="2461"/>
        <w:gridCol w:w="2237"/>
      </w:tblGrid>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right"/>
              <w:rPr>
                <w:rFonts w:ascii="宋体" w:hAnsi="宋体" w:cs="宋体" w:eastAsia="宋体" w:hint="default"/>
                <w:sz w:val="21"/>
                <w:szCs w:val="21"/>
              </w:rPr>
            </w:pPr>
            <w:r>
              <w:rPr>
                <w:rFonts w:ascii="宋体" w:hAnsi="宋体" w:cs="宋体" w:eastAsia="宋体" w:hint="default"/>
                <w:spacing w:val="-2"/>
                <w:sz w:val="21"/>
                <w:szCs w:val="21"/>
              </w:rPr>
              <w:t>本期新增补助金额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11" w:right="72" w:hanging="735"/>
              <w:jc w:val="left"/>
              <w:rPr>
                <w:rFonts w:ascii="宋体" w:hAnsi="宋体" w:cs="宋体" w:eastAsia="宋体" w:hint="default"/>
                <w:sz w:val="21"/>
                <w:szCs w:val="21"/>
              </w:rPr>
            </w:pPr>
            <w:r>
              <w:rPr>
                <w:rFonts w:ascii="宋体" w:hAnsi="宋体" w:cs="宋体" w:eastAsia="宋体" w:hint="default"/>
                <w:sz w:val="21"/>
                <w:szCs w:val="21"/>
              </w:rPr>
              <w:t>本期计入营业外收入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5" w:right="113" w:hanging="891"/>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关</w:t>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4"/>
              <w:jc w:val="left"/>
              <w:rPr>
                <w:rFonts w:ascii="宋体" w:hAnsi="宋体" w:cs="宋体" w:eastAsia="宋体" w:hint="default"/>
                <w:sz w:val="21"/>
                <w:szCs w:val="21"/>
              </w:rPr>
            </w:pPr>
            <w:r>
              <w:rPr>
                <w:rFonts w:ascii="宋体" w:hAnsi="宋体" w:cs="宋体" w:eastAsia="宋体" w:hint="default"/>
                <w:sz w:val="21"/>
                <w:szCs w:val="21"/>
              </w:rPr>
              <w:t>与资产相关的系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统项目拨款</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15,680,000.00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213,333.28</w:t>
            </w:r>
          </w:p>
        </w:tc>
        <w:tc>
          <w:tcPr>
            <w:tcW w:w="199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15,466,666.72</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4"/>
              <w:jc w:val="left"/>
              <w:rPr>
                <w:rFonts w:ascii="宋体" w:hAnsi="宋体" w:cs="宋体" w:eastAsia="宋体" w:hint="default"/>
                <w:sz w:val="21"/>
                <w:szCs w:val="21"/>
              </w:rPr>
            </w:pPr>
            <w:r>
              <w:rPr>
                <w:rFonts w:ascii="宋体" w:hAnsi="宋体" w:cs="宋体" w:eastAsia="宋体" w:hint="default"/>
                <w:sz w:val="21"/>
                <w:szCs w:val="21"/>
              </w:rPr>
              <w:t>其他与资产相关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的项目拨款</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930,000.00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-930,000.00</w:t>
            </w:r>
          </w:p>
        </w:tc>
        <w:tc>
          <w:tcPr>
            <w:tcW w:w="2461"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4"/>
              <w:jc w:val="left"/>
              <w:rPr>
                <w:rFonts w:ascii="宋体" w:hAnsi="宋体" w:cs="宋体" w:eastAsia="宋体" w:hint="default"/>
                <w:sz w:val="21"/>
                <w:szCs w:val="21"/>
              </w:rPr>
            </w:pPr>
            <w:r>
              <w:rPr>
                <w:rFonts w:ascii="宋体" w:hAnsi="宋体" w:cs="宋体" w:eastAsia="宋体" w:hint="default"/>
                <w:sz w:val="21"/>
                <w:szCs w:val="21"/>
              </w:rPr>
              <w:t>与收益相关的系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统项目拨款</w:t>
            </w:r>
          </w:p>
        </w:tc>
        <w:tc>
          <w:tcPr>
            <w:tcW w:w="225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550,000.00</w:t>
            </w:r>
          </w:p>
        </w:tc>
        <w:tc>
          <w:tcPr>
            <w:tcW w:w="205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550,000.00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16,610,000.00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550,000.00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213,333.28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-930,000.00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16,016,666.72</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BodyText"/>
        <w:spacing w:line="324" w:lineRule="auto" w:before="36"/>
        <w:ind w:left="460" w:right="13268"/>
        <w:jc w:val="left"/>
      </w:pPr>
      <w:r>
        <w:rPr/>
        <w:t>其他说明：</w:t>
      </w:r>
      <w:r>
        <w:rPr>
          <w:spacing w:val="-102"/>
        </w:rPr>
        <w:t> </w:t>
      </w:r>
      <w:r>
        <w:rPr>
          <w:spacing w:val="-102"/>
        </w:rPr>
      </w:r>
      <w:r>
        <w:rPr/>
        <w:t>无</w:t>
      </w:r>
    </w:p>
    <w:p>
      <w:pPr>
        <w:spacing w:line="240" w:lineRule="auto" w:before="7"/>
        <w:rPr>
          <w:rFonts w:ascii="宋体" w:hAnsi="宋体" w:cs="宋体" w:eastAsia="宋体" w:hint="default"/>
          <w:sz w:val="22"/>
          <w:szCs w:val="22"/>
        </w:rPr>
      </w:pPr>
    </w:p>
    <w:p>
      <w:pPr>
        <w:spacing w:line="324" w:lineRule="auto" w:before="0"/>
        <w:ind w:left="460" w:right="12337" w:firstLine="0"/>
        <w:jc w:val="left"/>
        <w:rPr>
          <w:rFonts w:ascii="宋体" w:hAnsi="宋体" w:cs="宋体" w:eastAsia="宋体" w:hint="default"/>
          <w:sz w:val="21"/>
          <w:szCs w:val="21"/>
        </w:rPr>
      </w:pPr>
      <w:r>
        <w:rPr>
          <w:rFonts w:ascii="宋体" w:hAnsi="宋体" w:cs="宋体" w:eastAsia="宋体" w:hint="default"/>
          <w:b/>
          <w:bCs/>
          <w:sz w:val="21"/>
          <w:szCs w:val="21"/>
        </w:rPr>
        <w:t>52</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100"/>
          <w:sz w:val="21"/>
          <w:szCs w:val="21"/>
        </w:rPr>
        <w:t> </w:t>
      </w:r>
      <w:r>
        <w:rPr>
          <w:rFonts w:ascii="宋体" w:hAnsi="宋体" w:cs="宋体" w:eastAsia="宋体" w:hint="default"/>
          <w:sz w:val="21"/>
          <w:szCs w:val="21"/>
        </w:rPr>
        <w:t>其他说明：</w:t>
      </w:r>
    </w:p>
    <w:p>
      <w:pPr>
        <w:pStyle w:val="BodyText"/>
        <w:spacing w:line="240" w:lineRule="auto" w:before="23"/>
        <w:ind w:left="460" w:right="13268"/>
        <w:jc w:val="left"/>
      </w:pPr>
      <w:r>
        <w:rPr>
          <w:w w:val="100"/>
        </w:rPr>
        <w:t>无</w:t>
      </w:r>
    </w:p>
    <w:p>
      <w:pPr>
        <w:spacing w:line="240" w:lineRule="auto" w:before="7"/>
        <w:rPr>
          <w:rFonts w:ascii="宋体" w:hAnsi="宋体" w:cs="宋体" w:eastAsia="宋体" w:hint="default"/>
          <w:sz w:val="28"/>
          <w:szCs w:val="28"/>
        </w:rPr>
      </w:pPr>
    </w:p>
    <w:p>
      <w:pPr>
        <w:pStyle w:val="Heading2"/>
        <w:spacing w:line="240" w:lineRule="auto" w:before="36"/>
        <w:ind w:left="460" w:right="13268"/>
        <w:jc w:val="left"/>
        <w:rPr>
          <w:b w:val="0"/>
          <w:bCs w:val="0"/>
        </w:rPr>
      </w:pPr>
      <w:r>
        <w:rPr>
          <w:rFonts w:ascii="宋体" w:hAnsi="宋体" w:cs="宋体" w:eastAsia="宋体" w:hint="default"/>
        </w:rPr>
        <w:t>53</w:t>
      </w:r>
      <w:r>
        <w:rPr/>
        <w:t>、</w:t>
      </w:r>
      <w:r>
        <w:rPr>
          <w:spacing w:val="-25"/>
        </w:rPr>
        <w:t> </w:t>
      </w:r>
      <w:r>
        <w:rPr/>
        <w:t>股本</w:t>
      </w:r>
      <w:r>
        <w:rPr>
          <w:b w:val="0"/>
          <w:bCs w:val="0"/>
        </w:rPr>
      </w:r>
    </w:p>
    <w:p>
      <w:pPr>
        <w:pStyle w:val="BodyText"/>
        <w:tabs>
          <w:tab w:pos="1051" w:val="left" w:leader="none"/>
        </w:tabs>
        <w:spacing w:line="240" w:lineRule="auto" w:before="97"/>
        <w:ind w:left="0" w:right="45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455" w:type="dxa"/>
        <w:tblLayout w:type="fixed"/>
        <w:tblCellMar>
          <w:top w:w="0" w:type="dxa"/>
          <w:left w:w="0" w:type="dxa"/>
          <w:bottom w:w="0" w:type="dxa"/>
          <w:right w:w="0" w:type="dxa"/>
        </w:tblCellMar>
        <w:tblLook w:val="01E0"/>
      </w:tblPr>
      <w:tblGrid>
        <w:gridCol w:w="1004"/>
        <w:gridCol w:w="2629"/>
        <w:gridCol w:w="706"/>
        <w:gridCol w:w="708"/>
        <w:gridCol w:w="2626"/>
        <w:gridCol w:w="842"/>
        <w:gridCol w:w="2626"/>
        <w:gridCol w:w="2950"/>
      </w:tblGrid>
      <w:tr>
        <w:trPr>
          <w:trHeight w:val="322" w:hRule="exact"/>
        </w:trPr>
        <w:tc>
          <w:tcPr>
            <w:tcW w:w="1004" w:type="dxa"/>
            <w:vMerge w:val="restart"/>
            <w:tcBorders>
              <w:top w:val="single" w:sz="4" w:space="0" w:color="000000"/>
              <w:left w:val="single" w:sz="4" w:space="0" w:color="000000"/>
              <w:right w:val="single" w:sz="4" w:space="0" w:color="000000"/>
            </w:tcBorders>
          </w:tcPr>
          <w:p>
            <w:pPr/>
          </w:p>
        </w:tc>
        <w:tc>
          <w:tcPr>
            <w:tcW w:w="262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5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29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7" w:hRule="exact"/>
        </w:trPr>
        <w:tc>
          <w:tcPr>
            <w:tcW w:w="1004" w:type="dxa"/>
            <w:vMerge/>
            <w:tcBorders>
              <w:left w:val="single" w:sz="4" w:space="0" w:color="000000"/>
              <w:bottom w:val="single" w:sz="4" w:space="0" w:color="000000"/>
              <w:right w:val="single" w:sz="4" w:space="0" w:color="000000"/>
            </w:tcBorders>
          </w:tcPr>
          <w:p>
            <w:pPr/>
          </w:p>
        </w:tc>
        <w:tc>
          <w:tcPr>
            <w:tcW w:w="2629"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91" w:right="989"/>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9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50" w:type="dxa"/>
            <w:vMerge/>
            <w:tcBorders>
              <w:left w:val="single" w:sz="4" w:space="0" w:color="000000"/>
              <w:bottom w:val="single" w:sz="4" w:space="0" w:color="000000"/>
              <w:right w:val="single" w:sz="4" w:space="0" w:color="000000"/>
            </w:tcBorders>
          </w:tcPr>
          <w:p>
            <w:pPr/>
          </w:p>
        </w:tc>
      </w:tr>
      <w:tr>
        <w:trPr>
          <w:trHeight w:val="634"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1" w:right="178" w:hanging="212"/>
              <w:jc w:val="left"/>
              <w:rPr>
                <w:rFonts w:ascii="宋体" w:hAnsi="宋体" w:cs="宋体" w:eastAsia="宋体" w:hint="default"/>
                <w:sz w:val="21"/>
                <w:szCs w:val="21"/>
              </w:rPr>
            </w:pPr>
            <w:r>
              <w:rPr>
                <w:rFonts w:ascii="宋体" w:hAnsi="宋体" w:cs="宋体" w:eastAsia="宋体" w:hint="default"/>
                <w:sz w:val="21"/>
                <w:szCs w:val="21"/>
              </w:rPr>
              <w:t>股份总</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sz w:val="21"/>
              </w:rPr>
              <w:t>552,845,528.00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sz w:val="21"/>
              </w:rPr>
              <w:t>552,845,528.00</w:t>
            </w:r>
          </w:p>
        </w:tc>
        <w:tc>
          <w:tcPr>
            <w:tcW w:w="842"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sz w:val="21"/>
              </w:rPr>
              <w:t>552,845,528.00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6" w:right="0"/>
              <w:jc w:val="left"/>
              <w:rPr>
                <w:rFonts w:ascii="宋体" w:hAnsi="宋体" w:cs="宋体" w:eastAsia="宋体" w:hint="default"/>
                <w:sz w:val="21"/>
                <w:szCs w:val="21"/>
              </w:rPr>
            </w:pPr>
            <w:r>
              <w:rPr>
                <w:rFonts w:ascii="宋体"/>
                <w:sz w:val="21"/>
              </w:rPr>
              <w:t>1,105,691,056.00</w:t>
            </w:r>
          </w:p>
        </w:tc>
      </w:tr>
    </w:tbl>
    <w:p>
      <w:pPr>
        <w:spacing w:after="0" w:line="262" w:lineRule="exact"/>
        <w:jc w:val="left"/>
        <w:rPr>
          <w:rFonts w:ascii="宋体" w:hAnsi="宋体" w:cs="宋体" w:eastAsia="宋体" w:hint="default"/>
          <w:sz w:val="21"/>
          <w:szCs w:val="21"/>
        </w:rPr>
        <w:sectPr>
          <w:footerReference w:type="default" r:id="rId67"/>
          <w:pgSz w:w="16840" w:h="11910" w:orient="landscape"/>
          <w:pgMar w:footer="1195" w:header="882" w:top="1120" w:bottom="1380" w:left="980" w:right="1060"/>
          <w:pgNumType w:start="12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324" w:lineRule="auto" w:before="36"/>
        <w:ind w:left="140" w:right="1296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97"/>
        <w:ind w:left="140" w:right="0"/>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before="36"/>
        <w:ind w:left="140" w:right="0"/>
        <w:jc w:val="left"/>
        <w:rPr>
          <w:b w:val="0"/>
          <w:bCs w:val="0"/>
        </w:rPr>
      </w:pPr>
      <w:r>
        <w:rPr>
          <w:rFonts w:ascii="宋体" w:hAnsi="宋体" w:cs="宋体" w:eastAsia="宋体" w:hint="default"/>
        </w:rPr>
        <w:t>55</w:t>
      </w:r>
      <w:r>
        <w:rPr/>
        <w:t>、</w:t>
      </w:r>
      <w:r>
        <w:rPr>
          <w:spacing w:val="-24"/>
        </w:rPr>
        <w:t> </w:t>
      </w:r>
      <w:r>
        <w:rPr/>
        <w:t>资本公积</w:t>
      </w:r>
      <w:r>
        <w:rPr>
          <w:b w:val="0"/>
          <w:bCs w:val="0"/>
        </w:rPr>
      </w:r>
    </w:p>
    <w:p>
      <w:pPr>
        <w:pStyle w:val="BodyText"/>
        <w:tabs>
          <w:tab w:pos="1051" w:val="left" w:leader="none"/>
        </w:tabs>
        <w:spacing w:line="240" w:lineRule="auto" w:before="97"/>
        <w:ind w:left="0" w:right="159"/>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626"/>
        <w:gridCol w:w="2801"/>
        <w:gridCol w:w="2854"/>
        <w:gridCol w:w="2828"/>
        <w:gridCol w:w="2828"/>
      </w:tblGrid>
      <w:tr>
        <w:trPr>
          <w:trHeight w:val="286"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1,291,797,763.16</w:t>
            </w:r>
          </w:p>
        </w:tc>
        <w:tc>
          <w:tcPr>
            <w:tcW w:w="2854"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552,845,528.00</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738,952,235.16</w:t>
            </w:r>
          </w:p>
        </w:tc>
      </w:tr>
      <w:tr>
        <w:trPr>
          <w:trHeight w:val="28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6,052,915.21</w:t>
            </w:r>
          </w:p>
        </w:tc>
        <w:tc>
          <w:tcPr>
            <w:tcW w:w="2854"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6,052,915.21</w:t>
            </w:r>
          </w:p>
        </w:tc>
      </w:tr>
      <w:tr>
        <w:trPr>
          <w:trHeight w:val="326" w:hRule="exact"/>
        </w:trPr>
        <w:tc>
          <w:tcPr>
            <w:tcW w:w="2626"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26"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1,297,850,678.37</w:t>
            </w:r>
          </w:p>
        </w:tc>
        <w:tc>
          <w:tcPr>
            <w:tcW w:w="2854"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552,845,528.00</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745,005,150.37</w:t>
            </w:r>
          </w:p>
        </w:tc>
      </w:tr>
    </w:tbl>
    <w:p>
      <w:pPr>
        <w:pStyle w:val="BodyText"/>
        <w:spacing w:line="262" w:lineRule="exact"/>
        <w:ind w:left="560" w:right="0"/>
        <w:jc w:val="left"/>
      </w:pPr>
      <w:r>
        <w:rPr/>
        <w:t>其他说明，包括本期增减变动情况、变动原因说明：</w:t>
      </w:r>
    </w:p>
    <w:p>
      <w:pPr>
        <w:pStyle w:val="BodyText"/>
        <w:spacing w:line="273" w:lineRule="auto" w:before="37"/>
        <w:ind w:left="140" w:right="0" w:firstLine="420"/>
        <w:jc w:val="left"/>
      </w:pPr>
      <w:r>
        <w:rPr/>
        <w:t>注：</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日经</w:t>
      </w:r>
      <w:r>
        <w:rPr>
          <w:spacing w:val="-56"/>
        </w:rPr>
        <w:t> </w:t>
      </w:r>
      <w:r>
        <w:rPr>
          <w:rFonts w:ascii="宋体" w:hAnsi="宋体" w:cs="宋体" w:eastAsia="宋体" w:hint="default"/>
        </w:rPr>
        <w:t>2014</w:t>
      </w:r>
      <w:r>
        <w:rPr>
          <w:rFonts w:ascii="宋体" w:hAnsi="宋体" w:cs="宋体" w:eastAsia="宋体" w:hint="default"/>
          <w:spacing w:val="-54"/>
        </w:rPr>
        <w:t> </w:t>
      </w:r>
      <w:r>
        <w:rPr/>
        <w:t>年年度股东大会决议通过《人民网股份有限公司</w:t>
      </w:r>
      <w:r>
        <w:rPr>
          <w:spacing w:val="-53"/>
        </w:rPr>
        <w:t> </w:t>
      </w:r>
      <w:r>
        <w:rPr>
          <w:rFonts w:ascii="宋体" w:hAnsi="宋体" w:cs="宋体" w:eastAsia="宋体" w:hint="default"/>
        </w:rPr>
        <w:t>2014</w:t>
      </w:r>
      <w:r>
        <w:rPr>
          <w:rFonts w:ascii="宋体" w:hAnsi="宋体" w:cs="宋体" w:eastAsia="宋体" w:hint="default"/>
          <w:spacing w:val="-54"/>
        </w:rPr>
        <w:t> </w:t>
      </w:r>
      <w:r>
        <w:rPr/>
        <w:t>年度利润分配方案》，以资本公积转增股本，每</w:t>
      </w:r>
      <w:r>
        <w:rPr>
          <w:spacing w:val="-54"/>
        </w:rPr>
        <w:t> </w:t>
      </w: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10</w:t>
      </w:r>
      <w:r>
        <w:rPr>
          <w:rFonts w:ascii="宋体" w:hAnsi="宋体" w:cs="宋体" w:eastAsia="宋体" w:hint="default"/>
          <w:w w:val="100"/>
        </w:rPr>
        <w:t> </w:t>
      </w:r>
      <w:r>
        <w:rPr/>
        <w:t>股。</w:t>
      </w:r>
    </w:p>
    <w:p>
      <w:pPr>
        <w:spacing w:after="0" w:line="273" w:lineRule="auto"/>
        <w:jc w:val="left"/>
        <w:sectPr>
          <w:pgSz w:w="16840" w:h="11910" w:orient="landscape"/>
          <w:pgMar w:header="882" w:footer="1195" w:top="1120" w:bottom="1380" w:left="130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760" w:right="400"/>
        </w:sectPr>
      </w:pPr>
    </w:p>
    <w:p>
      <w:pPr>
        <w:pStyle w:val="Heading2"/>
        <w:spacing w:line="240" w:lineRule="auto" w:before="36"/>
        <w:ind w:left="680" w:right="-19"/>
        <w:jc w:val="left"/>
        <w:rPr>
          <w:b w:val="0"/>
          <w:bCs w:val="0"/>
        </w:rPr>
      </w:pPr>
      <w:r>
        <w:rPr>
          <w:rFonts w:ascii="宋体" w:hAnsi="宋体" w:cs="宋体" w:eastAsia="宋体" w:hint="default"/>
        </w:rPr>
        <w:t>56</w:t>
      </w:r>
      <w:r>
        <w:rPr/>
        <w:t>、</w:t>
      </w:r>
      <w:r>
        <w:rPr>
          <w:spacing w:val="-23"/>
        </w:rPr>
        <w:t> </w:t>
      </w:r>
      <w:r>
        <w:rPr/>
        <w:t>其他综合收益</w:t>
      </w:r>
      <w:r>
        <w:rPr>
          <w:b w:val="0"/>
          <w:bCs w:val="0"/>
        </w:rPr>
      </w:r>
    </w:p>
    <w:p>
      <w:pPr>
        <w:pStyle w:val="BodyText"/>
        <w:spacing w:line="240" w:lineRule="auto" w:before="97"/>
        <w:ind w:left="68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731" w:val="left" w:leader="none"/>
        </w:tabs>
        <w:spacing w:line="240" w:lineRule="auto"/>
        <w:ind w:left="680" w:right="0"/>
        <w:jc w:val="left"/>
      </w:pPr>
      <w:r>
        <w:rPr>
          <w:spacing w:val="-1"/>
        </w:rPr>
        <w:t>单位：元</w:t>
        <w:tab/>
        <w:t>币种：人民币</w:t>
      </w:r>
    </w:p>
    <w:p>
      <w:pPr>
        <w:spacing w:after="0" w:line="240" w:lineRule="auto"/>
        <w:jc w:val="left"/>
        <w:sectPr>
          <w:type w:val="continuous"/>
          <w:pgSz w:w="16840" w:h="11910" w:orient="landscape"/>
          <w:pgMar w:top="1120" w:bottom="1380" w:left="760" w:right="400"/>
          <w:cols w:num="2" w:equalWidth="0">
            <w:col w:w="2452" w:space="9111"/>
            <w:col w:w="4117"/>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4820"/>
        <w:gridCol w:w="1702"/>
        <w:gridCol w:w="1558"/>
        <w:gridCol w:w="1704"/>
        <w:gridCol w:w="994"/>
        <w:gridCol w:w="1702"/>
        <w:gridCol w:w="1277"/>
        <w:gridCol w:w="1692"/>
      </w:tblGrid>
      <w:tr>
        <w:trPr>
          <w:trHeight w:val="322" w:hRule="exact"/>
        </w:trPr>
        <w:tc>
          <w:tcPr>
            <w:tcW w:w="4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664" w:right="66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2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660" w:right="660"/>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946" w:hRule="exact"/>
        </w:trPr>
        <w:tc>
          <w:tcPr>
            <w:tcW w:w="482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92" w:right="142" w:hanging="449"/>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27" w:right="125"/>
              <w:jc w:val="center"/>
              <w:rPr>
                <w:rFonts w:ascii="宋体" w:hAnsi="宋体" w:cs="宋体" w:eastAsia="宋体" w:hint="default"/>
                <w:sz w:val="18"/>
                <w:szCs w:val="18"/>
              </w:rPr>
            </w:pPr>
            <w:r>
              <w:rPr>
                <w:rFonts w:ascii="宋体" w:hAnsi="宋体" w:cs="宋体" w:eastAsia="宋体" w:hint="default"/>
                <w:sz w:val="18"/>
                <w:szCs w:val="18"/>
              </w:rPr>
              <w:t>减：前期计入其他 综合收益当期转入 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20" w:right="134"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692" w:type="dxa"/>
            <w:vMerge/>
            <w:tcBorders>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其中：重新计算设定受益计划净负债和净资产的变动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5" w:firstLine="182"/>
              <w:jc w:val="left"/>
              <w:rPr>
                <w:rFonts w:ascii="宋体" w:hAnsi="宋体" w:cs="宋体" w:eastAsia="宋体" w:hint="default"/>
                <w:sz w:val="18"/>
                <w:szCs w:val="18"/>
              </w:rPr>
            </w:pPr>
            <w:r>
              <w:rPr>
                <w:rFonts w:ascii="宋体" w:hAnsi="宋体" w:cs="宋体" w:eastAsia="宋体" w:hint="default"/>
                <w:sz w:val="18"/>
                <w:szCs w:val="18"/>
              </w:rPr>
              <w:t>权益法下在被投资单位不能重分类进损益的其他综合收 益中享有的份额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8,803,198.33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-400,350.64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14,724,400.00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-15,073,003.46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-51,747.18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-6,269,805.13</w:t>
            </w:r>
          </w:p>
        </w:tc>
      </w:tr>
      <w:tr>
        <w:trPr>
          <w:trHeight w:val="63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3"/>
                <w:sz w:val="18"/>
                <w:szCs w:val="18"/>
              </w:rPr>
              <w:t>其中：权益法下在被投资单位以后将重分类进损益的其他综</w:t>
            </w:r>
            <w:r>
              <w:rPr>
                <w:rFonts w:ascii="宋体" w:hAnsi="宋体" w:cs="宋体" w:eastAsia="宋体" w:hint="default"/>
                <w:sz w:val="18"/>
                <w:szCs w:val="18"/>
              </w:rPr>
              <w:t> 合收益中享有的份额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14,724,400.00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14,724,400.00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-14,724,400.00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持有至到期投资重分类为可供出售金融资产损益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-5,921,201.67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-400,350.64</w:t>
            </w:r>
          </w:p>
        </w:tc>
        <w:tc>
          <w:tcPr>
            <w:tcW w:w="17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-348,603.46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-51,747.18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-6,269,805.13</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8,803,198.33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-400,350.64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14,724,400.00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-15,073,003.46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-51,747.18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-6,269,805.13</w:t>
            </w:r>
          </w:p>
        </w:tc>
      </w:tr>
    </w:tbl>
    <w:p>
      <w:pPr>
        <w:pStyle w:val="BodyText"/>
        <w:spacing w:line="326" w:lineRule="auto" w:before="47"/>
        <w:ind w:left="680" w:right="7112"/>
        <w:jc w:val="left"/>
      </w:pPr>
      <w:r>
        <w:rPr>
          <w:spacing w:val="-2"/>
        </w:rPr>
        <w:t>其他说明，包括对现金流量套期损益的有效部分转为被套期项目初始确认金额调整：</w:t>
      </w:r>
      <w:r>
        <w:rPr>
          <w:spacing w:val="-35"/>
        </w:rPr>
        <w:t> </w:t>
      </w:r>
      <w:r>
        <w:rPr>
          <w:spacing w:val="-35"/>
        </w:rPr>
      </w:r>
      <w:r>
        <w:rPr/>
        <w:t>无</w:t>
      </w:r>
    </w:p>
    <w:p>
      <w:pPr>
        <w:spacing w:after="0" w:line="326" w:lineRule="auto"/>
        <w:jc w:val="left"/>
        <w:sectPr>
          <w:type w:val="continuous"/>
          <w:pgSz w:w="16840" w:h="11910" w:orient="landscape"/>
          <w:pgMar w:top="1120" w:bottom="1380" w:left="760" w:right="4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36"/>
        <w:ind w:left="157" w:right="3301"/>
        <w:jc w:val="left"/>
        <w:rPr>
          <w:b w:val="0"/>
          <w:bCs w:val="0"/>
        </w:rPr>
      </w:pPr>
      <w:r>
        <w:rPr>
          <w:rFonts w:ascii="宋体" w:hAnsi="宋体" w:cs="宋体" w:eastAsia="宋体" w:hint="default"/>
        </w:rPr>
        <w:t>57</w:t>
      </w:r>
      <w:r>
        <w:rPr/>
        <w:t>、</w:t>
      </w:r>
      <w:r>
        <w:rPr>
          <w:spacing w:val="-24"/>
        </w:rPr>
        <w:t> </w:t>
      </w:r>
      <w:r>
        <w:rPr/>
        <w:t>专项储备</w:t>
      </w:r>
      <w:r>
        <w:rPr>
          <w:b w:val="0"/>
          <w:bCs w:val="0"/>
        </w:rPr>
      </w:r>
    </w:p>
    <w:p>
      <w:pPr>
        <w:pStyle w:val="BodyText"/>
        <w:spacing w:line="240" w:lineRule="auto" w:before="97"/>
        <w:ind w:left="157" w:right="3301"/>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before="36"/>
        <w:ind w:left="157" w:right="3301"/>
        <w:jc w:val="left"/>
        <w:rPr>
          <w:b w:val="0"/>
          <w:bCs w:val="0"/>
        </w:rPr>
      </w:pPr>
      <w:r>
        <w:rPr>
          <w:rFonts w:ascii="宋体" w:hAnsi="宋体" w:cs="宋体" w:eastAsia="宋体" w:hint="default"/>
        </w:rPr>
        <w:t>58</w:t>
      </w:r>
      <w:r>
        <w:rPr/>
        <w:t>、</w:t>
      </w:r>
      <w:r>
        <w:rPr>
          <w:spacing w:val="-24"/>
        </w:rPr>
        <w:t> </w:t>
      </w:r>
      <w:r>
        <w:rPr/>
        <w:t>盈余公积</w:t>
      </w:r>
      <w:r>
        <w:rPr>
          <w:b w:val="0"/>
          <w:bCs w:val="0"/>
        </w:rPr>
      </w:r>
    </w:p>
    <w:p>
      <w:pPr>
        <w:pStyle w:val="BodyText"/>
        <w:tabs>
          <w:tab w:pos="1051" w:val="left" w:leader="none"/>
        </w:tabs>
        <w:spacing w:line="240" w:lineRule="auto" w:before="97"/>
        <w:ind w:left="0" w:right="15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96,947,353.27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30,284,441.03</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127,231,794.30</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96,947,353.27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30,284,441.03</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4"/>
              <w:jc w:val="center"/>
              <w:rPr>
                <w:rFonts w:ascii="宋体" w:hAnsi="宋体" w:cs="宋体" w:eastAsia="宋体" w:hint="default"/>
                <w:sz w:val="21"/>
                <w:szCs w:val="21"/>
              </w:rPr>
            </w:pPr>
            <w:r>
              <w:rPr>
                <w:rFonts w:ascii="宋体"/>
                <w:sz w:val="21"/>
              </w:rPr>
              <w:t>127,231,794.30</w:t>
            </w:r>
          </w:p>
        </w:tc>
      </w:tr>
    </w:tbl>
    <w:p>
      <w:pPr>
        <w:pStyle w:val="BodyText"/>
        <w:spacing w:line="324" w:lineRule="auto" w:before="47"/>
        <w:ind w:left="577" w:right="211" w:hanging="420"/>
        <w:jc w:val="left"/>
      </w:pPr>
      <w:r>
        <w:rPr/>
        <w:t>盈余公积说明，包括本期增减变动情况、变动原因说明：</w:t>
      </w:r>
      <w:r>
        <w:rPr>
          <w:w w:val="100"/>
        </w:rPr>
        <w:t> </w:t>
      </w:r>
      <w:r>
        <w:rPr>
          <w:spacing w:val="-2"/>
        </w:rPr>
        <w:t>注：根据公司法、章程的规定，本公司按净利润的</w:t>
      </w:r>
      <w:r>
        <w:rPr>
          <w:spacing w:val="20"/>
        </w:rPr>
        <w:t> </w:t>
      </w:r>
      <w:r>
        <w:rPr>
          <w:rFonts w:ascii="宋体" w:hAnsi="宋体" w:cs="宋体" w:eastAsia="宋体" w:hint="default"/>
          <w:spacing w:val="-2"/>
        </w:rPr>
        <w:t>10%</w:t>
      </w:r>
      <w:r>
        <w:rPr>
          <w:spacing w:val="-2"/>
        </w:rPr>
        <w:t>提取法定盈余公积金。法定盈余公积</w:t>
      </w:r>
    </w:p>
    <w:p>
      <w:pPr>
        <w:pStyle w:val="BodyText"/>
        <w:spacing w:line="238" w:lineRule="exact"/>
        <w:ind w:left="157" w:right="3301"/>
        <w:jc w:val="left"/>
      </w:pPr>
      <w:r>
        <w:rPr/>
        <w:t>累计额为本公司注册资本</w:t>
      </w:r>
      <w:r>
        <w:rPr>
          <w:spacing w:val="-59"/>
        </w:rPr>
        <w:t> </w:t>
      </w:r>
      <w:r>
        <w:rPr>
          <w:rFonts w:ascii="宋体" w:hAnsi="宋体" w:cs="宋体" w:eastAsia="宋体" w:hint="default"/>
        </w:rPr>
        <w:t>50%</w:t>
      </w:r>
      <w:r>
        <w:rPr/>
        <w:t>以上的，可不再提取。</w:t>
      </w:r>
    </w:p>
    <w:p>
      <w:pPr>
        <w:pStyle w:val="BodyText"/>
        <w:spacing w:line="273" w:lineRule="auto" w:before="37"/>
        <w:ind w:left="157" w:right="0" w:firstLine="420"/>
        <w:jc w:val="left"/>
      </w:pPr>
      <w:r>
        <w:rPr>
          <w:spacing w:val="-2"/>
        </w:rPr>
        <w:t>本公司在提取法定盈余公积金后，可提取任意盈余公积金。经批准，任意盈余公积金可用于</w:t>
      </w:r>
      <w:r>
        <w:rPr>
          <w:w w:val="100"/>
        </w:rPr>
        <w:t> </w:t>
      </w:r>
      <w:r>
        <w:rPr/>
        <w:t>弥补以前年度亏损或增加股本。</w:t>
      </w:r>
    </w:p>
    <w:p>
      <w:pPr>
        <w:spacing w:line="240" w:lineRule="auto" w:before="3"/>
        <w:rPr>
          <w:rFonts w:ascii="宋体" w:hAnsi="宋体" w:cs="宋体" w:eastAsia="宋体" w:hint="default"/>
          <w:sz w:val="26"/>
          <w:szCs w:val="26"/>
        </w:rPr>
      </w:pPr>
    </w:p>
    <w:p>
      <w:pPr>
        <w:pStyle w:val="Heading2"/>
        <w:spacing w:line="240" w:lineRule="auto" w:before="36"/>
        <w:ind w:left="157" w:right="3301"/>
        <w:jc w:val="left"/>
        <w:rPr>
          <w:b w:val="0"/>
          <w:bCs w:val="0"/>
        </w:rPr>
      </w:pPr>
      <w:r>
        <w:rPr>
          <w:rFonts w:ascii="宋体" w:hAnsi="宋体" w:cs="宋体" w:eastAsia="宋体" w:hint="default"/>
        </w:rPr>
        <w:t>59</w:t>
      </w:r>
      <w:r>
        <w:rPr/>
        <w:t>、</w:t>
      </w:r>
      <w:r>
        <w:rPr>
          <w:spacing w:val="-24"/>
        </w:rPr>
        <w:t> </w:t>
      </w:r>
      <w:r>
        <w:rPr/>
        <w:t>未分配利润</w:t>
      </w:r>
      <w:r>
        <w:rPr>
          <w:b w:val="0"/>
          <w:bCs w:val="0"/>
        </w:rPr>
      </w:r>
    </w:p>
    <w:p>
      <w:pPr>
        <w:pStyle w:val="BodyText"/>
        <w:tabs>
          <w:tab w:pos="1051" w:val="left" w:leader="none"/>
        </w:tabs>
        <w:spacing w:line="240" w:lineRule="auto" w:before="97"/>
        <w:ind w:left="0" w:right="15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431"/>
        <w:gridCol w:w="2777"/>
        <w:gridCol w:w="2689"/>
      </w:tblGrid>
      <w:tr>
        <w:trPr>
          <w:trHeight w:val="32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579,029,167.99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412,746,001.99</w:t>
            </w:r>
          </w:p>
        </w:tc>
      </w:tr>
      <w:tr>
        <w:trPr>
          <w:trHeight w:val="63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31"/>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宋体" w:hAnsi="宋体" w:cs="宋体" w:eastAsia="宋体" w:hint="default"/>
                <w:spacing w:val="-2"/>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579,029,167.99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412,746,001.99</w:t>
            </w:r>
          </w:p>
        </w:tc>
      </w:tr>
      <w:tr>
        <w:trPr>
          <w:trHeight w:val="641"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4"/>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加：本期归属于母公司所有者的净利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274,280,594.31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330,222,551.16</w:t>
            </w: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30,284,441.03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25,728,003.16</w:t>
            </w: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99,512,195.04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138,211,382.00</w:t>
            </w: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527,685.78</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722,985,440.45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579,029,167.99</w:t>
            </w:r>
          </w:p>
        </w:tc>
      </w:tr>
    </w:tbl>
    <w:p>
      <w:pPr>
        <w:spacing w:line="240" w:lineRule="auto" w:before="2"/>
        <w:rPr>
          <w:rFonts w:ascii="宋体" w:hAnsi="宋体" w:cs="宋体" w:eastAsia="宋体" w:hint="default"/>
          <w:sz w:val="20"/>
          <w:szCs w:val="20"/>
        </w:rPr>
      </w:pPr>
    </w:p>
    <w:p>
      <w:pPr>
        <w:pStyle w:val="BodyText"/>
        <w:spacing w:line="273" w:lineRule="auto" w:before="36"/>
        <w:ind w:left="577" w:right="627"/>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40" w:lineRule="auto" w:before="7"/>
        <w:ind w:left="577" w:right="3301"/>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40" w:lineRule="auto" w:before="37"/>
        <w:ind w:left="577" w:right="3301"/>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40" w:lineRule="auto" w:before="37"/>
        <w:ind w:left="577" w:right="575"/>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40" w:lineRule="auto" w:before="37"/>
        <w:ind w:left="577" w:right="3301"/>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after="0" w:line="240" w:lineRule="auto"/>
        <w:jc w:val="left"/>
        <w:sectPr>
          <w:headerReference w:type="default" r:id="rId68"/>
          <w:footerReference w:type="default" r:id="rId69"/>
          <w:pgSz w:w="11910" w:h="16840"/>
          <w:pgMar w:header="882" w:footer="1195" w:top="1120" w:bottom="1380" w:left="1120" w:right="1640"/>
          <w:pgNumType w:start="124"/>
        </w:sectPr>
      </w:pPr>
    </w:p>
    <w:p>
      <w:pPr>
        <w:spacing w:line="240" w:lineRule="auto" w:before="4"/>
        <w:rPr>
          <w:rFonts w:ascii="宋体" w:hAnsi="宋体" w:cs="宋体" w:eastAsia="宋体" w:hint="default"/>
          <w:sz w:val="20"/>
          <w:szCs w:val="20"/>
        </w:rPr>
      </w:pPr>
    </w:p>
    <w:p>
      <w:pPr>
        <w:pStyle w:val="Heading2"/>
        <w:spacing w:line="240" w:lineRule="auto" w:before="36"/>
        <w:ind w:left="217" w:right="2940"/>
        <w:jc w:val="left"/>
        <w:rPr>
          <w:b w:val="0"/>
          <w:bCs w:val="0"/>
        </w:rPr>
      </w:pPr>
      <w:r>
        <w:rPr>
          <w:rFonts w:ascii="宋体" w:hAnsi="宋体" w:cs="宋体" w:eastAsia="宋体" w:hint="default"/>
        </w:rPr>
        <w:t>60</w:t>
      </w:r>
      <w:r>
        <w:rPr/>
        <w:t>、</w:t>
      </w:r>
      <w:r>
        <w:rPr>
          <w:spacing w:val="-23"/>
        </w:rPr>
        <w:t> </w:t>
      </w:r>
      <w:r>
        <w:rPr/>
        <w:t>营业收入和营业成本</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32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1,601,247,388.40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774,055,707.65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1,584,059,040.60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682,187,075.25</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3,514,900.37</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341.88</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1,604,762,288.77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774,055,707.65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1,584,059,382.48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682,187,075.25</w:t>
            </w:r>
          </w:p>
        </w:tc>
      </w:tr>
    </w:tbl>
    <w:p>
      <w:pPr>
        <w:spacing w:line="240" w:lineRule="auto" w:before="4"/>
        <w:rPr>
          <w:rFonts w:ascii="宋体" w:hAnsi="宋体" w:cs="宋体" w:eastAsia="宋体" w:hint="default"/>
          <w:sz w:val="29"/>
          <w:szCs w:val="29"/>
        </w:rPr>
      </w:pPr>
    </w:p>
    <w:p>
      <w:pPr>
        <w:pStyle w:val="Heading2"/>
        <w:spacing w:line="240" w:lineRule="auto" w:before="36"/>
        <w:ind w:left="217" w:right="2940"/>
        <w:jc w:val="left"/>
        <w:rPr>
          <w:b w:val="0"/>
          <w:bCs w:val="0"/>
        </w:rPr>
      </w:pPr>
      <w:r>
        <w:rPr>
          <w:rFonts w:ascii="宋体" w:hAnsi="宋体" w:cs="宋体" w:eastAsia="宋体" w:hint="default"/>
        </w:rPr>
        <w:t>61</w:t>
      </w:r>
      <w:r>
        <w:rPr/>
        <w:t>、</w:t>
      </w:r>
      <w:r>
        <w:rPr>
          <w:spacing w:val="-23"/>
        </w:rPr>
        <w:t> </w:t>
      </w:r>
      <w:r>
        <w:rPr/>
        <w:t>营业税金及附加</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2859"/>
        <w:gridCol w:w="3017"/>
        <w:gridCol w:w="3020"/>
      </w:tblGrid>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203,298.48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2,035,177.26</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3,219,876.73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3,990,896.13</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1,438,491.13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1,787,971.31</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9,321,996.90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9,849,304.11</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994,309.25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1,229,112.23</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63,938.14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38,292.17</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42,261.59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18,440.58</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98,756.99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61,673.20</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7,022.13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15,108.86</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15,389,951.34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19,025,975.85</w:t>
            </w:r>
          </w:p>
        </w:tc>
      </w:tr>
    </w:tbl>
    <w:p>
      <w:pPr>
        <w:pStyle w:val="BodyText"/>
        <w:spacing w:line="326" w:lineRule="auto" w:before="74"/>
        <w:ind w:left="217" w:right="2940"/>
        <w:jc w:val="left"/>
      </w:pPr>
      <w:r>
        <w:rPr>
          <w:spacing w:val="-2"/>
        </w:rPr>
        <w:t>注：各项营业税金及附加的计缴标准详见附注五、税项。</w:t>
      </w:r>
      <w:r>
        <w:rPr>
          <w:spacing w:val="-55"/>
        </w:rPr>
        <w:t> </w:t>
      </w:r>
      <w:r>
        <w:rPr>
          <w:spacing w:val="-55"/>
        </w:rPr>
      </w:r>
      <w:r>
        <w:rPr/>
        <w:t>其他说明：</w:t>
      </w:r>
    </w:p>
    <w:p>
      <w:pPr>
        <w:pStyle w:val="BodyText"/>
        <w:spacing w:line="240" w:lineRule="auto" w:before="21"/>
        <w:ind w:left="217" w:right="2940"/>
        <w:jc w:val="left"/>
      </w:pPr>
      <w:r>
        <w:rPr>
          <w:w w:val="100"/>
        </w:rPr>
        <w:t>无</w:t>
      </w:r>
    </w:p>
    <w:p>
      <w:pPr>
        <w:spacing w:line="240" w:lineRule="auto" w:before="7"/>
        <w:rPr>
          <w:rFonts w:ascii="宋体" w:hAnsi="宋体" w:cs="宋体" w:eastAsia="宋体" w:hint="default"/>
          <w:sz w:val="28"/>
          <w:szCs w:val="28"/>
        </w:rPr>
      </w:pPr>
    </w:p>
    <w:p>
      <w:pPr>
        <w:pStyle w:val="Heading2"/>
        <w:spacing w:line="240" w:lineRule="auto" w:before="36"/>
        <w:ind w:left="217" w:right="2940"/>
        <w:jc w:val="left"/>
        <w:rPr>
          <w:b w:val="0"/>
          <w:bCs w:val="0"/>
        </w:rPr>
      </w:pPr>
      <w:r>
        <w:rPr>
          <w:rFonts w:ascii="宋体" w:hAnsi="宋体" w:cs="宋体" w:eastAsia="宋体" w:hint="default"/>
        </w:rPr>
        <w:t>62</w:t>
      </w:r>
      <w:r>
        <w:rPr/>
        <w:t>、</w:t>
      </w:r>
      <w:r>
        <w:rPr>
          <w:spacing w:val="-24"/>
        </w:rPr>
        <w:t> </w:t>
      </w:r>
      <w:r>
        <w:rPr/>
        <w:t>销售费用</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171,072,737.44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141,328,339.82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83,116,087.87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82,269,177.52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10,867,331.30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11,495,125.12</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8,926,697.66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8,495,896.28</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8,517,201.87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9,968,542.51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5,956,857.19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12,974,790.56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5,844,895.86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7,930,383.20</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3,336,609.53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3,494,095.49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2,103,919.85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2,633,233.40</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1,843,440.74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2,949,052.20</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8,213,006.33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4,104,304.39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309,798,785.64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287,642,940.49</w:t>
            </w:r>
          </w:p>
        </w:tc>
      </w:tr>
    </w:tbl>
    <w:p>
      <w:pPr>
        <w:spacing w:after="0" w:line="26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宋体" w:hAnsi="宋体" w:cs="宋体" w:eastAsia="宋体" w:hint="default"/>
          <w:sz w:val="20"/>
          <w:szCs w:val="20"/>
        </w:rPr>
      </w:pPr>
    </w:p>
    <w:p>
      <w:pPr>
        <w:pStyle w:val="BodyText"/>
        <w:spacing w:line="324" w:lineRule="auto" w:before="36"/>
        <w:ind w:left="217" w:right="7999"/>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pStyle w:val="Heading2"/>
        <w:spacing w:line="240" w:lineRule="auto" w:before="36"/>
        <w:ind w:left="217" w:right="2940"/>
        <w:jc w:val="left"/>
        <w:rPr>
          <w:b w:val="0"/>
          <w:bCs w:val="0"/>
        </w:rPr>
      </w:pPr>
      <w:r>
        <w:rPr>
          <w:rFonts w:ascii="宋体" w:hAnsi="宋体" w:cs="宋体" w:eastAsia="宋体" w:hint="default"/>
        </w:rPr>
        <w:t>63</w:t>
      </w:r>
      <w:r>
        <w:rPr/>
        <w:t>、</w:t>
      </w:r>
      <w:r>
        <w:rPr>
          <w:spacing w:val="-24"/>
        </w:rPr>
        <w:t> </w:t>
      </w:r>
      <w:r>
        <w:rPr/>
        <w:t>管理费用</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134,589,546.20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99,215,171.87</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26,366,899.17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23,251,326.42</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13,795,483.37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10,492,084.46</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13,400,145.84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13,384,828.92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9,307,006.38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5,990,640.17</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7,028,841.67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5,655,675.84</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7,869,470.65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8,416,452.39</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5,906,343.17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3,502,037.21</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4,536,411.81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15,392,059.89</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1,992,962.83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1,527,503.60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15,076,350.26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15,851,949.93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239,869,461.35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202,679,730.70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BodyText"/>
        <w:spacing w:line="273" w:lineRule="auto" w:before="36"/>
        <w:ind w:left="217" w:right="284"/>
        <w:jc w:val="left"/>
      </w:pPr>
      <w:r>
        <w:rPr>
          <w:spacing w:val="-1"/>
        </w:rPr>
        <w:t>其他说明：</w:t>
      </w:r>
      <w:r>
        <w:rPr>
          <w:spacing w:val="-97"/>
        </w:rPr>
        <w:t> </w:t>
      </w:r>
      <w:r>
        <w:rPr>
          <w:spacing w:val="-97"/>
        </w:rPr>
      </w:r>
      <w:r>
        <w:rPr/>
        <w:t>无</w:t>
      </w:r>
    </w:p>
    <w:p>
      <w:pPr>
        <w:pStyle w:val="Heading2"/>
        <w:spacing w:line="240" w:lineRule="auto" w:before="67"/>
        <w:ind w:left="217" w:right="-19"/>
        <w:jc w:val="left"/>
        <w:rPr>
          <w:b w:val="0"/>
          <w:bCs w:val="0"/>
        </w:rPr>
      </w:pPr>
      <w:r>
        <w:rPr>
          <w:rFonts w:ascii="宋体" w:hAnsi="宋体" w:cs="宋体" w:eastAsia="宋体" w:hint="default"/>
        </w:rPr>
        <w:t>64</w:t>
      </w:r>
      <w:r>
        <w:rPr/>
        <w:t>、</w:t>
      </w:r>
      <w:r>
        <w:rPr>
          <w:spacing w:val="-24"/>
        </w:rPr>
        <w:t> </w:t>
      </w:r>
      <w:r>
        <w:rPr/>
        <w:t>财务费用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567" w:space="4955"/>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27,050.49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20,152.21</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-4,435,655.85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-7,402,817.13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3,138,969.46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10,726,442.02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-1,660,957.89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-485,401.67</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4,810.00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69,869.05</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-2,925,783.79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2,928,244.48</w:t>
            </w:r>
          </w:p>
        </w:tc>
      </w:tr>
    </w:tbl>
    <w:p>
      <w:pPr>
        <w:spacing w:line="240" w:lineRule="auto" w:before="2"/>
        <w:rPr>
          <w:rFonts w:ascii="宋体" w:hAnsi="宋体" w:cs="宋体" w:eastAsia="宋体" w:hint="default"/>
          <w:sz w:val="20"/>
          <w:szCs w:val="20"/>
        </w:rPr>
      </w:pPr>
    </w:p>
    <w:p>
      <w:pPr>
        <w:pStyle w:val="BodyText"/>
        <w:spacing w:line="273" w:lineRule="auto" w:before="36"/>
        <w:ind w:left="217" w:right="7999"/>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65</w:t>
      </w:r>
      <w:r>
        <w:rPr/>
        <w:t>、</w:t>
      </w:r>
      <w:r>
        <w:rPr>
          <w:spacing w:val="-23"/>
        </w:rPr>
        <w:t> </w:t>
      </w:r>
      <w:r>
        <w:rPr/>
        <w:t>资产减值损失</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7" w:right="0"/>
              <w:jc w:val="left"/>
              <w:rPr>
                <w:rFonts w:ascii="宋体" w:hAnsi="宋体" w:cs="宋体" w:eastAsia="宋体" w:hint="default"/>
                <w:sz w:val="21"/>
                <w:szCs w:val="21"/>
              </w:rPr>
            </w:pPr>
            <w:r>
              <w:rPr>
                <w:rFonts w:ascii="宋体"/>
                <w:sz w:val="21"/>
              </w:rPr>
              <w:t>8,154,110.24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4,840,511.71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20,167,582.72</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97" w:right="0"/>
              <w:jc w:val="left"/>
              <w:rPr>
                <w:rFonts w:ascii="宋体" w:hAnsi="宋体" w:cs="宋体" w:eastAsia="宋体" w:hint="default"/>
                <w:sz w:val="21"/>
                <w:szCs w:val="21"/>
              </w:rPr>
            </w:pPr>
            <w:r>
              <w:rPr>
                <w:rFonts w:ascii="宋体"/>
                <w:sz w:val="21"/>
              </w:rPr>
              <w:t>8,154,110.24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98" w:right="0"/>
              <w:jc w:val="left"/>
              <w:rPr>
                <w:rFonts w:ascii="宋体" w:hAnsi="宋体" w:cs="宋体" w:eastAsia="宋体" w:hint="default"/>
                <w:sz w:val="21"/>
                <w:szCs w:val="21"/>
              </w:rPr>
            </w:pPr>
            <w:r>
              <w:rPr>
                <w:rFonts w:ascii="宋体"/>
                <w:sz w:val="21"/>
              </w:rPr>
              <w:t>25,008,094.43</w:t>
            </w:r>
          </w:p>
        </w:tc>
      </w:tr>
    </w:tbl>
    <w:p>
      <w:pPr>
        <w:pStyle w:val="BodyText"/>
        <w:spacing w:line="324" w:lineRule="auto" w:before="47"/>
        <w:ind w:left="217"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2"/>
        <w:spacing w:line="240" w:lineRule="auto"/>
        <w:ind w:left="217" w:right="2940"/>
        <w:jc w:val="left"/>
        <w:rPr>
          <w:b w:val="0"/>
          <w:bCs w:val="0"/>
        </w:rPr>
      </w:pPr>
      <w:r>
        <w:rPr>
          <w:rFonts w:ascii="宋体" w:hAnsi="宋体" w:cs="宋体" w:eastAsia="宋体" w:hint="default"/>
        </w:rPr>
        <w:t>66</w:t>
      </w:r>
      <w:r>
        <w:rPr/>
        <w:t>、</w:t>
      </w:r>
      <w:r>
        <w:rPr>
          <w:spacing w:val="-23"/>
        </w:rPr>
        <w:t> </w:t>
      </w:r>
      <w:r>
        <w:rPr/>
        <w:t>公允价值变动收益</w:t>
      </w:r>
      <w:r>
        <w:rPr>
          <w:b w:val="0"/>
          <w:bCs w:val="0"/>
        </w:rPr>
      </w:r>
    </w:p>
    <w:p>
      <w:pPr>
        <w:pStyle w:val="BodyText"/>
        <w:spacing w:line="240" w:lineRule="auto" w:before="97"/>
        <w:ind w:left="217" w:right="294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67</w:t>
      </w:r>
      <w:r>
        <w:rPr/>
        <w:t>、</w:t>
      </w:r>
      <w:r>
        <w:rPr>
          <w:spacing w:val="-24"/>
        </w:rPr>
        <w:t> </w:t>
      </w:r>
      <w:r>
        <w:rPr/>
        <w:t>投资收益</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12,440,833.04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-12,704.00</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33,333,738.81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1,556,243.84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可供出售金融资产等取得的投资收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1,529,862.46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755,883.07</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50,145,479.63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35,548,571.95</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45,474,735.45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57,412,306.24</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144,480,893.23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93,704,057.26</w:t>
            </w:r>
          </w:p>
        </w:tc>
      </w:tr>
    </w:tbl>
    <w:p>
      <w:pPr>
        <w:spacing w:line="240" w:lineRule="auto" w:before="12"/>
        <w:rPr>
          <w:rFonts w:ascii="宋体" w:hAnsi="宋体" w:cs="宋体" w:eastAsia="宋体" w:hint="default"/>
          <w:sz w:val="28"/>
          <w:szCs w:val="28"/>
        </w:rPr>
      </w:pPr>
    </w:p>
    <w:p>
      <w:pPr>
        <w:pStyle w:val="BodyText"/>
        <w:spacing w:line="240" w:lineRule="auto" w:before="36"/>
        <w:ind w:left="217" w:right="2940"/>
        <w:jc w:val="left"/>
      </w:pPr>
      <w:r>
        <w:rPr/>
        <w:t>其他说明：</w:t>
      </w:r>
    </w:p>
    <w:p>
      <w:pPr>
        <w:spacing w:after="0" w:line="240" w:lineRule="auto"/>
        <w:jc w:val="left"/>
        <w:sectPr>
          <w:type w:val="continuous"/>
          <w:pgSz w:w="11910" w:h="16840"/>
          <w:pgMar w:top="1120" w:bottom="13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BodyText"/>
        <w:spacing w:line="240" w:lineRule="auto" w:before="36"/>
        <w:ind w:left="217" w:right="-19"/>
        <w:jc w:val="left"/>
      </w:pPr>
      <w:r>
        <w:rPr>
          <w:w w:val="100"/>
        </w:rPr>
        <w:t>无</w:t>
      </w:r>
    </w:p>
    <w:p>
      <w:pPr>
        <w:pStyle w:val="Heading2"/>
        <w:spacing w:line="240" w:lineRule="auto" w:before="97"/>
        <w:ind w:left="217" w:right="-19"/>
        <w:jc w:val="left"/>
        <w:rPr>
          <w:b w:val="0"/>
          <w:bCs w:val="0"/>
        </w:rPr>
      </w:pPr>
      <w:r>
        <w:rPr>
          <w:rFonts w:ascii="宋体" w:hAnsi="宋体" w:cs="宋体" w:eastAsia="宋体" w:hint="default"/>
        </w:rPr>
        <w:t>68</w:t>
      </w:r>
      <w:r>
        <w:rPr/>
        <w:t>、</w:t>
      </w:r>
      <w:r>
        <w:rPr>
          <w:spacing w:val="-24"/>
        </w:rPr>
        <w:t> </w:t>
      </w:r>
      <w:r>
        <w:rPr/>
        <w:t>营业外收入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79"/>
        <w:gridCol w:w="1683"/>
        <w:gridCol w:w="1582"/>
        <w:gridCol w:w="1707"/>
      </w:tblGrid>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111" w:hanging="106"/>
              <w:jc w:val="left"/>
              <w:rPr>
                <w:rFonts w:ascii="宋体" w:hAnsi="宋体" w:cs="宋体" w:eastAsia="宋体" w:hint="default"/>
                <w:sz w:val="21"/>
                <w:szCs w:val="21"/>
              </w:rPr>
            </w:pPr>
            <w:r>
              <w:rPr>
                <w:rFonts w:ascii="宋体" w:hAnsi="宋体" w:cs="宋体" w:eastAsia="宋体" w:hint="default"/>
                <w:sz w:val="21"/>
                <w:szCs w:val="21"/>
              </w:rPr>
              <w:t>计入当期非经常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2,790.00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64,753.32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2,790.00</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2,790.00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64,753.32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2,790.00</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100,067.00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政府补助（详见下表：政府补助明细表）</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11,428,154.44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27,751,792.10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11,428,154.44</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企业所得税退还</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3,831,450.69</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1,024,780.50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72,000.00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1,569,714.72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1,941,353.06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1,569,714.72</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13,000,659.16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34,797,196.67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13,000,659.16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BodyText"/>
        <w:spacing w:line="240" w:lineRule="auto" w:before="36"/>
        <w:ind w:left="217" w:right="0"/>
        <w:jc w:val="left"/>
      </w:pPr>
      <w:r>
        <w:rPr>
          <w:spacing w:val="-2"/>
        </w:rPr>
        <w:t>计入当期损益的政府补助</w:t>
      </w:r>
    </w:p>
    <w:p>
      <w:pPr>
        <w:pStyle w:val="BodyText"/>
        <w:spacing w:line="240" w:lineRule="auto" w:before="37"/>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6"/>
        <w:ind w:left="217"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2531" w:space="3993"/>
            <w:col w:w="2766"/>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727"/>
        <w:gridCol w:w="1982"/>
        <w:gridCol w:w="1908"/>
        <w:gridCol w:w="2278"/>
      </w:tblGrid>
      <w:tr>
        <w:trPr>
          <w:trHeight w:val="56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与资产相关的项目补助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413,333.28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与收益相关的项目补助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10,901,873.87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27,340,800.00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112,947.29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290,992.10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11,428,154.44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27,751,792.10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28"/>
          <w:szCs w:val="28"/>
        </w:rPr>
      </w:pPr>
    </w:p>
    <w:p>
      <w:pPr>
        <w:pStyle w:val="BodyText"/>
        <w:spacing w:line="319" w:lineRule="auto" w:before="36"/>
        <w:ind w:left="217" w:right="7999"/>
        <w:jc w:val="left"/>
      </w:pPr>
      <w:r>
        <w:rPr/>
        <w:t>其他说明：</w:t>
      </w:r>
      <w:r>
        <w:rPr>
          <w:spacing w:val="-102"/>
        </w:rPr>
        <w:t> </w:t>
      </w:r>
      <w:r>
        <w:rPr>
          <w:spacing w:val="-102"/>
        </w:rPr>
      </w:r>
      <w:r>
        <w:rPr/>
        <w:t>无</w:t>
      </w:r>
    </w:p>
    <w:p>
      <w:pPr>
        <w:spacing w:line="240" w:lineRule="auto" w:before="3"/>
        <w:rPr>
          <w:rFonts w:ascii="宋体" w:hAnsi="宋体" w:cs="宋体" w:eastAsia="宋体" w:hint="default"/>
          <w:sz w:val="23"/>
          <w:szCs w:val="23"/>
        </w:rPr>
      </w:pPr>
    </w:p>
    <w:p>
      <w:pPr>
        <w:pStyle w:val="Heading2"/>
        <w:spacing w:line="240" w:lineRule="auto" w:before="36"/>
        <w:ind w:left="217" w:right="2940"/>
        <w:jc w:val="left"/>
        <w:rPr>
          <w:b w:val="0"/>
          <w:bCs w:val="0"/>
        </w:rPr>
      </w:pPr>
      <w:r>
        <w:rPr>
          <w:rFonts w:ascii="宋体" w:hAnsi="宋体" w:cs="宋体" w:eastAsia="宋体" w:hint="default"/>
        </w:rPr>
        <w:t>69</w:t>
      </w:r>
      <w:r>
        <w:rPr/>
        <w:t>、</w:t>
      </w:r>
      <w:r>
        <w:rPr>
          <w:spacing w:val="-24"/>
        </w:rPr>
        <w:t> </w:t>
      </w:r>
      <w:r>
        <w:rPr/>
        <w:t>营业外支出</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512"/>
        <w:gridCol w:w="1985"/>
        <w:gridCol w:w="1699"/>
        <w:gridCol w:w="1853"/>
      </w:tblGrid>
      <w:tr>
        <w:trPr>
          <w:trHeight w:val="63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90" w:right="183" w:hanging="106"/>
              <w:jc w:val="left"/>
              <w:rPr>
                <w:rFonts w:ascii="宋体" w:hAnsi="宋体" w:cs="宋体" w:eastAsia="宋体" w:hint="default"/>
                <w:sz w:val="21"/>
                <w:szCs w:val="21"/>
              </w:rPr>
            </w:pPr>
            <w:r>
              <w:rPr>
                <w:rFonts w:ascii="宋体" w:hAnsi="宋体" w:cs="宋体" w:eastAsia="宋体" w:hint="default"/>
                <w:sz w:val="21"/>
                <w:szCs w:val="21"/>
              </w:rPr>
              <w:t>计入当期非经常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108,389.77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27,614.42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108,389.77</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108,389.77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27,614.42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108,389.77</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2,203,000.00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312,892.00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2,203,000.00</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356,532.48</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913,385.52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75,616.67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913,385.52</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321,866.36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104,403.88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321,866.36</w:t>
            </w:r>
          </w:p>
        </w:tc>
      </w:tr>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3,546,641.65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877,059.45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3,546,641.65</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24" w:lineRule="auto" w:before="36"/>
        <w:ind w:left="157" w:right="7919"/>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20" w:right="1640"/>
        </w:sectPr>
      </w:pPr>
    </w:p>
    <w:p>
      <w:pPr>
        <w:pStyle w:val="Heading2"/>
        <w:spacing w:line="324" w:lineRule="auto" w:before="36"/>
        <w:ind w:left="157" w:right="-19"/>
        <w:jc w:val="left"/>
        <w:rPr>
          <w:b w:val="0"/>
          <w:bCs w:val="0"/>
        </w:rPr>
      </w:pPr>
      <w:r>
        <w:rPr>
          <w:rFonts w:ascii="宋体" w:hAnsi="宋体" w:cs="宋体" w:eastAsia="宋体" w:hint="default"/>
        </w:rPr>
        <w:t>70</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640"/>
          <w:cols w:num="2" w:equalWidth="0">
            <w:col w:w="1850" w:space="4672"/>
            <w:col w:w="2628"/>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159"/>
        <w:gridCol w:w="2876"/>
        <w:gridCol w:w="2861"/>
      </w:tblGrid>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20,956,851.89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49,503,934.52</w:t>
            </w:r>
          </w:p>
        </w:tc>
      </w:tr>
      <w:tr>
        <w:trPr>
          <w:trHeight w:val="329"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1,114,356.65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-2,907,716.53</w:t>
            </w: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22,071,208.54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46,596,217.99</w:t>
            </w:r>
          </w:p>
        </w:tc>
      </w:tr>
    </w:tbl>
    <w:p>
      <w:pPr>
        <w:spacing w:line="240" w:lineRule="auto" w:before="9"/>
        <w:rPr>
          <w:rFonts w:ascii="宋体" w:hAnsi="宋体" w:cs="宋体" w:eastAsia="宋体" w:hint="default"/>
          <w:sz w:val="24"/>
          <w:szCs w:val="24"/>
        </w:rPr>
      </w:pPr>
    </w:p>
    <w:p>
      <w:pPr>
        <w:pStyle w:val="Heading2"/>
        <w:spacing w:line="240" w:lineRule="auto" w:before="36"/>
        <w:ind w:left="157" w:right="3301"/>
        <w:jc w:val="left"/>
        <w:rPr>
          <w:b w:val="0"/>
          <w:bCs w:val="0"/>
        </w:rPr>
      </w:pPr>
      <w:r>
        <w:rPr>
          <w:rFonts w:ascii="宋体" w:hAnsi="宋体" w:cs="宋体" w:eastAsia="宋体" w:hint="default"/>
        </w:rPr>
        <w:t>(2) </w:t>
      </w:r>
      <w:r>
        <w:rPr/>
        <w:t>会计利润与所得税费用调整过程：</w:t>
      </w:r>
      <w:r>
        <w:rPr>
          <w:b w:val="0"/>
          <w:bCs w:val="0"/>
        </w:rPr>
      </w:r>
    </w:p>
    <w:p>
      <w:pPr>
        <w:pStyle w:val="BodyText"/>
        <w:tabs>
          <w:tab w:pos="1051" w:val="left" w:leader="none"/>
        </w:tabs>
        <w:spacing w:line="240" w:lineRule="auto" w:before="97"/>
        <w:ind w:left="0" w:right="15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4302"/>
        <w:gridCol w:w="4592"/>
      </w:tblGrid>
      <w:tr>
        <w:trPr>
          <w:trHeight w:val="32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414,354,967.08</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15,076,634.95</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-1,320,480.75</w:t>
            </w:r>
          </w:p>
        </w:tc>
      </w:tr>
      <w:tr>
        <w:trPr>
          <w:trHeight w:val="32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-856,425.08</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1,579,522.86</w:t>
            </w:r>
          </w:p>
        </w:tc>
      </w:tr>
      <w:tr>
        <w:trPr>
          <w:trHeight w:val="63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-3,276,101.96</w:t>
            </w:r>
          </w:p>
        </w:tc>
      </w:tr>
      <w:tr>
        <w:trPr>
          <w:trHeight w:val="63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11,119,771.54</w:t>
            </w:r>
          </w:p>
        </w:tc>
      </w:tr>
      <w:tr>
        <w:trPr>
          <w:trHeight w:val="32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-251,713.02</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22,071,208.54</w:t>
            </w:r>
          </w:p>
        </w:tc>
      </w:tr>
    </w:tbl>
    <w:p>
      <w:pPr>
        <w:pStyle w:val="BodyText"/>
        <w:spacing w:line="324" w:lineRule="auto" w:before="47"/>
        <w:ind w:left="157" w:right="7919"/>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spacing w:line="324" w:lineRule="auto" w:before="0"/>
        <w:ind w:left="157" w:right="7199"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20" w:right="1640"/>
        </w:sectPr>
      </w:pPr>
    </w:p>
    <w:p>
      <w:pPr>
        <w:pStyle w:val="Heading2"/>
        <w:spacing w:line="240" w:lineRule="auto" w:before="36"/>
        <w:ind w:left="157" w:right="-2"/>
        <w:jc w:val="left"/>
        <w:rPr>
          <w:b w:val="0"/>
          <w:bCs w:val="0"/>
        </w:rPr>
      </w:pPr>
      <w:r>
        <w:rPr>
          <w:rFonts w:ascii="宋体" w:hAnsi="宋体" w:cs="宋体" w:eastAsia="宋体" w:hint="default"/>
        </w:rPr>
        <w:t>72</w:t>
      </w:r>
      <w:r>
        <w:rPr/>
        <w:t>、</w:t>
      </w:r>
      <w:r>
        <w:rPr>
          <w:spacing w:val="-23"/>
        </w:rPr>
        <w:t> </w:t>
      </w:r>
      <w:r>
        <w:rPr/>
        <w:t>现金流量表项目</w:t>
      </w:r>
      <w:r>
        <w:rPr>
          <w:b w:val="0"/>
          <w:bCs w:val="0"/>
        </w:rPr>
      </w:r>
    </w:p>
    <w:p>
      <w:pPr>
        <w:pStyle w:val="Heading2"/>
        <w:tabs>
          <w:tab w:pos="857" w:val="left" w:leader="none"/>
        </w:tabs>
        <w:spacing w:line="240" w:lineRule="auto" w:before="97"/>
        <w:ind w:left="157"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640"/>
          <w:cols w:num="2" w:equalWidth="0">
            <w:col w:w="4233" w:space="2289"/>
            <w:col w:w="2628"/>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收单位往来款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65,912,190.77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50,776,581.82</w:t>
            </w: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49,654,073.51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124,171,780.37</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21,503,342.12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29,361,792.10</w:t>
            </w:r>
          </w:p>
        </w:tc>
      </w:tr>
    </w:tbl>
    <w:p>
      <w:pPr>
        <w:spacing w:after="0" w:line="265" w:lineRule="exact"/>
        <w:jc w:val="right"/>
        <w:rPr>
          <w:rFonts w:ascii="宋体" w:hAnsi="宋体" w:cs="宋体" w:eastAsia="宋体" w:hint="default"/>
          <w:sz w:val="21"/>
          <w:szCs w:val="21"/>
        </w:rPr>
        <w:sectPr>
          <w:type w:val="continuous"/>
          <w:pgSz w:w="11910" w:h="16840"/>
          <w:pgMar w:top="1120" w:bottom="1380" w:left="1120" w:right="164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会员款项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18,837,701.92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13,173,099.73</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10,941,731.77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1,570,975.00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4,561,340.04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5,128,936.27</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2,633,453.95</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收到的退款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847,149.73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4,653,196.68</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赔款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856,561.00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4,312,656.76</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789,766.44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2,434,917.32</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1,930,979.53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6,613,700.87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178,468,290.78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242,197,636.92</w:t>
            </w:r>
          </w:p>
        </w:tc>
      </w:tr>
    </w:tbl>
    <w:p>
      <w:pPr>
        <w:pStyle w:val="BodyText"/>
        <w:spacing w:line="309" w:lineRule="auto" w:before="26"/>
        <w:ind w:left="157" w:right="5055"/>
        <w:jc w:val="left"/>
      </w:pPr>
      <w:r>
        <w:rPr>
          <w:spacing w:val="-2"/>
        </w:rPr>
        <w:t>收到的其他与经营活动有关的现金说明：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3"/>
          <w:szCs w:val="23"/>
        </w:rPr>
      </w:pPr>
    </w:p>
    <w:p>
      <w:pPr>
        <w:pStyle w:val="Heading2"/>
        <w:tabs>
          <w:tab w:pos="857" w:val="left" w:leader="none"/>
        </w:tabs>
        <w:spacing w:line="240" w:lineRule="auto" w:before="36"/>
        <w:ind w:left="157" w:right="3301"/>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97"/>
        <w:ind w:left="0" w:right="15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349"/>
        <w:gridCol w:w="2760"/>
        <w:gridCol w:w="2787"/>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46,991,422.86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33,310,857.24</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34,001,225.09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29,344,351.13</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付单位往来款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24,278,270.78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151,891,956.61</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19,993,044.11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18,537,131.45</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17,744,177.02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17,396,638.75</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15,631,795.03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14,209,934.12</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信息及技术服务费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10,183,666.86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15,267,585.33</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制作服务费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8,263,380.94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9,858,544.07</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6,667,037.14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5,148,101.00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5,505,191.25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9,431,633.29</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15,168,470.30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35,727,464.03</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204,427,681.38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340,124,197.02</w:t>
            </w:r>
          </w:p>
        </w:tc>
      </w:tr>
    </w:tbl>
    <w:p>
      <w:pPr>
        <w:pStyle w:val="BodyText"/>
        <w:spacing w:line="324" w:lineRule="auto" w:before="47"/>
        <w:ind w:left="157" w:right="5055"/>
        <w:jc w:val="left"/>
      </w:pPr>
      <w:r>
        <w:rPr>
          <w:spacing w:val="-2"/>
        </w:rPr>
        <w:t>支付的其他与经营活动有关的现金说明：</w:t>
      </w:r>
      <w:r>
        <w:rPr>
          <w:spacing w:val="-69"/>
        </w:rPr>
        <w:t> </w:t>
      </w:r>
      <w:r>
        <w:rPr>
          <w:spacing w:val="-69"/>
        </w:rPr>
      </w:r>
      <w:r>
        <w:rPr/>
        <w:t>无</w:t>
      </w:r>
    </w:p>
    <w:p>
      <w:pPr>
        <w:spacing w:line="240" w:lineRule="auto" w:before="8"/>
        <w:rPr>
          <w:rFonts w:ascii="宋体" w:hAnsi="宋体" w:cs="宋体" w:eastAsia="宋体" w:hint="default"/>
          <w:sz w:val="26"/>
          <w:szCs w:val="26"/>
        </w:rPr>
      </w:pPr>
    </w:p>
    <w:p>
      <w:pPr>
        <w:pStyle w:val="Heading2"/>
        <w:tabs>
          <w:tab w:pos="884" w:val="left" w:leader="none"/>
        </w:tabs>
        <w:spacing w:line="240" w:lineRule="auto" w:before="36"/>
        <w:ind w:left="157" w:right="3301"/>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97"/>
        <w:ind w:left="0" w:right="151"/>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理财产品汇兑收益</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266,400.00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定期存款到期收回</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7,103,890.75</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2,625,526.03</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1,422.00</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266,400.00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9,730,838.78</w:t>
            </w:r>
          </w:p>
        </w:tc>
      </w:tr>
    </w:tbl>
    <w:p>
      <w:pPr>
        <w:pStyle w:val="BodyText"/>
        <w:spacing w:line="290" w:lineRule="auto" w:before="26"/>
        <w:ind w:left="157" w:right="5055"/>
        <w:jc w:val="left"/>
      </w:pPr>
      <w:r>
        <w:rPr>
          <w:spacing w:val="-2"/>
        </w:rPr>
        <w:t>收到的其他与投资活动有关的现金说明：</w:t>
      </w:r>
      <w:r>
        <w:rPr>
          <w:spacing w:val="-69"/>
        </w:rPr>
        <w:t> </w:t>
      </w:r>
      <w:r>
        <w:rPr>
          <w:spacing w:val="-69"/>
        </w:rPr>
      </w:r>
      <w:r>
        <w:rPr/>
        <w:t>无</w:t>
      </w:r>
    </w:p>
    <w:p>
      <w:pPr>
        <w:spacing w:after="0" w:line="290" w:lineRule="auto"/>
        <w:jc w:val="left"/>
        <w:sectPr>
          <w:footerReference w:type="default" r:id="rId70"/>
          <w:pgSz w:w="11910" w:h="16840"/>
          <w:pgMar w:footer="1195" w:header="882" w:top="1120" w:bottom="1380" w:left="112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tabs>
          <w:tab w:pos="944" w:val="left" w:leader="none"/>
        </w:tabs>
        <w:spacing w:line="240" w:lineRule="auto" w:before="36"/>
        <w:ind w:left="217" w:right="294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合并范围变化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72,980,047.34</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境外证券资产计划管理费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110,414.74</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72,996,047.34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110,414.74</w:t>
            </w:r>
          </w:p>
        </w:tc>
      </w:tr>
    </w:tbl>
    <w:p>
      <w:pPr>
        <w:pStyle w:val="BodyText"/>
        <w:spacing w:line="324" w:lineRule="auto" w:before="47"/>
        <w:ind w:left="217" w:right="5271"/>
        <w:jc w:val="left"/>
      </w:pPr>
      <w:r>
        <w:rPr>
          <w:spacing w:val="-2"/>
        </w:rPr>
        <w:t>支付的其他与投资活动有关的现金说明：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pStyle w:val="Heading2"/>
        <w:tabs>
          <w:tab w:pos="1057" w:val="left" w:leader="none"/>
        </w:tabs>
        <w:spacing w:line="240" w:lineRule="auto" w:before="36"/>
        <w:ind w:left="217" w:right="294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股利分配个税</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3,708,936.92</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股利分配保证金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833,896.00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收政府补贴款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14,000,000.00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6,542,832.92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14,000,000.00</w:t>
            </w:r>
          </w:p>
        </w:tc>
      </w:tr>
    </w:tbl>
    <w:p>
      <w:pPr>
        <w:pStyle w:val="BodyText"/>
        <w:spacing w:line="326" w:lineRule="auto" w:before="47"/>
        <w:ind w:left="217" w:right="5271"/>
        <w:jc w:val="left"/>
      </w:pPr>
      <w:r>
        <w:rPr>
          <w:spacing w:val="-2"/>
        </w:rPr>
        <w:t>收到的其他与筹资活动有关的现金说明：</w:t>
      </w:r>
      <w:r>
        <w:rPr>
          <w:spacing w:val="-69"/>
        </w:rPr>
        <w:t> </w:t>
      </w:r>
      <w:r>
        <w:rPr>
          <w:spacing w:val="-69"/>
        </w:rPr>
      </w:r>
      <w:r>
        <w:rPr/>
        <w:t>无</w:t>
      </w:r>
    </w:p>
    <w:p>
      <w:pPr>
        <w:spacing w:line="240" w:lineRule="auto" w:before="9"/>
        <w:rPr>
          <w:rFonts w:ascii="宋体" w:hAnsi="宋体" w:cs="宋体" w:eastAsia="宋体" w:hint="default"/>
          <w:sz w:val="22"/>
          <w:szCs w:val="22"/>
        </w:rPr>
      </w:pPr>
    </w:p>
    <w:p>
      <w:pPr>
        <w:pStyle w:val="Heading2"/>
        <w:tabs>
          <w:tab w:pos="1057" w:val="left" w:leader="none"/>
        </w:tabs>
        <w:spacing w:line="240" w:lineRule="auto" w:before="36"/>
        <w:ind w:left="217" w:right="294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股利分配保证金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股利分配手续费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631,725.50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0"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349,381.32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272,517.42</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境外投资者企业所得税</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157,586.53</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3,138,693.35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272,517.42</w:t>
            </w:r>
          </w:p>
        </w:tc>
      </w:tr>
    </w:tbl>
    <w:p>
      <w:pPr>
        <w:spacing w:after="0" w:line="263" w:lineRule="exact"/>
        <w:jc w:val="right"/>
        <w:rPr>
          <w:rFonts w:ascii="宋体" w:hAnsi="宋体" w:cs="宋体" w:eastAsia="宋体" w:hint="default"/>
          <w:sz w:val="21"/>
          <w:szCs w:val="21"/>
        </w:rPr>
        <w:sectPr>
          <w:footerReference w:type="default" r:id="rId71"/>
          <w:pgSz w:w="11910" w:h="16840"/>
          <w:pgMar w:footer="1195" w:header="882" w:top="1120" w:bottom="1380" w:left="1060" w:right="1560"/>
          <w:pgNumType w:start="131"/>
        </w:sectPr>
      </w:pPr>
    </w:p>
    <w:p>
      <w:pPr>
        <w:pStyle w:val="BodyText"/>
        <w:spacing w:line="324" w:lineRule="auto" w:before="47"/>
        <w:ind w:left="217" w:right="0"/>
        <w:jc w:val="left"/>
      </w:pPr>
      <w:r>
        <w:rPr>
          <w:spacing w:val="-2"/>
        </w:rPr>
        <w:t>支付的其他与筹资活动有关的现金说明：</w:t>
      </w:r>
      <w:r>
        <w:rPr>
          <w:spacing w:val="-69"/>
        </w:rPr>
        <w:t> </w:t>
      </w:r>
      <w:r>
        <w:rPr>
          <w:spacing w:val="-69"/>
        </w:rPr>
      </w:r>
      <w:r>
        <w:rPr/>
        <w:t>无</w:t>
      </w:r>
    </w:p>
    <w:p>
      <w:pPr>
        <w:pStyle w:val="Heading2"/>
        <w:spacing w:line="324" w:lineRule="auto" w:before="23"/>
        <w:ind w:left="217" w:right="1362"/>
        <w:jc w:val="left"/>
        <w:rPr>
          <w:b w:val="0"/>
          <w:bCs w:val="0"/>
        </w:rPr>
      </w:pPr>
      <w:r>
        <w:rPr>
          <w:rFonts w:ascii="宋体" w:hAnsi="宋体" w:cs="宋体" w:eastAsia="宋体" w:hint="default"/>
        </w:rPr>
        <w:t>73</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003" w:space="2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392,283,758.54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445,615,297.77</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8,154,110.24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25,008,094.43</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33,543,721.28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26,791,082.95</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17,498,894.17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15,614,782.89</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5,586,601.43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8,575,760.74</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处置固定资产、无形资产和其他长期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105,599.77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-43,468.94</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614.03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6,330.04</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-875,175.30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-3,635,948.41</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-144,480,893.23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-93,833,241.40</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1,114,356.65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-2,907,716.53</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-1,765,246.78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-1,211,571.64</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-38,346,443.95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-76,727,270.17</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92,585,905.58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21,932,087.55</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-413,333.28</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364,992,469.15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365,184,219.28</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1,251,352,636.22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1,519,518,097.43</w:t>
            </w: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1,519,518,097.43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1,842,372,548.68</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-268,165,461.21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-322,854,451.25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6" w:space="271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6249"/>
        <w:gridCol w:w="2801"/>
      </w:tblGrid>
      <w:tr>
        <w:trPr>
          <w:trHeight w:val="329" w:hRule="exact"/>
        </w:trPr>
        <w:tc>
          <w:tcPr>
            <w:tcW w:w="6249"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1183"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801"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216" w:right="0"/>
              <w:jc w:val="left"/>
              <w:rPr>
                <w:rFonts w:ascii="宋体" w:hAnsi="宋体" w:cs="宋体" w:eastAsia="宋体" w:hint="default"/>
                <w:sz w:val="21"/>
                <w:szCs w:val="21"/>
              </w:rPr>
            </w:pPr>
            <w:r>
              <w:rPr>
                <w:rFonts w:ascii="宋体"/>
                <w:sz w:val="21"/>
              </w:rPr>
              <w:t>101,178,000.00</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249"/>
        <w:gridCol w:w="2801"/>
      </w:tblGrid>
      <w:tr>
        <w:trPr>
          <w:trHeight w:val="327"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其中：成都古羌科技有限公司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20,168,000.00</w:t>
            </w:r>
          </w:p>
        </w:tc>
      </w:tr>
      <w:tr>
        <w:trPr>
          <w:trHeight w:val="32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629"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81,010,000.00</w:t>
            </w:r>
          </w:p>
        </w:tc>
      </w:tr>
      <w:tr>
        <w:trPr>
          <w:trHeight w:val="326" w:hRule="exact"/>
        </w:trPr>
        <w:tc>
          <w:tcPr>
            <w:tcW w:w="6249"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801"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101,178,000.00</w:t>
            </w:r>
          </w:p>
        </w:tc>
      </w:tr>
    </w:tbl>
    <w:p>
      <w:pPr>
        <w:pStyle w:val="BodyText"/>
        <w:spacing w:line="273" w:lineRule="auto"/>
        <w:ind w:left="217" w:right="8104"/>
        <w:jc w:val="left"/>
      </w:pPr>
      <w:r>
        <w:rPr/>
        <w:t>其他说明</w:t>
      </w:r>
      <w:r>
        <w:rPr>
          <w:rFonts w:ascii="宋体" w:hAnsi="宋体" w:cs="宋体" w:eastAsia="宋体" w:hint="default"/>
        </w:rPr>
        <w:t>:</w:t>
      </w:r>
      <w:r>
        <w:rPr>
          <w:rFonts w:ascii="宋体" w:hAnsi="宋体" w:cs="宋体" w:eastAsia="宋体" w:hint="default"/>
          <w:w w:val="100"/>
        </w:rPr>
        <w:t> </w:t>
      </w:r>
      <w:r>
        <w:rPr/>
        <w:t>无</w:t>
      </w:r>
    </w:p>
    <w:p>
      <w:pPr>
        <w:spacing w:line="240" w:lineRule="auto" w:before="0"/>
        <w:rPr>
          <w:rFonts w:ascii="宋体" w:hAnsi="宋体" w:cs="宋体" w:eastAsia="宋体" w:hint="default"/>
          <w:sz w:val="29"/>
          <w:szCs w:val="29"/>
        </w:rPr>
      </w:pPr>
    </w:p>
    <w:p>
      <w:pPr>
        <w:pStyle w:val="Heading2"/>
        <w:spacing w:line="240" w:lineRule="auto"/>
        <w:ind w:left="217" w:right="2940"/>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97"/>
        <w:ind w:left="217" w:right="2940"/>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before="36"/>
        <w:ind w:left="217" w:right="2940"/>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tabs>
          <w:tab w:pos="1051" w:val="left" w:leader="none"/>
        </w:tabs>
        <w:spacing w:line="240" w:lineRule="auto" w:before="9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1,251,352,636.22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1,519,518,097.43</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1,107,156.66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1,261,499.06</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1,249,464,575.30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1,511,822,997.75</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780,904.26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6,433,600.62</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1,251,352,636.22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1,519,518,097.43</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637" w:right="126"/>
        <w:jc w:val="left"/>
      </w:pPr>
      <w:r>
        <w:rPr/>
        <w:t>注</w:t>
      </w:r>
      <w:r>
        <w:rPr>
          <w:spacing w:val="17"/>
        </w:rPr>
        <w:t> </w:t>
      </w:r>
      <w:r>
        <w:rPr>
          <w:rFonts w:ascii="宋体" w:hAnsi="宋体" w:cs="宋体" w:eastAsia="宋体" w:hint="default"/>
          <w:spacing w:val="-2"/>
        </w:rPr>
        <w:t>1</w:t>
      </w:r>
      <w:r>
        <w:rPr>
          <w:spacing w:val="-2"/>
        </w:rPr>
        <w:t>：现金和现金等价物不含母公司或集团内子公司使用受限制的现金和现金等价物。</w:t>
      </w:r>
    </w:p>
    <w:p>
      <w:pPr>
        <w:pStyle w:val="BodyText"/>
        <w:spacing w:line="273" w:lineRule="auto" w:before="37"/>
        <w:ind w:left="217" w:right="126" w:firstLine="420"/>
        <w:jc w:val="left"/>
      </w:pPr>
      <w:r>
        <w:rPr/>
        <w:t>注 </w:t>
      </w:r>
      <w:r>
        <w:rPr>
          <w:rFonts w:ascii="宋体" w:hAnsi="宋体" w:cs="宋体" w:eastAsia="宋体" w:hint="default"/>
          <w:spacing w:val="-2"/>
        </w:rPr>
        <w:t>2</w:t>
      </w:r>
      <w:r>
        <w:rPr>
          <w:spacing w:val="-2"/>
        </w:rPr>
        <w:t>：本公司境外子公司无由于该子公司所在地区实行外汇管制，向母公司汇出现金及现金</w:t>
      </w:r>
      <w:r>
        <w:rPr>
          <w:w w:val="100"/>
        </w:rPr>
        <w:t> </w:t>
      </w:r>
      <w:r>
        <w:rPr/>
        <w:t>等价物的能力受到限制的情况</w:t>
      </w:r>
    </w:p>
    <w:p>
      <w:pPr>
        <w:spacing w:line="240" w:lineRule="auto" w:before="6"/>
        <w:rPr>
          <w:rFonts w:ascii="宋体" w:hAnsi="宋体" w:cs="宋体" w:eastAsia="宋体" w:hint="default"/>
          <w:sz w:val="24"/>
          <w:szCs w:val="24"/>
        </w:rPr>
      </w:pPr>
    </w:p>
    <w:p>
      <w:pPr>
        <w:pStyle w:val="BodyText"/>
        <w:spacing w:line="273" w:lineRule="auto"/>
        <w:ind w:left="416" w:right="7800"/>
        <w:jc w:val="left"/>
      </w:pPr>
      <w:r>
        <w:rPr/>
        <w:t>其他说明：</w:t>
      </w:r>
      <w:r>
        <w:rPr>
          <w:spacing w:val="-102"/>
        </w:rPr>
        <w:t> </w:t>
      </w:r>
      <w:r>
        <w:rPr>
          <w:spacing w:val="-102"/>
        </w:rPr>
      </w:r>
      <w:r>
        <w:rPr/>
        <w:t>无</w:t>
      </w:r>
    </w:p>
    <w:p>
      <w:pPr>
        <w:spacing w:line="240" w:lineRule="auto" w:before="0"/>
        <w:rPr>
          <w:rFonts w:ascii="宋体" w:hAnsi="宋体" w:cs="宋体" w:eastAsia="宋体" w:hint="default"/>
          <w:sz w:val="29"/>
          <w:szCs w:val="29"/>
        </w:rPr>
      </w:pPr>
    </w:p>
    <w:p>
      <w:pPr>
        <w:pStyle w:val="Heading2"/>
        <w:spacing w:line="240" w:lineRule="auto"/>
        <w:ind w:left="217" w:right="2940"/>
        <w:jc w:val="left"/>
        <w:rPr>
          <w:b w:val="0"/>
          <w:bCs w:val="0"/>
        </w:rPr>
      </w:pPr>
      <w:r>
        <w:rPr>
          <w:rFonts w:ascii="宋体" w:hAnsi="宋体" w:cs="宋体" w:eastAsia="宋体" w:hint="default"/>
        </w:rPr>
        <w:t>74</w:t>
      </w:r>
      <w:r>
        <w:rPr/>
        <w:t>、</w:t>
      </w:r>
      <w:r>
        <w:rPr>
          <w:spacing w:val="-27"/>
        </w:rPr>
        <w:t> </w:t>
      </w:r>
      <w:r>
        <w:rPr/>
        <w:t>所有者权益变动表项目注释</w:t>
      </w:r>
      <w:r>
        <w:rPr>
          <w:b w:val="0"/>
          <w:bCs w:val="0"/>
        </w:rPr>
      </w:r>
    </w:p>
    <w:p>
      <w:pPr>
        <w:pStyle w:val="BodyText"/>
        <w:spacing w:line="254" w:lineRule="auto" w:before="97"/>
        <w:ind w:left="217" w:right="2431"/>
        <w:jc w:val="left"/>
      </w:pPr>
      <w:r>
        <w:rPr>
          <w:spacing w:val="-2"/>
        </w:rPr>
        <w:t>说明对上年期末余额进行调整的“其他”项目名称及调整金额等事项：</w:t>
      </w:r>
      <w:r>
        <w:rPr>
          <w:spacing w:val="-45"/>
        </w:rPr>
        <w:t> </w:t>
      </w:r>
      <w:r>
        <w:rPr>
          <w:spacing w:val="-45"/>
        </w:rPr>
      </w:r>
      <w:r>
        <w:rPr/>
        <w:t>无</w:t>
      </w:r>
    </w:p>
    <w:p>
      <w:pPr>
        <w:spacing w:line="240" w:lineRule="auto" w:before="0"/>
        <w:rPr>
          <w:rFonts w:ascii="宋体" w:hAnsi="宋体" w:cs="宋体" w:eastAsia="宋体" w:hint="default"/>
          <w:sz w:val="29"/>
          <w:szCs w:val="29"/>
        </w:rPr>
      </w:pPr>
    </w:p>
    <w:p>
      <w:pPr>
        <w:pStyle w:val="Heading2"/>
        <w:spacing w:line="240" w:lineRule="auto"/>
        <w:ind w:left="217" w:right="2940"/>
        <w:jc w:val="left"/>
        <w:rPr>
          <w:b w:val="0"/>
          <w:bCs w:val="0"/>
        </w:rPr>
      </w:pPr>
      <w:r>
        <w:rPr>
          <w:rFonts w:ascii="宋体" w:hAnsi="宋体" w:cs="宋体" w:eastAsia="宋体" w:hint="default"/>
        </w:rPr>
        <w:t>75</w:t>
      </w:r>
      <w:r>
        <w:rPr/>
        <w:t>、</w:t>
      </w:r>
      <w:r>
        <w:rPr>
          <w:spacing w:val="-26"/>
        </w:rPr>
        <w:t> </w:t>
      </w:r>
      <w:r>
        <w:rPr/>
        <w:t>所有权或使用权受到限制的资产</w:t>
      </w:r>
      <w:r>
        <w:rPr>
          <w:b w:val="0"/>
          <w:bCs w:val="0"/>
        </w:rPr>
      </w:r>
    </w:p>
    <w:p>
      <w:pPr>
        <w:pStyle w:val="BodyText"/>
        <w:spacing w:line="240" w:lineRule="auto" w:before="97"/>
        <w:ind w:left="217" w:right="294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pStyle w:val="Heading2"/>
        <w:spacing w:line="240" w:lineRule="auto" w:before="36"/>
        <w:ind w:left="217" w:right="-16"/>
        <w:jc w:val="left"/>
        <w:rPr>
          <w:b w:val="0"/>
          <w:bCs w:val="0"/>
        </w:rPr>
      </w:pPr>
      <w:r>
        <w:rPr>
          <w:rFonts w:ascii="宋体" w:hAnsi="宋体" w:cs="宋体" w:eastAsia="宋体" w:hint="default"/>
        </w:rPr>
        <w:t>76</w:t>
      </w:r>
      <w:r>
        <w:rPr/>
        <w:t>、</w:t>
      </w:r>
      <w:r>
        <w:rPr>
          <w:spacing w:val="-23"/>
        </w:rPr>
        <w:t> </w:t>
      </w:r>
      <w:r>
        <w:rPr/>
        <w:t>外币货币性项目</w:t>
      </w:r>
      <w:r>
        <w:rPr>
          <w:b w:val="0"/>
          <w:bCs w:val="0"/>
        </w:rPr>
      </w:r>
    </w:p>
    <w:p>
      <w:pPr>
        <w:pStyle w:val="BodyText"/>
        <w:spacing w:line="240" w:lineRule="auto" w:before="97"/>
        <w:ind w:left="217" w:right="-16"/>
        <w:jc w:val="left"/>
      </w:pPr>
      <w:r>
        <w:rPr/>
        <w:t>√适用 □不适用</w:t>
      </w:r>
    </w:p>
    <w:p>
      <w:pPr>
        <w:pStyle w:val="Heading2"/>
        <w:tabs>
          <w:tab w:pos="917" w:val="left" w:leader="none"/>
        </w:tabs>
        <w:spacing w:line="240" w:lineRule="auto" w:before="97"/>
        <w:ind w:left="217" w:right="-16"/>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2608" w:space="5385"/>
            <w:col w:w="129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63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6" w:right="279" w:hanging="527"/>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r>
    </w:tbl>
    <w:p>
      <w:pPr>
        <w:spacing w:after="0" w:line="273"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63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6" w:right="279" w:hanging="527"/>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1,318,708.66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0.837800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1,104,814.12</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4,295.82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9.615900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41,308.18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500,739.90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6.493600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3,251,604.61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152,543,663.00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0.053880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8,218,289.84</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1,565,351.45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0.421260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659,419.95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414,621,091.00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0.005510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2,285,806.07</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677,821.24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0.088400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59,919.40</w:t>
            </w:r>
          </w:p>
        </w:tc>
      </w:tr>
      <w:tr>
        <w:trPr>
          <w:trHeight w:val="32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196,073.60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4.727600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926,957.55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44,431.30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7.095200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315,248.96</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233,842.43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0.771800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180,479.59</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7.095200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35,476.00</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1,517,333.00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81,746.32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556,538.77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0.837800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466,268.18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26,134.96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9.615900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251,311.16</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108,022.63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6.493600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701,455.75</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247,000.00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13,307.13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82,617.27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0.421260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34,803.35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162,520,800.00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0.005513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895,977.17</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375,580.05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0.088400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33,201.28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499.00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4.727600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2,359.07</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55,098.00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7.095200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390,931.33</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437,000.00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0.771800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337,276.60</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28,490.50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0.837800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23,869.34</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19,806.75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0.421260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8,343.79</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703.00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7.095200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4,987.93</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4,968.05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6.493600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32,260.53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123,010.00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0.005513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678.15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7,853.54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0.421260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3,308.38</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8,812.34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4.727600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41,661.22</w:t>
            </w:r>
          </w:p>
        </w:tc>
      </w:tr>
    </w:tbl>
    <w:p>
      <w:pPr>
        <w:spacing w:line="240" w:lineRule="auto" w:before="10"/>
        <w:rPr>
          <w:rFonts w:ascii="宋体" w:hAnsi="宋体" w:cs="宋体" w:eastAsia="宋体" w:hint="default"/>
          <w:sz w:val="24"/>
          <w:szCs w:val="24"/>
        </w:rPr>
      </w:pPr>
    </w:p>
    <w:p>
      <w:pPr>
        <w:pStyle w:val="BodyText"/>
        <w:spacing w:line="240" w:lineRule="auto" w:before="36"/>
        <w:ind w:left="217" w:right="2940"/>
        <w:jc w:val="left"/>
      </w:pPr>
      <w:r>
        <w:rPr/>
        <w:t>其他说明：</w:t>
      </w:r>
    </w:p>
    <w:p>
      <w:pPr>
        <w:spacing w:after="0" w:line="240" w:lineRule="auto"/>
        <w:jc w:val="left"/>
        <w:sectPr>
          <w:pgSz w:w="11910" w:h="16840"/>
          <w:pgMar w:header="882" w:footer="1195" w:top="1120" w:bottom="13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817" w:right="1209"/>
        <w:jc w:val="left"/>
      </w:pPr>
      <w:r>
        <w:rPr>
          <w:w w:val="100"/>
        </w:rPr>
        <w:t>无</w:t>
      </w:r>
    </w:p>
    <w:p>
      <w:pPr>
        <w:spacing w:line="240" w:lineRule="auto" w:before="0"/>
        <w:rPr>
          <w:rFonts w:ascii="宋体" w:hAnsi="宋体" w:cs="宋体" w:eastAsia="宋体" w:hint="default"/>
          <w:sz w:val="20"/>
          <w:szCs w:val="20"/>
        </w:rPr>
      </w:pPr>
    </w:p>
    <w:p>
      <w:pPr>
        <w:pStyle w:val="Heading2"/>
        <w:tabs>
          <w:tab w:pos="1518" w:val="left" w:leader="none"/>
        </w:tabs>
        <w:spacing w:line="273" w:lineRule="auto" w:before="147"/>
        <w:ind w:left="1237" w:right="1209"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80"/>
        </w:rPr>
        <w:t> </w:t>
      </w:r>
      <w:r>
        <w:rPr>
          <w:spacing w:val="-80"/>
        </w:rPr>
      </w:r>
      <w:r>
        <w:rPr/>
        <w:t>币及选择依据，记账本位币发生变化的还应披露原因。</w:t>
      </w:r>
      <w:r>
        <w:rPr>
          <w:b w:val="0"/>
          <w:bCs w:val="0"/>
        </w:rPr>
      </w:r>
    </w:p>
    <w:p>
      <w:pPr>
        <w:pStyle w:val="BodyText"/>
        <w:spacing w:line="348" w:lineRule="auto" w:before="67"/>
        <w:ind w:left="1237" w:right="6943" w:hanging="420"/>
        <w:jc w:val="left"/>
      </w:pPr>
      <w:r>
        <w:rPr/>
        <w:pict>
          <v:shape style="position:absolute;margin-left:53.52pt;margin-top:39.613659pt;width:461.65pt;height:248.4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4"/>
                    <w:gridCol w:w="1999"/>
                    <w:gridCol w:w="2000"/>
                    <w:gridCol w:w="2000"/>
                  </w:tblGrid>
                  <w:tr>
                    <w:trPr>
                      <w:trHeight w:val="324" w:hRule="exact"/>
                    </w:trPr>
                    <w:tc>
                      <w:tcPr>
                        <w:tcW w:w="3234" w:type="dxa"/>
                        <w:tcBorders>
                          <w:top w:val="single" w:sz="12" w:space="0" w:color="000000"/>
                          <w:left w:val="nil" w:sz="6" w:space="0" w:color="auto"/>
                          <w:bottom w:val="nil" w:sz="6" w:space="0" w:color="auto"/>
                          <w:right w:val="single" w:sz="4" w:space="0" w:color="000000"/>
                        </w:tcBorders>
                      </w:tcPr>
                      <w:p>
                        <w:pPr>
                          <w:pStyle w:val="TableParagraph"/>
                          <w:tabs>
                            <w:tab w:pos="650" w:val="left" w:leader="none"/>
                          </w:tabs>
                          <w:spacing w:line="240" w:lineRule="auto" w:before="74"/>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20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000" w:type="dxa"/>
                        <w:tcBorders>
                          <w:top w:val="single" w:sz="12" w:space="0" w:color="000000"/>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450"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悉尼</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澳大利亚元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莫斯科</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卢布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4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首尔</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韩元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美元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旧金山</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美元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约翰内斯堡</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兰特</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62"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东京</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日元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61"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港币</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4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伦敦</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英镑</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59" w:hRule="exact"/>
                    </w:trPr>
                    <w:tc>
                      <w:tcPr>
                        <w:tcW w:w="323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single" w:sz="4" w:space="0" w:color="000000"/>
                        </w:tcBorders>
                      </w:tcPr>
                      <w:p>
                        <w:pPr/>
                      </w:p>
                    </w:tc>
                    <w:tc>
                      <w:tcPr>
                        <w:tcW w:w="2000"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23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人民网法国有限责任公司</w:t>
                        </w:r>
                      </w:p>
                    </w:tc>
                    <w:tc>
                      <w:tcPr>
                        <w:tcW w:w="19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巴黎</w:t>
                        </w:r>
                      </w:p>
                    </w:tc>
                    <w:tc>
                      <w:tcPr>
                        <w:tcW w:w="200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欧元</w:t>
                        </w:r>
                      </w:p>
                    </w:tc>
                    <w:tc>
                      <w:tcPr>
                        <w:tcW w:w="20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416" w:hRule="exact"/>
                    </w:trPr>
                    <w:tc>
                      <w:tcPr>
                        <w:tcW w:w="3234"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人民网北欧有限责任公司</w:t>
                        </w:r>
                      </w:p>
                    </w:tc>
                    <w:tc>
                      <w:tcPr>
                        <w:tcW w:w="19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瑞典</w:t>
                        </w:r>
                      </w:p>
                    </w:tc>
                    <w:tc>
                      <w:tcPr>
                        <w:tcW w:w="20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瑞典克朗</w:t>
                        </w:r>
                      </w:p>
                    </w:tc>
                    <w:tc>
                      <w:tcPr>
                        <w:tcW w:w="2000" w:type="dxa"/>
                        <w:tcBorders>
                          <w:top w:val="nil" w:sz="6" w:space="0" w:color="auto"/>
                          <w:left w:val="single" w:sz="4" w:space="0" w:color="000000"/>
                          <w:bottom w:val="single" w:sz="12"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当地货币</w:t>
                        </w:r>
                      </w:p>
                    </w:tc>
                  </w:tr>
                </w:tbl>
                <w:p>
                  <w:pPr/>
                </w:p>
              </w:txbxContent>
            </v:textbox>
            <w10:wrap type="none"/>
          </v:shape>
        </w:pict>
      </w:r>
      <w:r>
        <w:rPr/>
        <w:t>√适用</w:t>
      </w:r>
      <w:r>
        <w:rPr>
          <w:spacing w:val="-2"/>
        </w:rPr>
        <w:t> </w:t>
      </w:r>
      <w:r>
        <w:rPr/>
        <w:t>□不适用</w:t>
      </w:r>
      <w:r>
        <w:rPr>
          <w:spacing w:val="-103"/>
        </w:rPr>
        <w:t> </w:t>
      </w:r>
      <w:r>
        <w:rPr>
          <w:spacing w:val="-103"/>
        </w:rPr>
      </w:r>
      <w:r>
        <w:rPr>
          <w:spacing w:val="-2"/>
        </w:rPr>
        <w:t>境外经营实体说明</w:t>
      </w:r>
    </w:p>
    <w:p>
      <w:pPr>
        <w:tabs>
          <w:tab w:pos="5838" w:val="left" w:leader="none"/>
          <w:tab w:pos="7838" w:val="left" w:leader="none"/>
        </w:tabs>
        <w:spacing w:line="20" w:lineRule="exact"/>
        <w:ind w:left="3839"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7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7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72"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2"/>
        <w:rPr>
          <w:rFonts w:ascii="宋体" w:hAnsi="宋体" w:cs="宋体" w:eastAsia="宋体" w:hint="default"/>
          <w:sz w:val="22"/>
          <w:szCs w:val="22"/>
        </w:rPr>
      </w:pPr>
    </w:p>
    <w:p>
      <w:pPr>
        <w:spacing w:line="100"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05pt;mso-position-horizontal-relative:char;mso-position-vertical-relative:line" coordorigin="0,0" coordsize="9218,101">
            <v:shape style="position:absolute;left:0;top:0;width:3234;height:101" type="#_x0000_t75" stroked="false">
              <v:imagedata r:id="rId73" o:title=""/>
            </v:shape>
            <v:shape style="position:absolute;left:3210;top:91;width:2004;height:10" type="#_x0000_t75" stroked="false">
              <v:imagedata r:id="rId74" o:title=""/>
            </v:shape>
            <v:shape style="position:absolute;left:5209;top:91;width:4009;height:10" type="#_x0000_t75" stroked="false">
              <v:imagedata r:id="rId75"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7" o:title=""/>
            </v:shape>
            <v:shape style="position:absolute;left:5209;top:94;width:4009;height:10" type="#_x0000_t75" stroked="false">
              <v:imagedata r:id="rId78"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05pt;mso-position-horizontal-relative:char;mso-position-vertical-relative:line" coordorigin="0,0" coordsize="9218,101">
            <v:shape style="position:absolute;left:0;top:0;width:3234;height:101" type="#_x0000_t75" stroked="false">
              <v:imagedata r:id="rId79" o:title=""/>
            </v:shape>
            <v:shape style="position:absolute;left:3210;top:91;width:2004;height:10" type="#_x0000_t75" stroked="false">
              <v:imagedata r:id="rId74" o:title=""/>
            </v:shape>
            <v:shape style="position:absolute;left:5209;top:91;width:4009;height:10" type="#_x0000_t75" stroked="false">
              <v:imagedata r:id="rId75"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4" o:title=""/>
            </v:shape>
            <v:shape style="position:absolute;left:5209;top:94;width:4009;height:10" type="#_x0000_t75" stroked="false">
              <v:imagedata r:id="rId75"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7" o:title=""/>
            </v:shape>
            <v:shape style="position:absolute;left:5209;top:94;width:4009;height:10" type="#_x0000_t75" stroked="false">
              <v:imagedata r:id="rId78"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80" o:title=""/>
            </v:shape>
            <v:shape style="position:absolute;left:3210;top:94;width:2004;height:10" type="#_x0000_t75" stroked="false">
              <v:imagedata r:id="rId74" o:title=""/>
            </v:shape>
            <v:shape style="position:absolute;left:5209;top:94;width:4009;height:10" type="#_x0000_t75" stroked="false">
              <v:imagedata r:id="rId75"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4" o:title=""/>
            </v:shape>
            <v:shape style="position:absolute;left:5209;top:94;width:4009;height:10" type="#_x0000_t75" stroked="false">
              <v:imagedata r:id="rId75"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7" o:title=""/>
            </v:shape>
            <v:shape style="position:absolute;left:5209;top:94;width:4009;height:10" type="#_x0000_t75" stroked="false">
              <v:imagedata r:id="rId78"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05pt;mso-position-horizontal-relative:char;mso-position-vertical-relative:line" coordorigin="0,0" coordsize="9218,101">
            <v:shape style="position:absolute;left:0;top:0;width:3234;height:101" type="#_x0000_t75" stroked="false">
              <v:imagedata r:id="rId81" o:title=""/>
            </v:shape>
            <v:shape style="position:absolute;left:3210;top:91;width:2004;height:10" type="#_x0000_t75" stroked="false">
              <v:imagedata r:id="rId74" o:title=""/>
            </v:shape>
            <v:shape style="position:absolute;left:5209;top:91;width:4009;height:10" type="#_x0000_t75" stroked="false">
              <v:imagedata r:id="rId75"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4" o:title=""/>
            </v:shape>
            <v:shape style="position:absolute;left:5209;top:94;width:4009;height:10" type="#_x0000_t75" stroked="false">
              <v:imagedata r:id="rId75"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6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9pt;height:5.2pt;mso-position-horizontal-relative:char;mso-position-vertical-relative:line" coordorigin="0,0" coordsize="9218,104">
            <v:shape style="position:absolute;left:0;top:0;width:3234;height:103" type="#_x0000_t75" stroked="false">
              <v:imagedata r:id="rId76" o:title=""/>
            </v:shape>
            <v:shape style="position:absolute;left:3210;top:94;width:2004;height:10" type="#_x0000_t75" stroked="false">
              <v:imagedata r:id="rId77" o:title=""/>
            </v:shape>
            <v:shape style="position:absolute;left:5209;top:94;width:4009;height:10" type="#_x0000_t75" stroked="false">
              <v:imagedata r:id="rId78"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40" w:lineRule="auto"/>
        <w:ind w:left="817" w:right="1209"/>
        <w:jc w:val="left"/>
        <w:rPr>
          <w:b w:val="0"/>
          <w:bCs w:val="0"/>
        </w:rPr>
      </w:pPr>
      <w:r>
        <w:rPr>
          <w:rFonts w:ascii="宋体" w:hAnsi="宋体" w:cs="宋体" w:eastAsia="宋体" w:hint="default"/>
        </w:rPr>
        <w:t>77</w:t>
      </w:r>
      <w:r>
        <w:rPr/>
        <w:t>、</w:t>
      </w:r>
      <w:r>
        <w:rPr>
          <w:spacing w:val="-25"/>
        </w:rPr>
        <w:t> </w:t>
      </w:r>
      <w:r>
        <w:rPr/>
        <w:t>套期</w:t>
      </w:r>
      <w:r>
        <w:rPr>
          <w:b w:val="0"/>
          <w:bCs w:val="0"/>
        </w:rPr>
      </w:r>
    </w:p>
    <w:p>
      <w:pPr>
        <w:pStyle w:val="BodyText"/>
        <w:spacing w:line="240" w:lineRule="auto" w:before="97"/>
        <w:ind w:left="817" w:right="1209"/>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817" w:right="9104"/>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其他</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60" w:right="580"/>
        </w:sectPr>
      </w:pPr>
    </w:p>
    <w:p>
      <w:pPr>
        <w:pStyle w:val="Heading2"/>
        <w:spacing w:line="240" w:lineRule="auto" w:before="36"/>
        <w:ind w:left="817" w:right="-4"/>
        <w:jc w:val="left"/>
        <w:rPr>
          <w:b w:val="0"/>
          <w:bCs w:val="0"/>
        </w:rPr>
      </w:pPr>
      <w:r>
        <w:rPr/>
        <w:t>八、合并范围的变更</w:t>
      </w:r>
      <w:r>
        <w:rPr>
          <w:b w:val="0"/>
          <w:bCs w:val="0"/>
        </w:rPr>
      </w:r>
    </w:p>
    <w:p>
      <w:pPr>
        <w:pStyle w:val="Heading2"/>
        <w:spacing w:line="240" w:lineRule="auto" w:before="97"/>
        <w:ind w:left="817"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left="817" w:right="-4"/>
        <w:jc w:val="left"/>
      </w:pPr>
      <w:r>
        <w:rPr/>
        <w:t>√适用 □不适用</w:t>
      </w:r>
    </w:p>
    <w:p>
      <w:pPr>
        <w:pStyle w:val="Heading2"/>
        <w:tabs>
          <w:tab w:pos="1474" w:val="left" w:leader="none"/>
        </w:tabs>
        <w:spacing w:line="240" w:lineRule="auto" w:before="97"/>
        <w:ind w:left="817"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97"/>
        <w:ind w:left="8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580"/>
          <w:cols w:num="2" w:equalWidth="0">
            <w:col w:w="4639" w:space="1883"/>
            <w:col w:w="434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75"/>
        <w:gridCol w:w="972"/>
        <w:gridCol w:w="1582"/>
        <w:gridCol w:w="854"/>
        <w:gridCol w:w="706"/>
        <w:gridCol w:w="992"/>
        <w:gridCol w:w="1135"/>
        <w:gridCol w:w="1702"/>
        <w:gridCol w:w="1416"/>
      </w:tblGrid>
      <w:tr>
        <w:trPr>
          <w:trHeight w:val="970" w:hRule="exact"/>
        </w:trPr>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before="153"/>
              <w:ind w:left="525" w:right="101"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163" w:right="158"/>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0" w:lineRule="auto" w:before="7"/>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4" w:right="132"/>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139" w:right="137"/>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213" w:right="104"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639" w:hRule="exact"/>
        </w:trPr>
        <w:tc>
          <w:tcPr>
            <w:tcW w:w="1275" w:type="dxa"/>
            <w:tcBorders>
              <w:top w:val="single" w:sz="6" w:space="0" w:color="000000"/>
              <w:left w:val="single" w:sz="4" w:space="0" w:color="000000"/>
              <w:bottom w:val="single" w:sz="4" w:space="0" w:color="000000"/>
              <w:right w:val="single" w:sz="6" w:space="0" w:color="000000"/>
            </w:tcBorders>
          </w:tcPr>
          <w:p>
            <w:pPr>
              <w:pStyle w:val="TableParagraph"/>
              <w:spacing w:line="273" w:lineRule="auto"/>
              <w:ind w:left="100" w:right="107"/>
              <w:jc w:val="left"/>
              <w:rPr>
                <w:rFonts w:ascii="宋体" w:hAnsi="宋体" w:cs="宋体" w:eastAsia="宋体" w:hint="default"/>
                <w:sz w:val="21"/>
                <w:szCs w:val="21"/>
              </w:rPr>
            </w:pPr>
            <w:r>
              <w:rPr>
                <w:rFonts w:ascii="宋体" w:hAnsi="宋体" w:cs="宋体" w:eastAsia="宋体" w:hint="default"/>
                <w:sz w:val="21"/>
                <w:szCs w:val="21"/>
              </w:rPr>
              <w:t>网际星辰文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化传媒（北</w:t>
            </w:r>
          </w:p>
        </w:tc>
        <w:tc>
          <w:tcPr>
            <w:tcW w:w="972"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22,400,000.00</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40.00</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73" w:lineRule="auto"/>
              <w:ind w:left="100" w:right="175"/>
              <w:jc w:val="left"/>
              <w:rPr>
                <w:rFonts w:ascii="宋体" w:hAnsi="宋体" w:cs="宋体" w:eastAsia="宋体" w:hint="default"/>
                <w:sz w:val="21"/>
                <w:szCs w:val="21"/>
              </w:rPr>
            </w:pPr>
            <w:r>
              <w:rPr>
                <w:rFonts w:ascii="宋体" w:hAnsi="宋体" w:cs="宋体" w:eastAsia="宋体" w:hint="default"/>
                <w:sz w:val="21"/>
                <w:szCs w:val="21"/>
              </w:rPr>
              <w:t>工商变更</w:t>
            </w:r>
            <w:r>
              <w:rPr>
                <w:rFonts w:ascii="宋体" w:hAnsi="宋体" w:cs="宋体" w:eastAsia="宋体" w:hint="default"/>
                <w:w w:val="100"/>
                <w:sz w:val="21"/>
                <w:szCs w:val="21"/>
              </w:rPr>
              <w:t> </w:t>
            </w:r>
            <w:r>
              <w:rPr>
                <w:rFonts w:ascii="宋体" w:hAnsi="宋体" w:cs="宋体" w:eastAsia="宋体" w:hint="default"/>
                <w:sz w:val="21"/>
                <w:szCs w:val="21"/>
              </w:rPr>
              <w:t>登记完成</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121,746,951.19</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left="249" w:right="0"/>
              <w:jc w:val="left"/>
              <w:rPr>
                <w:rFonts w:ascii="宋体" w:hAnsi="宋体" w:cs="宋体" w:eastAsia="宋体" w:hint="default"/>
                <w:sz w:val="21"/>
                <w:szCs w:val="21"/>
              </w:rPr>
            </w:pPr>
            <w:r>
              <w:rPr>
                <w:rFonts w:ascii="宋体"/>
                <w:sz w:val="21"/>
              </w:rPr>
              <w:t>730,518.86</w:t>
            </w:r>
          </w:p>
        </w:tc>
      </w:tr>
    </w:tbl>
    <w:p>
      <w:pPr>
        <w:spacing w:after="0" w:line="262" w:lineRule="exact"/>
        <w:jc w:val="left"/>
        <w:rPr>
          <w:rFonts w:ascii="宋体" w:hAnsi="宋体" w:cs="宋体" w:eastAsia="宋体" w:hint="default"/>
          <w:sz w:val="21"/>
          <w:szCs w:val="21"/>
        </w:rPr>
        <w:sectPr>
          <w:type w:val="continuous"/>
          <w:pgSz w:w="11910" w:h="16840"/>
          <w:pgMar w:top="1120" w:bottom="1380" w:left="46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75"/>
        <w:gridCol w:w="972"/>
        <w:gridCol w:w="1582"/>
        <w:gridCol w:w="854"/>
        <w:gridCol w:w="706"/>
        <w:gridCol w:w="992"/>
        <w:gridCol w:w="1135"/>
        <w:gridCol w:w="1702"/>
        <w:gridCol w:w="1416"/>
      </w:tblGrid>
      <w:tr>
        <w:trPr>
          <w:trHeight w:val="636" w:hRule="exact"/>
        </w:trPr>
        <w:tc>
          <w:tcPr>
            <w:tcW w:w="1275" w:type="dxa"/>
            <w:tcBorders>
              <w:top w:val="single" w:sz="6" w:space="0" w:color="000000"/>
              <w:left w:val="single" w:sz="4" w:space="0" w:color="000000"/>
              <w:bottom w:val="single" w:sz="4" w:space="0" w:color="000000"/>
              <w:right w:val="single" w:sz="6" w:space="0" w:color="000000"/>
            </w:tcBorders>
          </w:tcPr>
          <w:p>
            <w:pPr>
              <w:pStyle w:val="TableParagraph"/>
              <w:spacing w:line="273" w:lineRule="auto"/>
              <w:ind w:left="100" w:right="106"/>
              <w:jc w:val="left"/>
              <w:rPr>
                <w:rFonts w:ascii="宋体" w:hAnsi="宋体" w:cs="宋体" w:eastAsia="宋体" w:hint="default"/>
                <w:sz w:val="21"/>
                <w:szCs w:val="21"/>
              </w:rPr>
            </w:pPr>
            <w:r>
              <w:rPr>
                <w:rFonts w:ascii="宋体" w:hAnsi="宋体" w:cs="宋体" w:eastAsia="宋体" w:hint="default"/>
                <w:sz w:val="21"/>
                <w:szCs w:val="21"/>
              </w:rPr>
              <w:t>京）有限公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72"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706" w:type="dxa"/>
            <w:tcBorders>
              <w:top w:val="single" w:sz="6" w:space="0" w:color="000000"/>
              <w:left w:val="single" w:sz="6" w:space="0" w:color="000000"/>
              <w:bottom w:val="single" w:sz="4" w:space="0" w:color="000000"/>
              <w:right w:val="single" w:sz="6" w:space="0" w:color="000000"/>
            </w:tcBorders>
          </w:tcPr>
          <w:p>
            <w:pPr/>
          </w:p>
        </w:tc>
        <w:tc>
          <w:tcPr>
            <w:tcW w:w="992" w:type="dxa"/>
            <w:tcBorders>
              <w:top w:val="single" w:sz="6" w:space="0" w:color="000000"/>
              <w:left w:val="single" w:sz="6" w:space="0" w:color="000000"/>
              <w:bottom w:val="single" w:sz="4" w:space="0" w:color="000000"/>
              <w:right w:val="single" w:sz="6" w:space="0" w:color="000000"/>
            </w:tcBorders>
          </w:tcPr>
          <w:p>
            <w:pPr/>
          </w:p>
        </w:tc>
        <w:tc>
          <w:tcPr>
            <w:tcW w:w="1135"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324" w:lineRule="auto" w:before="47"/>
        <w:ind w:left="817" w:right="8979"/>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60" w:right="580"/>
        </w:sectPr>
      </w:pPr>
    </w:p>
    <w:p>
      <w:pPr>
        <w:pStyle w:val="Heading2"/>
        <w:tabs>
          <w:tab w:pos="1474" w:val="left" w:leader="none"/>
        </w:tabs>
        <w:spacing w:line="240" w:lineRule="auto" w:before="36"/>
        <w:ind w:left="817"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97"/>
        <w:ind w:left="8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580"/>
          <w:cols w:num="2" w:equalWidth="0">
            <w:col w:w="2954" w:space="3568"/>
            <w:col w:w="4348"/>
          </w:cols>
        </w:sectPr>
      </w:pPr>
    </w:p>
    <w:p>
      <w:pPr>
        <w:spacing w:line="240" w:lineRule="auto" w:before="10"/>
        <w:rPr>
          <w:rFonts w:ascii="宋体" w:hAnsi="宋体" w:cs="宋体" w:eastAsia="宋体" w:hint="default"/>
          <w:sz w:val="3"/>
          <w:szCs w:val="3"/>
        </w:rPr>
      </w:pPr>
    </w:p>
    <w:tbl>
      <w:tblPr>
        <w:tblW w:w="0" w:type="auto"/>
        <w:jc w:val="left"/>
        <w:tblInd w:w="704" w:type="dxa"/>
        <w:tblLayout w:type="fixed"/>
        <w:tblCellMar>
          <w:top w:w="0" w:type="dxa"/>
          <w:left w:w="0" w:type="dxa"/>
          <w:bottom w:w="0" w:type="dxa"/>
          <w:right w:w="0" w:type="dxa"/>
        </w:tblCellMar>
        <w:tblLook w:val="01E0"/>
      </w:tblPr>
      <w:tblGrid>
        <w:gridCol w:w="4604"/>
        <w:gridCol w:w="4446"/>
      </w:tblGrid>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22,400,000.00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22,400,000.00</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22,400,000.00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12,446,029.93</w:t>
            </w:r>
          </w:p>
        </w:tc>
      </w:tr>
      <w:tr>
        <w:trPr>
          <w:trHeight w:val="63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宋体" w:hAnsi="宋体" w:cs="宋体" w:eastAsia="宋体" w:hint="default"/>
                <w:spacing w:val="-2"/>
                <w:sz w:val="21"/>
                <w:szCs w:val="21"/>
              </w:rPr>
              <w:t>/</w:t>
            </w:r>
            <w:r>
              <w:rPr>
                <w:rFonts w:ascii="宋体" w:hAnsi="宋体" w:cs="宋体" w:eastAsia="宋体" w:hint="default"/>
                <w:spacing w:val="-2"/>
                <w:sz w:val="21"/>
                <w:szCs w:val="21"/>
              </w:rPr>
              <w:t>合并成本小于取得的可辨认净资产公允价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值份额的金额</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9,953,970.07</w:t>
            </w:r>
          </w:p>
        </w:tc>
      </w:tr>
    </w:tbl>
    <w:p>
      <w:pPr>
        <w:spacing w:line="240" w:lineRule="auto" w:before="2"/>
        <w:rPr>
          <w:rFonts w:ascii="宋体" w:hAnsi="宋体" w:cs="宋体" w:eastAsia="宋体" w:hint="default"/>
          <w:sz w:val="20"/>
          <w:szCs w:val="20"/>
        </w:rPr>
      </w:pPr>
    </w:p>
    <w:p>
      <w:pPr>
        <w:pStyle w:val="BodyText"/>
        <w:spacing w:line="273" w:lineRule="auto" w:before="36"/>
        <w:ind w:left="1237" w:right="1370"/>
        <w:jc w:val="left"/>
        <w:rPr>
          <w:rFonts w:ascii="宋体" w:hAnsi="宋体" w:cs="宋体" w:eastAsia="宋体" w:hint="default"/>
        </w:rPr>
      </w:pPr>
      <w:r>
        <w:rPr/>
        <w:t>合并成本公允价值的确定方法、或有对价及其变动的说明：</w:t>
      </w:r>
      <w:r>
        <w:rPr>
          <w:w w:val="100"/>
        </w:rPr>
        <w:t> </w:t>
      </w:r>
      <w:r>
        <w:rPr>
          <w:spacing w:val="-2"/>
        </w:rPr>
        <w:t>合并成本公允价值经北京中同华资产评估有限公司按照收益法评估，评估价值为</w:t>
      </w:r>
      <w:r>
        <w:rPr>
          <w:spacing w:val="22"/>
        </w:rPr>
        <w:t> </w:t>
      </w:r>
      <w:r>
        <w:rPr>
          <w:rFonts w:ascii="宋体" w:hAnsi="宋体" w:cs="宋体" w:eastAsia="宋体" w:hint="default"/>
          <w:spacing w:val="-1"/>
        </w:rPr>
        <w:t>3,360.00</w:t>
      </w:r>
    </w:p>
    <w:p>
      <w:pPr>
        <w:pStyle w:val="BodyText"/>
        <w:spacing w:line="240" w:lineRule="auto" w:before="7"/>
        <w:ind w:left="817" w:right="0"/>
        <w:jc w:val="left"/>
      </w:pPr>
      <w:r>
        <w:rPr>
          <w:spacing w:val="-3"/>
        </w:rPr>
        <w:t>万元，出具中同华评报字（</w:t>
      </w:r>
      <w:r>
        <w:rPr>
          <w:rFonts w:ascii="宋体" w:hAnsi="宋体" w:cs="宋体" w:eastAsia="宋体" w:hint="default"/>
          <w:spacing w:val="-3"/>
        </w:rPr>
        <w:t>2014</w:t>
      </w:r>
      <w:r>
        <w:rPr>
          <w:spacing w:val="-3"/>
        </w:rPr>
        <w:t>）第 </w:t>
      </w:r>
      <w:r>
        <w:rPr>
          <w:rFonts w:ascii="宋体" w:hAnsi="宋体" w:cs="宋体" w:eastAsia="宋体" w:hint="default"/>
        </w:rPr>
        <w:t>104</w:t>
      </w:r>
      <w:r>
        <w:rPr>
          <w:rFonts w:ascii="宋体" w:hAnsi="宋体" w:cs="宋体" w:eastAsia="宋体" w:hint="default"/>
          <w:spacing w:val="-49"/>
        </w:rPr>
        <w:t> </w:t>
      </w:r>
      <w:r>
        <w:rPr/>
        <w:t>号资产评估说明。本公司按照评估价值对网际星辰文化</w:t>
      </w:r>
    </w:p>
    <w:p>
      <w:pPr>
        <w:pStyle w:val="BodyText"/>
        <w:spacing w:line="273" w:lineRule="auto" w:before="37"/>
        <w:ind w:left="817" w:right="1322"/>
        <w:jc w:val="left"/>
      </w:pPr>
      <w:r>
        <w:rPr/>
        <w:t>传媒（北京）有限公司增资</w:t>
      </w:r>
      <w:r>
        <w:rPr>
          <w:spacing w:val="-55"/>
        </w:rPr>
        <w:t> </w:t>
      </w:r>
      <w:r>
        <w:rPr>
          <w:rFonts w:ascii="宋体" w:hAnsi="宋体" w:cs="宋体" w:eastAsia="宋体" w:hint="default"/>
        </w:rPr>
        <w:t>2,240.00</w:t>
      </w:r>
      <w:r>
        <w:rPr>
          <w:rFonts w:ascii="宋体" w:hAnsi="宋体" w:cs="宋体" w:eastAsia="宋体" w:hint="default"/>
          <w:spacing w:val="-4"/>
        </w:rPr>
        <w:t> </w:t>
      </w:r>
      <w:r>
        <w:rPr/>
        <w:t>万元</w:t>
      </w:r>
      <w:r>
        <w:rPr>
          <w:rFonts w:ascii="宋体" w:hAnsi="宋体" w:cs="宋体" w:eastAsia="宋体" w:hint="default"/>
        </w:rPr>
        <w:t>,</w:t>
      </w:r>
      <w:r>
        <w:rPr/>
        <w:t>取得网际星辰文化传媒（北京）有限公司约</w:t>
      </w:r>
      <w:r>
        <w:rPr>
          <w:spacing w:val="-54"/>
        </w:rPr>
        <w:t> </w:t>
      </w:r>
      <w:r>
        <w:rPr>
          <w:rFonts w:ascii="宋体" w:hAnsi="宋体" w:cs="宋体" w:eastAsia="宋体" w:hint="default"/>
        </w:rPr>
        <w:t>40.00%</w:t>
      </w:r>
      <w:r>
        <w:rPr>
          <w:rFonts w:ascii="宋体" w:hAnsi="宋体" w:cs="宋体" w:eastAsia="宋体" w:hint="default"/>
          <w:w w:val="100"/>
        </w:rPr>
        <w:t> </w:t>
      </w:r>
      <w:r>
        <w:rPr/>
        <w:t>股权。</w:t>
      </w:r>
    </w:p>
    <w:p>
      <w:pPr>
        <w:spacing w:line="240" w:lineRule="auto" w:before="6"/>
        <w:rPr>
          <w:rFonts w:ascii="宋体" w:hAnsi="宋体" w:cs="宋体" w:eastAsia="宋体" w:hint="default"/>
          <w:sz w:val="24"/>
          <w:szCs w:val="24"/>
        </w:rPr>
      </w:pPr>
    </w:p>
    <w:p>
      <w:pPr>
        <w:pStyle w:val="BodyText"/>
        <w:spacing w:line="273" w:lineRule="auto"/>
        <w:ind w:left="817" w:right="6943"/>
        <w:jc w:val="left"/>
      </w:pPr>
      <w:r>
        <w:rPr>
          <w:spacing w:val="-2"/>
        </w:rPr>
        <w:t>大额商誉形成的主要原因：</w:t>
      </w:r>
      <w:r>
        <w:rPr>
          <w:spacing w:val="-82"/>
        </w:rPr>
        <w:t> </w:t>
      </w:r>
      <w:r>
        <w:rPr>
          <w:spacing w:val="-82"/>
        </w:rPr>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460" w:right="580"/>
        </w:sectPr>
      </w:pPr>
    </w:p>
    <w:p>
      <w:pPr>
        <w:pStyle w:val="BodyText"/>
        <w:spacing w:line="324" w:lineRule="auto" w:before="36"/>
        <w:ind w:left="817" w:right="2967"/>
        <w:jc w:val="left"/>
      </w:pPr>
      <w:r>
        <w:rPr>
          <w:spacing w:val="-1"/>
        </w:rPr>
        <w:t>其他说明：</w:t>
      </w:r>
      <w:r>
        <w:rPr>
          <w:spacing w:val="-97"/>
        </w:rPr>
        <w:t> </w:t>
      </w:r>
      <w:r>
        <w:rPr>
          <w:spacing w:val="-97"/>
        </w:rPr>
      </w:r>
      <w:r>
        <w:rPr/>
        <w:t>无</w:t>
      </w:r>
    </w:p>
    <w:p>
      <w:pPr>
        <w:pStyle w:val="Heading2"/>
        <w:tabs>
          <w:tab w:pos="1474" w:val="left" w:leader="none"/>
        </w:tabs>
        <w:spacing w:line="240" w:lineRule="auto" w:before="23"/>
        <w:ind w:left="817"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97"/>
        <w:ind w:left="817"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868" w:val="left" w:leader="none"/>
        </w:tabs>
        <w:spacing w:line="240" w:lineRule="auto" w:before="155"/>
        <w:ind w:left="817" w:right="0"/>
        <w:jc w:val="left"/>
      </w:pPr>
      <w:r>
        <w:rPr>
          <w:spacing w:val="-1"/>
        </w:rPr>
        <w:t>单位：元</w:t>
        <w:tab/>
        <w:t>币种：人民币</w:t>
      </w:r>
    </w:p>
    <w:p>
      <w:pPr>
        <w:spacing w:after="0" w:line="240" w:lineRule="auto"/>
        <w:jc w:val="left"/>
        <w:sectPr>
          <w:type w:val="continuous"/>
          <w:pgSz w:w="11910" w:h="16840"/>
          <w:pgMar w:top="1120" w:bottom="1380" w:left="460" w:right="580"/>
          <w:cols w:num="2" w:equalWidth="0">
            <w:col w:w="4850" w:space="1671"/>
            <w:col w:w="4349"/>
          </w:cols>
        </w:sectPr>
      </w:pPr>
    </w:p>
    <w:p>
      <w:pPr>
        <w:spacing w:line="240" w:lineRule="auto" w:before="10"/>
        <w:rPr>
          <w:rFonts w:ascii="宋体" w:hAnsi="宋体" w:cs="宋体" w:eastAsia="宋体" w:hint="default"/>
          <w:sz w:val="3"/>
          <w:szCs w:val="3"/>
        </w:rPr>
      </w:pPr>
    </w:p>
    <w:tbl>
      <w:tblPr>
        <w:tblW w:w="0" w:type="auto"/>
        <w:jc w:val="left"/>
        <w:tblInd w:w="704" w:type="dxa"/>
        <w:tblLayout w:type="fixed"/>
        <w:tblCellMar>
          <w:top w:w="0" w:type="dxa"/>
          <w:left w:w="0" w:type="dxa"/>
          <w:bottom w:w="0" w:type="dxa"/>
          <w:right w:w="0" w:type="dxa"/>
        </w:tblCellMar>
        <w:tblLook w:val="01E0"/>
      </w:tblPr>
      <w:tblGrid>
        <w:gridCol w:w="4928"/>
        <w:gridCol w:w="2127"/>
        <w:gridCol w:w="1995"/>
      </w:tblGrid>
      <w:tr>
        <w:trPr>
          <w:trHeight w:val="329" w:hRule="exact"/>
        </w:trPr>
        <w:tc>
          <w:tcPr>
            <w:tcW w:w="4928" w:type="dxa"/>
            <w:vMerge w:val="restart"/>
            <w:tcBorders>
              <w:top w:val="single" w:sz="6" w:space="0" w:color="000000"/>
              <w:left w:val="single" w:sz="4" w:space="0" w:color="000000"/>
              <w:right w:val="single" w:sz="6" w:space="0" w:color="000000"/>
            </w:tcBorders>
          </w:tcPr>
          <w:p>
            <w:pPr/>
          </w:p>
        </w:tc>
        <w:tc>
          <w:tcPr>
            <w:tcW w:w="4122" w:type="dxa"/>
            <w:gridSpan w:val="2"/>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372"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w:t>
            </w:r>
          </w:p>
        </w:tc>
      </w:tr>
      <w:tr>
        <w:trPr>
          <w:trHeight w:val="290" w:hRule="exact"/>
        </w:trPr>
        <w:tc>
          <w:tcPr>
            <w:tcW w:w="4928" w:type="dxa"/>
            <w:vMerge/>
            <w:tcBorders>
              <w:left w:val="single" w:sz="4"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44,662,986.72</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44,662,986.72</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28,594,142.65</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28,594,142.65</w:t>
            </w:r>
          </w:p>
        </w:tc>
      </w:tr>
      <w:tr>
        <w:trPr>
          <w:trHeight w:val="329"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13,364,166.00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13,364,166.00</w:t>
            </w:r>
          </w:p>
        </w:tc>
      </w:tr>
      <w:tr>
        <w:trPr>
          <w:trHeight w:val="327"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272,003.16</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272,003.16</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667,504.56</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667,504.56</w:t>
            </w:r>
          </w:p>
        </w:tc>
      </w:tr>
    </w:tbl>
    <w:p>
      <w:pPr>
        <w:spacing w:after="0" w:line="262" w:lineRule="exact"/>
        <w:jc w:val="right"/>
        <w:rPr>
          <w:rFonts w:ascii="宋体" w:hAnsi="宋体" w:cs="宋体" w:eastAsia="宋体" w:hint="default"/>
          <w:sz w:val="21"/>
          <w:szCs w:val="21"/>
        </w:rPr>
        <w:sectPr>
          <w:type w:val="continuous"/>
          <w:pgSz w:w="11910" w:h="16840"/>
          <w:pgMar w:top="1120" w:bottom="1380" w:left="46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928"/>
        <w:gridCol w:w="2127"/>
        <w:gridCol w:w="1995"/>
      </w:tblGrid>
      <w:tr>
        <w:trPr>
          <w:trHeight w:val="327"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128,377.59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128,377.59</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1,528,221.63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1,528,221.63</w:t>
            </w:r>
          </w:p>
        </w:tc>
      </w:tr>
      <w:tr>
        <w:trPr>
          <w:trHeight w:val="329"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108,571.13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108,571.13</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13,546,044.81</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13,546,044.81</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9,963,175.43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9,963,175.43</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w:t>
            </w:r>
          </w:p>
        </w:tc>
      </w:tr>
      <w:tr>
        <w:trPr>
          <w:trHeight w:val="329"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731,001.07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731,001.07</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2,778,220.52</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2,778,220.52</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63,647.79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63,647.79</w:t>
            </w:r>
          </w:p>
        </w:tc>
      </w:tr>
      <w:tr>
        <w:trPr>
          <w:trHeight w:val="32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31,116,941.91</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31,116,941.91</w:t>
            </w:r>
          </w:p>
        </w:tc>
      </w:tr>
      <w:tr>
        <w:trPr>
          <w:trHeight w:val="329"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6"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18,670,911.98</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18,670,911.98</w:t>
            </w:r>
          </w:p>
        </w:tc>
      </w:tr>
      <w:tr>
        <w:trPr>
          <w:trHeight w:val="324" w:hRule="exact"/>
        </w:trPr>
        <w:tc>
          <w:tcPr>
            <w:tcW w:w="4928"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127"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12,446,029.93</w:t>
            </w:r>
          </w:p>
        </w:tc>
        <w:tc>
          <w:tcPr>
            <w:tcW w:w="1995"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12,446,029.93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874" w:val="left" w:leader="none"/>
        </w:tabs>
        <w:spacing w:line="324" w:lineRule="auto" w:before="0"/>
        <w:ind w:left="217" w:right="234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9" w:lineRule="exact"/>
        <w:ind w:left="217" w:right="2940"/>
        <w:jc w:val="left"/>
      </w:pPr>
      <w:r>
        <w:rPr/>
        <w:t>□适用 √不适用</w:t>
      </w:r>
    </w:p>
    <w:p>
      <w:pPr>
        <w:spacing w:line="240" w:lineRule="auto" w:before="0"/>
        <w:rPr>
          <w:rFonts w:ascii="宋体" w:hAnsi="宋体" w:cs="宋体" w:eastAsia="宋体" w:hint="default"/>
          <w:sz w:val="20"/>
          <w:szCs w:val="20"/>
        </w:rPr>
      </w:pPr>
    </w:p>
    <w:p>
      <w:pPr>
        <w:pStyle w:val="Heading2"/>
        <w:tabs>
          <w:tab w:pos="874" w:val="left" w:leader="none"/>
        </w:tabs>
        <w:spacing w:line="273" w:lineRule="auto" w:before="147"/>
        <w:ind w:left="217" w:right="232"/>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spacing w:line="240" w:lineRule="auto" w:before="67"/>
        <w:ind w:left="217" w:right="2940"/>
        <w:jc w:val="left"/>
      </w:pPr>
      <w:r>
        <w:rPr>
          <w:w w:val="100"/>
        </w:rPr>
        <w:t>无</w:t>
      </w:r>
    </w:p>
    <w:p>
      <w:pPr>
        <w:spacing w:line="240" w:lineRule="auto" w:before="0"/>
        <w:rPr>
          <w:rFonts w:ascii="宋体" w:hAnsi="宋体" w:cs="宋体" w:eastAsia="宋体" w:hint="default"/>
          <w:sz w:val="20"/>
          <w:szCs w:val="20"/>
        </w:rPr>
      </w:pPr>
    </w:p>
    <w:p>
      <w:pPr>
        <w:pStyle w:val="Heading2"/>
        <w:tabs>
          <w:tab w:pos="874" w:val="left" w:leader="none"/>
        </w:tabs>
        <w:spacing w:line="324" w:lineRule="auto" w:before="147"/>
        <w:ind w:left="217" w:right="7353"/>
        <w:jc w:val="left"/>
        <w:rPr>
          <w:rFonts w:ascii="宋体" w:hAnsi="宋体" w:cs="宋体" w:eastAsia="宋体" w:hint="default"/>
          <w:b w:val="0"/>
          <w:bCs w:val="0"/>
        </w:rPr>
      </w:pPr>
      <w:r>
        <w:rPr>
          <w:rFonts w:ascii="宋体" w:hAnsi="宋体" w:cs="宋体" w:eastAsia="宋体" w:hint="default"/>
          <w:w w:val="95"/>
        </w:rPr>
        <w:t>(6).</w:t>
        <w:tab/>
      </w:r>
      <w:r>
        <w:rPr/>
        <w:t>其他说明：</w:t>
      </w:r>
      <w:r>
        <w:rPr>
          <w:w w:val="100"/>
        </w:rPr>
        <w:t> </w:t>
      </w:r>
      <w:r>
        <w:rPr>
          <w:rFonts w:ascii="宋体" w:hAnsi="宋体" w:cs="宋体" w:eastAsia="宋体" w:hint="default"/>
          <w:b w:val="0"/>
          <w:bCs w:val="0"/>
        </w:rPr>
        <w:t>无</w:t>
      </w:r>
    </w:p>
    <w:p>
      <w:pPr>
        <w:pStyle w:val="Heading2"/>
        <w:spacing w:line="240" w:lineRule="auto" w:before="23"/>
        <w:ind w:left="217" w:right="294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97"/>
        <w:ind w:left="217" w:right="294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17" w:right="294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97"/>
        <w:ind w:left="217" w:right="2940"/>
        <w:jc w:val="left"/>
      </w:pPr>
      <w:r>
        <w:rPr/>
        <w:t>□适用 √不适用</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198" w:right="28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198" w:right="2810"/>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left="198" w:right="213"/>
        <w:jc w:val="left"/>
      </w:pPr>
      <w:r>
        <w:rPr/>
        <w:t>是否存在通过多次交易分步处置对子公司投资且在本期丧失控制权的情形</w:t>
      </w:r>
    </w:p>
    <w:p>
      <w:pPr>
        <w:pStyle w:val="BodyText"/>
        <w:spacing w:line="273" w:lineRule="exact"/>
        <w:ind w:left="198" w:right="281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ind w:left="198" w:right="2810"/>
        <w:jc w:val="left"/>
        <w:rPr>
          <w:b w:val="0"/>
          <w:bCs w:val="0"/>
        </w:rPr>
      </w:pPr>
      <w:r>
        <w:rPr>
          <w:rFonts w:ascii="宋体" w:hAnsi="宋体" w:cs="宋体" w:eastAsia="宋体" w:hint="default"/>
        </w:rPr>
        <w:t>5</w:t>
      </w:r>
      <w:r>
        <w:rPr/>
        <w:t>、</w:t>
      </w:r>
      <w:r>
        <w:rPr>
          <w:spacing w:val="-2"/>
        </w:rPr>
        <w:t> </w:t>
      </w:r>
      <w:r>
        <w:rPr/>
        <w:t>其他原因的合并范围变动</w:t>
      </w:r>
      <w:r>
        <w:rPr>
          <w:b w:val="0"/>
          <w:bCs w:val="0"/>
        </w:rPr>
      </w:r>
    </w:p>
    <w:p>
      <w:pPr>
        <w:pStyle w:val="BodyText"/>
        <w:spacing w:line="273" w:lineRule="exact" w:before="58"/>
        <w:ind w:left="198" w:right="2810"/>
        <w:jc w:val="left"/>
      </w:pPr>
      <w:r>
        <w:rPr/>
        <w:t>（</w:t>
      </w:r>
      <w:r>
        <w:rPr>
          <w:rFonts w:ascii="宋体" w:hAnsi="宋体" w:cs="宋体" w:eastAsia="宋体" w:hint="default"/>
        </w:rPr>
        <w:t>1</w:t>
      </w:r>
      <w:r>
        <w:rPr/>
        <w:t>） 本期新纳入合并范围的子公司</w:t>
      </w:r>
    </w:p>
    <w:p>
      <w:pPr>
        <w:pStyle w:val="BodyText"/>
        <w:spacing w:line="240" w:lineRule="auto"/>
        <w:ind w:left="198" w:right="213"/>
        <w:jc w:val="left"/>
      </w:pPr>
      <w:r>
        <w:rPr/>
        <w:t>与上年相比本年新设成立合并单位</w:t>
      </w:r>
      <w:r>
        <w:rPr>
          <w:spacing w:val="-54"/>
        </w:rPr>
        <w:t> </w:t>
      </w:r>
      <w:r>
        <w:rPr>
          <w:rFonts w:ascii="宋体" w:hAnsi="宋体" w:cs="宋体" w:eastAsia="宋体" w:hint="default"/>
        </w:rPr>
        <w:t>4</w:t>
      </w:r>
      <w:r>
        <w:rPr>
          <w:rFonts w:ascii="宋体" w:hAnsi="宋体" w:cs="宋体" w:eastAsia="宋体" w:hint="default"/>
          <w:spacing w:val="-56"/>
        </w:rPr>
        <w:t> </w:t>
      </w:r>
      <w:r>
        <w:rPr/>
        <w:t>家：武汉人民在线信息科技有限公司、上海微屏投资管理有</w:t>
      </w:r>
      <w:r>
        <w:rPr>
          <w:w w:val="100"/>
        </w:rPr>
        <w:t> </w:t>
      </w:r>
      <w:r>
        <w:rPr/>
        <w:t>限公司、上海青露网络科技有限公司、芜湖阶梯网络技术有限公司</w:t>
      </w: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946"/>
        <w:gridCol w:w="2343"/>
        <w:gridCol w:w="2693"/>
      </w:tblGrid>
      <w:tr>
        <w:trPr>
          <w:trHeight w:val="408"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13"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10"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3,848,828.29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-1,151,171.71</w:t>
            </w:r>
          </w:p>
        </w:tc>
      </w:tr>
      <w:tr>
        <w:trPr>
          <w:trHeight w:val="410"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上海微屏投资管理有限公司（注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3,484,202.32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-15,797.68</w:t>
            </w:r>
          </w:p>
        </w:tc>
      </w:tr>
      <w:tr>
        <w:trPr>
          <w:trHeight w:val="410"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上海青露网络科技有限公司（注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2,855,108.98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-144,891.02</w:t>
            </w:r>
          </w:p>
        </w:tc>
      </w:tr>
      <w:tr>
        <w:trPr>
          <w:trHeight w:val="410"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芜湖阶梯网络技术有限公司（注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-460.00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-460.00</w:t>
            </w:r>
          </w:p>
        </w:tc>
      </w:tr>
    </w:tbl>
    <w:p>
      <w:pPr>
        <w:pStyle w:val="BodyText"/>
        <w:spacing w:line="239" w:lineRule="exact"/>
        <w:ind w:left="618" w:right="213"/>
        <w:jc w:val="left"/>
      </w:pPr>
      <w:r>
        <w:rPr/>
        <w:t>注</w:t>
      </w:r>
      <w:r>
        <w:rPr>
          <w:spacing w:val="-53"/>
        </w:rPr>
        <w:t> </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月本公司之子公司北京人民在线网络有限公司出资</w:t>
      </w:r>
      <w:r>
        <w:rPr>
          <w:spacing w:val="-52"/>
        </w:rPr>
        <w:t> </w:t>
      </w:r>
      <w:r>
        <w:rPr>
          <w:rFonts w:ascii="宋体" w:hAnsi="宋体" w:cs="宋体" w:eastAsia="宋体" w:hint="default"/>
        </w:rPr>
        <w:t>500.00</w:t>
      </w:r>
      <w:r>
        <w:rPr>
          <w:rFonts w:ascii="宋体" w:hAnsi="宋体" w:cs="宋体" w:eastAsia="宋体" w:hint="default"/>
          <w:spacing w:val="-1"/>
        </w:rPr>
        <w:t> </w:t>
      </w:r>
      <w:r>
        <w:rPr/>
        <w:t>万元设立武汉人</w:t>
      </w:r>
    </w:p>
    <w:p>
      <w:pPr>
        <w:pStyle w:val="BodyText"/>
        <w:spacing w:line="240" w:lineRule="auto"/>
        <w:ind w:left="618" w:right="221" w:hanging="420"/>
        <w:jc w:val="left"/>
      </w:pPr>
      <w:r>
        <w:rPr/>
        <w:t>民在线信息科技有限公司，持股比例</w:t>
      </w:r>
      <w:r>
        <w:rPr>
          <w:spacing w:val="-54"/>
        </w:rPr>
        <w:t> </w:t>
      </w:r>
      <w:r>
        <w:rPr>
          <w:rFonts w:ascii="宋体" w:hAnsi="宋体" w:cs="宋体" w:eastAsia="宋体" w:hint="default"/>
        </w:rPr>
        <w:t>100.00%</w:t>
      </w:r>
      <w:r>
        <w:rPr/>
        <w:t>。自</w:t>
      </w:r>
      <w:r>
        <w:rPr>
          <w:spacing w:val="-56"/>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月起将其纳入合并财务报表范围。</w:t>
      </w:r>
      <w:r>
        <w:rPr>
          <w:w w:val="100"/>
        </w:rPr>
        <w:t> </w:t>
      </w:r>
      <w:r>
        <w:rPr/>
        <w:t>注</w:t>
      </w:r>
      <w:r>
        <w:rPr>
          <w:spacing w:val="-54"/>
        </w:rPr>
        <w:t> </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月本公司之子公司微屏软件科技</w:t>
      </w:r>
      <w:r>
        <w:rPr>
          <w:rFonts w:ascii="宋体" w:hAnsi="宋体" w:cs="宋体" w:eastAsia="宋体" w:hint="default"/>
        </w:rPr>
        <w:t>(</w:t>
      </w:r>
      <w:r>
        <w:rPr/>
        <w:t>上海</w:t>
      </w:r>
      <w:r>
        <w:rPr>
          <w:rFonts w:ascii="宋体" w:hAnsi="宋体" w:cs="宋体" w:eastAsia="宋体" w:hint="default"/>
        </w:rPr>
        <w:t>)</w:t>
      </w:r>
      <w:r>
        <w:rPr/>
        <w:t>有限公司出资</w:t>
      </w:r>
      <w:r>
        <w:rPr>
          <w:spacing w:val="-54"/>
        </w:rPr>
        <w:t> </w:t>
      </w:r>
      <w:r>
        <w:rPr>
          <w:rFonts w:ascii="宋体" w:hAnsi="宋体" w:cs="宋体" w:eastAsia="宋体" w:hint="default"/>
        </w:rPr>
        <w:t>350.00</w:t>
      </w:r>
      <w:r>
        <w:rPr>
          <w:rFonts w:ascii="宋体" w:hAnsi="宋体" w:cs="宋体" w:eastAsia="宋体" w:hint="default"/>
          <w:spacing w:val="-56"/>
        </w:rPr>
        <w:t> </w:t>
      </w:r>
      <w:r>
        <w:rPr/>
        <w:t>万元，设立上</w:t>
      </w:r>
    </w:p>
    <w:p>
      <w:pPr>
        <w:pStyle w:val="BodyText"/>
        <w:spacing w:line="271" w:lineRule="exact"/>
        <w:ind w:left="198" w:right="213"/>
        <w:jc w:val="left"/>
      </w:pPr>
      <w:r>
        <w:rPr/>
        <w:t>海微屏投资管理有限公司，持股比例</w:t>
      </w:r>
      <w:r>
        <w:rPr>
          <w:spacing w:val="-55"/>
        </w:rPr>
        <w:t> </w:t>
      </w:r>
      <w:r>
        <w:rPr>
          <w:rFonts w:ascii="宋体" w:hAnsi="宋体" w:cs="宋体" w:eastAsia="宋体" w:hint="default"/>
        </w:rPr>
        <w:t>100%</w:t>
      </w:r>
      <w:r>
        <w:rPr/>
        <w:t>。自</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月起将其纳入合并财务报表范围。</w:t>
      </w:r>
    </w:p>
    <w:p>
      <w:pPr>
        <w:pStyle w:val="BodyText"/>
        <w:spacing w:line="272" w:lineRule="exact" w:before="27"/>
        <w:ind w:left="198" w:right="103" w:firstLine="419"/>
        <w:jc w:val="left"/>
      </w:pPr>
      <w:r>
        <w:rPr/>
        <w:t>注</w:t>
      </w:r>
      <w:r>
        <w:rPr>
          <w:spacing w:val="-50"/>
        </w:rPr>
        <w:t> </w:t>
      </w:r>
      <w:r>
        <w:rPr>
          <w:rFonts w:ascii="宋体" w:hAnsi="宋体" w:cs="宋体" w:eastAsia="宋体" w:hint="default"/>
          <w:spacing w:val="-9"/>
        </w:rPr>
        <w:t>3</w:t>
      </w:r>
      <w:r>
        <w:rPr>
          <w:spacing w:val="-9"/>
        </w:rPr>
        <w:t>：</w:t>
      </w:r>
      <w:r>
        <w:rPr>
          <w:rFonts w:ascii="宋体" w:hAnsi="宋体" w:cs="宋体" w:eastAsia="宋体" w:hint="default"/>
          <w:spacing w:val="-9"/>
        </w:rPr>
        <w:t>2015</w:t>
      </w:r>
      <w:r>
        <w:rPr>
          <w:rFonts w:ascii="宋体" w:hAnsi="宋体" w:cs="宋体" w:eastAsia="宋体" w:hint="default"/>
          <w:spacing w:val="-50"/>
        </w:rPr>
        <w:t> </w:t>
      </w:r>
      <w:r>
        <w:rPr/>
        <w:t>年</w:t>
      </w:r>
      <w:r>
        <w:rPr>
          <w:spacing w:val="-52"/>
        </w:rPr>
        <w:t> </w:t>
      </w:r>
      <w:r>
        <w:rPr>
          <w:rFonts w:ascii="宋体" w:hAnsi="宋体" w:cs="宋体" w:eastAsia="宋体" w:hint="default"/>
        </w:rPr>
        <w:t>8</w:t>
      </w:r>
      <w:r>
        <w:rPr>
          <w:rFonts w:ascii="宋体" w:hAnsi="宋体" w:cs="宋体" w:eastAsia="宋体" w:hint="default"/>
          <w:spacing w:val="-50"/>
        </w:rPr>
        <w:t> </w:t>
      </w:r>
      <w:r>
        <w:rPr/>
        <w:t>月本公司之孙公司上海微屏投资管理有限公司出资</w:t>
      </w:r>
      <w:r>
        <w:rPr>
          <w:spacing w:val="-50"/>
        </w:rPr>
        <w:t> </w:t>
      </w:r>
      <w:r>
        <w:rPr>
          <w:rFonts w:ascii="宋体" w:hAnsi="宋体" w:cs="宋体" w:eastAsia="宋体" w:hint="default"/>
        </w:rPr>
        <w:t>300.00</w:t>
      </w:r>
      <w:r>
        <w:rPr>
          <w:rFonts w:ascii="宋体" w:hAnsi="宋体" w:cs="宋体" w:eastAsia="宋体" w:hint="default"/>
          <w:spacing w:val="-51"/>
        </w:rPr>
        <w:t> </w:t>
      </w:r>
      <w:r>
        <w:rPr>
          <w:spacing w:val="-8"/>
        </w:rPr>
        <w:t>万元，设立上海青</w:t>
      </w:r>
      <w:r>
        <w:rPr>
          <w:w w:val="100"/>
        </w:rPr>
        <w:t> </w:t>
      </w:r>
      <w:r>
        <w:rPr/>
        <w:t>露网络科技有限公司，持股比例</w:t>
      </w:r>
      <w:r>
        <w:rPr>
          <w:spacing w:val="-53"/>
        </w:rPr>
        <w:t> </w:t>
      </w:r>
      <w:r>
        <w:rPr>
          <w:rFonts w:ascii="宋体" w:hAnsi="宋体" w:cs="宋体" w:eastAsia="宋体" w:hint="default"/>
        </w:rPr>
        <w:t>70%</w:t>
      </w:r>
      <w:r>
        <w:rPr/>
        <w:t>。自</w:t>
      </w:r>
      <w:r>
        <w:rPr>
          <w:spacing w:val="-55"/>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月起将其纳入合并财务报表范围。</w:t>
      </w:r>
    </w:p>
    <w:p>
      <w:pPr>
        <w:pStyle w:val="BodyText"/>
        <w:spacing w:line="272" w:lineRule="exact" w:before="1"/>
        <w:ind w:left="198" w:right="103" w:firstLine="419"/>
        <w:jc w:val="left"/>
      </w:pPr>
      <w:r>
        <w:rPr/>
        <w:t>注</w:t>
      </w:r>
      <w:r>
        <w:rPr>
          <w:spacing w:val="-48"/>
        </w:rPr>
        <w:t> </w:t>
      </w:r>
      <w:r>
        <w:rPr>
          <w:rFonts w:ascii="宋体" w:hAnsi="宋体" w:cs="宋体" w:eastAsia="宋体" w:hint="default"/>
          <w:spacing w:val="-3"/>
        </w:rPr>
        <w:t>4</w:t>
      </w:r>
      <w:r>
        <w:rPr>
          <w:spacing w:val="-3"/>
        </w:rPr>
        <w:t>：</w:t>
      </w:r>
      <w:r>
        <w:rPr>
          <w:rFonts w:ascii="宋体" w:hAnsi="宋体" w:cs="宋体" w:eastAsia="宋体" w:hint="default"/>
          <w:spacing w:val="-3"/>
        </w:rPr>
        <w:t>2015</w:t>
      </w:r>
      <w:r>
        <w:rPr>
          <w:rFonts w:ascii="宋体" w:hAnsi="宋体" w:cs="宋体" w:eastAsia="宋体" w:hint="default"/>
          <w:spacing w:val="9"/>
        </w:rPr>
        <w:t> </w:t>
      </w:r>
      <w:r>
        <w:rPr/>
        <w:t>年</w:t>
      </w:r>
      <w:r>
        <w:rPr>
          <w:spacing w:val="-48"/>
        </w:rPr>
        <w:t> </w:t>
      </w:r>
      <w:r>
        <w:rPr>
          <w:rFonts w:ascii="宋体" w:hAnsi="宋体" w:cs="宋体" w:eastAsia="宋体" w:hint="default"/>
        </w:rPr>
        <w:t>5</w:t>
      </w:r>
      <w:r>
        <w:rPr>
          <w:rFonts w:ascii="宋体" w:hAnsi="宋体" w:cs="宋体" w:eastAsia="宋体" w:hint="default"/>
          <w:spacing w:val="9"/>
        </w:rPr>
        <w:t> </w:t>
      </w:r>
      <w:r>
        <w:rPr>
          <w:spacing w:val="-3"/>
        </w:rPr>
        <w:t>月本公司之子公司网际星辰文化传媒（北京）有限公司出资</w:t>
      </w:r>
      <w:r>
        <w:rPr>
          <w:spacing w:val="-47"/>
        </w:rPr>
        <w:t> </w:t>
      </w:r>
      <w:r>
        <w:rPr>
          <w:rFonts w:ascii="宋体" w:hAnsi="宋体" w:cs="宋体" w:eastAsia="宋体" w:hint="default"/>
        </w:rPr>
        <w:t>100.00</w:t>
      </w:r>
      <w:r>
        <w:rPr>
          <w:rFonts w:ascii="宋体" w:hAnsi="宋体" w:cs="宋体" w:eastAsia="宋体" w:hint="default"/>
          <w:spacing w:val="9"/>
        </w:rPr>
        <w:t> </w:t>
      </w:r>
      <w:r>
        <w:rPr/>
        <w:t>万元设</w:t>
      </w:r>
      <w:r>
        <w:rPr>
          <w:w w:val="100"/>
        </w:rPr>
        <w:t> </w:t>
      </w:r>
      <w:r>
        <w:rPr/>
        <w:t>立芜湖阶梯网络技术有限公司，持股比例</w:t>
      </w:r>
      <w:r>
        <w:rPr>
          <w:spacing w:val="-53"/>
        </w:rPr>
        <w:t> </w:t>
      </w:r>
      <w:r>
        <w:rPr>
          <w:rFonts w:ascii="宋体" w:hAnsi="宋体" w:cs="宋体" w:eastAsia="宋体" w:hint="default"/>
        </w:rPr>
        <w:t>100.00%</w:t>
      </w:r>
      <w:r>
        <w:rPr/>
        <w:t>。自</w:t>
      </w:r>
      <w:r>
        <w:rPr>
          <w:spacing w:val="-53"/>
        </w:rPr>
        <w:t> </w:t>
      </w:r>
      <w:r>
        <w:rPr>
          <w:rFonts w:ascii="宋体" w:hAnsi="宋体" w:cs="宋体" w:eastAsia="宋体" w:hint="default"/>
        </w:rPr>
        <w:t>2015</w:t>
      </w:r>
      <w:r>
        <w:rPr>
          <w:rFonts w:ascii="宋体" w:hAnsi="宋体" w:cs="宋体" w:eastAsia="宋体" w:hint="default"/>
          <w:spacing w:val="-2"/>
        </w:rPr>
        <w:t> </w:t>
      </w:r>
      <w:r>
        <w:rPr/>
        <w:t>年</w:t>
      </w:r>
      <w:r>
        <w:rPr>
          <w:spacing w:val="-53"/>
        </w:rPr>
        <w:t> </w:t>
      </w:r>
      <w:r>
        <w:rPr>
          <w:rFonts w:ascii="宋体" w:hAnsi="宋体" w:cs="宋体" w:eastAsia="宋体" w:hint="default"/>
        </w:rPr>
        <w:t>5</w:t>
      </w:r>
      <w:r>
        <w:rPr>
          <w:rFonts w:ascii="宋体" w:hAnsi="宋体" w:cs="宋体" w:eastAsia="宋体" w:hint="default"/>
          <w:spacing w:val="-2"/>
        </w:rPr>
        <w:t> </w:t>
      </w:r>
      <w:r>
        <w:rPr/>
        <w:t>月起将其纳入合并财务报表范</w:t>
      </w:r>
    </w:p>
    <w:p>
      <w:pPr>
        <w:pStyle w:val="BodyText"/>
        <w:spacing w:line="247" w:lineRule="exact"/>
        <w:ind w:left="198" w:right="2810"/>
        <w:jc w:val="left"/>
      </w:pPr>
      <w:r>
        <w:rPr/>
        <w:t>围。</w:t>
      </w:r>
    </w:p>
    <w:p>
      <w:pPr>
        <w:pStyle w:val="BodyText"/>
        <w:spacing w:line="272" w:lineRule="exact"/>
        <w:ind w:left="618" w:right="2810"/>
        <w:jc w:val="left"/>
      </w:pPr>
      <w:r>
        <w:rPr/>
        <w:t>（</w:t>
      </w:r>
      <w:r>
        <w:rPr>
          <w:rFonts w:ascii="宋体" w:hAnsi="宋体" w:cs="宋体" w:eastAsia="宋体" w:hint="default"/>
        </w:rPr>
        <w:t>2</w:t>
      </w:r>
      <w:r>
        <w:rPr/>
        <w:t>）本期不再纳入合并范围的子公司</w:t>
      </w:r>
    </w:p>
    <w:p>
      <w:pPr>
        <w:pStyle w:val="BodyText"/>
        <w:spacing w:line="272" w:lineRule="exact" w:before="27"/>
        <w:ind w:left="198" w:right="103"/>
        <w:jc w:val="left"/>
      </w:pPr>
      <w:r>
        <w:rPr/>
        <w:t>与上年相比本年减少合并单位 </w:t>
      </w:r>
      <w:r>
        <w:rPr>
          <w:rFonts w:ascii="宋体" w:hAnsi="宋体" w:cs="宋体" w:eastAsia="宋体" w:hint="default"/>
        </w:rPr>
        <w:t>2 </w:t>
      </w:r>
      <w:r>
        <w:rPr/>
        <w:t>家：本公司原控股子公司北京文华在线教育科技股份有限公司、</w:t>
      </w:r>
      <w:r>
        <w:rPr>
          <w:w w:val="100"/>
        </w:rPr>
        <w:t> </w:t>
      </w:r>
      <w:r>
        <w:rPr/>
        <w:t>本公司子公司金台创业投资有限公司原控股公司华茂金台（北京）投资管理有限公司。</w:t>
      </w:r>
    </w:p>
    <w:tbl>
      <w:tblPr>
        <w:tblW w:w="0" w:type="auto"/>
        <w:jc w:val="left"/>
        <w:tblInd w:w="178" w:type="dxa"/>
        <w:tblLayout w:type="fixed"/>
        <w:tblCellMar>
          <w:top w:w="0" w:type="dxa"/>
          <w:left w:w="0" w:type="dxa"/>
          <w:bottom w:w="0" w:type="dxa"/>
          <w:right w:w="0" w:type="dxa"/>
        </w:tblCellMar>
        <w:tblLook w:val="01E0"/>
      </w:tblPr>
      <w:tblGrid>
        <w:gridCol w:w="4659"/>
        <w:gridCol w:w="1877"/>
        <w:gridCol w:w="2410"/>
      </w:tblGrid>
      <w:tr>
        <w:trPr>
          <w:trHeight w:val="408"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2"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4"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11"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97,513,170.37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-13,318,412.90</w:t>
            </w:r>
          </w:p>
        </w:tc>
      </w:tr>
      <w:tr>
        <w:trPr>
          <w:trHeight w:val="410"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24,874,461.35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-6,000,628.99</w:t>
            </w:r>
          </w:p>
        </w:tc>
      </w:tr>
    </w:tbl>
    <w:p>
      <w:pPr>
        <w:pStyle w:val="BodyText"/>
        <w:spacing w:line="248" w:lineRule="exact"/>
        <w:ind w:left="198" w:right="0" w:firstLine="419"/>
        <w:jc w:val="both"/>
      </w:pPr>
      <w:r>
        <w:rPr/>
        <w:t>注</w:t>
      </w:r>
      <w:r>
        <w:rPr>
          <w:spacing w:val="-42"/>
        </w:rPr>
        <w:t> </w:t>
      </w:r>
      <w:r>
        <w:rPr>
          <w:rFonts w:ascii="宋体" w:hAnsi="宋体" w:cs="宋体" w:eastAsia="宋体" w:hint="default"/>
          <w:spacing w:val="-6"/>
        </w:rPr>
        <w:t>1</w:t>
      </w:r>
      <w:r>
        <w:rPr>
          <w:spacing w:val="-6"/>
        </w:rPr>
        <w:t>：</w:t>
      </w:r>
      <w:r>
        <w:rPr>
          <w:rFonts w:ascii="宋体" w:hAnsi="宋体" w:cs="宋体" w:eastAsia="宋体" w:hint="default"/>
          <w:spacing w:val="-6"/>
        </w:rPr>
        <w:t>2015</w:t>
      </w:r>
      <w:r>
        <w:rPr>
          <w:rFonts w:ascii="宋体" w:hAnsi="宋体" w:cs="宋体" w:eastAsia="宋体" w:hint="default"/>
          <w:spacing w:val="-45"/>
        </w:rPr>
        <w:t> </w:t>
      </w:r>
      <w:r>
        <w:rPr/>
        <w:t>年</w:t>
      </w:r>
      <w:r>
        <w:rPr>
          <w:spacing w:val="-42"/>
        </w:rPr>
        <w:t> </w:t>
      </w:r>
      <w:r>
        <w:rPr>
          <w:rFonts w:ascii="宋体" w:hAnsi="宋体" w:cs="宋体" w:eastAsia="宋体" w:hint="default"/>
        </w:rPr>
        <w:t>7</w:t>
      </w:r>
      <w:r>
        <w:rPr>
          <w:rFonts w:ascii="宋体" w:hAnsi="宋体" w:cs="宋体" w:eastAsia="宋体" w:hint="default"/>
          <w:spacing w:val="-45"/>
        </w:rPr>
        <w:t> </w:t>
      </w:r>
      <w:r>
        <w:rPr/>
        <w:t>月</w:t>
      </w:r>
      <w:r>
        <w:rPr>
          <w:spacing w:val="-41"/>
        </w:rPr>
        <w:t> </w:t>
      </w:r>
      <w:r>
        <w:rPr>
          <w:rFonts w:ascii="宋体" w:hAnsi="宋体" w:cs="宋体" w:eastAsia="宋体" w:hint="default"/>
        </w:rPr>
        <w:t>31</w:t>
      </w:r>
      <w:r>
        <w:rPr>
          <w:rFonts w:ascii="宋体" w:hAnsi="宋体" w:cs="宋体" w:eastAsia="宋体" w:hint="default"/>
          <w:spacing w:val="-45"/>
        </w:rPr>
        <w:t> </w:t>
      </w:r>
      <w:r>
        <w:rPr>
          <w:spacing w:val="-4"/>
        </w:rPr>
        <w:t>日杭州先锋基石股权投资合伙企业（有限合伙）和济宁先锋基石股权投</w:t>
      </w:r>
    </w:p>
    <w:p>
      <w:pPr>
        <w:pStyle w:val="BodyText"/>
        <w:spacing w:line="237" w:lineRule="auto" w:before="2"/>
        <w:ind w:left="198" w:right="103"/>
        <w:jc w:val="left"/>
      </w:pPr>
      <w:r>
        <w:rPr>
          <w:spacing w:val="-4"/>
        </w:rPr>
        <w:t>资企业（有限合伙）两家公司对北京文华在线教育科技股份有限公司增资</w:t>
      </w:r>
      <w:r>
        <w:rPr>
          <w:spacing w:val="-25"/>
        </w:rPr>
        <w:t> </w:t>
      </w:r>
      <w:r>
        <w:rPr>
          <w:rFonts w:ascii="宋体" w:hAnsi="宋体" w:cs="宋体" w:eastAsia="宋体" w:hint="default"/>
        </w:rPr>
        <w:t>6,000.00</w:t>
      </w:r>
      <w:r>
        <w:rPr>
          <w:rFonts w:ascii="宋体" w:hAnsi="宋体" w:cs="宋体" w:eastAsia="宋体" w:hint="default"/>
          <w:spacing w:val="-23"/>
        </w:rPr>
        <w:t> </w:t>
      </w:r>
      <w:r>
        <w:rPr>
          <w:spacing w:val="-7"/>
        </w:rPr>
        <w:t>万，本公司放</w:t>
      </w:r>
      <w:r>
        <w:rPr>
          <w:spacing w:val="-94"/>
        </w:rPr>
        <w:t> </w:t>
      </w:r>
      <w:r>
        <w:rPr>
          <w:spacing w:val="-94"/>
        </w:rPr>
      </w:r>
      <w:r>
        <w:rPr>
          <w:spacing w:val="-2"/>
        </w:rPr>
        <w:t>弃本次增资的同比例认缴权。杭州先锋基石股权投资合伙企业（有限合伙）和济宁先锋基石股权</w:t>
      </w:r>
      <w:r>
        <w:rPr>
          <w:spacing w:val="-25"/>
        </w:rPr>
        <w:t> </w:t>
      </w:r>
      <w:r>
        <w:rPr>
          <w:spacing w:val="-25"/>
        </w:rPr>
      </w:r>
      <w:r>
        <w:rPr>
          <w:spacing w:val="-3"/>
        </w:rPr>
        <w:t>投资企业（有限合伙）两家持股比例合计为</w:t>
      </w:r>
      <w:r>
        <w:rPr>
          <w:spacing w:val="-49"/>
        </w:rPr>
        <w:t> </w:t>
      </w:r>
      <w:r>
        <w:rPr>
          <w:rFonts w:ascii="宋体" w:hAnsi="宋体" w:cs="宋体" w:eastAsia="宋体" w:hint="default"/>
        </w:rPr>
        <w:t>13.04%</w:t>
      </w:r>
      <w:r>
        <w:rPr/>
        <w:t>，同时股东张晓庆和金善国两人签署一致行动</w:t>
      </w:r>
      <w:r>
        <w:rPr>
          <w:spacing w:val="-103"/>
        </w:rPr>
        <w:t> </w:t>
      </w:r>
      <w:r>
        <w:rPr>
          <w:spacing w:val="-103"/>
        </w:rPr>
      </w:r>
      <w:r>
        <w:rPr/>
        <w:t>人协议，两人合计持股</w:t>
      </w:r>
      <w:r>
        <w:rPr>
          <w:spacing w:val="-55"/>
        </w:rPr>
        <w:t> </w:t>
      </w:r>
      <w:r>
        <w:rPr>
          <w:rFonts w:ascii="宋体" w:hAnsi="宋体" w:cs="宋体" w:eastAsia="宋体" w:hint="default"/>
        </w:rPr>
        <w:t>37.39%</w:t>
      </w:r>
      <w:r>
        <w:rPr/>
        <w:t>。本公司持股比例由</w:t>
      </w:r>
      <w:r>
        <w:rPr>
          <w:spacing w:val="-58"/>
        </w:rPr>
        <w:t> </w:t>
      </w:r>
      <w:r>
        <w:rPr>
          <w:rFonts w:ascii="宋体" w:hAnsi="宋体" w:cs="宋体" w:eastAsia="宋体" w:hint="default"/>
        </w:rPr>
        <w:t>35.00%</w:t>
      </w:r>
      <w:r>
        <w:rPr/>
        <w:t>下降为</w:t>
      </w:r>
      <w:r>
        <w:rPr>
          <w:spacing w:val="-56"/>
        </w:rPr>
        <w:t> </w:t>
      </w:r>
      <w:r>
        <w:rPr>
          <w:rFonts w:ascii="宋体" w:hAnsi="宋体" w:cs="宋体" w:eastAsia="宋体" w:hint="default"/>
        </w:rPr>
        <w:t>30.43%</w:t>
      </w:r>
      <w:r>
        <w:rPr/>
        <w:t>，不再将北京文华在线</w:t>
      </w:r>
      <w:r>
        <w:rPr>
          <w:w w:val="100"/>
        </w:rPr>
        <w:t> </w:t>
      </w:r>
      <w:r>
        <w:rPr/>
        <w:t>教育科技股份有限公司纳入合并财务报表范围，作为本公司之联营公司核算。</w:t>
      </w:r>
    </w:p>
    <w:p>
      <w:pPr>
        <w:pStyle w:val="BodyText"/>
        <w:spacing w:line="237" w:lineRule="auto"/>
        <w:ind w:left="198" w:right="210" w:firstLine="419"/>
        <w:jc w:val="both"/>
      </w:pPr>
      <w:r>
        <w:rPr/>
        <w:t>注</w:t>
      </w:r>
      <w:r>
        <w:rPr>
          <w:spacing w:val="-53"/>
        </w:rPr>
        <w:t> </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日中能华茂国际投资（北京）有限公司、山东昆仑医院投资管理有限</w:t>
      </w:r>
      <w:r>
        <w:rPr>
          <w:w w:val="100"/>
        </w:rPr>
        <w:t> </w:t>
      </w:r>
      <w:r>
        <w:rPr>
          <w:spacing w:val="-2"/>
        </w:rPr>
        <w:t>公司、明安世纪医疗健康产业基金管理（北京）有限公司、上海嘉章投资管理有限公司四家公司</w:t>
      </w:r>
      <w:r>
        <w:rPr>
          <w:spacing w:val="-25"/>
        </w:rPr>
        <w:t> </w:t>
      </w:r>
      <w:r>
        <w:rPr>
          <w:spacing w:val="-25"/>
        </w:rPr>
      </w:r>
      <w:r>
        <w:rPr>
          <w:spacing w:val="-12"/>
          <w:w w:val="100"/>
        </w:rPr>
        <w:t>对华茂金台（北京）投资管理有限公司增资</w:t>
      </w:r>
      <w:r>
        <w:rPr>
          <w:spacing w:val="-48"/>
          <w:w w:val="100"/>
        </w:rPr>
        <w:t> </w:t>
      </w:r>
      <w:r>
        <w:rPr>
          <w:rFonts w:ascii="宋体" w:hAnsi="宋体" w:cs="宋体" w:eastAsia="宋体" w:hint="default"/>
          <w:spacing w:val="-1"/>
          <w:w w:val="100"/>
        </w:rPr>
        <w:t>3,000.00</w:t>
      </w:r>
      <w:r>
        <w:rPr>
          <w:rFonts w:ascii="宋体" w:hAnsi="宋体" w:cs="宋体" w:eastAsia="宋体" w:hint="default"/>
          <w:spacing w:val="-51"/>
          <w:w w:val="100"/>
        </w:rPr>
        <w:t> </w:t>
      </w:r>
      <w:r>
        <w:rPr>
          <w:spacing w:val="-7"/>
          <w:w w:val="100"/>
        </w:rPr>
        <w:t>万元，本公司放弃本次增资的同比例认缴权。</w:t>
      </w:r>
      <w:r>
        <w:rPr>
          <w:spacing w:val="-104"/>
          <w:w w:val="100"/>
        </w:rPr>
        <w:t> </w:t>
      </w:r>
      <w:r>
        <w:rPr>
          <w:spacing w:val="-104"/>
          <w:w w:val="100"/>
        </w:rPr>
      </w:r>
      <w:r>
        <w:rPr>
          <w:spacing w:val="-2"/>
        </w:rPr>
        <w:t>中能华茂国际投资（北京）有限公司、山东昆仑医院投资管理有限公司行使优先认购权分别认购</w:t>
      </w:r>
      <w:r>
        <w:rPr>
          <w:spacing w:val="-25"/>
        </w:rPr>
        <w:t> </w:t>
      </w:r>
      <w:r>
        <w:rPr>
          <w:spacing w:val="-25"/>
        </w:rPr>
      </w:r>
      <w:r>
        <w:rPr>
          <w:rFonts w:ascii="宋体" w:hAnsi="宋体" w:cs="宋体" w:eastAsia="宋体" w:hint="default"/>
        </w:rPr>
        <w:t>660.00</w:t>
      </w:r>
      <w:r>
        <w:rPr>
          <w:rFonts w:ascii="宋体" w:hAnsi="宋体" w:cs="宋体" w:eastAsia="宋体" w:hint="default"/>
          <w:spacing w:val="-55"/>
        </w:rPr>
        <w:t> </w:t>
      </w:r>
      <w:r>
        <w:rPr/>
        <w:t>万元股权、</w:t>
      </w:r>
      <w:r>
        <w:rPr>
          <w:rFonts w:ascii="宋体" w:hAnsi="宋体" w:cs="宋体" w:eastAsia="宋体" w:hint="default"/>
        </w:rPr>
        <w:t>600.00</w:t>
      </w:r>
      <w:r>
        <w:rPr>
          <w:rFonts w:ascii="宋体" w:hAnsi="宋体" w:cs="宋体" w:eastAsia="宋体" w:hint="default"/>
          <w:spacing w:val="-57"/>
        </w:rPr>
        <w:t> </w:t>
      </w:r>
      <w:r>
        <w:rPr/>
        <w:t>万元股权；明安世纪医疗健康产业基金管理（北京）有限公司认购</w:t>
      </w:r>
    </w:p>
    <w:p>
      <w:pPr>
        <w:pStyle w:val="BodyText"/>
        <w:spacing w:line="274" w:lineRule="exact"/>
        <w:ind w:left="198" w:right="213"/>
        <w:jc w:val="left"/>
      </w:pPr>
      <w:r>
        <w:rPr>
          <w:rFonts w:ascii="宋体" w:hAnsi="宋体" w:cs="宋体" w:eastAsia="宋体" w:hint="default"/>
        </w:rPr>
        <w:t>1,380.00</w:t>
      </w:r>
      <w:r>
        <w:rPr>
          <w:rFonts w:ascii="宋体" w:hAnsi="宋体" w:cs="宋体" w:eastAsia="宋体" w:hint="default"/>
          <w:spacing w:val="-58"/>
        </w:rPr>
        <w:t> </w:t>
      </w:r>
      <w:r>
        <w:rPr/>
        <w:t>万元股权，上海嘉章投资管理有限公司认购</w:t>
      </w:r>
      <w:r>
        <w:rPr>
          <w:spacing w:val="-55"/>
        </w:rPr>
        <w:t> </w:t>
      </w:r>
      <w:r>
        <w:rPr>
          <w:rFonts w:ascii="宋体" w:hAnsi="宋体" w:cs="宋体" w:eastAsia="宋体" w:hint="default"/>
        </w:rPr>
        <w:t>360.00</w:t>
      </w:r>
      <w:r>
        <w:rPr>
          <w:rFonts w:ascii="宋体" w:hAnsi="宋体" w:cs="宋体" w:eastAsia="宋体" w:hint="default"/>
          <w:spacing w:val="-58"/>
        </w:rPr>
        <w:t> </w:t>
      </w:r>
      <w:r>
        <w:rPr/>
        <w:t>万元股权。至此本公司对华茂金台</w:t>
      </w:r>
    </w:p>
    <w:p>
      <w:pPr>
        <w:spacing w:after="0" w:line="274" w:lineRule="exact"/>
        <w:jc w:val="left"/>
        <w:sectPr>
          <w:headerReference w:type="default" r:id="rId82"/>
          <w:footerReference w:type="default" r:id="rId83"/>
          <w:pgSz w:w="11910" w:h="16840"/>
          <w:pgMar w:header="882" w:footer="1195" w:top="1120" w:bottom="1380" w:left="1600" w:right="1060"/>
          <w:pgNumType w:start="138"/>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spacing w:val="-3"/>
        </w:rPr>
        <w:t>（北京）投资管理有限公司间接持股比例由</w:t>
      </w:r>
      <w:r>
        <w:rPr>
          <w:spacing w:val="-31"/>
        </w:rPr>
        <w:t> </w:t>
      </w:r>
      <w:r>
        <w:rPr>
          <w:rFonts w:ascii="宋体" w:hAnsi="宋体" w:cs="宋体" w:eastAsia="宋体" w:hint="default"/>
        </w:rPr>
        <w:t>40.00%</w:t>
      </w:r>
      <w:r>
        <w:rPr/>
        <w:t>下降为</w:t>
      </w:r>
      <w:r>
        <w:rPr>
          <w:spacing w:val="-31"/>
        </w:rPr>
        <w:t> </w:t>
      </w:r>
      <w:r>
        <w:rPr>
          <w:rFonts w:ascii="宋体" w:hAnsi="宋体" w:cs="宋体" w:eastAsia="宋体" w:hint="default"/>
          <w:spacing w:val="-5"/>
        </w:rPr>
        <w:t>20.00%</w:t>
      </w:r>
      <w:r>
        <w:rPr>
          <w:spacing w:val="-5"/>
        </w:rPr>
        <w:t>，可推荐一名董事会候选人，不</w:t>
      </w:r>
      <w:r>
        <w:rPr>
          <w:spacing w:val="-96"/>
        </w:rPr>
        <w:t> </w:t>
      </w:r>
      <w:r>
        <w:rPr>
          <w:spacing w:val="-96"/>
        </w:rPr>
      </w:r>
      <w:r>
        <w:rPr>
          <w:spacing w:val="-2"/>
        </w:rPr>
        <w:t>再将华茂金台（北京）投资管理有限公司纳入合并财务报表范围，作为本公司之联营公司核算。</w:t>
      </w:r>
    </w:p>
    <w:p>
      <w:pPr>
        <w:spacing w:line="240" w:lineRule="auto" w:before="3"/>
        <w:rPr>
          <w:rFonts w:ascii="宋体" w:hAnsi="宋体" w:cs="宋体" w:eastAsia="宋体" w:hint="default"/>
          <w:sz w:val="25"/>
          <w:szCs w:val="25"/>
        </w:rPr>
      </w:pPr>
    </w:p>
    <w:p>
      <w:pPr>
        <w:pStyle w:val="Heading2"/>
        <w:spacing w:line="290" w:lineRule="auto"/>
        <w:ind w:left="138" w:right="8107"/>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90" w:lineRule="auto"/>
        <w:ind w:left="224" w:right="11755"/>
        <w:jc w:val="left"/>
        <w:rPr>
          <w:b w:val="0"/>
          <w:bCs w:val="0"/>
        </w:rPr>
      </w:pPr>
      <w:r>
        <w:rPr/>
        <w:t>九、在其他主体中的权益</w:t>
      </w:r>
      <w:r>
        <w:rPr>
          <w:spacing w:val="-101"/>
        </w:rPr>
        <w:t> </w:t>
      </w:r>
      <w:r>
        <w:rPr>
          <w:spacing w:val="-101"/>
        </w:rPr>
      </w:r>
      <w:r>
        <w:rPr>
          <w:rFonts w:ascii="宋体" w:hAnsi="宋体" w:cs="宋体" w:eastAsia="宋体" w:hint="default"/>
        </w:rPr>
        <w:t>1</w:t>
      </w:r>
      <w:r>
        <w:rPr/>
        <w:t>、 在子公司中的权益</w:t>
      </w:r>
      <w:r>
        <w:rPr>
          <w:b w:val="0"/>
          <w:bCs w:val="0"/>
        </w:rPr>
      </w:r>
    </w:p>
    <w:p>
      <w:pPr>
        <w:pStyle w:val="BodyText"/>
        <w:spacing w:line="240" w:lineRule="auto" w:before="12"/>
        <w:ind w:left="224" w:right="163"/>
        <w:jc w:val="left"/>
      </w:pPr>
      <w:r>
        <w:rPr/>
        <w:t>√适用 □不适用</w:t>
      </w:r>
    </w:p>
    <w:p>
      <w:pPr>
        <w:pStyle w:val="Heading2"/>
        <w:tabs>
          <w:tab w:pos="867" w:val="left" w:leader="none"/>
        </w:tabs>
        <w:spacing w:line="240" w:lineRule="auto" w:before="58"/>
        <w:ind w:left="224" w:right="163"/>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5211"/>
        <w:gridCol w:w="1704"/>
        <w:gridCol w:w="1560"/>
        <w:gridCol w:w="2127"/>
        <w:gridCol w:w="1133"/>
        <w:gridCol w:w="991"/>
        <w:gridCol w:w="1364"/>
      </w:tblGrid>
      <w:tr>
        <w:trPr>
          <w:trHeight w:val="286" w:hRule="exact"/>
        </w:trPr>
        <w:tc>
          <w:tcPr>
            <w:tcW w:w="5211" w:type="dxa"/>
            <w:vMerge w:val="restart"/>
            <w:tcBorders>
              <w:top w:val="single" w:sz="4" w:space="0" w:color="000000"/>
              <w:left w:val="single" w:sz="4" w:space="0" w:color="000000"/>
              <w:right w:val="single" w:sz="6" w:space="0" w:color="000000"/>
            </w:tcBorders>
          </w:tcPr>
          <w:p>
            <w:pPr>
              <w:pStyle w:val="TableParagraph"/>
              <w:spacing w:line="272" w:lineRule="exact" w:before="5"/>
              <w:ind w:left="2285" w:right="2278"/>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704" w:type="dxa"/>
            <w:vMerge w:val="restart"/>
            <w:tcBorders>
              <w:top w:val="single" w:sz="4" w:space="0" w:color="000000"/>
              <w:left w:val="single" w:sz="6" w:space="0" w:color="000000"/>
              <w:right w:val="single" w:sz="6" w:space="0" w:color="000000"/>
            </w:tcBorders>
          </w:tcPr>
          <w:p>
            <w:pPr>
              <w:pStyle w:val="TableParagraph"/>
              <w:spacing w:line="240" w:lineRule="auto" w:before="112"/>
              <w:ind w:left="32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0" w:type="dxa"/>
            <w:vMerge w:val="restart"/>
            <w:tcBorders>
              <w:top w:val="single" w:sz="4" w:space="0" w:color="000000"/>
              <w:left w:val="single" w:sz="6" w:space="0" w:color="000000"/>
              <w:right w:val="single" w:sz="6" w:space="0" w:color="000000"/>
            </w:tcBorders>
          </w:tcPr>
          <w:p>
            <w:pPr>
              <w:pStyle w:val="TableParagraph"/>
              <w:spacing w:line="240" w:lineRule="auto" w:before="112"/>
              <w:ind w:left="45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127" w:type="dxa"/>
            <w:vMerge w:val="restart"/>
            <w:tcBorders>
              <w:top w:val="single" w:sz="4" w:space="0" w:color="000000"/>
              <w:left w:val="single" w:sz="6" w:space="0" w:color="000000"/>
              <w:right w:val="single" w:sz="6" w:space="0" w:color="000000"/>
            </w:tcBorders>
          </w:tcPr>
          <w:p>
            <w:pPr>
              <w:pStyle w:val="TableParagraph"/>
              <w:spacing w:line="240" w:lineRule="auto" w:before="112"/>
              <w:ind w:left="63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2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64" w:type="dxa"/>
            <w:vMerge w:val="restart"/>
            <w:tcBorders>
              <w:top w:val="single" w:sz="4" w:space="0" w:color="000000"/>
              <w:left w:val="single" w:sz="6" w:space="0" w:color="000000"/>
              <w:right w:val="single" w:sz="4" w:space="0" w:color="000000"/>
            </w:tcBorders>
          </w:tcPr>
          <w:p>
            <w:pPr>
              <w:pStyle w:val="TableParagraph"/>
              <w:spacing w:line="272" w:lineRule="exact" w:before="5"/>
              <w:ind w:left="465" w:right="46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3" w:hRule="exact"/>
        </w:trPr>
        <w:tc>
          <w:tcPr>
            <w:tcW w:w="5211" w:type="dxa"/>
            <w:vMerge/>
            <w:tcBorders>
              <w:left w:val="single" w:sz="4"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364" w:type="dxa"/>
            <w:vMerge/>
            <w:tcBorders>
              <w:left w:val="single" w:sz="6" w:space="0" w:color="000000"/>
              <w:bottom w:val="single" w:sz="6" w:space="0" w:color="000000"/>
              <w:right w:val="single" w:sz="4" w:space="0" w:color="000000"/>
            </w:tcBorders>
          </w:tcPr>
          <w:p>
            <w:pP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69.25</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北京丹鼎四海文化传播有限公司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北京书香文府数字技术有限公司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北京聚点艺盛文化传播有限责任公司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衡阳天言信息技术有限公司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36.67</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天津人民澳客科技有限公司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9"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11)</w:t>
            </w:r>
          </w:p>
        </w:tc>
        <w:tc>
          <w:tcPr>
            <w:tcW w:w="17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28.00</w:t>
            </w:r>
          </w:p>
        </w:tc>
        <w:tc>
          <w:tcPr>
            <w:tcW w:w="136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bl>
    <w:p>
      <w:pPr>
        <w:spacing w:after="0" w:line="241" w:lineRule="exact"/>
        <w:jc w:val="left"/>
        <w:rPr>
          <w:rFonts w:ascii="宋体" w:hAnsi="宋体" w:cs="宋体" w:eastAsia="宋体" w:hint="default"/>
          <w:sz w:val="21"/>
          <w:szCs w:val="21"/>
        </w:rPr>
        <w:sectPr>
          <w:headerReference w:type="default" r:id="rId84"/>
          <w:footerReference w:type="default" r:id="rId85"/>
          <w:pgSz w:w="16840" w:h="11910" w:orient="landscape"/>
          <w:pgMar w:header="882" w:footer="1195" w:top="1120" w:bottom="1380" w:left="1300" w:right="1220"/>
          <w:pgNumType w:start="140"/>
        </w:sectPr>
      </w:pPr>
    </w:p>
    <w:p>
      <w:pPr>
        <w:spacing w:line="240" w:lineRule="auto" w:before="8"/>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5211"/>
        <w:gridCol w:w="1704"/>
        <w:gridCol w:w="1560"/>
        <w:gridCol w:w="2127"/>
        <w:gridCol w:w="1133"/>
        <w:gridCol w:w="991"/>
        <w:gridCol w:w="1364"/>
      </w:tblGrid>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上海微屏投资管理有限公司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上海青露网络科技有限公司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软件业经营</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芜湖阶梯网络技术有限公司（注</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z w:val="21"/>
                <w:szCs w:val="21"/>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代理流量广告</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9"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人民网南中有限责任公司（注</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51.00</w:t>
            </w: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6" w:hRule="exact"/>
        </w:trPr>
        <w:tc>
          <w:tcPr>
            <w:tcW w:w="521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7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212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991" w:type="dxa"/>
            <w:tcBorders>
              <w:top w:val="single" w:sz="6" w:space="0" w:color="000000"/>
              <w:left w:val="single" w:sz="6" w:space="0" w:color="000000"/>
              <w:bottom w:val="single" w:sz="4" w:space="0" w:color="000000"/>
              <w:right w:val="single" w:sz="6" w:space="0" w:color="000000"/>
            </w:tcBorders>
          </w:tcPr>
          <w:p>
            <w:pPr/>
          </w:p>
        </w:tc>
        <w:tc>
          <w:tcPr>
            <w:tcW w:w="1364"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7"/>
        <w:rPr>
          <w:rFonts w:ascii="宋体" w:hAnsi="宋体" w:cs="宋体" w:eastAsia="宋体" w:hint="default"/>
          <w:b/>
          <w:bCs/>
          <w:sz w:val="15"/>
          <w:szCs w:val="15"/>
        </w:rPr>
      </w:pPr>
    </w:p>
    <w:p>
      <w:pPr>
        <w:pStyle w:val="BodyText"/>
        <w:spacing w:line="273" w:lineRule="exact" w:before="36"/>
        <w:ind w:left="224" w:right="163"/>
        <w:jc w:val="left"/>
      </w:pPr>
      <w:r>
        <w:rPr/>
        <w:t>其他说明：</w:t>
      </w:r>
    </w:p>
    <w:p>
      <w:pPr>
        <w:pStyle w:val="BodyText"/>
        <w:spacing w:line="240" w:lineRule="auto"/>
        <w:ind w:left="644" w:right="2678"/>
        <w:jc w:val="left"/>
      </w:pPr>
      <w:r>
        <w:rPr/>
        <w:t>注</w:t>
      </w:r>
      <w:r>
        <w:rPr>
          <w:spacing w:val="-57"/>
        </w:rPr>
        <w:t> </w:t>
      </w:r>
      <w:r>
        <w:rPr>
          <w:rFonts w:ascii="宋体" w:hAnsi="宋体" w:cs="宋体" w:eastAsia="宋体" w:hint="default"/>
        </w:rPr>
        <w:t>1</w:t>
      </w:r>
      <w:r>
        <w:rPr/>
        <w:t>：武汉人民在线信息科技有限公司为本公司之子公司北京人民在线网络有限公司出资购买，持股比例为</w:t>
      </w:r>
      <w:r>
        <w:rPr>
          <w:spacing w:val="-57"/>
        </w:rPr>
        <w:t> </w:t>
      </w:r>
      <w:r>
        <w:rPr>
          <w:rFonts w:ascii="宋体" w:hAnsi="宋体" w:cs="宋体" w:eastAsia="宋体" w:hint="default"/>
        </w:rPr>
        <w:t>100.00%</w:t>
      </w:r>
      <w:r>
        <w:rPr/>
        <w:t>。</w:t>
      </w:r>
      <w:r>
        <w:rPr>
          <w:w w:val="100"/>
        </w:rPr>
        <w:t> </w:t>
      </w:r>
      <w:r>
        <w:rPr/>
        <w:t>注</w:t>
      </w:r>
      <w:r>
        <w:rPr>
          <w:spacing w:val="-57"/>
        </w:rPr>
        <w:t> </w:t>
      </w:r>
      <w:r>
        <w:rPr>
          <w:rFonts w:ascii="宋体" w:hAnsi="宋体" w:cs="宋体" w:eastAsia="宋体" w:hint="default"/>
        </w:rPr>
        <w:t>2</w:t>
      </w:r>
      <w:r>
        <w:rPr/>
        <w:t>：北京丹鼎四海文化传播有限公司为本公司之子公司成都古羌科技有限公司出资购买，持股比例为</w:t>
      </w:r>
      <w:r>
        <w:rPr>
          <w:spacing w:val="-57"/>
        </w:rPr>
        <w:t> </w:t>
      </w:r>
      <w:r>
        <w:rPr>
          <w:rFonts w:ascii="宋体" w:hAnsi="宋体" w:cs="宋体" w:eastAsia="宋体" w:hint="default"/>
        </w:rPr>
        <w:t>99.00%</w:t>
      </w:r>
      <w:r>
        <w:rPr/>
        <w:t>。</w:t>
      </w:r>
    </w:p>
    <w:p>
      <w:pPr>
        <w:pStyle w:val="BodyText"/>
        <w:spacing w:line="271" w:lineRule="exact"/>
        <w:ind w:left="644" w:right="163"/>
        <w:jc w:val="left"/>
      </w:pPr>
      <w:r>
        <w:rPr/>
        <w:t>注</w:t>
      </w:r>
      <w:r>
        <w:rPr>
          <w:spacing w:val="-57"/>
        </w:rPr>
        <w:t> </w:t>
      </w:r>
      <w:r>
        <w:rPr>
          <w:rFonts w:ascii="宋体" w:hAnsi="宋体" w:cs="宋体" w:eastAsia="宋体" w:hint="default"/>
        </w:rPr>
        <w:t>3</w:t>
      </w:r>
      <w:r>
        <w:rPr/>
        <w:t>：北京书香文府数字技术有限公司为本公司之子公司成都古羌科技有限公司出资购买，持股比例为</w:t>
      </w:r>
      <w:r>
        <w:rPr>
          <w:spacing w:val="-57"/>
        </w:rPr>
        <w:t> </w:t>
      </w:r>
      <w:r>
        <w:rPr>
          <w:rFonts w:ascii="宋体" w:hAnsi="宋体" w:cs="宋体" w:eastAsia="宋体" w:hint="default"/>
        </w:rPr>
        <w:t>100.00%</w:t>
      </w:r>
      <w:r>
        <w:rPr/>
        <w:t>。</w:t>
      </w:r>
    </w:p>
    <w:p>
      <w:pPr>
        <w:pStyle w:val="BodyText"/>
        <w:spacing w:line="272" w:lineRule="exact" w:before="27"/>
        <w:ind w:left="644" w:right="2678"/>
        <w:jc w:val="left"/>
      </w:pPr>
      <w:r>
        <w:rPr/>
        <w:t>注</w:t>
      </w:r>
      <w:r>
        <w:rPr>
          <w:spacing w:val="-57"/>
        </w:rPr>
        <w:t> </w:t>
      </w:r>
      <w:r>
        <w:rPr>
          <w:rFonts w:ascii="宋体" w:hAnsi="宋体" w:cs="宋体" w:eastAsia="宋体" w:hint="default"/>
        </w:rPr>
        <w:t>4</w:t>
      </w:r>
      <w:r>
        <w:rPr/>
        <w:t>：北京聚点艺盛文化传播有限责任公司为本公司之子公司成都古羌科技有限公司出资购买，持股比例为</w:t>
      </w:r>
      <w:r>
        <w:rPr>
          <w:spacing w:val="-57"/>
        </w:rPr>
        <w:t> </w:t>
      </w:r>
      <w:r>
        <w:rPr>
          <w:rFonts w:ascii="宋体" w:hAnsi="宋体" w:cs="宋体" w:eastAsia="宋体" w:hint="default"/>
        </w:rPr>
        <w:t>100.00%</w:t>
      </w:r>
      <w:r>
        <w:rPr/>
        <w:t>。</w:t>
      </w:r>
      <w:r>
        <w:rPr>
          <w:w w:val="100"/>
        </w:rPr>
        <w:t> </w:t>
      </w:r>
      <w:r>
        <w:rPr/>
        <w:t>注</w:t>
      </w:r>
      <w:r>
        <w:rPr>
          <w:spacing w:val="-58"/>
        </w:rPr>
        <w:t> </w:t>
      </w:r>
      <w:r>
        <w:rPr>
          <w:rFonts w:ascii="宋体" w:hAnsi="宋体" w:cs="宋体" w:eastAsia="宋体" w:hint="default"/>
        </w:rPr>
        <w:t>5</w:t>
      </w:r>
      <w:r>
        <w:rPr/>
        <w:t>：衡阳天言信息技术有限公司为本公司之子公司成都古羌科技有限公司出资购买，持股比例为</w:t>
      </w:r>
      <w:r>
        <w:rPr>
          <w:spacing w:val="-58"/>
        </w:rPr>
        <w:t> </w:t>
      </w:r>
      <w:r>
        <w:rPr>
          <w:rFonts w:ascii="宋体" w:hAnsi="宋体" w:cs="宋体" w:eastAsia="宋体" w:hint="default"/>
        </w:rPr>
        <w:t>100.00%</w:t>
      </w:r>
      <w:r>
        <w:rPr/>
        <w:t>。</w:t>
      </w:r>
    </w:p>
    <w:p>
      <w:pPr>
        <w:pStyle w:val="BodyText"/>
        <w:spacing w:line="247" w:lineRule="exact"/>
        <w:ind w:left="644" w:right="163"/>
        <w:jc w:val="left"/>
      </w:pPr>
      <w:r>
        <w:rPr/>
        <w:t>注 </w:t>
      </w:r>
      <w:r>
        <w:rPr>
          <w:rFonts w:ascii="宋体" w:hAnsi="宋体" w:cs="宋体" w:eastAsia="宋体" w:hint="default"/>
          <w:spacing w:val="-2"/>
        </w:rPr>
        <w:t>6</w:t>
      </w:r>
      <w:r>
        <w:rPr>
          <w:spacing w:val="-2"/>
        </w:rPr>
        <w:t>：大连龙飞华翔科技有限公司为本公司之子公司环球时报在线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spacing w:val="-6"/>
        </w:rPr>
        <w:t> </w:t>
      </w:r>
      <w:r>
        <w:rPr>
          <w:rFonts w:ascii="宋体" w:hAnsi="宋体" w:cs="宋体" w:eastAsia="宋体" w:hint="default"/>
          <w:spacing w:val="-1"/>
        </w:rPr>
        <w:t>100.00%</w:t>
      </w:r>
      <w:r>
        <w:rPr>
          <w:spacing w:val="-1"/>
        </w:rPr>
        <w:t>。</w:t>
      </w:r>
    </w:p>
    <w:p>
      <w:pPr>
        <w:pStyle w:val="BodyText"/>
        <w:spacing w:line="271" w:lineRule="exact"/>
        <w:ind w:left="644" w:right="163"/>
        <w:jc w:val="left"/>
      </w:pPr>
      <w:r>
        <w:rPr/>
        <w:t>注 </w:t>
      </w:r>
      <w:r>
        <w:rPr>
          <w:rFonts w:ascii="宋体" w:hAnsi="宋体" w:cs="宋体" w:eastAsia="宋体" w:hint="default"/>
          <w:spacing w:val="-2"/>
        </w:rPr>
        <w:t>7</w:t>
      </w:r>
      <w:r>
        <w:rPr>
          <w:spacing w:val="-2"/>
        </w:rPr>
        <w:t>：北京中盛卓越国际文化传媒有限公司为本公司之子公司环球时报在线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spacing w:val="-6"/>
        </w:rPr>
        <w:t> </w:t>
      </w:r>
      <w:r>
        <w:rPr>
          <w:rFonts w:ascii="宋体" w:hAnsi="宋体" w:cs="宋体" w:eastAsia="宋体" w:hint="default"/>
          <w:spacing w:val="-1"/>
        </w:rPr>
        <w:t>100.00%</w:t>
      </w:r>
      <w:r>
        <w:rPr>
          <w:spacing w:val="-1"/>
        </w:rPr>
        <w:t>。</w:t>
      </w:r>
    </w:p>
    <w:p>
      <w:pPr>
        <w:pStyle w:val="BodyText"/>
        <w:spacing w:line="240" w:lineRule="auto"/>
        <w:ind w:left="224" w:right="163" w:firstLine="420"/>
        <w:jc w:val="left"/>
      </w:pPr>
      <w:r>
        <w:rPr/>
        <w:t>注</w:t>
      </w:r>
      <w:r>
        <w:rPr>
          <w:spacing w:val="28"/>
        </w:rPr>
        <w:t> </w:t>
      </w:r>
      <w:r>
        <w:rPr>
          <w:rFonts w:ascii="宋体" w:hAnsi="宋体" w:cs="宋体" w:eastAsia="宋体" w:hint="default"/>
          <w:spacing w:val="-2"/>
        </w:rPr>
        <w:t>8</w:t>
      </w:r>
      <w:r>
        <w:rPr>
          <w:spacing w:val="-2"/>
        </w:rPr>
        <w:t>：根据人民澳客传媒科技有限公司章程的规定，该公司董事会成员五人，其中本公司在董事会中占有三个席位，并规定董事会决议须经董事会</w:t>
      </w:r>
      <w:r>
        <w:rPr>
          <w:w w:val="100"/>
        </w:rPr>
        <w:t> </w:t>
      </w:r>
      <w:r>
        <w:rPr/>
        <w:t>全体成员过半数通过，本公司对该公司享有实际控制权，本期纳入财务报表合并范围。</w:t>
      </w:r>
    </w:p>
    <w:p>
      <w:pPr>
        <w:pStyle w:val="BodyText"/>
        <w:spacing w:line="274" w:lineRule="exact" w:before="22"/>
        <w:ind w:left="644" w:right="3094"/>
        <w:jc w:val="left"/>
      </w:pPr>
      <w:r>
        <w:rPr/>
        <w:t>注</w:t>
      </w:r>
      <w:r>
        <w:rPr>
          <w:spacing w:val="-55"/>
        </w:rPr>
        <w:t> </w:t>
      </w:r>
      <w:r>
        <w:rPr>
          <w:rFonts w:ascii="宋体" w:hAnsi="宋体" w:cs="宋体" w:eastAsia="宋体" w:hint="default"/>
        </w:rPr>
        <w:t>9</w:t>
      </w:r>
      <w:r>
        <w:rPr/>
        <w:t>：天津人民澳客科技有限公司为本公司之子公司人民澳客传媒科技有限公司出资设立，持股比例为</w:t>
      </w:r>
      <w:r>
        <w:rPr>
          <w:spacing w:val="-55"/>
        </w:rPr>
        <w:t> </w:t>
      </w:r>
      <w:r>
        <w:rPr>
          <w:rFonts w:ascii="宋体" w:hAnsi="宋体" w:cs="宋体" w:eastAsia="宋体" w:hint="default"/>
        </w:rPr>
        <w:t>100.00%</w:t>
      </w:r>
      <w:r>
        <w:rPr/>
        <w:t>。</w:t>
      </w:r>
      <w:r>
        <w:rPr>
          <w:w w:val="100"/>
        </w:rPr>
        <w:t> </w:t>
      </w:r>
      <w:r>
        <w:rPr/>
        <w:t>注</w:t>
      </w:r>
      <w:r>
        <w:rPr>
          <w:spacing w:val="-58"/>
        </w:rPr>
        <w:t> </w:t>
      </w:r>
      <w:r>
        <w:rPr>
          <w:rFonts w:ascii="宋体" w:hAnsi="宋体" w:cs="宋体" w:eastAsia="宋体" w:hint="default"/>
        </w:rPr>
        <w:t>10</w:t>
      </w:r>
      <w:r>
        <w:rPr/>
        <w:t>：人民视讯（上海）文化有限公司为本公司之子公司人民视讯文化有限公司出资设立，持股比例为</w:t>
      </w:r>
      <w:r>
        <w:rPr>
          <w:spacing w:val="-58"/>
        </w:rPr>
        <w:t> </w:t>
      </w:r>
      <w:r>
        <w:rPr>
          <w:rFonts w:ascii="宋体" w:hAnsi="宋体" w:cs="宋体" w:eastAsia="宋体" w:hint="default"/>
        </w:rPr>
        <w:t>100.00%</w:t>
      </w:r>
      <w:r>
        <w:rPr/>
        <w:t>。</w:t>
      </w:r>
    </w:p>
    <w:p>
      <w:pPr>
        <w:spacing w:after="0" w:line="274" w:lineRule="exact"/>
        <w:jc w:val="left"/>
        <w:sectPr>
          <w:pgSz w:w="16840" w:h="11910" w:orient="landscape"/>
          <w:pgMar w:header="882" w:footer="1195" w:top="1120" w:bottom="1380" w:left="1300" w:right="1220"/>
        </w:sectPr>
      </w:pPr>
    </w:p>
    <w:p>
      <w:pPr>
        <w:pStyle w:val="BodyText"/>
        <w:spacing w:line="272" w:lineRule="exact" w:before="145"/>
        <w:ind w:left="144" w:right="0" w:firstLine="420"/>
        <w:jc w:val="left"/>
      </w:pPr>
      <w:r>
        <w:rPr/>
        <w:t>注</w:t>
      </w:r>
      <w:r>
        <w:rPr>
          <w:spacing w:val="35"/>
        </w:rPr>
        <w:t> </w:t>
      </w:r>
      <w:r>
        <w:rPr>
          <w:rFonts w:ascii="宋体" w:hAnsi="宋体" w:cs="宋体" w:eastAsia="宋体" w:hint="default"/>
          <w:spacing w:val="-3"/>
        </w:rPr>
        <w:t>11</w:t>
      </w:r>
      <w:r>
        <w:rPr>
          <w:spacing w:val="-3"/>
        </w:rPr>
        <w:t>：根据微屏软件科技</w:t>
      </w:r>
      <w:r>
        <w:rPr>
          <w:rFonts w:ascii="宋体" w:hAnsi="宋体" w:cs="宋体" w:eastAsia="宋体" w:hint="default"/>
          <w:spacing w:val="-3"/>
        </w:rPr>
        <w:t>(</w:t>
      </w:r>
      <w:r>
        <w:rPr>
          <w:spacing w:val="-3"/>
        </w:rPr>
        <w:t>上海</w:t>
      </w:r>
      <w:r>
        <w:rPr>
          <w:rFonts w:ascii="宋体" w:hAnsi="宋体" w:cs="宋体" w:eastAsia="宋体" w:hint="default"/>
          <w:spacing w:val="-3"/>
        </w:rPr>
        <w:t>)</w:t>
      </w:r>
      <w:r>
        <w:rPr>
          <w:spacing w:val="-3"/>
        </w:rPr>
        <w:t>有限公司章程的规定，该公司董事会成员五人，其中本公司及本公司子公司人民澳客传媒科技有限公司在董事会中</w:t>
      </w:r>
      <w:r>
        <w:rPr>
          <w:w w:val="100"/>
        </w:rPr>
        <w:t> </w:t>
      </w:r>
      <w:r>
        <w:rPr/>
        <w:t>占有三个席位，并规定董事会决议须经董事会全体成员过半数通过，本公司对该公司享有实际控制权，本期纳入财务报表合并范围。</w:t>
      </w:r>
    </w:p>
    <w:p>
      <w:pPr>
        <w:pStyle w:val="BodyText"/>
        <w:spacing w:line="272" w:lineRule="exact" w:before="1"/>
        <w:ind w:left="564" w:right="2853"/>
        <w:jc w:val="left"/>
      </w:pPr>
      <w:r>
        <w:rPr/>
        <w:t>注</w:t>
      </w:r>
      <w:r>
        <w:rPr>
          <w:spacing w:val="-57"/>
        </w:rPr>
        <w:t> </w:t>
      </w:r>
      <w:r>
        <w:rPr>
          <w:rFonts w:ascii="宋体" w:hAnsi="宋体" w:cs="宋体" w:eastAsia="宋体" w:hint="default"/>
        </w:rPr>
        <w:t>12</w:t>
      </w:r>
      <w:r>
        <w:rPr/>
        <w:t>：上海微屏投资管理有限公司为本公司之子公司微屏软件科技</w:t>
      </w:r>
      <w:r>
        <w:rPr>
          <w:rFonts w:ascii="宋体" w:hAnsi="宋体" w:cs="宋体" w:eastAsia="宋体" w:hint="default"/>
        </w:rPr>
        <w:t>(</w:t>
      </w:r>
      <w:r>
        <w:rPr/>
        <w:t>上海</w:t>
      </w:r>
      <w:r>
        <w:rPr>
          <w:rFonts w:ascii="宋体" w:hAnsi="宋体" w:cs="宋体" w:eastAsia="宋体" w:hint="default"/>
        </w:rPr>
        <w:t>)</w:t>
      </w:r>
      <w:r>
        <w:rPr/>
        <w:t>有限公司出资设立，持股比例为</w:t>
      </w:r>
      <w:r>
        <w:rPr>
          <w:spacing w:val="-57"/>
        </w:rPr>
        <w:t> </w:t>
      </w:r>
      <w:r>
        <w:rPr>
          <w:rFonts w:ascii="宋体" w:hAnsi="宋体" w:cs="宋体" w:eastAsia="宋体" w:hint="default"/>
        </w:rPr>
        <w:t>100.00%</w:t>
      </w:r>
      <w:r>
        <w:rPr/>
        <w:t>。</w:t>
      </w:r>
      <w:r>
        <w:rPr>
          <w:w w:val="100"/>
        </w:rPr>
        <w:t> </w:t>
      </w:r>
      <w:r>
        <w:rPr/>
        <w:t>注</w:t>
      </w:r>
      <w:r>
        <w:rPr>
          <w:spacing w:val="-58"/>
        </w:rPr>
        <w:t> </w:t>
      </w:r>
      <w:r>
        <w:rPr>
          <w:rFonts w:ascii="宋体" w:hAnsi="宋体" w:cs="宋体" w:eastAsia="宋体" w:hint="default"/>
        </w:rPr>
        <w:t>13</w:t>
      </w:r>
      <w:r>
        <w:rPr/>
        <w:t>：上海青露网络科技有限公司为本公司之孙公司上海微屏投资管理有限公司出资购买，持股比例为</w:t>
      </w:r>
      <w:r>
        <w:rPr>
          <w:spacing w:val="-58"/>
        </w:rPr>
        <w:t> </w:t>
      </w:r>
      <w:r>
        <w:rPr>
          <w:rFonts w:ascii="宋体" w:hAnsi="宋体" w:cs="宋体" w:eastAsia="宋体" w:hint="default"/>
        </w:rPr>
        <w:t>70.00%</w:t>
      </w:r>
      <w:r>
        <w:rPr/>
        <w:t>。</w:t>
      </w:r>
    </w:p>
    <w:p>
      <w:pPr>
        <w:pStyle w:val="BodyText"/>
        <w:spacing w:line="272" w:lineRule="exact" w:before="1"/>
        <w:ind w:left="564" w:right="2055"/>
        <w:jc w:val="left"/>
      </w:pPr>
      <w:r>
        <w:rPr/>
        <w:t>注</w:t>
      </w:r>
      <w:r>
        <w:rPr>
          <w:spacing w:val="-58"/>
        </w:rPr>
        <w:t> </w:t>
      </w:r>
      <w:r>
        <w:rPr>
          <w:rFonts w:ascii="宋体" w:hAnsi="宋体" w:cs="宋体" w:eastAsia="宋体" w:hint="default"/>
        </w:rPr>
        <w:t>14</w:t>
      </w:r>
      <w:r>
        <w:rPr/>
        <w:t>：芜湖阶梯网络技术有限公司为本公司之子公司网际星辰文化传媒（北京）有限公司出资设立，持股比例为</w:t>
      </w:r>
      <w:r>
        <w:rPr>
          <w:spacing w:val="-58"/>
        </w:rPr>
        <w:t> </w:t>
      </w:r>
      <w:r>
        <w:rPr>
          <w:rFonts w:ascii="宋体" w:hAnsi="宋体" w:cs="宋体" w:eastAsia="宋体" w:hint="default"/>
        </w:rPr>
        <w:t>100.00%</w:t>
      </w:r>
      <w:r>
        <w:rPr/>
        <w:t>。</w:t>
      </w:r>
      <w:r>
        <w:rPr>
          <w:w w:val="100"/>
        </w:rPr>
        <w:t> </w:t>
      </w:r>
      <w:r>
        <w:rPr/>
        <w:t>注</w:t>
      </w:r>
      <w:r>
        <w:rPr>
          <w:spacing w:val="-58"/>
        </w:rPr>
        <w:t> </w:t>
      </w:r>
      <w:r>
        <w:rPr>
          <w:rFonts w:ascii="宋体" w:hAnsi="宋体" w:cs="宋体" w:eastAsia="宋体" w:hint="default"/>
        </w:rPr>
        <w:t>15</w:t>
      </w:r>
      <w:r>
        <w:rPr/>
        <w:t>：人民网南中有限责任公司为本公司之子公司人民网南非有限责任公司出资设立，持股比例为</w:t>
      </w:r>
      <w:r>
        <w:rPr>
          <w:spacing w:val="-58"/>
        </w:rPr>
        <w:t> </w:t>
      </w:r>
      <w:r>
        <w:rPr>
          <w:rFonts w:ascii="宋体" w:hAnsi="宋体" w:cs="宋体" w:eastAsia="宋体" w:hint="default"/>
        </w:rPr>
        <w:t>51.00%</w:t>
      </w:r>
      <w:r>
        <w:rPr/>
        <w:t>。</w:t>
      </w:r>
    </w:p>
    <w:p>
      <w:pPr>
        <w:spacing w:after="0" w:line="272" w:lineRule="exact"/>
        <w:jc w:val="left"/>
        <w:sectPr>
          <w:pgSz w:w="16840" w:h="11910" w:orient="landscape"/>
          <w:pgMar w:header="882" w:footer="1195" w:top="1120" w:bottom="1380" w:left="1380" w:right="1320"/>
        </w:sectPr>
      </w:pPr>
    </w:p>
    <w:p>
      <w:pPr>
        <w:spacing w:before="28"/>
        <w:ind w:left="4531" w:right="4528"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441" w:val="left" w:leader="none"/>
        </w:tabs>
        <w:spacing w:line="240" w:lineRule="auto" w:before="169"/>
        <w:ind w:left="798" w:right="4426"/>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7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954"/>
        <w:gridCol w:w="847"/>
        <w:gridCol w:w="1743"/>
        <w:gridCol w:w="1745"/>
        <w:gridCol w:w="1889"/>
      </w:tblGrid>
      <w:tr>
        <w:trPr>
          <w:trHeight w:val="1102" w:hRule="exact"/>
        </w:trPr>
        <w:tc>
          <w:tcPr>
            <w:tcW w:w="395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847"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40" w:lineRule="auto"/>
              <w:ind w:left="206" w:right="96" w:hanging="106"/>
              <w:jc w:val="left"/>
              <w:rPr>
                <w:rFonts w:ascii="宋体" w:hAnsi="宋体" w:cs="宋体" w:eastAsia="宋体" w:hint="default"/>
                <w:sz w:val="21"/>
                <w:szCs w:val="21"/>
              </w:rPr>
            </w:pPr>
            <w:r>
              <w:rPr>
                <w:rFonts w:ascii="宋体" w:hAnsi="宋体" w:cs="宋体" w:eastAsia="宋体" w:hint="default"/>
                <w:sz w:val="21"/>
                <w:szCs w:val="21"/>
              </w:rPr>
              <w:t>东持股</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4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125" w:hanging="209"/>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股东的损益</w:t>
            </w:r>
          </w:p>
        </w:tc>
        <w:tc>
          <w:tcPr>
            <w:tcW w:w="174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125"/>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宣告分派的股利</w:t>
            </w:r>
          </w:p>
        </w:tc>
        <w:tc>
          <w:tcPr>
            <w:tcW w:w="188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4" w:right="86" w:hanging="629"/>
              <w:jc w:val="left"/>
              <w:rPr>
                <w:rFonts w:ascii="宋体" w:hAnsi="宋体" w:cs="宋体" w:eastAsia="宋体" w:hint="default"/>
                <w:sz w:val="21"/>
                <w:szCs w:val="21"/>
              </w:rPr>
            </w:pPr>
            <w:r>
              <w:rPr>
                <w:rFonts w:ascii="宋体" w:hAnsi="宋体" w:cs="宋体" w:eastAsia="宋体" w:hint="default"/>
                <w:sz w:val="21"/>
                <w:szCs w:val="21"/>
              </w:rPr>
              <w:t>期末少数股东权益</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88" w:hRule="exact"/>
        </w:trPr>
        <w:tc>
          <w:tcPr>
            <w:tcW w:w="39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7,467,325.16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88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35,157,989.84</w:t>
            </w:r>
          </w:p>
        </w:tc>
      </w:tr>
      <w:tr>
        <w:trPr>
          <w:trHeight w:val="286" w:hRule="exact"/>
        </w:trPr>
        <w:tc>
          <w:tcPr>
            <w:tcW w:w="39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3,203,953.06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88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13,545,560.51</w:t>
            </w:r>
          </w:p>
        </w:tc>
      </w:tr>
      <w:tr>
        <w:trPr>
          <w:trHeight w:val="288" w:hRule="exact"/>
        </w:trPr>
        <w:tc>
          <w:tcPr>
            <w:tcW w:w="395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15,132,646.36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9,800,000.00</w:t>
            </w:r>
          </w:p>
        </w:tc>
        <w:tc>
          <w:tcPr>
            <w:tcW w:w="188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45,721,380.67</w:t>
            </w:r>
          </w:p>
        </w:tc>
      </w:tr>
      <w:tr>
        <w:trPr>
          <w:trHeight w:val="288" w:hRule="exact"/>
        </w:trPr>
        <w:tc>
          <w:tcPr>
            <w:tcW w:w="39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30.75</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13,209,829.35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21,748,549.68</w:t>
            </w:r>
          </w:p>
        </w:tc>
        <w:tc>
          <w:tcPr>
            <w:tcW w:w="188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31,757,081.72</w:t>
            </w:r>
          </w:p>
        </w:tc>
      </w:tr>
      <w:tr>
        <w:trPr>
          <w:trHeight w:val="289" w:hRule="exact"/>
        </w:trPr>
        <w:tc>
          <w:tcPr>
            <w:tcW w:w="39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63.33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37,570,785.14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63,330,000.00</w:t>
            </w:r>
          </w:p>
        </w:tc>
        <w:tc>
          <w:tcPr>
            <w:tcW w:w="188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194,935,735.98</w:t>
            </w:r>
          </w:p>
        </w:tc>
      </w:tr>
      <w:tr>
        <w:trPr>
          <w:trHeight w:val="283" w:hRule="exact"/>
        </w:trPr>
        <w:tc>
          <w:tcPr>
            <w:tcW w:w="395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65.00</w:t>
            </w:r>
          </w:p>
        </w:tc>
        <w:tc>
          <w:tcPr>
            <w:tcW w:w="174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55,439,334.13</w:t>
            </w:r>
          </w:p>
        </w:tc>
        <w:tc>
          <w:tcPr>
            <w:tcW w:w="174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34,450,000.00</w:t>
            </w:r>
          </w:p>
        </w:tc>
        <w:tc>
          <w:tcPr>
            <w:tcW w:w="188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68,940,211.57</w:t>
            </w:r>
          </w:p>
        </w:tc>
      </w:tr>
    </w:tbl>
    <w:p>
      <w:pPr>
        <w:spacing w:line="240" w:lineRule="auto" w:before="7"/>
        <w:rPr>
          <w:rFonts w:ascii="宋体" w:hAnsi="宋体" w:cs="宋体" w:eastAsia="宋体" w:hint="default"/>
          <w:sz w:val="15"/>
          <w:szCs w:val="15"/>
        </w:rPr>
      </w:pPr>
    </w:p>
    <w:p>
      <w:pPr>
        <w:pStyle w:val="BodyText"/>
        <w:spacing w:line="272" w:lineRule="exact" w:before="64"/>
        <w:ind w:left="798" w:right="4426"/>
        <w:jc w:val="left"/>
      </w:pPr>
      <w:r>
        <w:rPr>
          <w:spacing w:val="-2"/>
        </w:rPr>
        <w:t>子公司少数股东的持股比例不同于表决权比例的说明：</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left="798" w:right="853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63"/>
        <w:ind w:left="4531" w:right="4511" w:firstLine="0"/>
        <w:jc w:val="center"/>
        <w:rPr>
          <w:rFonts w:ascii="Calibri" w:hAnsi="Calibri" w:cs="Calibri" w:eastAsia="Calibri" w:hint="default"/>
          <w:sz w:val="18"/>
          <w:szCs w:val="18"/>
        </w:rPr>
      </w:pPr>
      <w:r>
        <w:rPr>
          <w:rFonts w:ascii="Calibri"/>
          <w:b/>
          <w:sz w:val="18"/>
        </w:rPr>
        <w:t>143 </w:t>
      </w:r>
      <w:r>
        <w:rPr>
          <w:rFonts w:ascii="Calibri"/>
          <w:sz w:val="18"/>
        </w:rPr>
        <w:t>/</w:t>
      </w:r>
      <w:r>
        <w:rPr>
          <w:rFonts w:ascii="Calibri"/>
          <w:spacing w:val="-5"/>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headerReference w:type="default" r:id="rId86"/>
          <w:footerReference w:type="default" r:id="rId87"/>
          <w:pgSz w:w="11910" w:h="16840"/>
          <w:pgMar w:header="0" w:footer="0" w:top="780" w:bottom="280" w:left="1000" w:right="50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2"/>
        <w:tabs>
          <w:tab w:pos="1887" w:val="left" w:leader="none"/>
        </w:tabs>
        <w:spacing w:line="240" w:lineRule="auto"/>
        <w:ind w:left="1244"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1115"/>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80"/>
        <w:gridCol w:w="1274"/>
        <w:gridCol w:w="1272"/>
        <w:gridCol w:w="1273"/>
        <w:gridCol w:w="1274"/>
        <w:gridCol w:w="994"/>
        <w:gridCol w:w="1292"/>
        <w:gridCol w:w="1274"/>
        <w:gridCol w:w="1275"/>
        <w:gridCol w:w="1277"/>
        <w:gridCol w:w="1274"/>
        <w:gridCol w:w="996"/>
        <w:gridCol w:w="1265"/>
      </w:tblGrid>
      <w:tr>
        <w:trPr>
          <w:trHeight w:val="254" w:hRule="exact"/>
        </w:trPr>
        <w:tc>
          <w:tcPr>
            <w:tcW w:w="1280" w:type="dxa"/>
            <w:vMerge w:val="restart"/>
            <w:tcBorders>
              <w:top w:val="single" w:sz="4" w:space="0" w:color="000000"/>
              <w:left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37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362"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4" w:hRule="exact"/>
        </w:trPr>
        <w:tc>
          <w:tcPr>
            <w:tcW w:w="1280" w:type="dxa"/>
            <w:vMerge/>
            <w:tcBorders>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2"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9"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4"/>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left="324"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6"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z w:val="15"/>
                <w:szCs w:val="15"/>
              </w:rPr>
              <w:t>北京人民在线网</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络有限公司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126,387,759.22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18,796,067.57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145,183,826.79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57,288,852.20</w:t>
            </w:r>
          </w:p>
        </w:tc>
        <w:tc>
          <w:tcPr>
            <w:tcW w:w="99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center"/>
              <w:rPr>
                <w:rFonts w:ascii="宋体" w:hAnsi="宋体" w:cs="宋体" w:eastAsia="宋体" w:hint="default"/>
                <w:sz w:val="15"/>
                <w:szCs w:val="15"/>
              </w:rPr>
            </w:pPr>
            <w:r>
              <w:rPr>
                <w:rFonts w:ascii="宋体"/>
                <w:sz w:val="15"/>
              </w:rPr>
              <w:t>57,288,852.20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104,085,946.86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16,237,876.87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120,323,823.73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50,167,162.03</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930,000.00</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51,097,162.03</w:t>
            </w:r>
          </w:p>
        </w:tc>
      </w:tr>
      <w:tr>
        <w:trPr>
          <w:trHeight w:val="598"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环球时报在线</w:t>
            </w:r>
          </w:p>
          <w:p>
            <w:pPr>
              <w:pStyle w:val="TableParagraph"/>
              <w:spacing w:line="240" w:lineRule="auto"/>
              <w:ind w:left="105" w:right="106"/>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文化传播</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53,460,218.82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6,733,815.37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60,194,034.19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25,780,132.90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1" w:right="0"/>
              <w:jc w:val="center"/>
              <w:rPr>
                <w:rFonts w:ascii="宋体" w:hAnsi="宋体" w:cs="宋体" w:eastAsia="宋体" w:hint="default"/>
                <w:sz w:val="15"/>
                <w:szCs w:val="15"/>
              </w:rPr>
            </w:pPr>
            <w:r>
              <w:rPr>
                <w:rFonts w:ascii="宋体"/>
                <w:sz w:val="15"/>
              </w:rPr>
              <w:t>550,000.00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26,330,132.90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34,610,992.40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8" w:right="0"/>
              <w:jc w:val="center"/>
              <w:rPr>
                <w:rFonts w:ascii="宋体" w:hAnsi="宋体" w:cs="宋体" w:eastAsia="宋体" w:hint="default"/>
                <w:sz w:val="15"/>
                <w:szCs w:val="15"/>
              </w:rPr>
            </w:pPr>
            <w:r>
              <w:rPr>
                <w:rFonts w:ascii="宋体"/>
                <w:sz w:val="15"/>
              </w:rPr>
              <w:t>7,447,334.36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42,058,326.76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16,204,308.13</w:t>
            </w:r>
          </w:p>
        </w:tc>
        <w:tc>
          <w:tcPr>
            <w:tcW w:w="99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16,204,308.13</w:t>
            </w:r>
          </w:p>
        </w:tc>
      </w:tr>
      <w:tr>
        <w:trPr>
          <w:trHeight w:val="404"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人民视讯文化有</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137,647,938.97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2,285,564.34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139,933,503.31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84" w:right="0"/>
              <w:jc w:val="center"/>
              <w:rPr>
                <w:rFonts w:ascii="宋体" w:hAnsi="宋体" w:cs="宋体" w:eastAsia="宋体" w:hint="default"/>
                <w:sz w:val="15"/>
                <w:szCs w:val="15"/>
              </w:rPr>
            </w:pPr>
            <w:r>
              <w:rPr>
                <w:rFonts w:ascii="宋体"/>
                <w:sz w:val="15"/>
              </w:rPr>
              <w:t>46,624,563.14</w:t>
            </w:r>
          </w:p>
        </w:tc>
        <w:tc>
          <w:tcPr>
            <w:tcW w:w="99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1" w:right="0"/>
              <w:jc w:val="center"/>
              <w:rPr>
                <w:rFonts w:ascii="宋体" w:hAnsi="宋体" w:cs="宋体" w:eastAsia="宋体" w:hint="default"/>
                <w:sz w:val="15"/>
                <w:szCs w:val="15"/>
              </w:rPr>
            </w:pPr>
            <w:r>
              <w:rPr>
                <w:rFonts w:ascii="宋体"/>
                <w:sz w:val="15"/>
              </w:rPr>
              <w:t>46,624,563.14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 w:right="0"/>
              <w:jc w:val="center"/>
              <w:rPr>
                <w:rFonts w:ascii="宋体" w:hAnsi="宋体" w:cs="宋体" w:eastAsia="宋体" w:hint="default"/>
                <w:sz w:val="15"/>
                <w:szCs w:val="15"/>
              </w:rPr>
            </w:pPr>
            <w:r>
              <w:rPr>
                <w:rFonts w:ascii="宋体"/>
                <w:sz w:val="15"/>
              </w:rPr>
              <w:t>109,976,635.03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58" w:right="0"/>
              <w:jc w:val="center"/>
              <w:rPr>
                <w:rFonts w:ascii="宋体" w:hAnsi="宋体" w:cs="宋体" w:eastAsia="宋体" w:hint="default"/>
                <w:sz w:val="15"/>
                <w:szCs w:val="15"/>
              </w:rPr>
            </w:pPr>
            <w:r>
              <w:rPr>
                <w:rFonts w:ascii="宋体"/>
                <w:sz w:val="15"/>
              </w:rPr>
              <w:t>2,619,617.15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 w:right="0"/>
              <w:jc w:val="center"/>
              <w:rPr>
                <w:rFonts w:ascii="宋体" w:hAnsi="宋体" w:cs="宋体" w:eastAsia="宋体" w:hint="default"/>
                <w:sz w:val="15"/>
                <w:szCs w:val="15"/>
              </w:rPr>
            </w:pPr>
            <w:r>
              <w:rPr>
                <w:rFonts w:ascii="宋体"/>
                <w:sz w:val="15"/>
              </w:rPr>
              <w:t>112,596,252.18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84" w:right="0"/>
              <w:jc w:val="center"/>
              <w:rPr>
                <w:rFonts w:ascii="宋体" w:hAnsi="宋体" w:cs="宋体" w:eastAsia="宋体" w:hint="default"/>
                <w:sz w:val="15"/>
                <w:szCs w:val="15"/>
              </w:rPr>
            </w:pPr>
            <w:r>
              <w:rPr>
                <w:rFonts w:ascii="宋体"/>
                <w:sz w:val="15"/>
              </w:rPr>
              <w:t>30,170,263.77</w:t>
            </w:r>
          </w:p>
        </w:tc>
        <w:tc>
          <w:tcPr>
            <w:tcW w:w="99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30,170,263.77</w:t>
            </w:r>
          </w:p>
        </w:tc>
      </w:tr>
      <w:tr>
        <w:trPr>
          <w:trHeight w:val="406"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z w:val="15"/>
                <w:szCs w:val="15"/>
              </w:rPr>
              <w:t>成都古羌科技有</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92,700,384.35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47,131,500.74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139,831,885.09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28,213,101.51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1" w:right="0"/>
              <w:jc w:val="center"/>
              <w:rPr>
                <w:rFonts w:ascii="宋体" w:hAnsi="宋体" w:cs="宋体" w:eastAsia="宋体" w:hint="default"/>
                <w:sz w:val="15"/>
                <w:szCs w:val="15"/>
              </w:rPr>
            </w:pPr>
            <w:r>
              <w:rPr>
                <w:rFonts w:ascii="宋体"/>
                <w:sz w:val="15"/>
              </w:rPr>
              <w:t>766,435.52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center"/>
              <w:rPr>
                <w:rFonts w:ascii="宋体" w:hAnsi="宋体" w:cs="宋体" w:eastAsia="宋体" w:hint="default"/>
                <w:sz w:val="15"/>
                <w:szCs w:val="15"/>
              </w:rPr>
            </w:pPr>
            <w:r>
              <w:rPr>
                <w:rFonts w:ascii="宋体"/>
                <w:sz w:val="15"/>
              </w:rPr>
              <w:t>28,979,537.03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95,739,509.21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63,476,489.84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159,215,999.05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4" w:right="0"/>
              <w:jc w:val="center"/>
              <w:rPr>
                <w:rFonts w:ascii="宋体" w:hAnsi="宋体" w:cs="宋体" w:eastAsia="宋体" w:hint="default"/>
                <w:sz w:val="15"/>
                <w:szCs w:val="15"/>
              </w:rPr>
            </w:pPr>
            <w:r>
              <w:rPr>
                <w:rFonts w:ascii="宋体"/>
                <w:sz w:val="15"/>
              </w:rPr>
              <w:t>29,934,151.73</w:t>
            </w:r>
          </w:p>
        </w:tc>
        <w:tc>
          <w:tcPr>
            <w:tcW w:w="99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29,934,151.73</w:t>
            </w:r>
          </w:p>
        </w:tc>
      </w:tr>
      <w:tr>
        <w:trPr>
          <w:trHeight w:val="403"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人民澳客传媒科</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121,012,497.35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173,521,710.72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294,534,208.07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10,621,380.09</w:t>
            </w:r>
          </w:p>
        </w:tc>
        <w:tc>
          <w:tcPr>
            <w:tcW w:w="99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10,621,380.09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250,711,186.89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209,524,705.73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460,235,892.62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111,765,037.48</w:t>
            </w:r>
          </w:p>
        </w:tc>
        <w:tc>
          <w:tcPr>
            <w:tcW w:w="99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111,765,037.4</w:t>
            </w:r>
          </w:p>
          <w:p>
            <w:pPr>
              <w:pStyle w:val="TableParagraph"/>
              <w:spacing w:line="195" w:lineRule="exact"/>
              <w:ind w:right="101"/>
              <w:jc w:val="right"/>
              <w:rPr>
                <w:rFonts w:ascii="宋体" w:hAnsi="宋体" w:cs="宋体" w:eastAsia="宋体" w:hint="default"/>
                <w:sz w:val="15"/>
                <w:szCs w:val="15"/>
              </w:rPr>
            </w:pPr>
            <w:r>
              <w:rPr>
                <w:rFonts w:ascii="宋体"/>
                <w:w w:val="100"/>
                <w:sz w:val="15"/>
              </w:rPr>
              <w:t>8</w:t>
            </w:r>
          </w:p>
        </w:tc>
      </w:tr>
      <w:tr>
        <w:trPr>
          <w:trHeight w:val="403" w:hRule="exact"/>
        </w:trPr>
        <w:tc>
          <w:tcPr>
            <w:tcW w:w="1280" w:type="dxa"/>
            <w:tcBorders>
              <w:top w:val="single" w:sz="6" w:space="0" w:color="000000"/>
              <w:left w:val="single" w:sz="4" w:space="0" w:color="000000"/>
              <w:bottom w:val="single" w:sz="4" w:space="0" w:color="000000"/>
              <w:right w:val="single" w:sz="6"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微屏软件科技</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上海</w:t>
            </w:r>
            <w:r>
              <w:rPr>
                <w:rFonts w:ascii="宋体" w:hAnsi="宋体" w:cs="宋体" w:eastAsia="宋体" w:hint="default"/>
                <w:sz w:val="15"/>
                <w:szCs w:val="15"/>
              </w:rPr>
              <w:t>)</w:t>
            </w:r>
            <w:r>
              <w:rPr>
                <w:rFonts w:ascii="宋体" w:hAnsi="宋体" w:cs="宋体" w:eastAsia="宋体" w:hint="default"/>
                <w:sz w:val="15"/>
                <w:szCs w:val="15"/>
              </w:rPr>
              <w:t>有限公司</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121,960,933.55</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3,633,805.02</w:t>
            </w:r>
          </w:p>
        </w:tc>
        <w:tc>
          <w:tcPr>
            <w:tcW w:w="127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125,594,738.57</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19,532,874.63</w:t>
            </w:r>
          </w:p>
        </w:tc>
        <w:tc>
          <w:tcPr>
            <w:tcW w:w="994" w:type="dxa"/>
            <w:tcBorders>
              <w:top w:val="single" w:sz="6" w:space="0" w:color="000000"/>
              <w:left w:val="single" w:sz="6" w:space="0" w:color="000000"/>
              <w:bottom w:val="single" w:sz="4" w:space="0" w:color="000000"/>
              <w:right w:val="single" w:sz="6" w:space="0" w:color="000000"/>
            </w:tcBorders>
          </w:tcPr>
          <w:p>
            <w:pPr/>
          </w:p>
        </w:tc>
        <w:tc>
          <w:tcPr>
            <w:tcW w:w="129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19,532,874.63</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73,475,794.23</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58" w:right="0"/>
              <w:jc w:val="center"/>
              <w:rPr>
                <w:rFonts w:ascii="宋体" w:hAnsi="宋体" w:cs="宋体" w:eastAsia="宋体" w:hint="default"/>
                <w:sz w:val="15"/>
                <w:szCs w:val="15"/>
              </w:rPr>
            </w:pPr>
            <w:r>
              <w:rPr>
                <w:rFonts w:ascii="宋体"/>
                <w:sz w:val="15"/>
              </w:rPr>
              <w:t>3,894,373.25</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77,370,167.48</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59" w:right="0"/>
              <w:jc w:val="center"/>
              <w:rPr>
                <w:rFonts w:ascii="宋体" w:hAnsi="宋体" w:cs="宋体" w:eastAsia="宋体" w:hint="default"/>
                <w:sz w:val="15"/>
                <w:szCs w:val="15"/>
              </w:rPr>
            </w:pPr>
            <w:r>
              <w:rPr>
                <w:rFonts w:ascii="宋体"/>
                <w:sz w:val="15"/>
              </w:rPr>
              <w:t>3,599,586.81</w:t>
            </w:r>
          </w:p>
        </w:tc>
        <w:tc>
          <w:tcPr>
            <w:tcW w:w="996" w:type="dxa"/>
            <w:tcBorders>
              <w:top w:val="single" w:sz="6" w:space="0" w:color="000000"/>
              <w:left w:val="single" w:sz="6" w:space="0" w:color="000000"/>
              <w:bottom w:val="single" w:sz="4" w:space="0" w:color="000000"/>
              <w:right w:val="single" w:sz="6" w:space="0" w:color="000000"/>
            </w:tcBorders>
          </w:tcPr>
          <w:p>
            <w:pPr/>
          </w:p>
        </w:tc>
        <w:tc>
          <w:tcPr>
            <w:tcW w:w="1265" w:type="dxa"/>
            <w:tcBorders>
              <w:top w:val="single" w:sz="6" w:space="0" w:color="000000"/>
              <w:left w:val="single" w:sz="6"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3,599,586.81</w:t>
            </w:r>
          </w:p>
        </w:tc>
      </w:tr>
    </w:tbl>
    <w:p>
      <w:pPr>
        <w:spacing w:after="0" w:line="172" w:lineRule="exact"/>
        <w:jc w:val="right"/>
        <w:rPr>
          <w:rFonts w:ascii="宋体" w:hAnsi="宋体" w:cs="宋体" w:eastAsia="宋体" w:hint="default"/>
          <w:sz w:val="15"/>
          <w:szCs w:val="15"/>
        </w:rPr>
        <w:sectPr>
          <w:headerReference w:type="default" r:id="rId88"/>
          <w:footerReference w:type="default" r:id="rId89"/>
          <w:pgSz w:w="16840" w:h="11910" w:orient="landscape"/>
          <w:pgMar w:header="882" w:footer="1195" w:top="1120" w:bottom="1380" w:left="280" w:right="320"/>
          <w:pgNumType w:start="144"/>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088"/>
        <w:gridCol w:w="1688"/>
        <w:gridCol w:w="1579"/>
        <w:gridCol w:w="1226"/>
        <w:gridCol w:w="1582"/>
        <w:gridCol w:w="1685"/>
        <w:gridCol w:w="1582"/>
        <w:gridCol w:w="1080"/>
        <w:gridCol w:w="1580"/>
      </w:tblGrid>
      <w:tr>
        <w:trPr>
          <w:trHeight w:val="326" w:hRule="exact"/>
        </w:trPr>
        <w:tc>
          <w:tcPr>
            <w:tcW w:w="2088" w:type="dxa"/>
            <w:vMerge w:val="restart"/>
            <w:tcBorders>
              <w:top w:val="single" w:sz="4" w:space="0" w:color="000000"/>
              <w:left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07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927"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2088" w:type="dxa"/>
            <w:vMerge/>
            <w:tcBorders>
              <w:left w:val="single" w:sz="4"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9"/>
              <w:ind w:left="7"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7"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7"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641" w:hRule="exact"/>
        </w:trPr>
        <w:tc>
          <w:tcPr>
            <w:tcW w:w="20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151,423,730.89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18,668,312.89</w:t>
            </w:r>
          </w:p>
        </w:tc>
        <w:tc>
          <w:tcPr>
            <w:tcW w:w="12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21,290,409.97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130,152,364.67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26,239,410.48</w:t>
            </w:r>
          </w:p>
        </w:tc>
        <w:tc>
          <w:tcPr>
            <w:tcW w:w="10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28,972,074.65</w:t>
            </w:r>
          </w:p>
        </w:tc>
      </w:tr>
      <w:tr>
        <w:trPr>
          <w:trHeight w:val="956" w:hRule="exact"/>
        </w:trPr>
        <w:tc>
          <w:tcPr>
            <w:tcW w:w="20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6" w:lineRule="auto" w:before="37"/>
              <w:ind w:left="103" w:right="182"/>
              <w:jc w:val="left"/>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文化传播有限公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122,268,661.32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8,009,882.66</w:t>
            </w:r>
          </w:p>
        </w:tc>
        <w:tc>
          <w:tcPr>
            <w:tcW w:w="12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13,042,076.01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87,485,415.71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-3,410,650.79</w:t>
            </w:r>
          </w:p>
        </w:tc>
        <w:tc>
          <w:tcPr>
            <w:tcW w:w="10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-7,185,030.30</w:t>
            </w:r>
          </w:p>
        </w:tc>
      </w:tr>
      <w:tr>
        <w:trPr>
          <w:trHeight w:val="641" w:hRule="exact"/>
        </w:trPr>
        <w:tc>
          <w:tcPr>
            <w:tcW w:w="20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150,573,735.63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30,882,951.76</w:t>
            </w:r>
          </w:p>
        </w:tc>
        <w:tc>
          <w:tcPr>
            <w:tcW w:w="12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11,290,291.50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130,212,027.46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23,115,367.02</w:t>
            </w:r>
          </w:p>
        </w:tc>
        <w:tc>
          <w:tcPr>
            <w:tcW w:w="10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20,339,452.46</w:t>
            </w:r>
          </w:p>
        </w:tc>
      </w:tr>
      <w:tr>
        <w:trPr>
          <w:trHeight w:val="643" w:hRule="exact"/>
        </w:trPr>
        <w:tc>
          <w:tcPr>
            <w:tcW w:w="208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129,415,160.84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42,958,794.62</w:t>
            </w:r>
          </w:p>
        </w:tc>
        <w:tc>
          <w:tcPr>
            <w:tcW w:w="12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47,015,497.36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126,462,195.71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41,404,086.01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44,211,322.05</w:t>
            </w:r>
          </w:p>
        </w:tc>
      </w:tr>
      <w:tr>
        <w:trPr>
          <w:trHeight w:val="641" w:hRule="exact"/>
        </w:trPr>
        <w:tc>
          <w:tcPr>
            <w:tcW w:w="20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46,708,616.58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35,441,972.84</w:t>
            </w:r>
          </w:p>
        </w:tc>
        <w:tc>
          <w:tcPr>
            <w:tcW w:w="12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49,985,162.46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285,666,331.14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88,524,279.89</w:t>
            </w:r>
          </w:p>
        </w:tc>
        <w:tc>
          <w:tcPr>
            <w:tcW w:w="108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84,614,036.88</w:t>
            </w:r>
          </w:p>
        </w:tc>
      </w:tr>
      <w:tr>
        <w:trPr>
          <w:trHeight w:val="639" w:hRule="exact"/>
        </w:trPr>
        <w:tc>
          <w:tcPr>
            <w:tcW w:w="208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145,177,938.50</w:t>
            </w:r>
          </w:p>
        </w:tc>
        <w:tc>
          <w:tcPr>
            <w:tcW w:w="157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85,291,283.27</w:t>
            </w:r>
          </w:p>
        </w:tc>
        <w:tc>
          <w:tcPr>
            <w:tcW w:w="1226"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84,229,472.15</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84,113,014.99</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59,422,972.70</w:t>
            </w:r>
          </w:p>
        </w:tc>
        <w:tc>
          <w:tcPr>
            <w:tcW w:w="1080"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55,677,398.11</w:t>
            </w:r>
          </w:p>
        </w:tc>
      </w:tr>
    </w:tbl>
    <w:p>
      <w:pPr>
        <w:spacing w:line="240" w:lineRule="auto" w:before="7"/>
        <w:rPr>
          <w:rFonts w:ascii="宋体" w:hAnsi="宋体" w:cs="宋体" w:eastAsia="宋体" w:hint="default"/>
          <w:sz w:val="15"/>
          <w:szCs w:val="15"/>
        </w:rPr>
      </w:pPr>
    </w:p>
    <w:p>
      <w:pPr>
        <w:pStyle w:val="BodyText"/>
        <w:spacing w:line="273" w:lineRule="exact" w:before="36"/>
        <w:ind w:left="224" w:right="163"/>
        <w:jc w:val="left"/>
      </w:pPr>
      <w:r>
        <w:rPr/>
        <w:t>其他说明：</w:t>
      </w:r>
    </w:p>
    <w:p>
      <w:pPr>
        <w:pStyle w:val="BodyText"/>
        <w:spacing w:line="240" w:lineRule="auto"/>
        <w:ind w:left="224" w:right="163" w:firstLine="420"/>
        <w:jc w:val="left"/>
      </w:pPr>
      <w:r>
        <w:rPr/>
        <w:t>注：本公司收购成都古羌科技有限公司时，北京中天华资产评估有限责任公司出具的基准日为</w:t>
      </w:r>
      <w:r>
        <w:rPr>
          <w:spacing w:val="-54"/>
        </w:rPr>
        <w:t> </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spacing w:val="-3"/>
        </w:rPr>
        <w:t>日的中天华资评报字（</w:t>
      </w:r>
      <w:r>
        <w:rPr>
          <w:rFonts w:ascii="宋体" w:hAnsi="宋体" w:cs="宋体" w:eastAsia="宋体" w:hint="default"/>
          <w:spacing w:val="-3"/>
        </w:rPr>
        <w:t>2013</w:t>
      </w:r>
      <w:r>
        <w:rPr>
          <w:spacing w:val="-3"/>
        </w:rPr>
        <w:t>）第</w:t>
      </w:r>
      <w:r>
        <w:rPr>
          <w:spacing w:val="-53"/>
        </w:rPr>
        <w:t> </w:t>
      </w:r>
      <w:r>
        <w:rPr>
          <w:rFonts w:ascii="宋体" w:hAnsi="宋体" w:cs="宋体" w:eastAsia="宋体" w:hint="default"/>
        </w:rPr>
        <w:t>1282</w:t>
      </w:r>
      <w:r>
        <w:rPr>
          <w:rFonts w:ascii="宋体" w:hAnsi="宋体" w:cs="宋体" w:eastAsia="宋体" w:hint="default"/>
          <w:w w:val="100"/>
        </w:rPr>
        <w:t> </w:t>
      </w:r>
      <w:r>
        <w:rPr/>
        <w:t>号《资产评估报告》公司存在可辨认净资产增值，重要的非全资子公司的主要财务信息披露中已按增值后价值披露。</w:t>
      </w:r>
    </w:p>
    <w:p>
      <w:pPr>
        <w:spacing w:after="0" w:line="240" w:lineRule="auto"/>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601" w:val="left" w:leader="none"/>
        </w:tabs>
        <w:spacing w:line="290" w:lineRule="auto" w:before="175"/>
        <w:ind w:left="958" w:right="4114"/>
        <w:jc w:val="left"/>
        <w:rPr>
          <w:rFonts w:ascii="宋体" w:hAnsi="宋体" w:cs="宋体" w:eastAsia="宋体" w:hint="default"/>
          <w:b w:val="0"/>
          <w:bCs w:val="0"/>
        </w:rPr>
      </w:pPr>
      <w:r>
        <w:rPr>
          <w:rFonts w:ascii="宋体" w:hAnsi="宋体" w:cs="宋体" w:eastAsia="宋体" w:hint="default"/>
          <w:w w:val="95"/>
        </w:rPr>
        <w:t>(4).</w:t>
        <w:tab/>
      </w:r>
      <w:r>
        <w:rPr>
          <w:spacing w:val="-1"/>
        </w:rPr>
        <w:t>使用企业集团资产和清偿企业集团债务的重大限制：</w:t>
      </w:r>
      <w:r>
        <w:rPr>
          <w:spacing w:val="-87"/>
        </w:rPr>
        <w:t> </w:t>
      </w:r>
      <w:r>
        <w:rPr>
          <w:spacing w:val="-8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601" w:val="left" w:leader="none"/>
        </w:tabs>
        <w:spacing w:line="290" w:lineRule="auto"/>
        <w:ind w:left="958" w:right="2636"/>
        <w:jc w:val="left"/>
        <w:rPr>
          <w:rFonts w:ascii="宋体" w:hAnsi="宋体" w:cs="宋体" w:eastAsia="宋体" w:hint="default"/>
          <w:b w:val="0"/>
          <w:bCs w:val="0"/>
        </w:rPr>
      </w:pPr>
      <w:r>
        <w:rPr>
          <w:rFonts w:ascii="宋体" w:hAnsi="宋体" w:cs="宋体" w:eastAsia="宋体" w:hint="default"/>
          <w:w w:val="95"/>
        </w:rPr>
        <w:t>(5).</w:t>
        <w:tab/>
      </w:r>
      <w:r>
        <w:rPr>
          <w:spacing w:val="-1"/>
        </w:rPr>
        <w:t>向纳入合并财务报表范围的结构化主体提供的财务支持或其他支持：</w:t>
      </w:r>
      <w:r>
        <w:rPr>
          <w:spacing w:val="-77"/>
        </w:rPr>
        <w:t> </w:t>
      </w:r>
      <w:r>
        <w:rPr>
          <w:spacing w:val="-77"/>
        </w:rPr>
      </w:r>
      <w:r>
        <w:rPr>
          <w:rFonts w:ascii="宋体" w:hAnsi="宋体" w:cs="宋体" w:eastAsia="宋体" w:hint="default"/>
          <w:b w:val="0"/>
          <w:bCs w:val="0"/>
        </w:rPr>
        <w:t>无</w:t>
      </w:r>
    </w:p>
    <w:p>
      <w:pPr>
        <w:spacing w:line="240" w:lineRule="auto" w:before="5"/>
        <w:rPr>
          <w:rFonts w:ascii="宋体" w:hAnsi="宋体" w:cs="宋体" w:eastAsia="宋体" w:hint="default"/>
          <w:sz w:val="19"/>
          <w:szCs w:val="19"/>
        </w:rPr>
      </w:pPr>
    </w:p>
    <w:p>
      <w:pPr>
        <w:pStyle w:val="BodyText"/>
        <w:spacing w:line="272" w:lineRule="exact"/>
        <w:ind w:left="958" w:right="8538"/>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2"/>
        <w:spacing w:line="240" w:lineRule="auto"/>
        <w:ind w:left="958" w:right="2636"/>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9"/>
        <w:ind w:left="958" w:right="411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0"/>
          <w:footerReference w:type="default" r:id="rId91"/>
          <w:pgSz w:w="11910" w:h="16840"/>
          <w:pgMar w:header="882" w:footer="1195" w:top="1120" w:bottom="1380" w:left="840" w:right="500"/>
          <w:pgNumType w:start="146"/>
        </w:sectPr>
      </w:pPr>
    </w:p>
    <w:p>
      <w:pPr>
        <w:pStyle w:val="Heading2"/>
        <w:spacing w:line="240" w:lineRule="auto" w:before="36"/>
        <w:ind w:left="95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958" w:right="-18"/>
        <w:jc w:val="left"/>
      </w:pPr>
      <w:r>
        <w:rPr/>
        <w:t>√适用</w:t>
      </w:r>
      <w:r>
        <w:rPr>
          <w:spacing w:val="-1"/>
        </w:rPr>
        <w:t> </w:t>
      </w:r>
      <w:r>
        <w:rPr/>
        <w:t>□不适用</w:t>
      </w:r>
    </w:p>
    <w:p>
      <w:pPr>
        <w:pStyle w:val="Heading2"/>
        <w:tabs>
          <w:tab w:pos="1589" w:val="left" w:leader="none"/>
        </w:tabs>
        <w:spacing w:line="240" w:lineRule="auto" w:before="58"/>
        <w:ind w:left="958"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500"/>
          <w:cols w:num="2" w:equalWidth="0">
            <w:col w:w="4331" w:space="2402"/>
            <w:col w:w="383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90"/>
        <w:gridCol w:w="710"/>
        <w:gridCol w:w="708"/>
        <w:gridCol w:w="1558"/>
        <w:gridCol w:w="850"/>
        <w:gridCol w:w="850"/>
        <w:gridCol w:w="1985"/>
      </w:tblGrid>
      <w:tr>
        <w:trPr>
          <w:trHeight w:val="463" w:hRule="exact"/>
        </w:trPr>
        <w:tc>
          <w:tcPr>
            <w:tcW w:w="3690" w:type="dxa"/>
            <w:vMerge w:val="restart"/>
            <w:tcBorders>
              <w:top w:val="single" w:sz="4" w:space="0" w:color="000000"/>
              <w:left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2"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710" w:type="dxa"/>
            <w:vMerge w:val="restart"/>
            <w:tcBorders>
              <w:top w:val="single" w:sz="4" w:space="0" w:color="000000"/>
              <w:left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40" w:lineRule="auto"/>
              <w:ind w:left="240" w:right="134" w:hanging="10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708" w:type="dxa"/>
            <w:vMerge w:val="restart"/>
            <w:tcBorders>
              <w:top w:val="single" w:sz="4" w:space="0" w:color="000000"/>
              <w:left w:val="single" w:sz="6" w:space="0" w:color="000000"/>
              <w:right w:val="single" w:sz="6" w:space="0" w:color="000000"/>
            </w:tcBorders>
          </w:tcPr>
          <w:p>
            <w:pPr>
              <w:pStyle w:val="TableParagraph"/>
              <w:spacing w:line="240" w:lineRule="auto" w:before="100"/>
              <w:ind w:left="239" w:right="134"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558"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26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985" w:type="dxa"/>
            <w:vMerge w:val="restart"/>
            <w:tcBorders>
              <w:top w:val="single" w:sz="4" w:space="0" w:color="000000"/>
              <w:left w:val="single" w:sz="6"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对合营企业或联营</w:t>
            </w:r>
          </w:p>
          <w:p>
            <w:pPr>
              <w:pStyle w:val="TableParagraph"/>
              <w:spacing w:line="240" w:lineRule="auto"/>
              <w:ind w:left="669" w:right="144" w:hanging="526"/>
              <w:jc w:val="left"/>
              <w:rPr>
                <w:rFonts w:ascii="宋体" w:hAnsi="宋体" w:cs="宋体" w:eastAsia="宋体" w:hint="default"/>
                <w:sz w:val="21"/>
                <w:szCs w:val="21"/>
              </w:rPr>
            </w:pPr>
            <w:r>
              <w:rPr>
                <w:rFonts w:ascii="宋体" w:hAnsi="宋体" w:cs="宋体" w:eastAsia="宋体" w:hint="default"/>
                <w:sz w:val="21"/>
                <w:szCs w:val="21"/>
              </w:rPr>
              <w:t>企业投资的会计处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365" w:hRule="exact"/>
        </w:trPr>
        <w:tc>
          <w:tcPr>
            <w:tcW w:w="3690" w:type="dxa"/>
            <w:vMerge/>
            <w:tcBorders>
              <w:left w:val="single" w:sz="4"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985" w:type="dxa"/>
            <w:vMerge/>
            <w:tcBorders>
              <w:left w:val="single" w:sz="6" w:space="0" w:color="000000"/>
              <w:bottom w:val="single" w:sz="6" w:space="0" w:color="000000"/>
              <w:right w:val="single" w:sz="4" w:space="0" w:color="000000"/>
            </w:tcBorders>
          </w:tcPr>
          <w:p>
            <w:pPr/>
          </w:p>
        </w:tc>
      </w:tr>
      <w:tr>
        <w:trPr>
          <w:trHeight w:val="288" w:hRule="exact"/>
        </w:trPr>
        <w:tc>
          <w:tcPr>
            <w:tcW w:w="36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50.00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8" w:hRule="exact"/>
        </w:trPr>
        <w:tc>
          <w:tcPr>
            <w:tcW w:w="369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教育咨询服务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30.43</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9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w:t>
            </w:r>
          </w:p>
        </w:tc>
        <w:tc>
          <w:tcPr>
            <w:tcW w:w="7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5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20.00</w:t>
            </w:r>
          </w:p>
        </w:tc>
        <w:tc>
          <w:tcPr>
            <w:tcW w:w="198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7"/>
        <w:rPr>
          <w:rFonts w:ascii="宋体" w:hAnsi="宋体" w:cs="宋体" w:eastAsia="宋体" w:hint="default"/>
          <w:sz w:val="15"/>
          <w:szCs w:val="15"/>
        </w:rPr>
      </w:pPr>
    </w:p>
    <w:p>
      <w:pPr>
        <w:pStyle w:val="BodyText"/>
        <w:spacing w:line="272" w:lineRule="exact" w:before="64"/>
        <w:ind w:left="1378" w:right="3382"/>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18"/>
          <w:szCs w:val="18"/>
        </w:rPr>
      </w:pPr>
    </w:p>
    <w:p>
      <w:pPr>
        <w:pStyle w:val="BodyText"/>
        <w:spacing w:line="240" w:lineRule="auto"/>
        <w:ind w:left="1378" w:right="663"/>
        <w:jc w:val="left"/>
      </w:pPr>
      <w:r>
        <w:rPr/>
        <w:t>持有</w:t>
      </w:r>
      <w:r>
        <w:rPr>
          <w:spacing w:val="-53"/>
        </w:rPr>
        <w:t> </w:t>
      </w:r>
      <w:r>
        <w:rPr>
          <w:rFonts w:ascii="宋体" w:hAnsi="宋体" w:cs="宋体" w:eastAsia="宋体" w:hint="default"/>
        </w:rPr>
        <w:t>20%</w:t>
      </w:r>
      <w:r>
        <w:rPr/>
        <w:t>以下表决权但具有重大影响，或者持有</w:t>
      </w:r>
      <w:r>
        <w:rPr>
          <w:spacing w:val="-52"/>
        </w:rPr>
        <w:t> </w:t>
      </w:r>
      <w:r>
        <w:rPr>
          <w:rFonts w:ascii="宋体" w:hAnsi="宋体" w:cs="宋体" w:eastAsia="宋体" w:hint="default"/>
        </w:rPr>
        <w:t>20%</w:t>
      </w:r>
      <w:r>
        <w:rPr/>
        <w:t>或以上表决权但不具有重大影响的依据：</w:t>
      </w:r>
      <w:r>
        <w:rPr>
          <w:w w:val="100"/>
        </w:rPr>
        <w:t> </w:t>
      </w:r>
      <w:r>
        <w:rPr/>
        <w:t>不适用</w:t>
      </w:r>
    </w:p>
    <w:p>
      <w:pPr>
        <w:spacing w:line="240" w:lineRule="auto" w:before="6"/>
        <w:rPr>
          <w:rFonts w:ascii="宋体" w:hAnsi="宋体" w:cs="宋体" w:eastAsia="宋体" w:hint="default"/>
          <w:sz w:val="22"/>
          <w:szCs w:val="22"/>
        </w:rPr>
      </w:pPr>
    </w:p>
    <w:p>
      <w:pPr>
        <w:pStyle w:val="Heading2"/>
        <w:tabs>
          <w:tab w:pos="1589" w:val="left" w:leader="none"/>
        </w:tabs>
        <w:spacing w:line="240" w:lineRule="auto" w:before="36"/>
        <w:ind w:left="958" w:right="4114"/>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6"/>
        <w:ind w:left="0" w:right="7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973"/>
        <w:gridCol w:w="2564"/>
        <w:gridCol w:w="2513"/>
      </w:tblGrid>
      <w:tr>
        <w:trPr>
          <w:trHeight w:val="283" w:hRule="exact"/>
        </w:trPr>
        <w:tc>
          <w:tcPr>
            <w:tcW w:w="3973" w:type="dxa"/>
            <w:vMerge w:val="restart"/>
            <w:tcBorders>
              <w:top w:val="single" w:sz="4" w:space="0" w:color="000000"/>
              <w:left w:val="single" w:sz="4" w:space="0" w:color="000000"/>
              <w:right w:val="single" w:sz="6" w:space="0" w:color="000000"/>
            </w:tcBorders>
          </w:tcPr>
          <w:p>
            <w:pP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13"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62" w:hRule="exact"/>
        </w:trPr>
        <w:tc>
          <w:tcPr>
            <w:tcW w:w="3973" w:type="dxa"/>
            <w:vMerge/>
            <w:tcBorders>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人民浙报传媒投资有限</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43,941,484.68</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43,941,484.68</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w:t>
            </w: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55,941,484.68</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5,603,357.43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25,408.00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5,603,357.43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25,408.00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50,338,127.25</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49,974,592.00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4"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84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73"/>
        <w:gridCol w:w="2564"/>
        <w:gridCol w:w="2513"/>
      </w:tblGrid>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25,169,063.63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24,987,296.00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25,169,063.63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24,987,296.00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12,803.78</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25,408.00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-489,048.12</w:t>
            </w: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363,535.25</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-25,408.00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363,535.25</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-25,408.00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564" w:type="dxa"/>
            <w:tcBorders>
              <w:top w:val="single" w:sz="6" w:space="0" w:color="000000"/>
              <w:left w:val="single" w:sz="6" w:space="0" w:color="000000"/>
              <w:bottom w:val="single" w:sz="4" w:space="0" w:color="000000"/>
              <w:right w:val="single" w:sz="6" w:space="0" w:color="000000"/>
            </w:tcBorders>
          </w:tcPr>
          <w:p>
            <w:pPr/>
          </w:p>
        </w:tc>
        <w:tc>
          <w:tcPr>
            <w:tcW w:w="2513"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pStyle w:val="Heading2"/>
        <w:tabs>
          <w:tab w:pos="849" w:val="left" w:leader="none"/>
        </w:tabs>
        <w:spacing w:line="240" w:lineRule="auto" w:before="36"/>
        <w:ind w:right="294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9"/>
        <w:gridCol w:w="1687"/>
        <w:gridCol w:w="1582"/>
        <w:gridCol w:w="1402"/>
        <w:gridCol w:w="1579"/>
      </w:tblGrid>
      <w:tr>
        <w:trPr>
          <w:trHeight w:val="283" w:hRule="exact"/>
        </w:trPr>
        <w:tc>
          <w:tcPr>
            <w:tcW w:w="2799" w:type="dxa"/>
            <w:vMerge w:val="restart"/>
            <w:tcBorders>
              <w:top w:val="single" w:sz="4" w:space="0" w:color="000000"/>
              <w:left w:val="single" w:sz="4" w:space="0" w:color="000000"/>
              <w:right w:val="single" w:sz="6" w:space="0" w:color="000000"/>
            </w:tcBorders>
          </w:tcPr>
          <w:p>
            <w:pPr/>
          </w:p>
        </w:tc>
        <w:tc>
          <w:tcPr>
            <w:tcW w:w="3269"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8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1106" w:hRule="exact"/>
        </w:trPr>
        <w:tc>
          <w:tcPr>
            <w:tcW w:w="2799"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w:t>
            </w:r>
          </w:p>
          <w:p>
            <w:pPr>
              <w:pStyle w:val="TableParagraph"/>
              <w:spacing w:line="240" w:lineRule="auto"/>
              <w:ind w:left="626" w:right="96" w:hanging="526"/>
              <w:jc w:val="left"/>
              <w:rPr>
                <w:rFonts w:ascii="宋体" w:hAnsi="宋体" w:cs="宋体" w:eastAsia="宋体" w:hint="default"/>
                <w:sz w:val="21"/>
                <w:szCs w:val="21"/>
              </w:rPr>
            </w:pPr>
            <w:r>
              <w:rPr>
                <w:rFonts w:ascii="宋体" w:hAnsi="宋体" w:cs="宋体" w:eastAsia="宋体" w:hint="default"/>
                <w:sz w:val="21"/>
                <w:szCs w:val="21"/>
              </w:rPr>
              <w:t>育科技股份有限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52"/>
              <w:jc w:val="left"/>
              <w:rPr>
                <w:rFonts w:ascii="宋体" w:hAnsi="宋体" w:cs="宋体" w:eastAsia="宋体" w:hint="default"/>
                <w:sz w:val="21"/>
                <w:szCs w:val="21"/>
              </w:rPr>
            </w:pPr>
            <w:r>
              <w:rPr>
                <w:rFonts w:ascii="宋体" w:hAnsi="宋体" w:cs="宋体" w:eastAsia="宋体" w:hint="default"/>
                <w:sz w:val="21"/>
                <w:szCs w:val="21"/>
              </w:rPr>
              <w:t>华茂金台（北</w:t>
            </w:r>
          </w:p>
          <w:p>
            <w:pPr>
              <w:pStyle w:val="TableParagraph"/>
              <w:spacing w:line="240" w:lineRule="auto"/>
              <w:ind w:left="468" w:right="96" w:hanging="368"/>
              <w:jc w:val="left"/>
              <w:rPr>
                <w:rFonts w:ascii="宋体" w:hAnsi="宋体" w:cs="宋体" w:eastAsia="宋体" w:hint="default"/>
                <w:sz w:val="21"/>
                <w:szCs w:val="21"/>
              </w:rPr>
            </w:pPr>
            <w:r>
              <w:rPr>
                <w:rFonts w:ascii="宋体" w:hAnsi="宋体" w:cs="宋体" w:eastAsia="宋体" w:hint="default"/>
                <w:spacing w:val="-16"/>
                <w:w w:val="100"/>
                <w:sz w:val="21"/>
                <w:szCs w:val="21"/>
              </w:rPr>
              <w:t>京）投资管理有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北京文华在</w:t>
            </w:r>
          </w:p>
          <w:p>
            <w:pPr>
              <w:pStyle w:val="TableParagraph"/>
              <w:spacing w:line="237" w:lineRule="auto"/>
              <w:ind w:left="165" w:right="166"/>
              <w:jc w:val="center"/>
              <w:rPr>
                <w:rFonts w:ascii="宋体" w:hAnsi="宋体" w:cs="宋体" w:eastAsia="宋体" w:hint="default"/>
                <w:sz w:val="21"/>
                <w:szCs w:val="21"/>
              </w:rPr>
            </w:pPr>
            <w:r>
              <w:rPr>
                <w:rFonts w:ascii="宋体" w:hAnsi="宋体" w:cs="宋体" w:eastAsia="宋体" w:hint="default"/>
                <w:sz w:val="21"/>
                <w:szCs w:val="21"/>
              </w:rPr>
              <w:t>线教育科技</w:t>
            </w:r>
            <w:r>
              <w:rPr>
                <w:rFonts w:ascii="宋体" w:hAnsi="宋体" w:cs="宋体" w:eastAsia="宋体" w:hint="default"/>
                <w:w w:val="100"/>
                <w:sz w:val="21"/>
                <w:szCs w:val="21"/>
              </w:rPr>
              <w:t> </w:t>
            </w:r>
            <w:r>
              <w:rPr>
                <w:rFonts w:ascii="宋体" w:hAnsi="宋体" w:cs="宋体" w:eastAsia="宋体" w:hint="default"/>
                <w:sz w:val="21"/>
                <w:szCs w:val="21"/>
              </w:rPr>
              <w:t>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firstLine="52"/>
              <w:jc w:val="left"/>
              <w:rPr>
                <w:rFonts w:ascii="宋体" w:hAnsi="宋体" w:cs="宋体" w:eastAsia="宋体" w:hint="default"/>
                <w:sz w:val="21"/>
                <w:szCs w:val="21"/>
              </w:rPr>
            </w:pPr>
            <w:r>
              <w:rPr>
                <w:rFonts w:ascii="宋体" w:hAnsi="宋体" w:cs="宋体" w:eastAsia="宋体" w:hint="default"/>
                <w:sz w:val="21"/>
                <w:szCs w:val="21"/>
              </w:rPr>
              <w:t>华茂金台（北</w:t>
            </w:r>
          </w:p>
          <w:p>
            <w:pPr>
              <w:pStyle w:val="TableParagraph"/>
              <w:spacing w:line="240" w:lineRule="auto"/>
              <w:ind w:left="465" w:right="96" w:hanging="368"/>
              <w:jc w:val="left"/>
              <w:rPr>
                <w:rFonts w:ascii="宋体" w:hAnsi="宋体" w:cs="宋体" w:eastAsia="宋体" w:hint="default"/>
                <w:sz w:val="21"/>
                <w:szCs w:val="21"/>
              </w:rPr>
            </w:pPr>
            <w:r>
              <w:rPr>
                <w:rFonts w:ascii="宋体" w:hAnsi="宋体" w:cs="宋体" w:eastAsia="宋体" w:hint="default"/>
                <w:spacing w:val="-16"/>
                <w:w w:val="100"/>
                <w:sz w:val="21"/>
                <w:szCs w:val="21"/>
              </w:rPr>
              <w:t>京）投资管理有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131,324,609.57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25,602,898.77</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12,589,245.79</w:t>
            </w: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24,009,508.80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50,276,926.13</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352,273.89</w:t>
            </w: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155,334,118.37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75,879,824.90</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12,941,519.68</w:t>
            </w: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17,369,872.81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51,005,363.55</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66,429.34</w:t>
            </w: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17,369,872.81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51,005,363.55</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66,429.34</w:t>
            </w: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3" w:right="0"/>
              <w:jc w:val="center"/>
              <w:rPr>
                <w:rFonts w:ascii="宋体" w:hAnsi="宋体" w:cs="宋体" w:eastAsia="宋体" w:hint="default"/>
                <w:sz w:val="21"/>
                <w:szCs w:val="21"/>
              </w:rPr>
            </w:pPr>
            <w:r>
              <w:rPr>
                <w:rFonts w:ascii="宋体"/>
                <w:sz w:val="21"/>
              </w:rPr>
              <w:t>4,728,145.58</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133,236,099.98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24,874,461.35</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40,550,154.85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4,974,892.27</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36,245,138.99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2,225,107.73</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36,245,138.99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2,225,107.73</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9"/>
        <w:gridCol w:w="1687"/>
        <w:gridCol w:w="1582"/>
        <w:gridCol w:w="1402"/>
        <w:gridCol w:w="1579"/>
      </w:tblGrid>
      <w:tr>
        <w:trPr>
          <w:trHeight w:val="562"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7"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76,795,293.84</w:t>
            </w:r>
          </w:p>
        </w:tc>
        <w:tc>
          <w:tcPr>
            <w:tcW w:w="1582"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7,200,000.00</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59,189,400.13</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35,086,580.29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-6,000,628.99</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-2,124,909.66</w:t>
            </w: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35,086,580.29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-6,000,628.99</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-2,124,909.66</w:t>
            </w:r>
          </w:p>
        </w:tc>
      </w:tr>
      <w:tr>
        <w:trPr>
          <w:trHeight w:val="288" w:hRule="exact"/>
        </w:trPr>
        <w:tc>
          <w:tcPr>
            <w:tcW w:w="279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79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402" w:type="dxa"/>
            <w:tcBorders>
              <w:top w:val="single" w:sz="6" w:space="0" w:color="000000"/>
              <w:left w:val="single" w:sz="6" w:space="0" w:color="000000"/>
              <w:bottom w:val="single" w:sz="4" w:space="0" w:color="000000"/>
              <w:right w:val="single" w:sz="6" w:space="0" w:color="000000"/>
            </w:tcBorders>
          </w:tcPr>
          <w:p>
            <w:pPr/>
          </w:p>
        </w:tc>
        <w:tc>
          <w:tcPr>
            <w:tcW w:w="157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line="240" w:lineRule="auto" w:before="7"/>
        <w:rPr>
          <w:rFonts w:ascii="宋体" w:hAnsi="宋体" w:cs="宋体" w:eastAsia="宋体" w:hint="default"/>
          <w:sz w:val="20"/>
          <w:szCs w:val="20"/>
        </w:rPr>
      </w:pPr>
    </w:p>
    <w:p>
      <w:pPr>
        <w:pStyle w:val="Heading2"/>
        <w:tabs>
          <w:tab w:pos="849" w:val="left" w:leader="none"/>
        </w:tabs>
        <w:spacing w:line="240" w:lineRule="auto" w:before="36"/>
        <w:ind w:right="294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2410"/>
        <w:gridCol w:w="2420"/>
      </w:tblGrid>
      <w:tr>
        <w:trPr>
          <w:trHeight w:val="286" w:hRule="exact"/>
        </w:trPr>
        <w:tc>
          <w:tcPr>
            <w:tcW w:w="4220" w:type="dxa"/>
            <w:tcBorders>
              <w:top w:val="single" w:sz="4" w:space="0" w:color="000000"/>
              <w:left w:val="single" w:sz="4" w:space="0" w:color="000000"/>
              <w:bottom w:val="single" w:sz="6" w:space="0" w:color="000000"/>
              <w:right w:val="single" w:sz="6" w:space="0" w:color="000000"/>
            </w:tcBorders>
          </w:tcPr>
          <w:p>
            <w:pPr/>
          </w:p>
        </w:tc>
        <w:tc>
          <w:tcPr>
            <w:tcW w:w="241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42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黑龙江龙教数媒科技有限公司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470,669.39</w:t>
            </w:r>
          </w:p>
        </w:tc>
        <w:tc>
          <w:tcPr>
            <w:tcW w:w="242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470,669.39</w:t>
            </w:r>
          </w:p>
        </w:tc>
        <w:tc>
          <w:tcPr>
            <w:tcW w:w="242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-39,330.61</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-39,330.61</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415"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3,002,919.87</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415"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重庆云凤科技有限公司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284,272.32</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415"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300,000.00</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3,587,192.19</w:t>
            </w:r>
          </w:p>
        </w:tc>
        <w:tc>
          <w:tcPr>
            <w:tcW w:w="242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-12,807.81</w:t>
            </w: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2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-12,807.81</w:t>
            </w:r>
          </w:p>
        </w:tc>
        <w:tc>
          <w:tcPr>
            <w:tcW w:w="242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39" w:lineRule="exact"/>
        <w:ind w:left="218" w:right="2940"/>
        <w:jc w:val="left"/>
      </w:pPr>
      <w:r>
        <w:rPr/>
        <w:t>其他说明</w:t>
      </w:r>
    </w:p>
    <w:p>
      <w:pPr>
        <w:pStyle w:val="BodyText"/>
        <w:spacing w:line="273" w:lineRule="exact"/>
        <w:ind w:left="218" w:right="2940"/>
        <w:jc w:val="left"/>
      </w:pPr>
      <w:r>
        <w:rPr>
          <w:w w:val="100"/>
        </w:rPr>
        <w:t>无</w:t>
      </w:r>
    </w:p>
    <w:p>
      <w:pPr>
        <w:spacing w:line="240" w:lineRule="auto" w:before="3"/>
        <w:rPr>
          <w:rFonts w:ascii="宋体" w:hAnsi="宋体" w:cs="宋体" w:eastAsia="宋体" w:hint="default"/>
          <w:sz w:val="25"/>
          <w:szCs w:val="25"/>
        </w:rPr>
      </w:pPr>
    </w:p>
    <w:p>
      <w:pPr>
        <w:pStyle w:val="Heading2"/>
        <w:tabs>
          <w:tab w:pos="849" w:val="left" w:leader="none"/>
        </w:tabs>
        <w:spacing w:line="290" w:lineRule="auto"/>
        <w:ind w:right="2108"/>
        <w:jc w:val="left"/>
        <w:rPr>
          <w:rFonts w:ascii="宋体" w:hAnsi="宋体" w:cs="宋体" w:eastAsia="宋体" w:hint="default"/>
          <w:b w:val="0"/>
          <w:bCs w:val="0"/>
        </w:rPr>
      </w:pPr>
      <w:r>
        <w:rPr>
          <w:rFonts w:ascii="宋体" w:hAnsi="宋体" w:cs="宋体" w:eastAsia="宋体" w:hint="default"/>
          <w:w w:val="95"/>
        </w:rPr>
        <w:t>(5).</w:t>
        <w:tab/>
      </w:r>
      <w:r>
        <w:rPr>
          <w:spacing w:val="-1"/>
        </w:rPr>
        <w:t>合营企业或联营企业向本公司转移资金的能力存在重大限制的说明：</w:t>
      </w:r>
      <w:r>
        <w:rPr>
          <w:spacing w:val="-77"/>
        </w:rPr>
        <w:t> </w:t>
      </w:r>
      <w:r>
        <w:rPr>
          <w:spacing w:val="-77"/>
        </w:rPr>
      </w:r>
      <w:r>
        <w:rPr>
          <w:rFonts w:ascii="宋体" w:hAnsi="宋体" w:cs="宋体" w:eastAsia="宋体" w:hint="default"/>
          <w:b w:val="0"/>
          <w:bCs w:val="0"/>
        </w:rPr>
        <w:t>无</w:t>
      </w:r>
    </w:p>
    <w:p>
      <w:pPr>
        <w:spacing w:line="240" w:lineRule="auto" w:before="9"/>
        <w:rPr>
          <w:rFonts w:ascii="宋体" w:hAnsi="宋体" w:cs="宋体" w:eastAsia="宋体" w:hint="default"/>
          <w:sz w:val="21"/>
          <w:szCs w:val="21"/>
        </w:rPr>
      </w:pPr>
    </w:p>
    <w:p>
      <w:pPr>
        <w:pStyle w:val="Heading2"/>
        <w:tabs>
          <w:tab w:pos="849" w:val="left" w:leader="none"/>
        </w:tabs>
        <w:spacing w:line="290" w:lineRule="auto"/>
        <w:ind w:right="5060"/>
        <w:jc w:val="left"/>
        <w:rPr>
          <w:rFonts w:ascii="宋体" w:hAnsi="宋体" w:cs="宋体" w:eastAsia="宋体" w:hint="default"/>
          <w:b w:val="0"/>
          <w:bCs w:val="0"/>
        </w:rPr>
      </w:pPr>
      <w:r>
        <w:rPr>
          <w:rFonts w:ascii="宋体" w:hAnsi="宋体" w:cs="宋体" w:eastAsia="宋体" w:hint="default"/>
          <w:w w:val="95"/>
        </w:rPr>
        <w:t>(6).</w:t>
        <w:tab/>
      </w:r>
      <w:r>
        <w:rPr>
          <w:spacing w:val="-1"/>
        </w:rPr>
        <w:t>合营企业或联营企业发生的超额亏损</w:t>
      </w:r>
      <w:r>
        <w:rPr>
          <w:spacing w:val="-90"/>
        </w:rPr>
        <w:t> </w:t>
      </w:r>
      <w:r>
        <w:rPr>
          <w:spacing w:val="-90"/>
        </w:rPr>
      </w:r>
      <w:r>
        <w:rPr>
          <w:rFonts w:ascii="宋体" w:hAnsi="宋体" w:cs="宋体" w:eastAsia="宋体" w:hint="default"/>
          <w:b w:val="0"/>
          <w:bCs w:val="0"/>
        </w:rPr>
        <w:t>其他说明</w:t>
      </w:r>
    </w:p>
    <w:p>
      <w:pPr>
        <w:spacing w:after="0" w:line="29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w w:val="100"/>
        </w:rPr>
        <w:t>无</w:t>
      </w:r>
    </w:p>
    <w:p>
      <w:pPr>
        <w:spacing w:line="240" w:lineRule="auto" w:before="3"/>
        <w:rPr>
          <w:rFonts w:ascii="宋体" w:hAnsi="宋体" w:cs="宋体" w:eastAsia="宋体" w:hint="default"/>
          <w:sz w:val="25"/>
          <w:szCs w:val="25"/>
        </w:rPr>
      </w:pPr>
    </w:p>
    <w:p>
      <w:pPr>
        <w:pStyle w:val="Heading2"/>
        <w:tabs>
          <w:tab w:pos="769" w:val="left" w:leader="none"/>
        </w:tabs>
        <w:spacing w:line="290" w:lineRule="auto"/>
        <w:ind w:left="138" w:right="5211"/>
        <w:jc w:val="left"/>
        <w:rPr>
          <w:rFonts w:ascii="宋体" w:hAnsi="宋体" w:cs="宋体" w:eastAsia="宋体" w:hint="default"/>
          <w:b w:val="0"/>
          <w:bCs w:val="0"/>
        </w:rPr>
      </w:pPr>
      <w:r>
        <w:rPr>
          <w:rFonts w:ascii="宋体" w:hAnsi="宋体" w:cs="宋体" w:eastAsia="宋体" w:hint="default"/>
          <w:w w:val="95"/>
        </w:rPr>
        <w:t>(7).</w:t>
        <w:tab/>
      </w:r>
      <w:r>
        <w:rPr>
          <w:spacing w:val="-1"/>
        </w:rPr>
        <w:t>与合营企业投资相关的未确认承诺</w:t>
      </w:r>
      <w:r>
        <w:rPr>
          <w:spacing w:val="-92"/>
        </w:rPr>
        <w:t> </w:t>
      </w:r>
      <w:r>
        <w:rPr>
          <w:spacing w:val="-92"/>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769" w:val="left" w:leader="none"/>
        </w:tabs>
        <w:spacing w:line="290" w:lineRule="auto"/>
        <w:ind w:left="138" w:right="4367"/>
        <w:jc w:val="left"/>
        <w:rPr>
          <w:rFonts w:ascii="宋体" w:hAnsi="宋体" w:cs="宋体" w:eastAsia="宋体" w:hint="default"/>
          <w:b w:val="0"/>
          <w:bCs w:val="0"/>
        </w:rPr>
      </w:pPr>
      <w:r>
        <w:rPr>
          <w:rFonts w:ascii="宋体" w:hAnsi="宋体" w:cs="宋体" w:eastAsia="宋体" w:hint="default"/>
          <w:w w:val="95"/>
        </w:rPr>
        <w:t>(8).</w:t>
        <w:tab/>
      </w:r>
      <w:r>
        <w:rPr>
          <w:spacing w:val="-1"/>
        </w:rPr>
        <w:t>与合营企业或联营企业投资相关的或有负债</w:t>
      </w:r>
      <w:r>
        <w:rPr>
          <w:spacing w:val="-86"/>
        </w:rPr>
        <w:t> </w:t>
      </w:r>
      <w:r>
        <w:rPr>
          <w:spacing w:val="-86"/>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93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right="0"/>
        <w:jc w:val="both"/>
      </w:pPr>
      <w:r>
        <w:rPr>
          <w:w w:val="100"/>
        </w:rPr>
        <w:t>无</w:t>
      </w:r>
    </w:p>
    <w:p>
      <w:pPr>
        <w:spacing w:line="240" w:lineRule="auto" w:before="3"/>
        <w:rPr>
          <w:rFonts w:ascii="宋体" w:hAnsi="宋体" w:cs="宋体" w:eastAsia="宋体" w:hint="default"/>
          <w:sz w:val="25"/>
          <w:szCs w:val="25"/>
        </w:rPr>
      </w:pPr>
    </w:p>
    <w:p>
      <w:pPr>
        <w:pStyle w:val="Heading2"/>
        <w:spacing w:line="290" w:lineRule="auto"/>
        <w:ind w:left="138" w:right="8147"/>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ind w:left="138" w:right="0"/>
        <w:jc w:val="both"/>
        <w:rPr>
          <w:b w:val="0"/>
          <w:bCs w:val="0"/>
        </w:rPr>
      </w:pPr>
      <w:r>
        <w:rPr/>
        <w:t>十、与金融工具相关的风险</w:t>
      </w:r>
      <w:r>
        <w:rPr>
          <w:b w:val="0"/>
          <w:bCs w:val="0"/>
        </w:rPr>
      </w:r>
    </w:p>
    <w:p>
      <w:pPr>
        <w:pStyle w:val="BodyText"/>
        <w:spacing w:line="240" w:lineRule="auto" w:before="56"/>
        <w:ind w:left="558" w:right="211" w:hanging="420"/>
        <w:jc w:val="left"/>
      </w:pPr>
      <w:r>
        <w:rPr/>
        <w:t>√适用</w:t>
      </w:r>
      <w:r>
        <w:rPr>
          <w:spacing w:val="-2"/>
        </w:rPr>
        <w:t> </w:t>
      </w:r>
      <w:r>
        <w:rPr/>
        <w:t>□不适用</w:t>
      </w:r>
      <w:r>
        <w:rPr>
          <w:w w:val="100"/>
        </w:rPr>
        <w:t> </w:t>
      </w:r>
      <w:r>
        <w:rPr>
          <w:spacing w:val="-2"/>
        </w:rPr>
        <w:t>本公司的主要金融工具包括股权投资、债权投资、借款、应收账款、应付账款等，各项金融</w:t>
      </w:r>
    </w:p>
    <w:p>
      <w:pPr>
        <w:pStyle w:val="BodyText"/>
        <w:spacing w:line="237" w:lineRule="auto"/>
        <w:ind w:right="177"/>
        <w:jc w:val="both"/>
      </w:pPr>
      <w:r>
        <w:rPr>
          <w:spacing w:val="-2"/>
        </w:rPr>
        <w:t>工具的详细情况说明见本附注六相关项目。与这些金融工具有关的风险，以及本公司为降低这些</w:t>
      </w:r>
      <w:r>
        <w:rPr>
          <w:spacing w:val="-25"/>
        </w:rPr>
        <w:t> </w:t>
      </w:r>
      <w:r>
        <w:rPr>
          <w:spacing w:val="-25"/>
        </w:rPr>
      </w:r>
      <w:r>
        <w:rPr>
          <w:spacing w:val="-2"/>
        </w:rPr>
        <w:t>风险所采取的风险管理政策如下所述。本公司管理层对这些风险敞口进行管理和监控以确保将上</w:t>
      </w:r>
      <w:r>
        <w:rPr>
          <w:spacing w:val="-25"/>
        </w:rPr>
        <w:t> </w:t>
      </w:r>
      <w:r>
        <w:rPr>
          <w:spacing w:val="-25"/>
        </w:rPr>
      </w:r>
      <w:r>
        <w:rPr/>
        <w:t>述风险控制在限定的范围之内。</w:t>
      </w:r>
    </w:p>
    <w:p>
      <w:pPr>
        <w:pStyle w:val="BodyText"/>
        <w:spacing w:line="237" w:lineRule="auto" w:before="1"/>
        <w:ind w:right="177" w:firstLine="419"/>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spacing w:line="272" w:lineRule="exact" w:before="26"/>
        <w:ind w:left="558" w:right="211"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本公司从事风险管理的目标是在风险和收益之间取得适当的平衡，将风险对本公司经营业绩</w:t>
      </w:r>
    </w:p>
    <w:p>
      <w:pPr>
        <w:pStyle w:val="BodyText"/>
        <w:spacing w:line="272" w:lineRule="exact" w:before="1"/>
        <w:ind w:right="211"/>
        <w:jc w:val="left"/>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p>
    <w:p>
      <w:pPr>
        <w:pStyle w:val="BodyText"/>
        <w:spacing w:line="272" w:lineRule="exact" w:before="1"/>
        <w:ind w:left="560" w:right="575" w:hanging="423"/>
        <w:jc w:val="left"/>
        <w:rPr>
          <w:rFonts w:ascii="宋体" w:hAnsi="宋体" w:cs="宋体" w:eastAsia="宋体" w:hint="default"/>
        </w:rPr>
      </w:pPr>
      <w:r>
        <w:rPr>
          <w:spacing w:val="-2"/>
        </w:rPr>
        <w:t>进行风险管理，并及时可靠地对各种风险进行监督，将风险控制在限定的范围之内。</w:t>
      </w:r>
      <w:r>
        <w:rPr>
          <w:spacing w:val="-35"/>
        </w:rPr>
        <w:t> </w:t>
      </w:r>
      <w:r>
        <w:rPr>
          <w:spacing w:val="-35"/>
        </w:rPr>
      </w:r>
      <w:r>
        <w:rPr>
          <w:rFonts w:ascii="宋体" w:hAnsi="宋体" w:cs="宋体" w:eastAsia="宋体" w:hint="default"/>
          <w:b/>
          <w:bCs/>
        </w:rPr>
        <w:t>1</w:t>
      </w:r>
      <w:r>
        <w:rPr>
          <w:rFonts w:ascii="宋体" w:hAnsi="宋体" w:cs="宋体" w:eastAsia="宋体" w:hint="default"/>
          <w:b/>
          <w:bCs/>
        </w:rPr>
        <w:t>、市场风险</w:t>
      </w:r>
      <w:r>
        <w:rPr>
          <w:rFonts w:ascii="宋体" w:hAnsi="宋体" w:cs="宋体" w:eastAsia="宋体" w:hint="default"/>
        </w:rPr>
      </w:r>
    </w:p>
    <w:p>
      <w:pPr>
        <w:pStyle w:val="BodyText"/>
        <w:spacing w:line="272" w:lineRule="exact" w:before="1"/>
        <w:ind w:left="558" w:right="211"/>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外汇风险指因汇率变动产生损失的风险。本公司承受外汇风险主要与日元、美元、韩元、英</w:t>
      </w:r>
    </w:p>
    <w:p>
      <w:pPr>
        <w:pStyle w:val="BodyText"/>
        <w:spacing w:line="272" w:lineRule="exact" w:before="1"/>
        <w:ind w:right="0"/>
        <w:jc w:val="left"/>
      </w:pPr>
      <w:r>
        <w:rPr>
          <w:spacing w:val="-6"/>
        </w:rPr>
        <w:t>镑、兰特、卢布、港币、澳大利亚元、欧元、瑞典克朗有关，除本公司的几个下属子公司以日元、</w:t>
      </w:r>
      <w:r>
        <w:rPr>
          <w:spacing w:val="-52"/>
        </w:rPr>
        <w:t> </w:t>
      </w:r>
      <w:r>
        <w:rPr>
          <w:spacing w:val="-52"/>
        </w:rPr>
      </w:r>
      <w:r>
        <w:rPr>
          <w:spacing w:val="-2"/>
        </w:rPr>
        <w:t>美元、韩元、英镑、兰特、卢布、港币、澳大利亚元、欧元、瑞典克朗进行日常经营外，本公司</w:t>
      </w:r>
    </w:p>
    <w:p>
      <w:pPr>
        <w:pStyle w:val="BodyText"/>
        <w:spacing w:line="272" w:lineRule="exact" w:before="1"/>
        <w:ind w:right="168"/>
        <w:jc w:val="both"/>
      </w:pPr>
      <w:r>
        <w:rPr>
          <w:spacing w:val="-4"/>
        </w:rPr>
        <w:t>的其他主要业务活动以人民币计价结算。于</w:t>
      </w:r>
      <w:r>
        <w:rPr>
          <w:spacing w:val="-44"/>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日，除下表所述资产或负债为对应外</w:t>
      </w:r>
      <w:r>
        <w:rPr>
          <w:spacing w:val="-101"/>
        </w:rPr>
        <w:t> </w:t>
      </w:r>
      <w:r>
        <w:rPr>
          <w:spacing w:val="-101"/>
        </w:rPr>
      </w:r>
      <w:r>
        <w:rPr>
          <w:spacing w:val="-2"/>
        </w:rPr>
        <w:t>币余额余额外，本公司的资产及负债均为人民币余额。该等外币余额的资产和负债产生的外汇风</w:t>
      </w:r>
      <w:r>
        <w:rPr>
          <w:spacing w:val="-25"/>
        </w:rPr>
        <w:t> </w:t>
      </w:r>
      <w:r>
        <w:rPr>
          <w:spacing w:val="-25"/>
        </w:rPr>
      </w:r>
      <w:r>
        <w:rPr/>
        <w:t>险可能对本公司的经营业绩产生影响。</w:t>
      </w:r>
    </w:p>
    <w:tbl>
      <w:tblPr>
        <w:tblW w:w="0" w:type="auto"/>
        <w:jc w:val="left"/>
        <w:tblInd w:w="133" w:type="dxa"/>
        <w:tblLayout w:type="fixed"/>
        <w:tblCellMar>
          <w:top w:w="0" w:type="dxa"/>
          <w:left w:w="0" w:type="dxa"/>
          <w:bottom w:w="0" w:type="dxa"/>
          <w:right w:w="0" w:type="dxa"/>
        </w:tblCellMar>
        <w:tblLook w:val="01E0"/>
      </w:tblPr>
      <w:tblGrid>
        <w:gridCol w:w="2962"/>
        <w:gridCol w:w="2962"/>
        <w:gridCol w:w="2957"/>
      </w:tblGrid>
      <w:tr>
        <w:trPr>
          <w:trHeight w:val="41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17,043,848.27</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19,248,347.74</w:t>
            </w:r>
          </w:p>
        </w:tc>
      </w:tr>
      <w:tr>
        <w:trPr>
          <w:trHeight w:val="40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117,222.32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51,341.87</w:t>
            </w:r>
          </w:p>
        </w:tc>
      </w:tr>
      <w:tr>
        <w:trPr>
          <w:trHeight w:val="41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3,126,891.02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2,335,724.66</w:t>
            </w:r>
          </w:p>
        </w:tc>
      </w:tr>
    </w:tbl>
    <w:p>
      <w:pPr>
        <w:spacing w:after="0" w:line="240" w:lineRule="auto"/>
        <w:jc w:val="right"/>
        <w:rPr>
          <w:rFonts w:ascii="宋体" w:hAnsi="宋体" w:cs="宋体" w:eastAsia="宋体" w:hint="default"/>
          <w:sz w:val="21"/>
          <w:szCs w:val="21"/>
        </w:rPr>
        <w:sectPr>
          <w:pgSz w:w="11910" w:h="16840"/>
          <w:pgMar w:header="882" w:footer="1195" w:top="1120" w:bottom="138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962"/>
        <w:gridCol w:w="2962"/>
        <w:gridCol w:w="2957"/>
      </w:tblGrid>
      <w:tr>
        <w:trPr>
          <w:trHeight w:val="41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37,201.06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83,926.96</w:t>
            </w:r>
          </w:p>
        </w:tc>
      </w:tr>
      <w:tr>
        <w:trPr>
          <w:trHeight w:val="41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77,908.28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523,165.01</w:t>
            </w:r>
          </w:p>
        </w:tc>
      </w:tr>
    </w:tbl>
    <w:p>
      <w:pPr>
        <w:spacing w:line="240" w:lineRule="auto" w:before="7"/>
        <w:rPr>
          <w:rFonts w:ascii="宋体" w:hAnsi="宋体" w:cs="宋体" w:eastAsia="宋体" w:hint="default"/>
          <w:sz w:val="15"/>
          <w:szCs w:val="15"/>
        </w:rPr>
      </w:pPr>
    </w:p>
    <w:p>
      <w:pPr>
        <w:pStyle w:val="BodyText"/>
        <w:spacing w:line="272" w:lineRule="exact" w:before="64"/>
        <w:ind w:left="218" w:right="237" w:firstLine="419"/>
        <w:jc w:val="both"/>
      </w:pPr>
      <w:r>
        <w:rPr>
          <w:spacing w:val="-2"/>
        </w:rPr>
        <w:t>本公司密切关注汇率变动对本公司外汇风险的影响。本公司目前并未采取任何措施规避外汇</w:t>
      </w:r>
      <w:r>
        <w:rPr>
          <w:w w:val="100"/>
        </w:rPr>
        <w:t> </w:t>
      </w:r>
      <w:r>
        <w:rPr/>
        <w:t>风险。</w:t>
      </w:r>
    </w:p>
    <w:p>
      <w:pPr>
        <w:pStyle w:val="BodyText"/>
        <w:spacing w:line="272" w:lineRule="exact" w:before="1"/>
        <w:ind w:left="638" w:right="126"/>
        <w:jc w:val="left"/>
      </w:pPr>
      <w:r>
        <w:rPr/>
        <w:t>（</w:t>
      </w:r>
      <w:r>
        <w:rPr>
          <w:rFonts w:ascii="宋体" w:hAnsi="宋体" w:cs="宋体" w:eastAsia="宋体" w:hint="default"/>
        </w:rPr>
        <w:t>2</w:t>
      </w:r>
      <w:r>
        <w:rPr/>
        <w:t>）其他价格风险</w:t>
      </w:r>
      <w:r>
        <w:rPr>
          <w:w w:val="100"/>
        </w:rPr>
        <w:t> </w:t>
      </w:r>
      <w:r>
        <w:rPr>
          <w:spacing w:val="-2"/>
        </w:rPr>
        <w:t>本公司持有的分类为可供出售金融资产除本公司对被投资单位不具有共同控制或重大影响，</w:t>
      </w:r>
    </w:p>
    <w:p>
      <w:pPr>
        <w:pStyle w:val="BodyText"/>
        <w:spacing w:line="246" w:lineRule="exact"/>
        <w:ind w:left="218" w:right="0"/>
        <w:jc w:val="both"/>
      </w:pPr>
      <w:r>
        <w:rPr/>
        <w:t>并且在活跃市场中没有报价、公允价值不能可靠计量的股权投资外在资产负债表日以公允价值计</w:t>
      </w:r>
    </w:p>
    <w:p>
      <w:pPr>
        <w:pStyle w:val="BodyText"/>
        <w:spacing w:line="237" w:lineRule="auto" w:before="2"/>
        <w:ind w:left="218" w:right="228"/>
        <w:jc w:val="both"/>
      </w:pPr>
      <w:r>
        <w:rPr>
          <w:spacing w:val="-2"/>
        </w:rPr>
        <w:t>量。因此，本公司承担着证券市场变动的风险。本公司密切关注证券市场变动对本公司价格风险</w:t>
      </w:r>
      <w:r>
        <w:rPr>
          <w:spacing w:val="-25"/>
        </w:rPr>
        <w:t> </w:t>
      </w:r>
      <w:r>
        <w:rPr>
          <w:spacing w:val="-25"/>
        </w:rPr>
      </w:r>
      <w:r>
        <w:rPr>
          <w:spacing w:val="-4"/>
          <w:w w:val="100"/>
        </w:rPr>
        <w:t>的影响。管理层认为这些投资活动面临的市场价格风险是可以接受的</w:t>
      </w:r>
      <w:r>
        <w:rPr>
          <w:rFonts w:ascii="宋体" w:hAnsi="宋体" w:cs="宋体" w:eastAsia="宋体" w:hint="default"/>
          <w:spacing w:val="-4"/>
          <w:w w:val="100"/>
        </w:rPr>
        <w:t>,</w:t>
      </w:r>
      <w:r>
        <w:rPr>
          <w:spacing w:val="-4"/>
          <w:w w:val="100"/>
        </w:rPr>
        <w:t>本公司目前并未采取任何措</w:t>
      </w:r>
      <w:r>
        <w:rPr>
          <w:spacing w:val="-85"/>
          <w:w w:val="100"/>
        </w:rPr>
        <w:t> </w:t>
      </w:r>
      <w:r>
        <w:rPr>
          <w:spacing w:val="-85"/>
          <w:w w:val="100"/>
        </w:rPr>
      </w:r>
      <w:r>
        <w:rPr/>
        <w:t>施规避价格风险。</w:t>
      </w:r>
    </w:p>
    <w:p>
      <w:pPr>
        <w:pStyle w:val="Heading2"/>
        <w:spacing w:line="271" w:lineRule="exact"/>
        <w:ind w:left="640" w:right="2940"/>
        <w:jc w:val="left"/>
        <w:rPr>
          <w:b w:val="0"/>
          <w:bCs w:val="0"/>
        </w:rPr>
      </w:pPr>
      <w:r>
        <w:rPr>
          <w:rFonts w:ascii="宋体" w:hAnsi="宋体" w:cs="宋体" w:eastAsia="宋体" w:hint="default"/>
        </w:rPr>
        <w:t>2</w:t>
      </w:r>
      <w:r>
        <w:rPr/>
        <w:t>、信用风险</w:t>
      </w:r>
      <w:r>
        <w:rPr>
          <w:b w:val="0"/>
          <w:bCs w:val="0"/>
        </w:rPr>
      </w:r>
    </w:p>
    <w:p>
      <w:pPr>
        <w:pStyle w:val="BodyText"/>
        <w:spacing w:line="237" w:lineRule="auto" w:before="2"/>
        <w:ind w:left="218" w:right="228" w:firstLine="419"/>
        <w:jc w:val="both"/>
      </w:pPr>
      <w:r>
        <w:rPr>
          <w:rFonts w:ascii="宋体" w:hAnsi="宋体" w:cs="宋体" w:eastAsia="宋体" w:hint="default"/>
        </w:rPr>
        <w:t>2015</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spacing w:val="-2"/>
        </w:rPr>
        <w:t>能履行义务而导致本公司金融资产产生的损失以及本公司承担的财务担保，具体为合并资产负债</w:t>
      </w:r>
      <w:r>
        <w:rPr>
          <w:spacing w:val="-25"/>
        </w:rPr>
        <w:t> </w:t>
      </w:r>
      <w:r>
        <w:rPr>
          <w:spacing w:val="-25"/>
        </w:rPr>
      </w:r>
      <w:r>
        <w:rPr>
          <w:spacing w:val="-6"/>
          <w:w w:val="100"/>
        </w:rPr>
        <w:t>表中已确认的金融资产的账面金额，为降低信用风险，本公司成立了一个小组负责确定信用额度、</w:t>
      </w:r>
      <w:r>
        <w:rPr>
          <w:w w:val="100"/>
        </w:rPr>
        <w:t> </w:t>
      </w:r>
      <w:r>
        <w:rPr>
          <w:spacing w:val="-2"/>
        </w:rPr>
        <w:t>进行信用审批，并执行其他监控程序以确保采取必要的措施回收过期债权。此外，本公司于每个</w:t>
      </w:r>
      <w:r>
        <w:rPr>
          <w:spacing w:val="-25"/>
        </w:rPr>
        <w:t> </w:t>
      </w:r>
      <w:r>
        <w:rPr>
          <w:spacing w:val="-25"/>
        </w:rPr>
      </w:r>
      <w:r>
        <w:rPr>
          <w:spacing w:val="-2"/>
        </w:rPr>
        <w:t>资产负债表日审核每一单项应收款的回收情况，以确保就无法回收的款项计提充分的坏账准备。</w:t>
      </w:r>
      <w:r>
        <w:rPr>
          <w:spacing w:val="-25"/>
        </w:rPr>
        <w:t> </w:t>
      </w:r>
      <w:r>
        <w:rPr>
          <w:spacing w:val="-25"/>
        </w:rPr>
      </w:r>
      <w:r>
        <w:rPr/>
        <w:t>因此，本公司管理层认为本公司所承担的信用风险已经大为降低。</w:t>
      </w:r>
    </w:p>
    <w:p>
      <w:pPr>
        <w:pStyle w:val="BodyText"/>
        <w:spacing w:line="272" w:lineRule="exact" w:before="26"/>
        <w:ind w:left="640" w:right="1081" w:hanging="3"/>
        <w:jc w:val="left"/>
        <w:rPr>
          <w:rFonts w:ascii="宋体" w:hAnsi="宋体" w:cs="宋体" w:eastAsia="宋体" w:hint="default"/>
        </w:rPr>
      </w:pPr>
      <w:r>
        <w:rPr>
          <w:spacing w:val="-2"/>
        </w:rPr>
        <w:t>本公司的流动资金存放在信用评级较高的银行，故流动资金的信用风险较低。</w:t>
      </w:r>
      <w:r>
        <w:rPr>
          <w:spacing w:val="-42"/>
        </w:rPr>
        <w:t> </w:t>
      </w:r>
      <w:r>
        <w:rPr>
          <w:spacing w:val="-42"/>
        </w:rPr>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272" w:lineRule="exact" w:before="1"/>
        <w:ind w:left="218" w:right="237" w:firstLine="419"/>
        <w:jc w:val="both"/>
      </w:pPr>
      <w:r>
        <w:rPr>
          <w:spacing w:val="-2"/>
        </w:rPr>
        <w:t>管理流动风险时，本公司保持管理层认为充分的现金及现金等价物并对其进行监控，以满足</w:t>
      </w:r>
      <w:r>
        <w:rPr>
          <w:w w:val="100"/>
        </w:rPr>
        <w:t> </w:t>
      </w:r>
      <w:r>
        <w:rPr/>
        <w:t>本公司经营需要，并降低现金流量波动的影响。</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t>十一、</w:t>
      </w:r>
      <w:r>
        <w:rPr>
          <w:spacing w:val="103"/>
        </w:rPr>
        <w:t> </w:t>
      </w:r>
      <w:r>
        <w:rPr/>
        <w:t>公允价值的披露</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2"/>
          <w:pgSz w:w="11910" w:h="16840"/>
          <w:pgMar w:footer="1195" w:header="882" w:top="1120" w:bottom="1380" w:left="1580" w:right="1040"/>
        </w:sectPr>
      </w:pPr>
    </w:p>
    <w:p>
      <w:pPr>
        <w:pStyle w:val="Heading2"/>
        <w:tabs>
          <w:tab w:pos="1057" w:val="left" w:leader="none"/>
        </w:tabs>
        <w:spacing w:line="290" w:lineRule="auto" w:before="3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5"/>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171"/>
        <w:gridCol w:w="1757"/>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1"/>
                <w:sz w:val="21"/>
                <w:szCs w:val="21"/>
              </w:rPr>
              <w:t>人民日报社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sz w:val="21"/>
              </w:rPr>
              <w:t>92,919.00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48.43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48.43</w:t>
            </w:r>
          </w:p>
        </w:tc>
      </w:tr>
    </w:tbl>
    <w:p>
      <w:pPr>
        <w:pStyle w:val="BodyText"/>
        <w:spacing w:line="280" w:lineRule="exact" w:before="16"/>
        <w:ind w:left="218" w:right="5271"/>
        <w:jc w:val="left"/>
      </w:pPr>
      <w:r>
        <w:rPr>
          <w:spacing w:val="-1"/>
        </w:rPr>
        <w:t>本企业最终控制方是人民日报社</w:t>
      </w:r>
      <w:r>
        <w:rPr>
          <w:spacing w:val="-1"/>
          <w:sz w:val="24"/>
          <w:szCs w:val="24"/>
        </w:rPr>
        <w:t>。</w:t>
      </w:r>
      <w:r>
        <w:rPr>
          <w:spacing w:val="-104"/>
          <w:sz w:val="24"/>
          <w:szCs w:val="24"/>
        </w:rPr>
        <w:t> </w:t>
      </w:r>
      <w:r>
        <w:rPr>
          <w:spacing w:val="-104"/>
          <w:sz w:val="24"/>
          <w:szCs w:val="24"/>
        </w:rPr>
      </w:r>
      <w:r>
        <w:rPr/>
        <w:t>其他说明：</w:t>
      </w:r>
    </w:p>
    <w:p>
      <w:pPr>
        <w:pStyle w:val="BodyText"/>
        <w:spacing w:line="247" w:lineRule="exact"/>
        <w:ind w:left="218" w:right="2940"/>
        <w:jc w:val="left"/>
      </w:pPr>
      <w:r>
        <w:rPr>
          <w:w w:val="100"/>
        </w:rPr>
        <w:t>无</w:t>
      </w:r>
    </w:p>
    <w:p>
      <w:pPr>
        <w:spacing w:line="386" w:lineRule="auto" w:before="56"/>
        <w:ind w:left="638" w:right="4829"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详见附注九、</w:t>
      </w:r>
      <w:r>
        <w:rPr>
          <w:rFonts w:ascii="宋体" w:hAnsi="宋体" w:cs="宋体" w:eastAsia="宋体" w:hint="default"/>
          <w:spacing w:val="-2"/>
          <w:sz w:val="21"/>
          <w:szCs w:val="21"/>
        </w:rPr>
        <w:t>1</w:t>
      </w:r>
      <w:r>
        <w:rPr>
          <w:rFonts w:ascii="宋体" w:hAnsi="宋体" w:cs="宋体" w:eastAsia="宋体" w:hint="default"/>
          <w:spacing w:val="-2"/>
          <w:sz w:val="21"/>
          <w:szCs w:val="21"/>
        </w:rPr>
        <w:t>、在子公司中的权益。</w:t>
      </w:r>
    </w:p>
    <w:p>
      <w:pPr>
        <w:spacing w:line="240" w:lineRule="auto" w:before="12"/>
        <w:rPr>
          <w:rFonts w:ascii="宋体" w:hAnsi="宋体" w:cs="宋体" w:eastAsia="宋体" w:hint="default"/>
          <w:sz w:val="16"/>
          <w:szCs w:val="16"/>
        </w:rPr>
      </w:pPr>
    </w:p>
    <w:p>
      <w:pPr>
        <w:spacing w:line="290" w:lineRule="auto" w:before="0"/>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40" w:lineRule="auto" w:before="62"/>
        <w:ind w:left="638" w:right="126"/>
        <w:jc w:val="left"/>
      </w:pPr>
      <w:r>
        <w:rPr/>
        <w:t>本公司重要的合营和联营企业详见附注九、</w:t>
      </w:r>
      <w:r>
        <w:rPr>
          <w:rFonts w:ascii="Arial" w:hAnsi="Arial" w:cs="Arial" w:eastAsia="Arial" w:hint="default"/>
        </w:rPr>
        <w:t>3</w:t>
      </w:r>
      <w:r>
        <w:rPr/>
        <w:t>、在合营安排或联营企业中的权益。</w:t>
      </w:r>
    </w:p>
    <w:p>
      <w:pPr>
        <w:spacing w:line="240" w:lineRule="auto" w:before="13"/>
        <w:rPr>
          <w:rFonts w:ascii="宋体" w:hAnsi="宋体" w:cs="宋体" w:eastAsia="宋体" w:hint="default"/>
          <w:sz w:val="20"/>
          <w:szCs w:val="20"/>
        </w:rPr>
      </w:pPr>
    </w:p>
    <w:p>
      <w:pPr>
        <w:pStyle w:val="BodyText"/>
        <w:spacing w:line="240" w:lineRule="auto"/>
        <w:ind w:left="218" w:right="126"/>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北京市金台房地产经纪中心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line="240" w:lineRule="auto" w:before="5"/>
        <w:rPr>
          <w:rFonts w:ascii="宋体" w:hAnsi="宋体" w:cs="宋体" w:eastAsia="宋体" w:hint="default"/>
          <w:sz w:val="15"/>
          <w:szCs w:val="15"/>
        </w:rPr>
      </w:pPr>
    </w:p>
    <w:p>
      <w:pPr>
        <w:pStyle w:val="BodyText"/>
        <w:spacing w:line="274" w:lineRule="exact" w:before="36"/>
        <w:ind w:left="638" w:right="2940"/>
        <w:jc w:val="left"/>
      </w:pPr>
      <w:r>
        <w:rPr/>
        <w:t>其他说明</w:t>
      </w:r>
    </w:p>
    <w:p>
      <w:pPr>
        <w:pStyle w:val="BodyText"/>
        <w:spacing w:line="272" w:lineRule="exact"/>
        <w:ind w:left="638" w:right="2940"/>
        <w:jc w:val="left"/>
      </w:pPr>
      <w:r>
        <w:rPr/>
        <w:t>注</w:t>
      </w:r>
      <w:r>
        <w:rPr>
          <w:spacing w:val="-55"/>
        </w:rPr>
        <w:t> </w:t>
      </w:r>
      <w:r>
        <w:rPr>
          <w:rFonts w:ascii="宋体" w:hAnsi="宋体" w:cs="宋体" w:eastAsia="宋体" w:hint="default"/>
        </w:rPr>
        <w:t>1</w:t>
      </w:r>
      <w:r>
        <w:rPr/>
        <w:t>：《环球时报》社为本公司参股股东持股比例</w:t>
      </w:r>
      <w:r>
        <w:rPr>
          <w:spacing w:val="-57"/>
        </w:rPr>
        <w:t> </w:t>
      </w:r>
      <w:r>
        <w:rPr>
          <w:rFonts w:ascii="宋体" w:hAnsi="宋体" w:cs="宋体" w:eastAsia="宋体" w:hint="default"/>
        </w:rPr>
        <w:t>8.62%</w:t>
      </w:r>
      <w:r>
        <w:rPr/>
        <w:t>。</w:t>
      </w:r>
    </w:p>
    <w:p>
      <w:pPr>
        <w:pStyle w:val="BodyText"/>
        <w:spacing w:line="273" w:lineRule="exact"/>
        <w:ind w:left="638" w:right="126"/>
        <w:jc w:val="left"/>
      </w:pPr>
      <w:r>
        <w:rPr/>
        <w:t>注</w:t>
      </w:r>
      <w:r>
        <w:rPr>
          <w:spacing w:val="-55"/>
        </w:rPr>
        <w:t> </w:t>
      </w:r>
      <w:r>
        <w:rPr>
          <w:rFonts w:ascii="宋体" w:hAnsi="宋体" w:cs="宋体" w:eastAsia="宋体" w:hint="default"/>
        </w:rPr>
        <w:t>2</w:t>
      </w:r>
      <w:r>
        <w:rPr/>
        <w:t>：《中国汽车报》社有限公司为本公司参股股东持股比例</w:t>
      </w:r>
      <w:r>
        <w:rPr>
          <w:spacing w:val="-55"/>
        </w:rPr>
        <w:t> </w:t>
      </w:r>
      <w:r>
        <w:rPr>
          <w:rFonts w:ascii="宋体" w:hAnsi="宋体" w:cs="宋体" w:eastAsia="宋体" w:hint="default"/>
        </w:rPr>
        <w:t>0.59%</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3"/>
          <w:pgSz w:w="11910" w:h="16840"/>
          <w:pgMar w:footer="1195" w:header="882" w:top="1120" w:bottom="1380" w:left="1580" w:right="1040"/>
          <w:pgNumType w:start="151"/>
        </w:sectPr>
      </w:pPr>
    </w:p>
    <w:p>
      <w:pPr>
        <w:pStyle w:val="Heading2"/>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9"/>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1,614,276.21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11,715,934.55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数据库信息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1,112,021.81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773,005.50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3,040,450.00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3,040,450.00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水电费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1,090,304.70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1,496,836.59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保洁费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1,198,864.60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101,572.45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625,000.00</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北京阳光绿色保洁有限公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前台水费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478,264.42</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664,924.67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0" w:right="0"/>
              <w:jc w:val="left"/>
              <w:rPr>
                <w:rFonts w:ascii="宋体" w:hAnsi="宋体" w:cs="宋体" w:eastAsia="宋体" w:hint="default"/>
                <w:sz w:val="21"/>
                <w:szCs w:val="21"/>
              </w:rPr>
            </w:pPr>
            <w:r>
              <w:rPr>
                <w:rFonts w:ascii="宋体"/>
                <w:sz w:val="21"/>
              </w:rPr>
              <w:t>961,528.65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广告宣传</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4,433,962.13</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48"/>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1,770,931.88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10,820,425.76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15,779,245.32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1,016,126.74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无线业务服务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1,194,151.94</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1,102,264.15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385,629.36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290,503.43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314,515.38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392,788.11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4,537,735.84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3,858,490.56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3,792,452.83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103,773.58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23,584.91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35,283.02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394,339.62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《民生周刊》杂志社有限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16,603.77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508,749.03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198,113.21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418,867.92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926,515.84</w:t>
            </w:r>
          </w:p>
        </w:tc>
      </w:tr>
    </w:tbl>
    <w:p>
      <w:pPr>
        <w:spacing w:line="240" w:lineRule="auto" w:before="7"/>
        <w:rPr>
          <w:rFonts w:ascii="宋体" w:hAnsi="宋体" w:cs="宋体" w:eastAsia="宋体" w:hint="default"/>
          <w:sz w:val="15"/>
          <w:szCs w:val="15"/>
        </w:rPr>
      </w:pPr>
    </w:p>
    <w:p>
      <w:pPr>
        <w:pStyle w:val="BodyText"/>
        <w:spacing w:line="273" w:lineRule="exact" w:before="36"/>
        <w:ind w:left="558" w:right="148"/>
        <w:jc w:val="left"/>
      </w:pPr>
      <w:r>
        <w:rPr/>
        <w:t>购销商品、提供和接受劳务的关联交易说明</w:t>
      </w:r>
    </w:p>
    <w:p>
      <w:pPr>
        <w:pStyle w:val="BodyText"/>
        <w:spacing w:line="272" w:lineRule="exact"/>
        <w:ind w:left="558" w:right="148"/>
        <w:jc w:val="left"/>
      </w:pPr>
      <w:r>
        <w:rPr/>
        <w:t>注</w:t>
      </w:r>
      <w:r>
        <w:rPr>
          <w:spacing w:val="-55"/>
        </w:rPr>
        <w:t> </w:t>
      </w:r>
      <w:r>
        <w:rPr>
          <w:rFonts w:ascii="宋体" w:hAnsi="宋体" w:cs="宋体" w:eastAsia="宋体" w:hint="default"/>
        </w:rPr>
        <w:t>1</w:t>
      </w:r>
      <w:r>
        <w:rPr/>
        <w:t>：《环球时报》社为本公司参股股东持股比例</w:t>
      </w:r>
      <w:r>
        <w:rPr>
          <w:spacing w:val="-57"/>
        </w:rPr>
        <w:t> </w:t>
      </w:r>
      <w:r>
        <w:rPr>
          <w:rFonts w:ascii="宋体" w:hAnsi="宋体" w:cs="宋体" w:eastAsia="宋体" w:hint="default"/>
        </w:rPr>
        <w:t>8.62%</w:t>
      </w:r>
      <w:r>
        <w:rPr/>
        <w:t>。</w:t>
      </w:r>
    </w:p>
    <w:p>
      <w:pPr>
        <w:pStyle w:val="BodyText"/>
        <w:spacing w:line="274" w:lineRule="exact"/>
        <w:ind w:left="558" w:right="148"/>
        <w:jc w:val="left"/>
      </w:pPr>
      <w:r>
        <w:rPr/>
        <w:t>注</w:t>
      </w:r>
      <w:r>
        <w:rPr>
          <w:spacing w:val="-55"/>
        </w:rPr>
        <w:t> </w:t>
      </w:r>
      <w:r>
        <w:rPr>
          <w:rFonts w:ascii="宋体" w:hAnsi="宋体" w:cs="宋体" w:eastAsia="宋体" w:hint="default"/>
        </w:rPr>
        <w:t>2</w:t>
      </w:r>
      <w:r>
        <w:rPr/>
        <w:t>：《中国汽车报》社有限公司为本公司参股股东持股比例</w:t>
      </w:r>
      <w:r>
        <w:rPr>
          <w:spacing w:val="-55"/>
        </w:rPr>
        <w:t> </w:t>
      </w:r>
      <w:r>
        <w:rPr>
          <w:rFonts w:ascii="宋体" w:hAnsi="宋体" w:cs="宋体" w:eastAsia="宋体" w:hint="default"/>
        </w:rPr>
        <w:t>0.59%</w:t>
      </w:r>
      <w:r>
        <w:rPr/>
        <w:t>。</w:t>
      </w:r>
    </w:p>
    <w:p>
      <w:pPr>
        <w:spacing w:line="240" w:lineRule="auto" w:before="3"/>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39"/>
        <w:ind w:right="14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40" w:lineRule="auto" w:before="36"/>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right="-8"/>
        <w:jc w:val="left"/>
      </w:pPr>
      <w:r>
        <w:rPr/>
        <w:t>√适用</w:t>
      </w:r>
      <w:r>
        <w:rPr>
          <w:spacing w:val="-2"/>
        </w:rPr>
        <w:t> </w:t>
      </w:r>
      <w:r>
        <w:rPr/>
        <w:t>□不适用</w:t>
      </w:r>
      <w:r>
        <w:rPr>
          <w:w w:val="100"/>
        </w:rPr>
        <w:t> </w:t>
      </w:r>
      <w:r>
        <w:rPr>
          <w:spacing w:val="-1"/>
        </w:rPr>
        <w:t>本公司作为承租方：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562"/>
        <w:gridCol w:w="2129"/>
        <w:gridCol w:w="2197"/>
      </w:tblGrid>
      <w:tr>
        <w:trPr>
          <w:trHeight w:val="319"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74"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1"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3,547,560.80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5,650,000.00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6,600,000.00</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457,536.00</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1,766,600.00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1,465,000.00</w:t>
            </w:r>
          </w:p>
        </w:tc>
      </w:tr>
      <w:tr>
        <w:trPr>
          <w:trHeight w:val="28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北京市金台房地产经济中心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148,896.00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114,048.00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507,528.00</w:t>
            </w: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left="218" w:right="7379"/>
        <w:jc w:val="left"/>
      </w:pPr>
      <w:r>
        <w:rPr>
          <w:spacing w:val="-2"/>
        </w:rPr>
        <w:t>关联租赁情况说明</w:t>
      </w:r>
      <w:r>
        <w:rPr>
          <w:spacing w:val="-89"/>
        </w:rPr>
        <w:t> </w:t>
      </w:r>
      <w:r>
        <w:rPr>
          <w:spacing w:val="-89"/>
        </w:rPr>
      </w:r>
      <w:r>
        <w:rPr/>
        <w:t>无</w:t>
      </w:r>
    </w:p>
    <w:p>
      <w:pPr>
        <w:spacing w:line="240" w:lineRule="auto" w:before="4"/>
        <w:rPr>
          <w:rFonts w:ascii="宋体" w:hAnsi="宋体" w:cs="宋体" w:eastAsia="宋体" w:hint="default"/>
          <w:sz w:val="23"/>
          <w:szCs w:val="23"/>
        </w:rPr>
      </w:pPr>
    </w:p>
    <w:p>
      <w:pPr>
        <w:pStyle w:val="Heading2"/>
        <w:spacing w:line="240" w:lineRule="auto"/>
        <w:ind w:right="294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9"/>
        <w:ind w:right="-18"/>
        <w:jc w:val="left"/>
        <w:rPr>
          <w:b w:val="0"/>
          <w:bCs w:val="0"/>
        </w:rPr>
      </w:pPr>
      <w:r>
        <w:rPr>
          <w:rFonts w:ascii="宋体" w:hAnsi="宋体" w:cs="宋体" w:eastAsia="宋体" w:hint="default"/>
        </w:rPr>
        <w:t>(7).</w:t>
      </w:r>
      <w:r>
        <w:rPr>
          <w:rFonts w:ascii="宋体" w:hAnsi="宋体" w:cs="宋体" w:eastAsia="宋体" w:hint="default"/>
          <w:spacing w:val="90"/>
        </w:rPr>
        <w:t> </w:t>
      </w:r>
      <w:r>
        <w:rPr/>
        <w:t>关键管理人员报酬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39"/>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1" w:right="0"/>
              <w:jc w:val="left"/>
              <w:rPr>
                <w:rFonts w:ascii="宋体" w:hAnsi="宋体" w:cs="宋体" w:eastAsia="宋体" w:hint="default"/>
                <w:sz w:val="21"/>
                <w:szCs w:val="21"/>
              </w:rPr>
            </w:pPr>
            <w:r>
              <w:rPr>
                <w:rFonts w:ascii="宋体"/>
                <w:sz w:val="21"/>
              </w:rPr>
              <w:t>4,084,295.90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6,128,414.00</w:t>
            </w:r>
          </w:p>
        </w:tc>
      </w:tr>
    </w:tbl>
    <w:p>
      <w:pPr>
        <w:spacing w:line="240" w:lineRule="auto" w:before="12"/>
        <w:rPr>
          <w:rFonts w:ascii="宋体" w:hAnsi="宋体" w:cs="宋体" w:eastAsia="宋体" w:hint="default"/>
          <w:sz w:val="19"/>
          <w:szCs w:val="19"/>
        </w:rPr>
      </w:pPr>
    </w:p>
    <w:p>
      <w:pPr>
        <w:pStyle w:val="Heading2"/>
        <w:spacing w:line="290" w:lineRule="auto" w:before="36"/>
        <w:ind w:right="7165"/>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9"/>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5"/>
        <w:gridCol w:w="2566"/>
        <w:gridCol w:w="1419"/>
        <w:gridCol w:w="1135"/>
        <w:gridCol w:w="1277"/>
        <w:gridCol w:w="1063"/>
      </w:tblGrid>
      <w:tr>
        <w:trPr>
          <w:trHeight w:val="283"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35" w:type="dxa"/>
            <w:vMerge/>
            <w:tcBorders>
              <w:left w:val="single" w:sz="4" w:space="0" w:color="000000"/>
              <w:bottom w:val="single" w:sz="4" w:space="0" w:color="000000"/>
              <w:right w:val="single" w:sz="4" w:space="0" w:color="000000"/>
            </w:tcBorders>
          </w:tcPr>
          <w:p>
            <w:pPr/>
          </w:p>
        </w:tc>
        <w:tc>
          <w:tcPr>
            <w:tcW w:w="25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5,388,962.84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775,715.95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349,781.45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790,862.65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581,428.68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6,955,541.44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931,210.13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193,343.12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67,697.12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19,832.00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华茂金台（北京）投资管理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235,788.93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347,929.73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777,061.78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87,529.12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94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3291"/>
        <w:gridCol w:w="1844"/>
        <w:gridCol w:w="163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sz w:val="21"/>
              </w:rPr>
              <w:t>9,739,035.87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sz w:val="21"/>
              </w:rPr>
              <w:t>1,948,786.20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3291"/>
        <w:gridCol w:w="1844"/>
        <w:gridCol w:w="163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370,000.00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370,000.00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107,297.79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深圳证券时报传媒有限公司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157,232.73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55,660.28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3,201,397.42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703,920.17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970,699.94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14,278,883.98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3,425,619.64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168,319.16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168,319.16</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35,283.02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43,895.34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5,222,342.76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105,584.15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490,567.19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140,347.50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16,603.78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2,061,886.80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《文史参考》杂志社有限公司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7,943,115.91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517,232.95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5,525,688.51</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2,381,725.00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1,465,000.00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2,381,725.00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6,990,688.51</w:t>
            </w:r>
          </w:p>
        </w:tc>
      </w:tr>
    </w:tbl>
    <w:p>
      <w:pPr>
        <w:spacing w:line="240" w:lineRule="auto" w:before="2"/>
        <w:rPr>
          <w:rFonts w:ascii="宋体" w:hAnsi="宋体" w:cs="宋体" w:eastAsia="宋体" w:hint="default"/>
          <w:sz w:val="20"/>
          <w:szCs w:val="20"/>
        </w:rPr>
      </w:pPr>
    </w:p>
    <w:p>
      <w:pPr>
        <w:pStyle w:val="Heading2"/>
        <w:spacing w:line="240" w:lineRule="auto" w:before="36"/>
        <w:ind w:left="138" w:right="148"/>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558" w:right="148"/>
        <w:jc w:val="left"/>
      </w:pPr>
      <w:r>
        <w:rPr/>
        <w:t>控股股东承诺情况请参见本报告第五节</w:t>
      </w:r>
      <w:r>
        <w:rPr>
          <w:spacing w:val="-5"/>
        </w:rPr>
        <w:t> </w:t>
      </w:r>
      <w:r>
        <w:rPr/>
        <w:t>重要事项之承诺事项履行情况</w:t>
      </w:r>
    </w:p>
    <w:p>
      <w:pPr>
        <w:spacing w:line="240" w:lineRule="auto" w:before="4"/>
        <w:rPr>
          <w:rFonts w:ascii="宋体" w:hAnsi="宋体" w:cs="宋体" w:eastAsia="宋体" w:hint="default"/>
          <w:sz w:val="22"/>
          <w:szCs w:val="22"/>
        </w:rPr>
      </w:pPr>
    </w:p>
    <w:p>
      <w:pPr>
        <w:spacing w:before="0"/>
        <w:ind w:left="138" w:right="14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before="61"/>
        <w:ind w:left="520" w:right="8367" w:firstLine="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p>
      <w:pPr>
        <w:spacing w:line="240" w:lineRule="auto" w:before="13"/>
        <w:rPr>
          <w:rFonts w:ascii="宋体" w:hAnsi="宋体" w:cs="宋体" w:eastAsia="宋体" w:hint="default"/>
          <w:sz w:val="24"/>
          <w:szCs w:val="24"/>
        </w:rPr>
      </w:pPr>
    </w:p>
    <w:p>
      <w:pPr>
        <w:pStyle w:val="Heading2"/>
        <w:tabs>
          <w:tab w:pos="977" w:val="left" w:leader="none"/>
        </w:tabs>
        <w:spacing w:line="240" w:lineRule="auto"/>
        <w:ind w:left="138" w:right="148"/>
        <w:jc w:val="left"/>
        <w:rPr>
          <w:b w:val="0"/>
          <w:bCs w:val="0"/>
        </w:rPr>
      </w:pPr>
      <w:r>
        <w:rPr/>
        <w:t>十三、</w:t>
        <w:tab/>
        <w:t>股份支付</w:t>
      </w:r>
      <w:r>
        <w:rPr>
          <w:b w:val="0"/>
          <w:bCs w:val="0"/>
        </w:rPr>
      </w:r>
    </w:p>
    <w:p>
      <w:pPr>
        <w:pStyle w:val="Heading2"/>
        <w:spacing w:line="240" w:lineRule="auto" w:before="58"/>
        <w:ind w:left="138" w:right="148"/>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9"/>
        <w:ind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558" w:right="6016" w:hanging="420"/>
        <w:jc w:val="left"/>
        <w:rPr>
          <w:rFonts w:ascii="宋体" w:hAnsi="宋体" w:cs="宋体" w:eastAsia="宋体" w:hint="default"/>
          <w:b w:val="0"/>
          <w:bCs w:val="0"/>
        </w:rPr>
      </w:pPr>
      <w:r>
        <w:rPr>
          <w:rFonts w:ascii="宋体" w:hAnsi="宋体" w:cs="宋体" w:eastAsia="宋体" w:hint="default"/>
        </w:rPr>
        <w:t>4</w:t>
      </w:r>
      <w:r>
        <w:rPr/>
        <w:t>、 股份支付的修改、终止情况</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ind w:left="138" w:right="14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558" w:right="148"/>
        <w:jc w:val="left"/>
      </w:pPr>
      <w:r>
        <w:rPr>
          <w:w w:val="100"/>
        </w:rPr>
        <w:t>无</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Heading2"/>
        <w:tabs>
          <w:tab w:pos="977" w:val="left" w:leader="none"/>
        </w:tabs>
        <w:spacing w:line="290" w:lineRule="auto" w:before="36"/>
        <w:ind w:left="138" w:right="66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十五、</w:t>
      </w:r>
      <w:r>
        <w:rPr>
          <w:spacing w:val="104"/>
        </w:rPr>
        <w:t> </w:t>
      </w:r>
      <w:r>
        <w:rPr/>
        <w:t>资产负债表日后事项</w:t>
      </w:r>
      <w:r>
        <w:rPr>
          <w:b w:val="0"/>
          <w:bCs w:val="0"/>
        </w:rPr>
      </w:r>
    </w:p>
    <w:p>
      <w:pPr>
        <w:pStyle w:val="Heading2"/>
        <w:spacing w:line="240" w:lineRule="auto" w:before="56"/>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331" w:lineRule="auto" w:before="32"/>
        <w:ind w:left="558" w:right="0" w:hanging="420"/>
        <w:jc w:val="left"/>
      </w:pPr>
      <w:r>
        <w:rPr/>
        <w:t>√适用</w:t>
      </w:r>
      <w:r>
        <w:rPr>
          <w:spacing w:val="-2"/>
        </w:rPr>
        <w:t> </w:t>
      </w:r>
      <w:r>
        <w:rPr/>
        <w:t>□不适用</w:t>
      </w:r>
      <w:r>
        <w:rPr>
          <w:w w:val="100"/>
        </w:rPr>
        <w:t> </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16</w:t>
      </w:r>
      <w:r>
        <w:rPr>
          <w:spacing w:val="-2"/>
        </w:rPr>
        <w:t>日本公司下属子公司人民澳客传媒科技有限公司与上海能观投资管理合伙企业</w:t>
      </w:r>
    </w:p>
    <w:p>
      <w:pPr>
        <w:pStyle w:val="BodyText"/>
        <w:spacing w:line="348" w:lineRule="auto" w:before="46"/>
        <w:ind w:right="128"/>
        <w:jc w:val="both"/>
      </w:pPr>
      <w:r>
        <w:rPr>
          <w:spacing w:val="-2"/>
        </w:rPr>
        <w:t>（有限合伙）就转让微屏软件科技（上海）有限公司</w:t>
      </w:r>
      <w:r>
        <w:rPr>
          <w:rFonts w:ascii="宋体" w:hAnsi="宋体" w:cs="宋体" w:eastAsia="宋体" w:hint="default"/>
          <w:spacing w:val="-2"/>
        </w:rPr>
        <w:t>28.00%</w:t>
      </w:r>
      <w:r>
        <w:rPr>
          <w:spacing w:val="-2"/>
        </w:rPr>
        <w:t>的股权一事签署《产权交易合同》，</w:t>
      </w:r>
      <w:r>
        <w:rPr>
          <w:spacing w:val="-20"/>
        </w:rPr>
        <w:t> </w:t>
      </w:r>
      <w:r>
        <w:rPr>
          <w:spacing w:val="-20"/>
        </w:rPr>
      </w:r>
      <w:r>
        <w:rPr>
          <w:spacing w:val="-4"/>
        </w:rPr>
        <w:t>转让价格</w:t>
      </w:r>
      <w:r>
        <w:rPr>
          <w:rFonts w:ascii="宋体" w:hAnsi="宋体" w:cs="宋体" w:eastAsia="宋体" w:hint="default"/>
          <w:spacing w:val="-4"/>
        </w:rPr>
        <w:t>28,000.00</w:t>
      </w:r>
      <w:r>
        <w:rPr>
          <w:spacing w:val="-4"/>
        </w:rPr>
        <w:t>万元，该事项经本公司董事会第十九次会议审议通过，相关内容详见本公司于</w:t>
      </w:r>
      <w:r>
        <w:rPr>
          <w:spacing w:val="-17"/>
        </w:rPr>
        <w:t> </w:t>
      </w:r>
      <w:r>
        <w:rPr>
          <w:spacing w:val="-17"/>
        </w:rPr>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日刊登的相关公告。</w:t>
      </w:r>
    </w:p>
    <w:p>
      <w:pPr>
        <w:spacing w:line="240" w:lineRule="auto" w:before="6"/>
        <w:rPr>
          <w:rFonts w:ascii="宋体" w:hAnsi="宋体" w:cs="宋体" w:eastAsia="宋体" w:hint="default"/>
          <w:sz w:val="19"/>
          <w:szCs w:val="19"/>
        </w:rPr>
      </w:pPr>
    </w:p>
    <w:p>
      <w:pPr>
        <w:pStyle w:val="Heading2"/>
        <w:spacing w:line="240" w:lineRule="auto"/>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331" w:lineRule="auto" w:before="32"/>
        <w:ind w:left="558" w:right="0" w:hanging="420"/>
        <w:jc w:val="left"/>
      </w:pPr>
      <w:r>
        <w:rPr/>
        <w:t>√适用</w:t>
      </w:r>
      <w:r>
        <w:rPr>
          <w:spacing w:val="-2"/>
        </w:rPr>
        <w:t> </w:t>
      </w:r>
      <w:r>
        <w:rPr/>
        <w:t>□不适用</w:t>
      </w:r>
      <w:r>
        <w:rPr>
          <w:w w:val="100"/>
        </w:rPr>
        <w:t> </w:t>
      </w:r>
      <w:r>
        <w:rPr>
          <w:spacing w:val="-2"/>
        </w:rPr>
        <w:t>经第二届董事会第二十二次会议审议，公司</w:t>
      </w:r>
      <w:r>
        <w:rPr>
          <w:rFonts w:ascii="宋体" w:hAnsi="宋体" w:cs="宋体" w:eastAsia="宋体" w:hint="default"/>
          <w:spacing w:val="-2"/>
        </w:rPr>
        <w:t>2015</w:t>
      </w:r>
      <w:r>
        <w:rPr>
          <w:spacing w:val="-2"/>
        </w:rPr>
        <w:t>年度的利润分配方案拟定如下：公司拟以总</w:t>
      </w:r>
    </w:p>
    <w:p>
      <w:pPr>
        <w:pStyle w:val="BodyText"/>
        <w:spacing w:line="348" w:lineRule="auto" w:before="46"/>
        <w:ind w:right="128"/>
        <w:jc w:val="both"/>
      </w:pPr>
      <w:r>
        <w:rPr>
          <w:spacing w:val="-3"/>
        </w:rPr>
        <w:t>股本</w:t>
      </w:r>
      <w:r>
        <w:rPr>
          <w:rFonts w:ascii="宋体" w:hAnsi="宋体" w:cs="宋体" w:eastAsia="宋体" w:hint="default"/>
          <w:spacing w:val="-3"/>
        </w:rPr>
        <w:t>1,105,691,056</w:t>
      </w:r>
      <w:r>
        <w:rPr>
          <w:spacing w:val="-3"/>
        </w:rPr>
        <w:t>股为基数，每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0.75</w:t>
      </w:r>
      <w:r>
        <w:rPr>
          <w:spacing w:val="-3"/>
        </w:rPr>
        <w:t>元（含税），共计分配现金股利人</w:t>
      </w:r>
      <w:r>
        <w:rPr>
          <w:spacing w:val="-55"/>
        </w:rPr>
        <w:t> </w:t>
      </w:r>
      <w:r>
        <w:rPr>
          <w:spacing w:val="-55"/>
        </w:rPr>
      </w:r>
      <w:r>
        <w:rPr>
          <w:spacing w:val="-4"/>
        </w:rPr>
        <w:t>民币</w:t>
      </w:r>
      <w:r>
        <w:rPr>
          <w:rFonts w:ascii="宋体" w:hAnsi="宋体" w:cs="宋体" w:eastAsia="宋体" w:hint="default"/>
          <w:spacing w:val="-4"/>
        </w:rPr>
        <w:t>82,926,829.20</w:t>
      </w:r>
      <w:r>
        <w:rPr>
          <w:spacing w:val="-4"/>
        </w:rPr>
        <w:t>元，剩余未分配利润将结转下一年度。上述利润分配方案尚需提交股东大会审</w:t>
      </w:r>
      <w:r>
        <w:rPr>
          <w:spacing w:val="-10"/>
        </w:rPr>
        <w:t> </w:t>
      </w:r>
      <w:r>
        <w:rPr>
          <w:spacing w:val="-10"/>
        </w:rPr>
      </w:r>
      <w:r>
        <w:rPr/>
        <w:t>议通过。</w:t>
      </w:r>
    </w:p>
    <w:p>
      <w:pPr>
        <w:pStyle w:val="Heading2"/>
        <w:spacing w:line="285" w:lineRule="exact"/>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66" w:lineRule="auto"/>
        <w:ind w:left="138" w:right="5784"/>
        <w:jc w:val="left"/>
        <w:rPr>
          <w:rFonts w:ascii="宋体" w:hAnsi="宋体" w:cs="宋体" w:eastAsia="宋体" w:hint="default"/>
          <w:b w:val="0"/>
          <w:bCs w:val="0"/>
        </w:rPr>
      </w:pPr>
      <w:r>
        <w:rPr>
          <w:rFonts w:ascii="Calibri" w:hAnsi="Calibri" w:cs="Calibri" w:eastAsia="Calibri" w:hint="default"/>
        </w:rPr>
        <w:t>4</w:t>
      </w:r>
      <w:r>
        <w:rPr/>
        <w:t>、 其他资产负债表日后事项说明</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2"/>
        <w:tabs>
          <w:tab w:pos="977" w:val="left" w:leader="none"/>
        </w:tabs>
        <w:spacing w:line="290" w:lineRule="auto"/>
        <w:ind w:left="138" w:right="68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spacing w:line="290" w:lineRule="auto" w:before="15"/>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74"/>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9"/>
        <w:ind w:right="0"/>
        <w:jc w:val="both"/>
      </w:pPr>
      <w:r>
        <w:rPr/>
        <w:t>□适用</w:t>
      </w:r>
      <w:r>
        <w:rPr>
          <w:spacing w:val="-1"/>
        </w:rPr>
        <w:t> </w:t>
      </w:r>
      <w:r>
        <w:rPr/>
        <w:t>√不适用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360" w:lineRule="auto"/>
        <w:ind w:left="138" w:right="4517"/>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其他对投资者决策有影响的重要交易和事项</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17"/>
          <w:szCs w:val="17"/>
        </w:rPr>
      </w:pPr>
    </w:p>
    <w:p>
      <w:pPr>
        <w:pStyle w:val="Heading2"/>
        <w:spacing w:line="290" w:lineRule="auto"/>
        <w:ind w:left="138" w:right="8102"/>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138" w:right="8102"/>
        <w:jc w:val="left"/>
        <w:rPr>
          <w:rFonts w:ascii="宋体" w:hAnsi="宋体" w:cs="宋体" w:eastAsia="宋体" w:hint="default"/>
          <w:b w:val="0"/>
          <w:bCs w:val="0"/>
        </w:rPr>
      </w:pPr>
      <w:r>
        <w:rPr>
          <w:rFonts w:ascii="宋体" w:hAnsi="宋体" w:cs="宋体" w:eastAsia="宋体" w:hint="default"/>
        </w:rPr>
        <w:t>9</w:t>
      </w:r>
      <w:r>
        <w:rPr/>
        <w:t>、</w:t>
      </w:r>
      <w:r>
        <w:rPr>
          <w:spacing w:val="2"/>
        </w:rPr>
        <w:t> </w:t>
      </w:r>
      <w:r>
        <w:rPr/>
        <w:t>其他</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5" w:top="1120" w:bottom="1380" w:left="1660" w:right="1140"/>
        </w:sectPr>
      </w:pPr>
    </w:p>
    <w:p>
      <w:pPr>
        <w:spacing w:before="20"/>
        <w:ind w:left="6658" w:right="687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4"/>
          <w:footerReference w:type="default" r:id="rId95"/>
          <w:pgSz w:w="16840" w:h="11910" w:orient="landscape"/>
          <w:pgMar w:header="0" w:footer="0" w:top="800" w:bottom="280" w:left="1120" w:right="840"/>
        </w:sectPr>
      </w:pPr>
    </w:p>
    <w:p>
      <w:pPr>
        <w:spacing w:line="240" w:lineRule="auto" w:before="11"/>
        <w:rPr>
          <w:rFonts w:ascii="宋体" w:hAnsi="宋体" w:cs="宋体" w:eastAsia="宋体" w:hint="default"/>
          <w:sz w:val="13"/>
          <w:szCs w:val="13"/>
        </w:rPr>
      </w:pPr>
    </w:p>
    <w:p>
      <w:pPr>
        <w:pStyle w:val="Heading2"/>
        <w:tabs>
          <w:tab w:pos="1244" w:val="left" w:leader="none"/>
        </w:tabs>
        <w:spacing w:line="290" w:lineRule="auto"/>
        <w:ind w:left="404"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244" w:val="left" w:leader="none"/>
        </w:tabs>
        <w:spacing w:line="240" w:lineRule="auto" w:before="12"/>
        <w:ind w:left="546"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455" w:val="left" w:leader="none"/>
        </w:tabs>
        <w:spacing w:line="240" w:lineRule="auto" w:before="133"/>
        <w:ind w:left="404" w:right="0"/>
        <w:jc w:val="left"/>
      </w:pPr>
      <w:r>
        <w:rPr>
          <w:spacing w:val="-1"/>
        </w:rPr>
        <w:t>单位：元</w:t>
        <w:tab/>
        <w:t>币种：人民币</w:t>
      </w:r>
    </w:p>
    <w:p>
      <w:pPr>
        <w:spacing w:after="0" w:line="240" w:lineRule="auto"/>
        <w:jc w:val="left"/>
        <w:sectPr>
          <w:type w:val="continuous"/>
          <w:pgSz w:w="16840" w:h="11910" w:orient="landscape"/>
          <w:pgMar w:top="1120" w:bottom="1380" w:left="1120" w:right="840"/>
          <w:cols w:num="2" w:equalWidth="0">
            <w:col w:w="3986" w:space="7577"/>
            <w:col w:w="331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04"/>
        <w:gridCol w:w="1561"/>
        <w:gridCol w:w="852"/>
        <w:gridCol w:w="1560"/>
        <w:gridCol w:w="564"/>
        <w:gridCol w:w="1704"/>
        <w:gridCol w:w="1702"/>
        <w:gridCol w:w="850"/>
        <w:gridCol w:w="1416"/>
        <w:gridCol w:w="569"/>
        <w:gridCol w:w="1556"/>
      </w:tblGrid>
      <w:tr>
        <w:trPr>
          <w:trHeight w:val="283"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2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04" w:type="dxa"/>
            <w:vMerge/>
            <w:tcBorders>
              <w:left w:val="single" w:sz="4" w:space="0" w:color="000000"/>
              <w:right w:val="single" w:sz="4" w:space="0" w:color="000000"/>
            </w:tcBorders>
          </w:tcPr>
          <w:p>
            <w:pP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36" w:right="63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4" w:right="55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2304"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70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56" w:type="dxa"/>
            <w:vMerge/>
            <w:tcBorders>
              <w:left w:val="single" w:sz="4" w:space="0" w:color="000000"/>
              <w:bottom w:val="single" w:sz="4" w:space="0" w:color="000000"/>
              <w:right w:val="single" w:sz="4" w:space="0" w:color="000000"/>
            </w:tcBorders>
          </w:tcPr>
          <w:p>
            <w:pP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按信用风险特征组合计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307,202,153.20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13,695,000.23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4.46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293,507,152.97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241,270,348.03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7,664,014.08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3.18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233,606,333.95</w:t>
            </w:r>
          </w:p>
        </w:tc>
      </w:tr>
      <w:tr>
        <w:trPr>
          <w:trHeight w:val="828"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单项金额不重大但单独</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11"/>
                <w:sz w:val="21"/>
                <w:szCs w:val="21"/>
              </w:rPr>
              <w:t>计提坏账准备的应收账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307,202,153.20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13,695,000.23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293,507,152.97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241,270,348.03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7,664,014.08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233,606,333.95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63"/>
        <w:ind w:left="6658" w:right="6854" w:firstLine="0"/>
        <w:jc w:val="center"/>
        <w:rPr>
          <w:rFonts w:ascii="Calibri" w:hAnsi="Calibri" w:cs="Calibri" w:eastAsia="Calibri" w:hint="default"/>
          <w:sz w:val="18"/>
          <w:szCs w:val="18"/>
        </w:rPr>
      </w:pPr>
      <w:r>
        <w:rPr>
          <w:rFonts w:ascii="Calibri"/>
          <w:b/>
          <w:sz w:val="18"/>
        </w:rPr>
        <w:t>157 </w:t>
      </w:r>
      <w:r>
        <w:rPr>
          <w:rFonts w:ascii="Calibri"/>
          <w:sz w:val="18"/>
        </w:rPr>
        <w:t>/</w:t>
      </w:r>
      <w:r>
        <w:rPr>
          <w:rFonts w:ascii="Calibri"/>
          <w:spacing w:val="-5"/>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8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6"/>
          <w:pgSz w:w="11910" w:h="16840"/>
          <w:pgMar w:footer="1195" w:header="0" w:top="1120" w:bottom="1380" w:left="1580" w:right="1040"/>
          <w:pgNumType w:start="158"/>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期末单项金额重大并单项计提坏账准备的应收账款：</w:t>
      </w:r>
    </w:p>
    <w:p>
      <w:pPr>
        <w:pStyle w:val="BodyText"/>
        <w:spacing w:line="290" w:lineRule="auto" w:before="56"/>
        <w:ind w:left="218" w:right="0"/>
        <w:jc w:val="left"/>
      </w:pPr>
      <w:r>
        <w:rPr/>
        <w:t>□适用√不适用</w:t>
      </w:r>
      <w:r>
        <w:rPr>
          <w:w w:val="100"/>
        </w:rPr>
        <w:t> </w:t>
      </w:r>
      <w:r>
        <w:rPr>
          <w:spacing w:val="-2"/>
        </w:rPr>
        <w:t>组合中，按账龄分析法计提坏账准备的应收账款：</w:t>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234,175,415.78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1,553,504.61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234,175,415.78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1,553,504.61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36,198,499.68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1,802,463.54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15,915,419.55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1,591,131.01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11,751,163.42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3,509,600.94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29.87</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7,815,943.89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3,892,589.25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49.80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1,345,710.88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1,345,710.88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307,202,153.20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13,695,000.23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4.46</w:t>
            </w:r>
          </w:p>
        </w:tc>
      </w:tr>
    </w:tbl>
    <w:p>
      <w:pPr>
        <w:spacing w:line="240" w:lineRule="auto" w:before="12"/>
        <w:rPr>
          <w:rFonts w:ascii="宋体" w:hAnsi="宋体" w:cs="宋体" w:eastAsia="宋体" w:hint="default"/>
          <w:sz w:val="19"/>
          <w:szCs w:val="19"/>
        </w:rPr>
      </w:pPr>
    </w:p>
    <w:p>
      <w:pPr>
        <w:pStyle w:val="BodyText"/>
        <w:spacing w:line="290" w:lineRule="auto" w:before="36"/>
        <w:ind w:left="218" w:right="6590"/>
        <w:jc w:val="left"/>
      </w:pPr>
      <w:r>
        <w:rPr>
          <w:spacing w:val="-2"/>
        </w:rPr>
        <w:t>确定该组合依据的说明：</w:t>
      </w:r>
      <w:r>
        <w:rPr>
          <w:spacing w:val="-83"/>
        </w:rPr>
        <w:t> </w:t>
      </w:r>
      <w:r>
        <w:rPr>
          <w:spacing w:val="-83"/>
        </w:rPr>
      </w:r>
      <w:r>
        <w:rPr/>
        <w:t>无</w:t>
      </w:r>
    </w:p>
    <w:p>
      <w:pPr>
        <w:spacing w:line="240" w:lineRule="auto" w:before="9"/>
        <w:rPr>
          <w:rFonts w:ascii="宋体" w:hAnsi="宋体" w:cs="宋体" w:eastAsia="宋体" w:hint="default"/>
          <w:sz w:val="21"/>
          <w:szCs w:val="21"/>
        </w:rPr>
      </w:pPr>
    </w:p>
    <w:p>
      <w:pPr>
        <w:pStyle w:val="BodyText"/>
        <w:spacing w:line="240" w:lineRule="auto"/>
        <w:ind w:left="218" w:right="2940"/>
        <w:jc w:val="left"/>
      </w:pPr>
      <w:r>
        <w:rPr/>
        <w:t>组合中，采用余额百分比法计提坏账准备的应收账款：</w:t>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90" w:lineRule="auto"/>
        <w:ind w:left="218" w:right="4408"/>
        <w:jc w:val="left"/>
      </w:pPr>
      <w:r>
        <w:rPr>
          <w:spacing w:val="-2"/>
        </w:rPr>
        <w:t>组合中，采用其他方法计提坏账准备的应收账款：</w:t>
      </w:r>
      <w:r>
        <w:rPr>
          <w:spacing w:val="-62"/>
        </w:rPr>
        <w:t> </w:t>
      </w:r>
      <w:r>
        <w:rPr>
          <w:spacing w:val="-62"/>
        </w:rPr>
      </w:r>
      <w:r>
        <w:rPr/>
        <w:t>无</w:t>
      </w:r>
    </w:p>
    <w:p>
      <w:pPr>
        <w:spacing w:line="240" w:lineRule="auto" w:before="11"/>
        <w:rPr>
          <w:rFonts w:ascii="宋体" w:hAnsi="宋体" w:cs="宋体" w:eastAsia="宋体" w:hint="default"/>
          <w:sz w:val="21"/>
          <w:szCs w:val="21"/>
        </w:rPr>
      </w:pPr>
    </w:p>
    <w:p>
      <w:pPr>
        <w:pStyle w:val="Heading2"/>
        <w:tabs>
          <w:tab w:pos="1057" w:val="left" w:leader="none"/>
        </w:tabs>
        <w:spacing w:line="240" w:lineRule="auto"/>
        <w:ind w:left="359" w:right="294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218" w:right="126"/>
        <w:jc w:val="left"/>
        <w:rPr>
          <w:rFonts w:ascii="宋体" w:hAnsi="宋体" w:cs="宋体" w:eastAsia="宋体" w:hint="default"/>
        </w:rPr>
      </w:pPr>
      <w:r>
        <w:rPr/>
        <w:t>本期计提坏账准备金额</w:t>
      </w:r>
      <w:r>
        <w:rPr>
          <w:spacing w:val="-56"/>
        </w:rPr>
        <w:t> </w:t>
      </w:r>
      <w:r>
        <w:rPr>
          <w:rFonts w:ascii="宋体" w:hAnsi="宋体" w:cs="宋体" w:eastAsia="宋体" w:hint="default"/>
        </w:rPr>
        <w:t>6,030,986.15</w:t>
      </w:r>
      <w:r>
        <w:rPr>
          <w:rFonts w:ascii="宋体" w:hAnsi="宋体" w:cs="宋体" w:eastAsia="宋体" w:hint="default"/>
          <w:spacing w:val="-57"/>
        </w:rPr>
        <w:t> </w:t>
      </w:r>
      <w:r>
        <w:rPr/>
        <w:t>元；本期收回或转回坏账准备金额</w:t>
      </w:r>
      <w:r>
        <w:rPr>
          <w:spacing w:val="-57"/>
        </w:rPr>
        <w:t> </w:t>
      </w:r>
      <w:r>
        <w:rPr>
          <w:rFonts w:ascii="宋体" w:hAnsi="宋体" w:cs="宋体" w:eastAsia="宋体" w:hint="default"/>
        </w:rPr>
        <w:t>0</w:t>
      </w:r>
    </w:p>
    <w:p>
      <w:pPr>
        <w:spacing w:line="240" w:lineRule="auto" w:before="8"/>
        <w:rPr>
          <w:rFonts w:ascii="宋体" w:hAnsi="宋体" w:cs="宋体" w:eastAsia="宋体" w:hint="default"/>
          <w:sz w:val="20"/>
          <w:szCs w:val="20"/>
        </w:rPr>
      </w:pPr>
    </w:p>
    <w:p>
      <w:pPr>
        <w:pStyle w:val="BodyText"/>
        <w:spacing w:line="273" w:lineRule="exact"/>
        <w:ind w:left="218" w:right="2940"/>
        <w:jc w:val="left"/>
      </w:pPr>
      <w:r>
        <w:rPr/>
        <w:t>其中本期坏账准备收回或转回金额重要的：</w:t>
      </w:r>
    </w:p>
    <w:p>
      <w:pPr>
        <w:pStyle w:val="BodyText"/>
        <w:spacing w:line="273" w:lineRule="exact"/>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tabs>
          <w:tab w:pos="1057" w:val="left" w:leader="none"/>
        </w:tabs>
        <w:spacing w:line="240" w:lineRule="auto"/>
        <w:ind w:left="359" w:right="294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218" w:right="5890"/>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359" w:right="294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166"/>
        <w:ind w:left="638" w:right="126"/>
        <w:jc w:val="left"/>
      </w:pPr>
      <w:r>
        <w:rPr/>
        <w:t>本公司本年按欠款方归集的年末余额前五名应收账款汇总金额</w:t>
      </w:r>
      <w:r>
        <w:rPr>
          <w:spacing w:val="-53"/>
        </w:rPr>
        <w:t> </w:t>
      </w:r>
      <w:r>
        <w:rPr>
          <w:rFonts w:ascii="Arial" w:hAnsi="Arial" w:cs="Arial" w:eastAsia="Arial" w:hint="default"/>
        </w:rPr>
        <w:t>100,811,868.44</w:t>
      </w:r>
      <w:r>
        <w:rPr>
          <w:rFonts w:ascii="Arial" w:hAnsi="Arial" w:cs="Arial" w:eastAsia="Arial" w:hint="default"/>
          <w:spacing w:val="-5"/>
        </w:rPr>
        <w:t> </w:t>
      </w:r>
      <w:r>
        <w:rPr>
          <w:spacing w:val="-7"/>
        </w:rPr>
        <w:t>元，占应</w:t>
      </w:r>
    </w:p>
    <w:p>
      <w:pPr>
        <w:pStyle w:val="BodyText"/>
        <w:spacing w:line="240" w:lineRule="auto" w:before="108"/>
        <w:ind w:left="218" w:right="126"/>
        <w:jc w:val="left"/>
        <w:rPr>
          <w:rFonts w:ascii="Arial" w:hAnsi="Arial" w:cs="Arial" w:eastAsia="Arial" w:hint="default"/>
        </w:rPr>
      </w:pPr>
      <w:r>
        <w:rPr/>
        <w:t>收账款年末余额合计数的比例</w:t>
      </w:r>
      <w:r>
        <w:rPr>
          <w:spacing w:val="-55"/>
        </w:rPr>
        <w:t> </w:t>
      </w:r>
      <w:r>
        <w:rPr>
          <w:rFonts w:ascii="Arial" w:hAnsi="Arial" w:cs="Arial" w:eastAsia="Arial" w:hint="default"/>
        </w:rPr>
        <w:t>32.82</w:t>
      </w:r>
      <w:r>
        <w:rPr>
          <w:rFonts w:ascii="Arial" w:hAnsi="Arial" w:cs="Arial" w:eastAsia="Arial" w:hint="default"/>
          <w:spacing w:val="-3"/>
        </w:rPr>
        <w:t> </w:t>
      </w:r>
      <w:r>
        <w:rPr>
          <w:rFonts w:ascii="Arial" w:hAnsi="Arial" w:cs="Arial" w:eastAsia="Arial" w:hint="default"/>
        </w:rPr>
        <w:t>%</w:t>
      </w:r>
      <w:r>
        <w:rPr/>
        <w:t>，相应计提的坏账准备年末余额汇总金额</w:t>
      </w:r>
      <w:r>
        <w:rPr>
          <w:spacing w:val="-54"/>
        </w:rPr>
        <w:t> </w:t>
      </w:r>
      <w:r>
        <w:rPr>
          <w:rFonts w:ascii="Arial" w:hAnsi="Arial" w:cs="Arial" w:eastAsia="Arial" w:hint="default"/>
        </w:rPr>
        <w:t>458,107.88</w:t>
      </w:r>
    </w:p>
    <w:p>
      <w:pPr>
        <w:pStyle w:val="BodyText"/>
        <w:spacing w:line="240" w:lineRule="auto" w:before="111"/>
        <w:ind w:left="218" w:right="2940"/>
        <w:jc w:val="left"/>
      </w:pPr>
      <w:r>
        <w:rPr/>
        <w:t>元。</w:t>
      </w:r>
    </w:p>
    <w:p>
      <w:pPr>
        <w:spacing w:line="240" w:lineRule="auto" w:before="12"/>
        <w:rPr>
          <w:rFonts w:ascii="宋体" w:hAnsi="宋体" w:cs="宋体" w:eastAsia="宋体" w:hint="default"/>
          <w:sz w:val="23"/>
          <w:szCs w:val="23"/>
        </w:rPr>
      </w:pPr>
    </w:p>
    <w:p>
      <w:pPr>
        <w:pStyle w:val="Heading2"/>
        <w:tabs>
          <w:tab w:pos="1057" w:val="left" w:leader="none"/>
        </w:tabs>
        <w:spacing w:line="240" w:lineRule="auto" w:before="36"/>
        <w:ind w:left="359" w:right="294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6"/>
        <w:ind w:left="112" w:right="2940"/>
        <w:jc w:val="left"/>
      </w:pPr>
      <w:r>
        <w:rPr>
          <w:w w:val="100"/>
        </w:rPr>
        <w:t>无</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057" w:val="left" w:leader="none"/>
        </w:tabs>
        <w:spacing w:line="240" w:lineRule="auto" w:before="36"/>
        <w:ind w:left="35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8"/>
        <w:ind w:left="112" w:right="0"/>
        <w:jc w:val="left"/>
      </w:pPr>
      <w:r>
        <w:rPr>
          <w:w w:val="100"/>
        </w:rPr>
        <w:t>无</w:t>
      </w:r>
    </w:p>
    <w:p>
      <w:pPr>
        <w:spacing w:line="240" w:lineRule="auto" w:before="6"/>
        <w:rPr>
          <w:rFonts w:ascii="宋体" w:hAnsi="宋体" w:cs="宋体" w:eastAsia="宋体" w:hint="default"/>
          <w:sz w:val="15"/>
          <w:szCs w:val="15"/>
        </w:rPr>
      </w:pPr>
    </w:p>
    <w:p>
      <w:pPr>
        <w:pStyle w:val="BodyText"/>
        <w:spacing w:line="240" w:lineRule="auto" w:before="36"/>
        <w:ind w:left="218" w:right="0"/>
        <w:jc w:val="left"/>
      </w:pPr>
      <w:r>
        <w:rPr/>
        <w:t>其他说明：</w:t>
      </w:r>
    </w:p>
    <w:p>
      <w:pPr>
        <w:spacing w:after="0" w:line="240" w:lineRule="auto"/>
        <w:jc w:val="left"/>
        <w:sectPr>
          <w:pgSz w:w="11910" w:h="16840"/>
          <w:pgMar w:header="0" w:footer="1195" w:top="1120" w:bottom="1380" w:left="1580" w:right="114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7"/>
          <w:footerReference w:type="default" r:id="rId98"/>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2"/>
        <w:spacing w:line="240" w:lineRule="auto"/>
        <w:ind w:left="144"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144"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783" w:space="8780"/>
            <w:col w:w="261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31"/>
        <w:gridCol w:w="1426"/>
        <w:gridCol w:w="1109"/>
        <w:gridCol w:w="1087"/>
        <w:gridCol w:w="1116"/>
        <w:gridCol w:w="1428"/>
        <w:gridCol w:w="1426"/>
        <w:gridCol w:w="1064"/>
        <w:gridCol w:w="1114"/>
        <w:gridCol w:w="1010"/>
        <w:gridCol w:w="1426"/>
      </w:tblGrid>
      <w:tr>
        <w:trPr>
          <w:trHeight w:val="293" w:hRule="exact"/>
        </w:trPr>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31" w:type="dxa"/>
            <w:vMerge/>
            <w:tcBorders>
              <w:left w:val="single" w:sz="4" w:space="0" w:color="000000"/>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73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219"/>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219"/>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37,029,010.22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100.00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72,410.09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sz w:val="21"/>
              </w:rPr>
              <w:t>0.20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36,956,600.13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41,930,737.13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170,165.76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0.41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41,760,571.37</w:t>
            </w:r>
          </w:p>
        </w:tc>
      </w:tr>
      <w:tr>
        <w:trPr>
          <w:trHeight w:val="1100"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ind w:left="26" w:right="219"/>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37,029,010.22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72,410.09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36,956,600.13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41,930,737.13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170,165.76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41,760,571.37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63"/>
        <w:ind w:left="6398" w:right="6414"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9"/>
          <w:pgSz w:w="11910" w:h="16840"/>
          <w:pgMar w:footer="1195" w:header="0" w:top="1120" w:bottom="1380" w:left="1580" w:right="1040"/>
          <w:pgNumType w:start="161"/>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期末单项金额重大并单项计提坏账准备的其他应收款：</w:t>
      </w:r>
    </w:p>
    <w:p>
      <w:pPr>
        <w:pStyle w:val="BodyText"/>
        <w:spacing w:line="290" w:lineRule="auto" w:before="56"/>
        <w:ind w:left="218" w:right="0"/>
        <w:jc w:val="left"/>
      </w:pPr>
      <w:r>
        <w:rPr/>
        <w:t>□适用√不适用</w:t>
      </w:r>
      <w:r>
        <w:rPr>
          <w:w w:val="100"/>
        </w:rPr>
        <w:t> </w:t>
      </w:r>
      <w:r>
        <w:rPr>
          <w:spacing w:val="-2"/>
        </w:rPr>
        <w:t>组合中，按账龄分析法计提坏账准备的其他应收款：</w:t>
      </w:r>
    </w:p>
    <w:p>
      <w:pPr>
        <w:pStyle w:val="BodyText"/>
        <w:spacing w:line="240" w:lineRule="auto" w:before="12"/>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9,035,196.44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6,664.79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9,035,196.44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6,664.79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18,275,734.55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15,745.30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6,929,489.78</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2,598,589.45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38.46</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37,029,010.22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72,410.09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0.20</w:t>
            </w:r>
          </w:p>
        </w:tc>
      </w:tr>
    </w:tbl>
    <w:p>
      <w:pPr>
        <w:spacing w:line="240" w:lineRule="auto" w:before="7"/>
        <w:rPr>
          <w:rFonts w:ascii="宋体" w:hAnsi="宋体" w:cs="宋体" w:eastAsia="宋体" w:hint="default"/>
          <w:sz w:val="15"/>
          <w:szCs w:val="15"/>
        </w:rPr>
      </w:pPr>
    </w:p>
    <w:p>
      <w:pPr>
        <w:pStyle w:val="BodyText"/>
        <w:spacing w:line="272" w:lineRule="exact" w:before="64"/>
        <w:ind w:left="218" w:right="6590"/>
        <w:jc w:val="left"/>
      </w:pPr>
      <w:r>
        <w:rPr>
          <w:spacing w:val="-2"/>
        </w:rPr>
        <w:t>确定该组合依据的说明：</w:t>
      </w:r>
      <w:r>
        <w:rPr>
          <w:spacing w:val="-83"/>
        </w:rPr>
        <w:t> </w:t>
      </w:r>
      <w:r>
        <w:rPr>
          <w:spacing w:val="-83"/>
        </w:rPr>
      </w:r>
      <w:r>
        <w:rPr/>
        <w:t>无</w:t>
      </w:r>
    </w:p>
    <w:p>
      <w:pPr>
        <w:spacing w:line="240" w:lineRule="auto" w:before="4"/>
        <w:rPr>
          <w:rFonts w:ascii="宋体" w:hAnsi="宋体" w:cs="宋体" w:eastAsia="宋体" w:hint="default"/>
          <w:sz w:val="23"/>
          <w:szCs w:val="23"/>
        </w:rPr>
      </w:pPr>
    </w:p>
    <w:p>
      <w:pPr>
        <w:pStyle w:val="BodyText"/>
        <w:spacing w:line="240" w:lineRule="auto"/>
        <w:ind w:left="218" w:right="2940"/>
        <w:jc w:val="left"/>
      </w:pPr>
      <w:r>
        <w:rPr/>
        <w:t>组合中，采用余额百分比法计提坏账准备的其他应收款：</w:t>
      </w:r>
    </w:p>
    <w:p>
      <w:pPr>
        <w:pStyle w:val="BodyText"/>
        <w:spacing w:line="240" w:lineRule="auto" w:before="58"/>
        <w:ind w:left="218" w:right="2940"/>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BodyText"/>
        <w:spacing w:line="290" w:lineRule="auto"/>
        <w:ind w:left="218" w:right="4094"/>
        <w:jc w:val="left"/>
      </w:pPr>
      <w:r>
        <w:rPr>
          <w:spacing w:val="-2"/>
        </w:rPr>
        <w:t>组合中，采用其他方法计提坏账准备的其他应收款：</w:t>
      </w:r>
      <w:r>
        <w:rPr>
          <w:spacing w:val="-62"/>
        </w:rPr>
        <w:t> </w:t>
      </w:r>
      <w:r>
        <w:rPr>
          <w:spacing w:val="-62"/>
        </w:rPr>
      </w:r>
      <w:r>
        <w:rPr/>
        <w:t>无</w:t>
      </w:r>
    </w:p>
    <w:p>
      <w:pPr>
        <w:pStyle w:val="Heading2"/>
        <w:spacing w:line="240" w:lineRule="auto" w:before="12"/>
        <w:ind w:right="294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123"/>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97,755.67</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49" w:lineRule="exact"/>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31,047,635.38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35,128,448.90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437,513.00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283,577.60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268,550.60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4,185,295.06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2,592,304.85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1,136,913.49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472,871.02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665,313.63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1,613,235.31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225,473.60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596,900.06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305,714.85</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37,029,010.22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41,930,737.13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40" w:right="1120"/>
        </w:sectPr>
      </w:pPr>
    </w:p>
    <w:p>
      <w:pPr>
        <w:pStyle w:val="Heading2"/>
        <w:spacing w:line="240" w:lineRule="auto" w:before="36"/>
        <w:ind w:left="15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1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5535" w:space="987"/>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7" w:right="12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96"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6"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6,909,315.48</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四年以内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18.66</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1,303,007.33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3.52</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572,673.32</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5,726.73</w:t>
            </w:r>
          </w:p>
        </w:tc>
      </w:tr>
      <w:tr>
        <w:trPr>
          <w:trHeight w:val="286"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347,929.73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0.94</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323,813.00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0.87</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9,456,738.86</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25.54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5,726.73</w:t>
            </w:r>
          </w:p>
        </w:tc>
      </w:tr>
    </w:tbl>
    <w:p>
      <w:pPr>
        <w:spacing w:line="240" w:lineRule="auto" w:before="2"/>
        <w:rPr>
          <w:rFonts w:ascii="宋体" w:hAnsi="宋体" w:cs="宋体" w:eastAsia="宋体" w:hint="default"/>
          <w:sz w:val="20"/>
          <w:szCs w:val="20"/>
        </w:rPr>
      </w:pPr>
    </w:p>
    <w:p>
      <w:pPr>
        <w:pStyle w:val="Heading2"/>
        <w:spacing w:line="240" w:lineRule="auto" w:before="36"/>
        <w:ind w:left="158" w:right="3301"/>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158" w:right="330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58" w:right="443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1"/>
          <w:szCs w:val="21"/>
        </w:rPr>
      </w:pPr>
    </w:p>
    <w:p>
      <w:pPr>
        <w:pStyle w:val="Heading2"/>
        <w:spacing w:line="290" w:lineRule="auto"/>
        <w:ind w:left="158" w:right="3595"/>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w w:val="100"/>
        </w:rPr>
        <w:t> </w:t>
      </w:r>
      <w:r>
        <w:rPr>
          <w:rFonts w:ascii="宋体" w:hAnsi="宋体" w:cs="宋体" w:eastAsia="宋体" w:hint="default"/>
          <w:b w:val="0"/>
          <w:bCs w:val="0"/>
        </w:rPr>
        <w:t>无</w:t>
      </w:r>
    </w:p>
    <w:p>
      <w:pPr>
        <w:spacing w:line="240" w:lineRule="auto" w:before="5"/>
        <w:rPr>
          <w:rFonts w:ascii="宋体" w:hAnsi="宋体" w:cs="宋体" w:eastAsia="宋体" w:hint="default"/>
          <w:sz w:val="19"/>
          <w:szCs w:val="19"/>
        </w:rPr>
      </w:pPr>
    </w:p>
    <w:p>
      <w:pPr>
        <w:pStyle w:val="BodyText"/>
        <w:spacing w:line="272" w:lineRule="exact"/>
        <w:ind w:left="158" w:right="7918"/>
        <w:jc w:val="left"/>
      </w:pPr>
      <w:r>
        <w:rPr/>
        <w:t>其他说明：</w:t>
      </w:r>
      <w:r>
        <w:rPr>
          <w:spacing w:val="-103"/>
        </w:rPr>
        <w:t> </w:t>
      </w:r>
      <w:r>
        <w:rPr>
          <w:spacing w:val="-103"/>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120"/>
        </w:sectPr>
      </w:pPr>
    </w:p>
    <w:p>
      <w:pPr>
        <w:pStyle w:val="Heading2"/>
        <w:spacing w:line="240" w:lineRule="auto" w:before="36"/>
        <w:ind w:left="1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1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851" w:space="4671"/>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6"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2" w:hRule="exact"/>
        </w:trPr>
        <w:tc>
          <w:tcPr>
            <w:tcW w:w="1706"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636,164,286.38</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636,164,286.38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594,067,383.64</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594,067,383.64</w:t>
            </w:r>
          </w:p>
        </w:tc>
      </w:tr>
      <w:tr>
        <w:trPr>
          <w:trHeight w:val="562"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89,701,116.86</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89,701,116.86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64,562,962.13</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64,562,962.13</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725,865,403.24</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725,865,403.24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658,630,345.77</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658,630,345.77</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0"/>
          <w:footerReference w:type="default" r:id="rId101"/>
          <w:pgSz w:w="16840" w:h="11910" w:orient="landscape"/>
          <w:pgMar w:header="882" w:footer="1195" w:top="1120" w:bottom="1380" w:left="1300" w:right="1220"/>
          <w:pgNumType w:start="163"/>
        </w:sectPr>
      </w:pPr>
    </w:p>
    <w:p>
      <w:pPr>
        <w:spacing w:line="240" w:lineRule="auto" w:before="4"/>
        <w:rPr>
          <w:rFonts w:ascii="宋体" w:hAnsi="宋体" w:cs="宋体" w:eastAsia="宋体" w:hint="default"/>
          <w:sz w:val="14"/>
          <w:szCs w:val="14"/>
        </w:rPr>
      </w:pPr>
    </w:p>
    <w:p>
      <w:pPr>
        <w:pStyle w:val="Heading2"/>
        <w:spacing w:line="240" w:lineRule="auto"/>
        <w:ind w:left="224"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1917" w:space="9646"/>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79"/>
        <w:gridCol w:w="1846"/>
        <w:gridCol w:w="1702"/>
        <w:gridCol w:w="1133"/>
        <w:gridCol w:w="1844"/>
        <w:gridCol w:w="1699"/>
        <w:gridCol w:w="1788"/>
      </w:tblGrid>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8,980,210.80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1,825,839.00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10,806,049.80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10,709,877.00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3,494,915.36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14,204,792.36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9,285,958.46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6,713,152.99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15,999,111.45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4,270,225.29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1,227,892.14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5,498,117.43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6,752,835.40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211,426.01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6,964,261.41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5,428,313.48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1,537,114.00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6,965,427.48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4,996,237.53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4,996,237.53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人民网香港公司有限责任公司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7,479,997.07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1,762,986.00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9,242,983.07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4,993,054.52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1,956,071.70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6,949,126.22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网际星辰文化传媒（北京）有限公司</w:t>
            </w:r>
          </w:p>
        </w:tc>
        <w:tc>
          <w:tcPr>
            <w:tcW w:w="184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248,819,900.00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248,819,900.00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1,474,343.89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967,505.54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2,441,849.43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36,540,000.00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36,540,000.00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431" w:type="dxa"/>
        <w:tblLayout w:type="fixed"/>
        <w:tblCellMar>
          <w:top w:w="0" w:type="dxa"/>
          <w:left w:w="0" w:type="dxa"/>
          <w:bottom w:w="0" w:type="dxa"/>
          <w:right w:w="0" w:type="dxa"/>
        </w:tblCellMar>
        <w:tblLook w:val="01E0"/>
      </w:tblPr>
      <w:tblGrid>
        <w:gridCol w:w="4079"/>
        <w:gridCol w:w="1846"/>
        <w:gridCol w:w="1702"/>
        <w:gridCol w:w="1133"/>
        <w:gridCol w:w="1844"/>
        <w:gridCol w:w="1699"/>
        <w:gridCol w:w="1788"/>
      </w:tblGrid>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1,536,430.20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1,536,430.20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594,067,383.64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sz w:val="21"/>
              </w:rPr>
              <w:t>42,096,902.74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
              <w:jc w:val="right"/>
              <w:rPr>
                <w:rFonts w:ascii="宋体" w:hAnsi="宋体" w:cs="宋体" w:eastAsia="宋体" w:hint="default"/>
                <w:sz w:val="21"/>
                <w:szCs w:val="21"/>
              </w:rPr>
            </w:pPr>
            <w:r>
              <w:rPr>
                <w:rFonts w:ascii="宋体"/>
                <w:spacing w:val="-1"/>
                <w:sz w:val="21"/>
              </w:rPr>
              <w:t>636,164,286.38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980" w:right="760"/>
        </w:sectPr>
      </w:pPr>
    </w:p>
    <w:p>
      <w:pPr>
        <w:pStyle w:val="Heading2"/>
        <w:spacing w:line="240" w:lineRule="auto" w:before="36"/>
        <w:ind w:left="544"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54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95" w:val="left" w:leader="none"/>
        </w:tabs>
        <w:spacing w:line="240" w:lineRule="auto"/>
        <w:ind w:left="544" w:right="0"/>
        <w:jc w:val="left"/>
      </w:pPr>
      <w:r>
        <w:rPr>
          <w:spacing w:val="-1"/>
        </w:rPr>
        <w:t>单位：元</w:t>
        <w:tab/>
        <w:t>币种：人民币</w:t>
      </w:r>
    </w:p>
    <w:p>
      <w:pPr>
        <w:spacing w:after="0" w:line="240" w:lineRule="auto"/>
        <w:jc w:val="left"/>
        <w:sectPr>
          <w:type w:val="continuous"/>
          <w:pgSz w:w="16840" w:h="11910" w:orient="landscape"/>
          <w:pgMar w:top="1120" w:bottom="1380" w:left="980" w:right="760"/>
          <w:cols w:num="2" w:equalWidth="0">
            <w:col w:w="3079" w:space="8483"/>
            <w:col w:w="353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52"/>
        <w:gridCol w:w="1704"/>
        <w:gridCol w:w="1558"/>
        <w:gridCol w:w="708"/>
        <w:gridCol w:w="1563"/>
        <w:gridCol w:w="852"/>
        <w:gridCol w:w="1699"/>
        <w:gridCol w:w="1131"/>
        <w:gridCol w:w="710"/>
        <w:gridCol w:w="427"/>
        <w:gridCol w:w="1704"/>
        <w:gridCol w:w="845"/>
      </w:tblGrid>
      <w:tr>
        <w:trPr>
          <w:trHeight w:val="283"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763" w:right="753"/>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38" w:right="63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6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38"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45"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96"/>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6" w:hRule="exact"/>
        </w:trPr>
        <w:tc>
          <w:tcPr>
            <w:tcW w:w="1952"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3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2"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40"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44" w:right="135"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41" w:right="134"/>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704"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人民浙报传媒投资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24,987,296.00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181,767.63</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25,169,063.63</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24,987,296.00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181,767.63</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25,169,063.63</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北京文华在线教育</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39,575,666.13</w:t>
            </w: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8,257,770.07</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13,695,697.16</w:t>
            </w: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61,529,133.36</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人民幼禾教育科技</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9" w:right="0"/>
              <w:jc w:val="center"/>
              <w:rPr>
                <w:rFonts w:ascii="宋体" w:hAnsi="宋体" w:cs="宋体" w:eastAsia="宋体" w:hint="default"/>
                <w:sz w:val="21"/>
                <w:szCs w:val="21"/>
              </w:rPr>
            </w:pPr>
            <w:r>
              <w:rPr>
                <w:rFonts w:ascii="宋体"/>
                <w:sz w:val="21"/>
              </w:rPr>
              <w:t>3,000,000.00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2,919.87</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3,002,919.87</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39,575,666.13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 w:right="0"/>
              <w:jc w:val="center"/>
              <w:rPr>
                <w:rFonts w:ascii="宋体" w:hAnsi="宋体" w:cs="宋体" w:eastAsia="宋体" w:hint="default"/>
                <w:sz w:val="21"/>
                <w:szCs w:val="21"/>
              </w:rPr>
            </w:pPr>
            <w:r>
              <w:rPr>
                <w:rFonts w:ascii="宋体"/>
                <w:sz w:val="21"/>
              </w:rPr>
              <w:t>3,000,000.00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8,260,689.94</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13,695,697.16</w:t>
            </w: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64,532,053.23</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64,562,962.13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 w:right="0"/>
              <w:jc w:val="center"/>
              <w:rPr>
                <w:rFonts w:ascii="宋体" w:hAnsi="宋体" w:cs="宋体" w:eastAsia="宋体" w:hint="default"/>
                <w:sz w:val="21"/>
                <w:szCs w:val="21"/>
              </w:rPr>
            </w:pPr>
            <w:r>
              <w:rPr>
                <w:rFonts w:ascii="宋体"/>
                <w:sz w:val="21"/>
              </w:rPr>
              <w:t>3,000,000.00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8,442,457.57</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13,695,697.16</w:t>
            </w:r>
          </w:p>
        </w:tc>
        <w:tc>
          <w:tcPr>
            <w:tcW w:w="11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89,701,116.86</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37" w:lineRule="auto" w:before="38"/>
        <w:ind w:left="544" w:right="0"/>
        <w:jc w:val="left"/>
      </w:pPr>
      <w:r>
        <w:rPr/>
        <w:t>其他说明：</w:t>
      </w:r>
      <w:r>
        <w:rPr>
          <w:spacing w:val="-102"/>
        </w:rPr>
        <w:t> </w:t>
      </w:r>
      <w:r>
        <w:rPr>
          <w:spacing w:val="-102"/>
        </w:rPr>
      </w:r>
      <w:r>
        <w:rPr>
          <w:spacing w:val="-2"/>
        </w:rPr>
        <w:t>注：由于本公司原控股子公司文华在线接受投资方增资，使本公司持股比例相应稀释，不再具备控制权，不再将其纳入合并财务报表范围，母公司对其</w:t>
      </w:r>
      <w:r>
        <w:rPr>
          <w:spacing w:val="18"/>
        </w:rPr>
        <w:t> </w:t>
      </w:r>
      <w:r>
        <w:rPr>
          <w:spacing w:val="18"/>
        </w:rPr>
      </w:r>
      <w:r>
        <w:rPr/>
        <w:t>长期股权投资由成本法转换为权益法进行核算，对期初数进行追溯调整。</w:t>
      </w:r>
    </w:p>
    <w:p>
      <w:pPr>
        <w:spacing w:after="0" w:line="237" w:lineRule="auto"/>
        <w:jc w:val="left"/>
        <w:sectPr>
          <w:type w:val="continuous"/>
          <w:pgSz w:w="16840" w:h="11910" w:orient="landscape"/>
          <w:pgMar w:top="1120" w:bottom="1380" w:left="980" w:right="760"/>
        </w:sectPr>
      </w:pPr>
    </w:p>
    <w:p>
      <w:pPr>
        <w:spacing w:line="240" w:lineRule="auto" w:before="9"/>
        <w:rPr>
          <w:rFonts w:ascii="宋体" w:hAnsi="宋体" w:cs="宋体" w:eastAsia="宋体" w:hint="default"/>
          <w:sz w:val="29"/>
          <w:szCs w:val="29"/>
        </w:rPr>
      </w:pPr>
    </w:p>
    <w:p>
      <w:pPr>
        <w:pStyle w:val="Heading2"/>
        <w:spacing w:line="240" w:lineRule="auto" w:before="36"/>
        <w:ind w:right="294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738,990,733.37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360,137,692.89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711,766,175.28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336,926,391.24</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3,514,900.37</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742,505,633.74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360,137,692.89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711,766,175.28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336,926,391.24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02"/>
          <w:footerReference w:type="default" r:id="rId103"/>
          <w:pgSz w:w="11910" w:h="16840"/>
          <w:pgMar w:header="882" w:footer="1195" w:top="1120" w:bottom="1380" w:left="1580" w:right="1040"/>
          <w:pgNumType w:start="165"/>
        </w:sectPr>
      </w:pPr>
    </w:p>
    <w:p>
      <w:pPr>
        <w:pStyle w:val="BodyText"/>
        <w:spacing w:line="290" w:lineRule="auto" w:before="36"/>
        <w:ind w:left="218" w:right="511"/>
        <w:jc w:val="left"/>
      </w:pPr>
      <w:r>
        <w:rPr>
          <w:spacing w:val="-1"/>
        </w:rPr>
        <w:t>其他说明：</w:t>
      </w:r>
      <w:r>
        <w:rPr>
          <w:spacing w:val="-97"/>
        </w:rPr>
        <w:t> </w:t>
      </w:r>
      <w:r>
        <w:rPr>
          <w:spacing w:val="-97"/>
        </w:rPr>
      </w:r>
      <w:r>
        <w:rPr/>
        <w:t>无</w:t>
      </w:r>
    </w:p>
    <w:p>
      <w:pPr>
        <w:pStyle w:val="Heading2"/>
        <w:spacing w:line="240" w:lineRule="auto" w:before="12"/>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97,831,450.32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8,442,457.57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4,562,962.13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13,695,697.16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1,529,862.46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755,883.07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14,724,400.00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35,548,571.95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42,140,433.60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55,805,648.40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178,364,301.11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96,673,065.55</w:t>
            </w:r>
          </w:p>
        </w:tc>
      </w:tr>
    </w:tbl>
    <w:p>
      <w:pPr>
        <w:spacing w:line="240" w:lineRule="auto" w:before="13"/>
        <w:rPr>
          <w:rFonts w:ascii="宋体" w:hAnsi="宋体" w:cs="宋体" w:eastAsia="宋体" w:hint="default"/>
          <w:sz w:val="19"/>
          <w:szCs w:val="19"/>
        </w:rPr>
      </w:pPr>
    </w:p>
    <w:p>
      <w:pPr>
        <w:pStyle w:val="Heading2"/>
        <w:spacing w:line="290" w:lineRule="auto" w:before="36"/>
        <w:ind w:right="8202"/>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其他</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-105,599.77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11,428,154.44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83,479,218.44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-1,868,537.16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-2,071,672.44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-918,181.30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89,943,382.21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126"/>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spacing w:line="240" w:lineRule="auto" w:before="3"/>
        <w:rPr>
          <w:rFonts w:ascii="宋体" w:hAnsi="宋体" w:cs="宋体" w:eastAsia="宋体" w:hint="default"/>
          <w:sz w:val="25"/>
          <w:szCs w:val="25"/>
        </w:rPr>
      </w:pPr>
    </w:p>
    <w:p>
      <w:pPr>
        <w:pStyle w:val="Heading2"/>
        <w:spacing w:line="240" w:lineRule="auto"/>
        <w:ind w:right="294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r>
    </w:tbl>
    <w:p>
      <w:pPr>
        <w:spacing w:line="240" w:lineRule="auto" w:before="2"/>
        <w:rPr>
          <w:rFonts w:ascii="宋体" w:hAnsi="宋体" w:cs="宋体" w:eastAsia="宋体" w:hint="default"/>
          <w:b/>
          <w:bCs/>
          <w:sz w:val="20"/>
          <w:szCs w:val="20"/>
        </w:rPr>
      </w:pPr>
    </w:p>
    <w:p>
      <w:pPr>
        <w:pStyle w:val="Heading2"/>
        <w:spacing w:line="240" w:lineRule="auto" w:before="36"/>
        <w:ind w:right="294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8205"/>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520" w:right="53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39" w:right="148" w:firstLine="2256"/>
        <w:jc w:val="left"/>
      </w:pPr>
      <w:r>
        <w:rPr>
          <w:spacing w:val="-1"/>
        </w:rPr>
        <w:t>董事长：王一彪</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4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7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7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8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8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7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78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7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7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7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777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777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167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7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77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77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7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77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167</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77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77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7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7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7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167</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77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6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8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167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87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78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7833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78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814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8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80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8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77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77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775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77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74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7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735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72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7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72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7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704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7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69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6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86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8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857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78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7840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78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people.cn/" TargetMode="External"/><Relationship Id="rId9" Type="http://schemas.openxmlformats.org/officeDocument/2006/relationships/hyperlink" Target="mailto:ir@peopl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8.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image" Target="media/image2.jpeg"/><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header" Target="header11.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header" Target="header12.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header" Target="header13.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header" Target="header1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header" Target="header15.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header" Target="header16.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footer" Target="footer46.xml"/><Relationship Id="rId72" Type="http://schemas.openxmlformats.org/officeDocument/2006/relationships/image" Target="media/image3.png"/><Relationship Id="rId73" Type="http://schemas.openxmlformats.org/officeDocument/2006/relationships/image" Target="media/image4.png"/><Relationship Id="rId74" Type="http://schemas.openxmlformats.org/officeDocument/2006/relationships/image" Target="media/image5.png"/><Relationship Id="rId75" Type="http://schemas.openxmlformats.org/officeDocument/2006/relationships/image" Target="media/image6.png"/><Relationship Id="rId76" Type="http://schemas.openxmlformats.org/officeDocument/2006/relationships/image" Target="media/image7.png"/><Relationship Id="rId77" Type="http://schemas.openxmlformats.org/officeDocument/2006/relationships/image" Target="media/image8.png"/><Relationship Id="rId78" Type="http://schemas.openxmlformats.org/officeDocument/2006/relationships/image" Target="media/image9.png"/><Relationship Id="rId79" Type="http://schemas.openxmlformats.org/officeDocument/2006/relationships/image" Target="media/image10.png"/><Relationship Id="rId80" Type="http://schemas.openxmlformats.org/officeDocument/2006/relationships/image" Target="media/image11.png"/><Relationship Id="rId81" Type="http://schemas.openxmlformats.org/officeDocument/2006/relationships/image" Target="media/image12.png"/><Relationship Id="rId82" Type="http://schemas.openxmlformats.org/officeDocument/2006/relationships/header" Target="header17.xml"/><Relationship Id="rId83" Type="http://schemas.openxmlformats.org/officeDocument/2006/relationships/footer" Target="footer47.xml"/><Relationship Id="rId84" Type="http://schemas.openxmlformats.org/officeDocument/2006/relationships/header" Target="header18.xml"/><Relationship Id="rId85" Type="http://schemas.openxmlformats.org/officeDocument/2006/relationships/footer" Target="footer48.xml"/><Relationship Id="rId86" Type="http://schemas.openxmlformats.org/officeDocument/2006/relationships/header" Target="header19.xml"/><Relationship Id="rId87" Type="http://schemas.openxmlformats.org/officeDocument/2006/relationships/footer" Target="footer49.xml"/><Relationship Id="rId88" Type="http://schemas.openxmlformats.org/officeDocument/2006/relationships/header" Target="header20.xml"/><Relationship Id="rId89" Type="http://schemas.openxmlformats.org/officeDocument/2006/relationships/footer" Target="footer50.xml"/><Relationship Id="rId90" Type="http://schemas.openxmlformats.org/officeDocument/2006/relationships/header" Target="header21.xml"/><Relationship Id="rId91" Type="http://schemas.openxmlformats.org/officeDocument/2006/relationships/footer" Target="footer51.xml"/><Relationship Id="rId92" Type="http://schemas.openxmlformats.org/officeDocument/2006/relationships/footer" Target="footer52.xml"/><Relationship Id="rId93" Type="http://schemas.openxmlformats.org/officeDocument/2006/relationships/footer" Target="footer53.xml"/><Relationship Id="rId94" Type="http://schemas.openxmlformats.org/officeDocument/2006/relationships/header" Target="header22.xml"/><Relationship Id="rId95" Type="http://schemas.openxmlformats.org/officeDocument/2006/relationships/footer" Target="footer54.xml"/><Relationship Id="rId96" Type="http://schemas.openxmlformats.org/officeDocument/2006/relationships/footer" Target="footer55.xml"/><Relationship Id="rId97" Type="http://schemas.openxmlformats.org/officeDocument/2006/relationships/header" Target="header23.xml"/><Relationship Id="rId98" Type="http://schemas.openxmlformats.org/officeDocument/2006/relationships/footer" Target="footer56.xml"/><Relationship Id="rId99" Type="http://schemas.openxmlformats.org/officeDocument/2006/relationships/footer" Target="footer57.xml"/><Relationship Id="rId100" Type="http://schemas.openxmlformats.org/officeDocument/2006/relationships/header" Target="header24.xml"/><Relationship Id="rId101" Type="http://schemas.openxmlformats.org/officeDocument/2006/relationships/footer" Target="footer58.xml"/><Relationship Id="rId102" Type="http://schemas.openxmlformats.org/officeDocument/2006/relationships/header" Target="header25.xml"/><Relationship Id="rId103"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2020-05-04T21:56:59Z</dcterms:created>
  <dcterms:modified xsi:type="dcterms:W3CDTF">2020-05-04T21:56:59Z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Office Word 2007</vt:lpwstr>
  </property>
  <property fmtid="{D5CDD505-2E9C-101B-9397-08002B2CF9AE}" pid="4" name="LastSaved">
    <vt:filetime>2020-05-04T00:00:00Z</vt:filetime>
  </property>
</Properties>
</file>