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Default Extension="png" ContentType="image/png"/>
  <Override PartName="/word/footer33.xml" ContentType="application/vnd.openxmlformats-officedocument.wordprocessingml.footer+xml"/>
  <Override PartName="/word/header1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3.xml" ContentType="application/vnd.openxmlformats-officedocument.wordprocessingml.header+xml"/>
  <Override PartName="/word/footer38.xml" ContentType="application/vnd.openxmlformats-officedocument.wordprocessingml.footer+xml"/>
  <Override PartName="/word/header14.xml" ContentType="application/vnd.openxmlformats-officedocument.wordprocessingml.header+xml"/>
  <Override PartName="/word/footer39.xml" ContentType="application/vnd.openxmlformats-officedocument.wordprocessingml.footer+xml"/>
  <Override PartName="/word/header15.xml" ContentType="application/vnd.openxmlformats-officedocument.wordprocessingml.header+xml"/>
  <Override PartName="/word/footer40.xml" ContentType="application/vnd.openxmlformats-officedocument.wordprocessingml.footer+xml"/>
  <Override PartName="/word/header16.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7.xml" ContentType="application/vnd.openxmlformats-officedocument.wordprocessingml.header+xml"/>
  <Override PartName="/word/footer44.xml" ContentType="application/vnd.openxmlformats-officedocument.wordprocessingml.footer+xml"/>
  <Override PartName="/word/header18.xml" ContentType="application/vnd.openxmlformats-officedocument.wordprocessingml.header+xml"/>
  <Override PartName="/word/footer45.xml" ContentType="application/vnd.openxmlformats-officedocument.wordprocessingml.footer+xml"/>
  <Override PartName="/word/header19.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20.xml" ContentType="application/vnd.openxmlformats-officedocument.wordprocessingml.header+xml"/>
  <Override PartName="/word/footer50.xml" ContentType="application/vnd.openxmlformats-officedocument.wordprocessingml.footer+xml"/>
  <Override PartName="/word/header21.xml" ContentType="application/vnd.openxmlformats-officedocument.wordprocessingml.header+xml"/>
  <Override PartName="/word/footer51.xml" ContentType="application/vnd.openxmlformats-officedocument.wordprocessingml.footer+xml"/>
  <Override PartName="/word/header22.xml" ContentType="application/vnd.openxmlformats-officedocument.wordprocessingml.header+xml"/>
  <Override PartName="/word/footer52.xml" ContentType="application/vnd.openxmlformats-officedocument.wordprocessingml.footer+xml"/>
  <Override PartName="/word/header23.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4.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25.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26.xml" ContentType="application/vnd.openxmlformats-officedocument.wordprocessingml.header+xml"/>
  <Override PartName="/word/footer60.xml" ContentType="application/vnd.openxmlformats-officedocument.wordprocessingml.footer+xml"/>
  <Override PartName="/word/header27.xml" ContentType="application/vnd.openxmlformats-officedocument.wordprocessingml.header+xml"/>
  <Override PartName="/word/footer6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1056" w:lineRule="exact"/>
        <w:ind w:left="1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590185" cy="6705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90185" cy="670559"/>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Heading2"/>
        <w:spacing w:line="240" w:lineRule="auto" w:before="36"/>
        <w:ind w:left="138" w:right="2543"/>
        <w:jc w:val="left"/>
        <w:rPr>
          <w:b w:val="0"/>
          <w:bCs w:val="0"/>
        </w:rPr>
      </w:pPr>
      <w:r>
        <w:rPr>
          <w:color w:val="FF0000"/>
        </w:rPr>
        <w:t>公司代码：</w:t>
      </w:r>
      <w:r>
        <w:rPr>
          <w:rFonts w:ascii="宋体" w:hAnsi="宋体" w:cs="宋体" w:eastAsia="宋体" w:hint="default"/>
          <w:color w:val="FF0000"/>
        </w:rPr>
        <w:t>603000</w:t>
      </w:r>
      <w:r>
        <w:rPr>
          <w:rFonts w:ascii="宋体" w:hAnsi="宋体" w:cs="宋体" w:eastAsia="宋体" w:hint="default"/>
          <w:color w:val="FF0000"/>
          <w:spacing w:val="-2"/>
        </w:rPr>
        <w:t> </w:t>
      </w:r>
      <w:r>
        <w:rPr>
          <w:color w:val="FF0000"/>
        </w:rPr>
        <w:t>公司简称：人民网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75" w:lineRule="auto" w:before="176"/>
        <w:ind w:left="2951" w:right="2543" w:hanging="384"/>
        <w:jc w:val="left"/>
        <w:rPr>
          <w:rFonts w:ascii="黑体" w:hAnsi="黑体" w:cs="黑体" w:eastAsia="黑体" w:hint="default"/>
          <w:sz w:val="44"/>
          <w:szCs w:val="44"/>
        </w:rPr>
      </w:pPr>
      <w:r>
        <w:rPr>
          <w:rFonts w:ascii="黑体" w:hAnsi="黑体" w:cs="黑体" w:eastAsia="黑体" w:hint="default"/>
          <w:b/>
          <w:bCs/>
          <w:color w:val="FF0000"/>
          <w:sz w:val="44"/>
          <w:szCs w:val="44"/>
        </w:rPr>
        <w:t>人民网股份有限公司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475" w:lineRule="auto"/>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left="138" w:right="2543"/>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4"/>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0" w:hanging="368"/>
        <w:jc w:val="left"/>
        <w:rPr>
          <w:b w:val="0"/>
          <w:bCs w:val="0"/>
        </w:rPr>
      </w:pPr>
      <w:r>
        <w:rPr>
          <w:spacing w:val="-1"/>
        </w:rPr>
        <w:t>四、公司负责人叶蓁蓁、主管会计工作负责人魏榕芳及会计机构负责人（会计主管人员）张煜晓</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按照中国证监会鼓励上市公司现金分红，给予投资者稳定合理回报的指导意见，为保持利润</w:t>
      </w:r>
    </w:p>
    <w:p>
      <w:pPr>
        <w:pStyle w:val="BodyText"/>
        <w:spacing w:line="357" w:lineRule="auto" w:before="32"/>
        <w:ind w:right="137"/>
        <w:jc w:val="both"/>
      </w:pPr>
      <w:r>
        <w:rPr>
          <w:spacing w:val="-2"/>
        </w:rPr>
        <w:t>分配政策连续，展现公司未来发展信心，保障股东获得持续稳定回报，保证公司正常经营和长远</w:t>
      </w:r>
      <w:r>
        <w:rPr>
          <w:spacing w:val="-25"/>
        </w:rPr>
        <w:t> </w:t>
      </w:r>
      <w:r>
        <w:rPr>
          <w:spacing w:val="-25"/>
        </w:rPr>
      </w:r>
      <w:r>
        <w:rPr>
          <w:spacing w:val="-2"/>
        </w:rPr>
        <w:t>发展，依《公司法》及《公司章程》的相关规定，经公司第三届董事会第十二次会议审议，公司</w:t>
      </w:r>
      <w:r>
        <w:rPr>
          <w:spacing w:val="-25"/>
        </w:rPr>
        <w:t> </w:t>
      </w:r>
      <w:r>
        <w:rPr>
          <w:spacing w:val="-25"/>
        </w:rPr>
      </w:r>
      <w:r>
        <w:rPr>
          <w:rFonts w:ascii="宋体" w:hAnsi="宋体" w:cs="宋体" w:eastAsia="宋体" w:hint="default"/>
        </w:rPr>
        <w:t>2017</w:t>
      </w:r>
      <w:r>
        <w:rPr>
          <w:rFonts w:ascii="宋体" w:hAnsi="宋体" w:cs="宋体" w:eastAsia="宋体" w:hint="default"/>
          <w:spacing w:val="-55"/>
        </w:rPr>
        <w:t> </w:t>
      </w:r>
      <w:r>
        <w:rPr/>
        <w:t>年度利润分配预案拟定如下：</w:t>
      </w:r>
    </w:p>
    <w:p>
      <w:pPr>
        <w:pStyle w:val="BodyText"/>
        <w:spacing w:line="355" w:lineRule="auto" w:before="30"/>
        <w:ind w:right="128" w:firstLine="419"/>
        <w:jc w:val="both"/>
      </w:pPr>
      <w:r>
        <w:rPr>
          <w:spacing w:val="-3"/>
        </w:rPr>
        <w:t>公司拟以总股本</w:t>
      </w:r>
      <w:r>
        <w:rPr>
          <w:rFonts w:ascii="宋体" w:hAnsi="宋体" w:cs="宋体" w:eastAsia="宋体" w:hint="default"/>
          <w:spacing w:val="-3"/>
        </w:rPr>
        <w:t>1,105,691,056</w:t>
      </w:r>
      <w:r>
        <w:rPr>
          <w:spacing w:val="-3"/>
        </w:rPr>
        <w:t>股为基数，每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0.45</w:t>
      </w:r>
      <w:r>
        <w:rPr>
          <w:spacing w:val="-3"/>
        </w:rPr>
        <w:t>元（含税），共计</w:t>
      </w:r>
      <w:r>
        <w:rPr>
          <w:w w:val="100"/>
        </w:rPr>
        <w:t> </w:t>
      </w:r>
      <w:r>
        <w:rPr>
          <w:spacing w:val="-4"/>
        </w:rPr>
        <w:t>分配现金股利人民币</w:t>
      </w:r>
      <w:r>
        <w:rPr>
          <w:rFonts w:ascii="宋体" w:hAnsi="宋体" w:cs="宋体" w:eastAsia="宋体" w:hint="default"/>
          <w:spacing w:val="-4"/>
        </w:rPr>
        <w:t>49,756,097.52</w:t>
      </w:r>
      <w:r>
        <w:rPr>
          <w:spacing w:val="-4"/>
        </w:rPr>
        <w:t>元（含税），剩余未分配利润将结转下一年度。上述利润分配</w:t>
      </w:r>
      <w:r>
        <w:rPr>
          <w:spacing w:val="-15"/>
        </w:rPr>
        <w:t> </w:t>
      </w:r>
      <w:r>
        <w:rPr>
          <w:spacing w:val="-15"/>
        </w:rPr>
      </w:r>
      <w:r>
        <w:rPr/>
        <w:t>方案尚需提交股东大会审议通过。</w:t>
      </w:r>
    </w:p>
    <w:p>
      <w:pPr>
        <w:spacing w:line="240" w:lineRule="auto" w:before="13"/>
        <w:rPr>
          <w:rFonts w:ascii="宋体" w:hAnsi="宋体" w:cs="宋体" w:eastAsia="宋体" w:hint="default"/>
          <w:sz w:val="29"/>
          <w:szCs w:val="29"/>
        </w:rPr>
      </w:pPr>
    </w:p>
    <w:p>
      <w:pPr>
        <w:pStyle w:val="Heading2"/>
        <w:spacing w:line="240" w:lineRule="auto"/>
        <w:ind w:left="138" w:right="2543"/>
        <w:jc w:val="left"/>
        <w:rPr>
          <w:b w:val="0"/>
          <w:bCs w:val="0"/>
        </w:rPr>
      </w:pPr>
      <w:r>
        <w:rPr/>
        <w:t>六、</w:t>
      </w:r>
      <w:r>
        <w:rPr>
          <w:spacing w:val="-24"/>
        </w:rPr>
        <w:t> </w:t>
      </w:r>
      <w:r>
        <w:rPr/>
        <w:t>前瞻性陈述的风险声明</w:t>
      </w:r>
      <w:r>
        <w:rPr>
          <w:b w:val="0"/>
          <w:bCs w:val="0"/>
        </w:rPr>
      </w:r>
    </w:p>
    <w:p>
      <w:pPr>
        <w:pStyle w:val="BodyText"/>
        <w:spacing w:line="240" w:lineRule="auto" w:before="135"/>
        <w:ind w:right="2543"/>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2"/>
        <w:spacing w:line="424" w:lineRule="auto"/>
        <w:ind w:left="558" w:right="346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1" w:val="left" w:leader="none"/>
        </w:tabs>
        <w:spacing w:line="357" w:lineRule="auto"/>
        <w:ind w:left="558" w:right="368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81" w:val="left" w:leader="none"/>
        </w:tabs>
        <w:spacing w:line="240" w:lineRule="auto" w:before="167"/>
        <w:ind w:left="138" w:right="2543"/>
        <w:jc w:val="left"/>
        <w:rPr>
          <w:b w:val="0"/>
          <w:bCs w:val="0"/>
        </w:rPr>
      </w:pPr>
      <w:r>
        <w:rPr/>
        <w:t>九、</w:t>
        <w:tab/>
        <w:t>重大风险提示</w:t>
      </w:r>
      <w:r>
        <w:rPr>
          <w:b w:val="0"/>
          <w:bCs w:val="0"/>
        </w:rPr>
      </w:r>
    </w:p>
    <w:p>
      <w:pPr>
        <w:pStyle w:val="BodyText"/>
        <w:spacing w:line="240" w:lineRule="auto" w:before="133"/>
        <w:ind w:left="558" w:right="0"/>
        <w:jc w:val="left"/>
      </w:pPr>
      <w:r>
        <w:rPr/>
        <w:t>详见本报告第四节</w:t>
      </w:r>
      <w:r>
        <w:rPr>
          <w:spacing w:val="-5"/>
        </w:rPr>
        <w:t> </w:t>
      </w:r>
      <w:r>
        <w:rPr/>
        <w:t>经营情况讨论与分析之公司可能面对的风险。</w:t>
      </w:r>
    </w:p>
    <w:p>
      <w:pPr>
        <w:spacing w:line="240" w:lineRule="auto" w:before="0"/>
        <w:rPr>
          <w:rFonts w:ascii="宋体" w:hAnsi="宋体" w:cs="宋体" w:eastAsia="宋体" w:hint="default"/>
          <w:sz w:val="20"/>
          <w:szCs w:val="20"/>
        </w:rPr>
      </w:pPr>
    </w:p>
    <w:p>
      <w:pPr>
        <w:spacing w:before="136"/>
        <w:ind w:left="138" w:right="2543"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right="2543"/>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731"/>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1810"/>
        <w:gridCol w:w="1133"/>
        <w:gridCol w:w="610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hyperlink r:id="rId8">
              <w:r>
                <w:rPr>
                  <w:rFonts w:ascii="宋体"/>
                  <w:sz w:val="21"/>
                </w:rPr>
                <w:t>www.people.cn</w:t>
              </w:r>
            </w:hyperlink>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人民在线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人民视讯文化有限公司，公司控股子公司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人民健康网络有限公司，公司控股子公司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人民科技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重庆微政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人民网重庆政微网络科技有限公司，公司控股子公司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网际星辰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网际星辰文化传媒（北京）有限公司，公司原控股子公司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古羌科技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成都古羌科技有限公司，公司原控股子公司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人民澳客传媒科技有限公司，公司原控股子公司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微屏软件科技（上海）有限公司，公司联营企业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人民幼禾教育科技有限公司，公司联营企业</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文华在线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北京文华在线教育科技股份有限公司，公司联营企业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人民浙报传媒投资有限公司，公司合营企业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金辉文化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阿尔山市金辉文化传媒股份有限公司，公司联营企业</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金台恒达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北京金台恒达科技发展有限公司，公司合营企业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上海东方网股份有限公司，公司参股企业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华龙网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重庆华龙网集团有限公司，公司参股企业</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《人民网股份有限公司章程》</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right="-20"/>
        <w:jc w:val="left"/>
        <w:rPr>
          <w:b w:val="0"/>
          <w:bCs w:val="0"/>
        </w:rPr>
      </w:pPr>
      <w:r>
        <w:rPr/>
        <w:t>一、</w:t>
      </w:r>
      <w:r>
        <w:rPr>
          <w:spacing w:val="40"/>
        </w:rPr>
        <w:t> </w:t>
      </w:r>
      <w:r>
        <w:rPr/>
        <w:t>公司信息</w:t>
      </w:r>
      <w:r>
        <w:rPr>
          <w:b w:val="0"/>
          <w:bCs w:val="0"/>
        </w:rPr>
      </w:r>
    </w:p>
    <w:p>
      <w:pPr>
        <w:pStyle w:val="Heading1"/>
        <w:tabs>
          <w:tab w:pos="1478" w:val="left" w:leader="none"/>
        </w:tabs>
        <w:spacing w:line="240" w:lineRule="auto"/>
        <w:ind w:left="218" w:right="0"/>
        <w:jc w:val="left"/>
        <w:rPr>
          <w:b w:val="0"/>
          <w:bCs w:val="0"/>
        </w:rPr>
      </w:pPr>
      <w:bookmarkStart w:name="_TOC_250010" w:id="2"/>
      <w:r>
        <w:rPr>
          <w:b w:val="0"/>
          <w:bCs w:val="0"/>
          <w:w w:val="95"/>
        </w:rPr>
        <w:br w:type="column"/>
      </w:r>
      <w:r>
        <w:rPr>
          <w:w w:val="95"/>
        </w:rPr>
        <w:t>第二节</w:t>
        <w:tab/>
      </w:r>
      <w:r>
        <w:rPr/>
        <w:t>公司简介和主要财务指标</w:t>
      </w:r>
      <w:bookmarkEnd w:id="2"/>
      <w:r>
        <w:rPr>
          <w:b w:val="0"/>
          <w:bCs w:val="0"/>
        </w:rPr>
      </w:r>
    </w:p>
    <w:p>
      <w:pPr>
        <w:spacing w:after="0" w:line="240" w:lineRule="auto"/>
        <w:jc w:val="left"/>
        <w:sectPr>
          <w:type w:val="continuous"/>
          <w:pgSz w:w="11910" w:h="16840"/>
          <w:pgMar w:top="1120" w:bottom="1380" w:left="1580" w:right="1040"/>
          <w:cols w:num="2" w:equalWidth="0">
            <w:col w:w="1630" w:space="610"/>
            <w:col w:w="7050"/>
          </w:cols>
        </w:sectPr>
      </w:pPr>
    </w:p>
    <w:p>
      <w:pPr>
        <w:spacing w:line="240" w:lineRule="auto" w:before="12"/>
        <w:rPr>
          <w:rFonts w:ascii="黑体" w:hAnsi="黑体" w:cs="黑体" w:eastAsia="黑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866"/>
        <w:gridCol w:w="6030"/>
      </w:tblGrid>
      <w:tr>
        <w:trPr>
          <w:trHeight w:val="30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30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人民网</w:t>
            </w:r>
          </w:p>
        </w:tc>
      </w:tr>
      <w:tr>
        <w:trPr>
          <w:trHeight w:val="30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People.cn</w:t>
            </w:r>
            <w:r>
              <w:rPr>
                <w:rFonts w:ascii="宋体"/>
                <w:spacing w:val="1"/>
                <w:sz w:val="21"/>
              </w:rPr>
              <w:t> </w:t>
            </w:r>
            <w:r>
              <w:rPr>
                <w:rFonts w:ascii="宋体"/>
                <w:sz w:val="21"/>
              </w:rPr>
              <w:t>CO.,LTD</w:t>
            </w:r>
          </w:p>
        </w:tc>
      </w:tr>
      <w:tr>
        <w:trPr>
          <w:trHeight w:val="30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叶蓁蓁</w:t>
            </w:r>
          </w:p>
        </w:tc>
      </w:tr>
    </w:tbl>
    <w:p>
      <w:pPr>
        <w:spacing w:line="240" w:lineRule="auto" w:before="2"/>
        <w:rPr>
          <w:rFonts w:ascii="黑体" w:hAnsi="黑体" w:cs="黑体" w:eastAsia="黑体" w:hint="default"/>
          <w:b/>
          <w:bCs/>
          <w:sz w:val="20"/>
          <w:szCs w:val="20"/>
        </w:rPr>
      </w:pPr>
    </w:p>
    <w:p>
      <w:pPr>
        <w:pStyle w:val="Heading2"/>
        <w:spacing w:line="240" w:lineRule="auto" w:before="36"/>
        <w:ind w:right="2731"/>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869"/>
        <w:gridCol w:w="2976"/>
        <w:gridCol w:w="3051"/>
      </w:tblGrid>
      <w:tr>
        <w:trPr>
          <w:trHeight w:val="283" w:hRule="exact"/>
        </w:trPr>
        <w:tc>
          <w:tcPr>
            <w:tcW w:w="2869"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王习习</w:t>
            </w:r>
          </w:p>
        </w:tc>
      </w:tr>
      <w:tr>
        <w:trPr>
          <w:trHeight w:val="28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28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sz w:val="21"/>
              </w:rPr>
              <w:t>010-65369999</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010-65369999</w:t>
            </w:r>
          </w:p>
        </w:tc>
      </w:tr>
      <w:tr>
        <w:trPr>
          <w:trHeight w:val="28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sz w:val="21"/>
              </w:rPr>
              <w:t>010-65369999</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010-65369999</w:t>
            </w:r>
          </w:p>
        </w:tc>
      </w:tr>
      <w:tr>
        <w:trPr>
          <w:trHeight w:val="28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0" w:right="0"/>
              <w:jc w:val="left"/>
              <w:rPr>
                <w:rFonts w:ascii="宋体" w:hAnsi="宋体" w:cs="宋体" w:eastAsia="宋体" w:hint="default"/>
                <w:sz w:val="21"/>
                <w:szCs w:val="21"/>
              </w:rPr>
            </w:pPr>
            <w:hyperlink r:id="rId9">
              <w:r>
                <w:rPr>
                  <w:rFonts w:ascii="宋体"/>
                  <w:sz w:val="21"/>
                </w:rPr>
                <w:t>ir@people.cn</w:t>
              </w:r>
            </w:hyperlink>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ir@people.cn</w:t>
              </w:r>
            </w:hyperlink>
          </w:p>
        </w:tc>
      </w:tr>
    </w:tbl>
    <w:p>
      <w:pPr>
        <w:spacing w:line="240" w:lineRule="auto" w:before="2"/>
        <w:rPr>
          <w:rFonts w:ascii="宋体" w:hAnsi="宋体" w:cs="宋体" w:eastAsia="宋体" w:hint="default"/>
          <w:b/>
          <w:bCs/>
          <w:sz w:val="20"/>
          <w:szCs w:val="20"/>
        </w:rPr>
      </w:pPr>
    </w:p>
    <w:p>
      <w:pPr>
        <w:pStyle w:val="Heading2"/>
        <w:spacing w:line="240" w:lineRule="auto" w:before="36"/>
        <w:ind w:right="2731"/>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866"/>
        <w:gridCol w:w="6030"/>
      </w:tblGrid>
      <w:tr>
        <w:trPr>
          <w:trHeight w:val="30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北京市西城区新街口外大街</w:t>
            </w:r>
            <w:r>
              <w:rPr>
                <w:rFonts w:ascii="宋体" w:hAnsi="宋体" w:cs="宋体" w:eastAsia="宋体" w:hint="default"/>
                <w:sz w:val="21"/>
                <w:szCs w:val="21"/>
              </w:rPr>
              <w:t>28</w:t>
            </w:r>
            <w:r>
              <w:rPr>
                <w:rFonts w:ascii="宋体" w:hAnsi="宋体" w:cs="宋体" w:eastAsia="宋体" w:hint="default"/>
                <w:sz w:val="21"/>
                <w:szCs w:val="21"/>
              </w:rPr>
              <w:t>号</w:t>
            </w:r>
            <w:r>
              <w:rPr>
                <w:rFonts w:ascii="宋体" w:hAnsi="宋体" w:cs="宋体" w:eastAsia="宋体" w:hint="default"/>
                <w:sz w:val="21"/>
                <w:szCs w:val="21"/>
              </w:rPr>
              <w:t>B</w:t>
            </w:r>
            <w:r>
              <w:rPr>
                <w:rFonts w:ascii="宋体" w:hAnsi="宋体" w:cs="宋体" w:eastAsia="宋体" w:hint="default"/>
                <w:sz w:val="21"/>
                <w:szCs w:val="21"/>
              </w:rPr>
              <w:t>座</w:t>
            </w:r>
            <w:r>
              <w:rPr>
                <w:rFonts w:ascii="宋体" w:hAnsi="宋体" w:cs="宋体" w:eastAsia="宋体" w:hint="default"/>
                <w:sz w:val="21"/>
                <w:szCs w:val="21"/>
              </w:rPr>
              <w:t>234</w:t>
            </w:r>
            <w:r>
              <w:rPr>
                <w:rFonts w:ascii="宋体" w:hAnsi="宋体" w:cs="宋体" w:eastAsia="宋体" w:hint="default"/>
                <w:sz w:val="21"/>
                <w:szCs w:val="21"/>
              </w:rPr>
              <w:t>号</w:t>
            </w:r>
          </w:p>
        </w:tc>
      </w:tr>
      <w:tr>
        <w:trPr>
          <w:trHeight w:val="30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100026</w:t>
            </w:r>
          </w:p>
        </w:tc>
      </w:tr>
      <w:tr>
        <w:trPr>
          <w:trHeight w:val="30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100733</w:t>
            </w:r>
          </w:p>
        </w:tc>
      </w:tr>
      <w:tr>
        <w:trPr>
          <w:trHeight w:val="30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8">
              <w:r>
                <w:rPr>
                  <w:rFonts w:ascii="宋体"/>
                  <w:sz w:val="21"/>
                </w:rPr>
                <w:t>www.people.cn</w:t>
              </w:r>
            </w:hyperlink>
          </w:p>
        </w:tc>
      </w:tr>
      <w:tr>
        <w:trPr>
          <w:trHeight w:val="30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9">
              <w:r>
                <w:rPr>
                  <w:rFonts w:ascii="宋体"/>
                  <w:sz w:val="21"/>
                </w:rPr>
                <w:t>ir@people.cn</w:t>
              </w:r>
            </w:hyperlink>
          </w:p>
        </w:tc>
      </w:tr>
    </w:tbl>
    <w:p>
      <w:pPr>
        <w:spacing w:line="240" w:lineRule="auto" w:before="12"/>
        <w:rPr>
          <w:rFonts w:ascii="宋体" w:hAnsi="宋体" w:cs="宋体" w:eastAsia="宋体" w:hint="default"/>
          <w:b/>
          <w:bCs/>
          <w:sz w:val="19"/>
          <w:szCs w:val="19"/>
        </w:rPr>
      </w:pPr>
    </w:p>
    <w:p>
      <w:pPr>
        <w:pStyle w:val="Heading2"/>
        <w:spacing w:line="240" w:lineRule="auto" w:before="36"/>
        <w:ind w:right="2731"/>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426"/>
        <w:gridCol w:w="4470"/>
      </w:tblGrid>
      <w:tr>
        <w:trPr>
          <w:trHeight w:val="3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10">
              <w:r>
                <w:rPr>
                  <w:rFonts w:ascii="宋体"/>
                  <w:sz w:val="21"/>
                </w:rPr>
                <w:t>www.sse.com.cn</w:t>
              </w:r>
            </w:hyperlink>
          </w:p>
        </w:tc>
      </w:tr>
      <w:tr>
        <w:trPr>
          <w:trHeight w:val="305"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2"/>
        <w:rPr>
          <w:rFonts w:ascii="宋体" w:hAnsi="宋体" w:cs="宋体" w:eastAsia="宋体" w:hint="default"/>
          <w:b/>
          <w:bCs/>
          <w:sz w:val="19"/>
          <w:szCs w:val="19"/>
        </w:rPr>
      </w:pPr>
    </w:p>
    <w:p>
      <w:pPr>
        <w:pStyle w:val="Heading2"/>
        <w:spacing w:line="240" w:lineRule="auto" w:before="36"/>
        <w:ind w:right="2731"/>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022"/>
        <w:gridCol w:w="1844"/>
        <w:gridCol w:w="1560"/>
        <w:gridCol w:w="1841"/>
        <w:gridCol w:w="262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603000</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b/>
          <w:bCs/>
          <w:sz w:val="19"/>
          <w:szCs w:val="19"/>
        </w:rPr>
      </w:pPr>
    </w:p>
    <w:p>
      <w:pPr>
        <w:pStyle w:val="Heading2"/>
        <w:spacing w:line="240" w:lineRule="auto" w:before="36"/>
        <w:ind w:right="2731"/>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102"/>
        <w:gridCol w:w="1841"/>
        <w:gridCol w:w="6107"/>
      </w:tblGrid>
      <w:tr>
        <w:trPr>
          <w:trHeight w:val="281" w:hRule="exact"/>
        </w:trPr>
        <w:tc>
          <w:tcPr>
            <w:tcW w:w="1102" w:type="dxa"/>
            <w:vMerge w:val="restart"/>
            <w:tcBorders>
              <w:top w:val="single" w:sz="4" w:space="0" w:color="000000"/>
              <w:left w:val="single" w:sz="4" w:space="0" w:color="000000"/>
              <w:right w:val="single" w:sz="4" w:space="0" w:color="000000"/>
            </w:tcBorders>
          </w:tcPr>
          <w:p>
            <w:pPr>
              <w:pStyle w:val="TableParagraph"/>
              <w:spacing w:line="272" w:lineRule="exact" w:before="3"/>
              <w:ind w:left="103" w:right="84"/>
              <w:jc w:val="left"/>
              <w:rPr>
                <w:rFonts w:ascii="宋体" w:hAnsi="宋体" w:cs="宋体" w:eastAsia="宋体" w:hint="default"/>
                <w:sz w:val="21"/>
                <w:szCs w:val="21"/>
              </w:rPr>
            </w:pPr>
            <w:r>
              <w:rPr>
                <w:rFonts w:ascii="宋体" w:hAnsi="宋体" w:cs="宋体" w:eastAsia="宋体" w:hint="default"/>
                <w:spacing w:val="13"/>
                <w:sz w:val="21"/>
                <w:szCs w:val="21"/>
              </w:rPr>
              <w:t>公司聘请</w:t>
            </w:r>
            <w:r>
              <w:rPr>
                <w:rFonts w:ascii="宋体" w:hAnsi="宋体" w:cs="宋体" w:eastAsia="宋体" w:hint="default"/>
                <w:spacing w:val="-97"/>
                <w:sz w:val="21"/>
                <w:szCs w:val="21"/>
              </w:rPr>
              <w:t> </w:t>
            </w:r>
            <w:r>
              <w:rPr>
                <w:rFonts w:ascii="宋体" w:hAnsi="宋体" w:cs="宋体" w:eastAsia="宋体" w:hint="default"/>
                <w:spacing w:val="13"/>
                <w:sz w:val="21"/>
                <w:szCs w:val="21"/>
              </w:rPr>
              <w:t>的会计师</w:t>
            </w:r>
            <w:r>
              <w:rPr>
                <w:rFonts w:ascii="宋体" w:hAnsi="宋体" w:cs="宋体" w:eastAsia="宋体" w:hint="default"/>
                <w:sz w:val="21"/>
                <w:szCs w:val="21"/>
              </w:rPr>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事 务</w:t>
            </w:r>
            <w:r>
              <w:rPr>
                <w:rFonts w:ascii="宋体" w:hAnsi="宋体" w:cs="宋体" w:eastAsia="宋体" w:hint="default"/>
                <w:spacing w:val="47"/>
                <w:sz w:val="21"/>
                <w:szCs w:val="21"/>
              </w:rPr>
              <w:t> </w:t>
            </w:r>
            <w:r>
              <w:rPr>
                <w:rFonts w:ascii="宋体" w:hAnsi="宋体" w:cs="宋体" w:eastAsia="宋体" w:hint="default"/>
                <w:sz w:val="21"/>
                <w:szCs w:val="21"/>
              </w:rPr>
              <w:t>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1102"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 </w:t>
            </w:r>
            <w:r>
              <w:rPr>
                <w:rFonts w:ascii="宋体" w:hAnsi="宋体" w:cs="宋体" w:eastAsia="宋体" w:hint="default"/>
                <w:sz w:val="21"/>
                <w:szCs w:val="21"/>
              </w:rPr>
              <w:t>8 </w:t>
            </w:r>
            <w:r>
              <w:rPr>
                <w:rFonts w:ascii="宋体" w:hAnsi="宋体" w:cs="宋体" w:eastAsia="宋体" w:hint="default"/>
                <w:sz w:val="21"/>
                <w:szCs w:val="21"/>
              </w:rPr>
              <w:t>号院 </w:t>
            </w:r>
            <w:r>
              <w:rPr>
                <w:rFonts w:ascii="宋体" w:hAnsi="宋体" w:cs="宋体" w:eastAsia="宋体" w:hint="default"/>
                <w:sz w:val="21"/>
                <w:szCs w:val="21"/>
              </w:rPr>
              <w:t>7</w:t>
            </w:r>
            <w:r>
              <w:rPr>
                <w:rFonts w:ascii="宋体" w:hAnsi="宋体" w:cs="宋体" w:eastAsia="宋体" w:hint="default"/>
                <w:spacing w:val="6"/>
                <w:sz w:val="21"/>
                <w:szCs w:val="21"/>
              </w:rPr>
              <w:t> </w:t>
            </w:r>
            <w:r>
              <w:rPr>
                <w:rFonts w:ascii="宋体" w:hAnsi="宋体" w:cs="宋体" w:eastAsia="宋体" w:hint="default"/>
                <w:sz w:val="21"/>
                <w:szCs w:val="21"/>
              </w:rPr>
              <w:t>号楼中海地产广场西塔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5-11</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283" w:hRule="exact"/>
        </w:trPr>
        <w:tc>
          <w:tcPr>
            <w:tcW w:w="11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黄简、罗军</w:t>
            </w:r>
          </w:p>
        </w:tc>
      </w:tr>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报告期内</w:t>
            </w:r>
            <w:r>
              <w:rPr>
                <w:rFonts w:ascii="宋体" w:hAnsi="宋体" w:cs="宋体" w:eastAsia="宋体" w:hint="default"/>
                <w:spacing w:val="-97"/>
                <w:sz w:val="21"/>
                <w:szCs w:val="21"/>
              </w:rPr>
              <w:t> </w:t>
            </w:r>
            <w:r>
              <w:rPr>
                <w:rFonts w:ascii="宋体" w:hAnsi="宋体" w:cs="宋体" w:eastAsia="宋体" w:hint="default"/>
                <w:spacing w:val="13"/>
                <w:sz w:val="21"/>
                <w:szCs w:val="21"/>
              </w:rPr>
              <w:t>履行持续</w:t>
            </w:r>
            <w:r>
              <w:rPr>
                <w:rFonts w:ascii="宋体" w:hAnsi="宋体" w:cs="宋体" w:eastAsia="宋体" w:hint="default"/>
                <w:spacing w:val="-97"/>
                <w:sz w:val="21"/>
                <w:szCs w:val="21"/>
              </w:rPr>
              <w:t> </w:t>
            </w:r>
            <w:r>
              <w:rPr>
                <w:rFonts w:ascii="宋体" w:hAnsi="宋体" w:cs="宋体" w:eastAsia="宋体" w:hint="default"/>
                <w:spacing w:val="13"/>
                <w:sz w:val="21"/>
                <w:szCs w:val="21"/>
              </w:rPr>
              <w:t>督导职责</w:t>
            </w:r>
            <w:r>
              <w:rPr>
                <w:rFonts w:ascii="宋体" w:hAnsi="宋体" w:cs="宋体" w:eastAsia="宋体" w:hint="default"/>
                <w:spacing w:val="-97"/>
                <w:sz w:val="21"/>
                <w:szCs w:val="21"/>
              </w:rPr>
              <w:t> </w:t>
            </w:r>
            <w:r>
              <w:rPr>
                <w:rFonts w:ascii="宋体" w:hAnsi="宋体" w:cs="宋体" w:eastAsia="宋体" w:hint="default"/>
                <w:spacing w:val="13"/>
                <w:sz w:val="21"/>
                <w:szCs w:val="21"/>
              </w:rPr>
              <w:t>的保荐机</w:t>
            </w:r>
            <w:r>
              <w:rPr>
                <w:rFonts w:ascii="宋体" w:hAnsi="宋体" w:cs="宋体" w:eastAsia="宋体" w:hint="default"/>
                <w:spacing w:val="-97"/>
                <w:sz w:val="21"/>
                <w:szCs w:val="21"/>
              </w:rPr>
              <w:t> </w:t>
            </w:r>
            <w:r>
              <w:rPr>
                <w:rFonts w:ascii="宋体" w:hAnsi="宋体" w:cs="宋体" w:eastAsia="宋体" w:hint="default"/>
                <w:sz w:val="21"/>
                <w:szCs w:val="21"/>
              </w:rPr>
              <w:t>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1" w:hRule="exact"/>
        </w:trPr>
        <w:tc>
          <w:tcPr>
            <w:tcW w:w="1102"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3"/>
                <w:sz w:val="21"/>
                <w:szCs w:val="21"/>
              </w:rPr>
              <w:t> </w:t>
            </w:r>
            <w:r>
              <w:rPr>
                <w:rFonts w:ascii="宋体" w:hAnsi="宋体" w:cs="宋体" w:eastAsia="宋体" w:hint="default"/>
                <w:sz w:val="21"/>
                <w:szCs w:val="21"/>
              </w:rPr>
              <w:t>48</w:t>
            </w:r>
            <w:r>
              <w:rPr>
                <w:rFonts w:ascii="宋体" w:hAnsi="宋体" w:cs="宋体" w:eastAsia="宋体" w:hint="default"/>
                <w:spacing w:val="-55"/>
                <w:sz w:val="21"/>
                <w:szCs w:val="21"/>
              </w:rPr>
              <w:t> </w:t>
            </w:r>
            <w:r>
              <w:rPr>
                <w:rFonts w:ascii="宋体" w:hAnsi="宋体" w:cs="宋体" w:eastAsia="宋体" w:hint="default"/>
                <w:sz w:val="21"/>
                <w:szCs w:val="21"/>
              </w:rPr>
              <w:t>号中信证券大厦</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554" w:hRule="exact"/>
        </w:trPr>
        <w:tc>
          <w:tcPr>
            <w:tcW w:w="1102"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5"/>
                <w:sz w:val="21"/>
                <w:szCs w:val="21"/>
              </w:rPr>
              <w:t> </w:t>
            </w:r>
            <w:r>
              <w:rPr>
                <w:rFonts w:ascii="宋体" w:hAnsi="宋体" w:cs="宋体" w:eastAsia="宋体" w:hint="default"/>
                <w:spacing w:val="14"/>
                <w:sz w:val="21"/>
                <w:szCs w:val="21"/>
              </w:rPr>
              <w:t>字的保</w:t>
            </w:r>
            <w:r>
              <w:rPr>
                <w:rFonts w:ascii="宋体" w:hAnsi="宋体" w:cs="宋体" w:eastAsia="宋体" w:hint="default"/>
                <w:spacing w:val="-75"/>
                <w:sz w:val="21"/>
                <w:szCs w:val="21"/>
              </w:rPr>
              <w:t> </w:t>
            </w:r>
            <w:r>
              <w:rPr>
                <w:rFonts w:ascii="宋体" w:hAnsi="宋体" w:cs="宋体" w:eastAsia="宋体" w:hint="default"/>
                <w:spacing w:val="11"/>
                <w:sz w:val="21"/>
                <w:szCs w:val="21"/>
              </w:rPr>
              <w:t>荐代</w:t>
            </w:r>
            <w:r>
              <w:rPr>
                <w:rFonts w:ascii="宋体" w:hAnsi="宋体" w:cs="宋体" w:eastAsia="宋体" w:hint="default"/>
                <w:spacing w:val="-75"/>
                <w:sz w:val="21"/>
                <w:szCs w:val="21"/>
              </w:rPr>
              <w:t> </w:t>
            </w:r>
            <w:r>
              <w:rPr>
                <w:rFonts w:ascii="宋体" w:hAnsi="宋体" w:cs="宋体" w:eastAsia="宋体" w:hint="default"/>
                <w:sz w:val="21"/>
                <w:szCs w:val="21"/>
              </w:rPr>
              <w:t>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程杰、彭捷</w:t>
            </w:r>
          </w:p>
        </w:tc>
      </w:tr>
      <w:tr>
        <w:trPr>
          <w:trHeight w:val="828" w:hRule="exact"/>
        </w:trPr>
        <w:tc>
          <w:tcPr>
            <w:tcW w:w="11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日截至报告期末，持续督</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
                <w:sz w:val="21"/>
                <w:szCs w:val="21"/>
              </w:rPr>
              <w:t>导期已届满，鉴于公司募集资金尚未使用完毕，保荐代表人仍对</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公司涉及募集资金使用的事项履行持续督导义务。</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949"/>
        <w:gridCol w:w="1985"/>
        <w:gridCol w:w="1899"/>
        <w:gridCol w:w="1320"/>
        <w:gridCol w:w="1897"/>
      </w:tblGrid>
      <w:tr>
        <w:trPr>
          <w:trHeight w:val="82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7"/>
              <w:ind w:left="232" w:right="233"/>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1,400,642,259.77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1,431,792,603.50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1,604,762,288.77</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89,408,428.42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106,002,915.63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274,280,594.31</w:t>
            </w:r>
          </w:p>
        </w:tc>
      </w:tr>
      <w:tr>
        <w:trPr>
          <w:trHeight w:val="829"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3"/>
                <w:sz w:val="21"/>
                <w:szCs w:val="21"/>
              </w:rPr>
              <w:t>东的扣除非经常性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损益的净利润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69,990,479.16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10,690,005.71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554.73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184,337,212.10</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306,335,261.68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240,180,415.67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364,992,469.15</w:t>
            </w:r>
          </w:p>
        </w:tc>
      </w:tr>
      <w:tr>
        <w:trPr>
          <w:trHeight w:val="826" w:hRule="exact"/>
        </w:trPr>
        <w:tc>
          <w:tcPr>
            <w:tcW w:w="194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85" w:right="127"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2,784,882,441.56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2,733,950,515.33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2,694,643,635.99</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3,650,958,109.61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3,699,325,815.55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3,603,560,236.02</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1,105,691,056.00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1,105,691,056.00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1,105,691,056.00</w:t>
            </w: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before="36"/>
        <w:ind w:right="273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2804"/>
        <w:gridCol w:w="1416"/>
        <w:gridCol w:w="1560"/>
        <w:gridCol w:w="1983"/>
        <w:gridCol w:w="1286"/>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5"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3.86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0.62</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10.46</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2.14</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7.03</w:t>
            </w:r>
          </w:p>
        </w:tc>
      </w:tr>
    </w:tbl>
    <w:p>
      <w:pPr>
        <w:spacing w:line="240" w:lineRule="auto" w:before="8"/>
        <w:rPr>
          <w:rFonts w:ascii="宋体" w:hAnsi="宋体" w:cs="宋体" w:eastAsia="宋体" w:hint="default"/>
          <w:b/>
          <w:bCs/>
          <w:sz w:val="15"/>
          <w:szCs w:val="15"/>
        </w:rPr>
      </w:pPr>
    </w:p>
    <w:p>
      <w:pPr>
        <w:pStyle w:val="BodyText"/>
        <w:spacing w:line="273" w:lineRule="exact" w:before="36"/>
        <w:ind w:left="218" w:right="2731"/>
        <w:jc w:val="left"/>
      </w:pPr>
      <w:r>
        <w:rPr/>
        <w:t>报告期末公司前三年主要会计数据和财务指标的说明</w:t>
      </w:r>
    </w:p>
    <w:p>
      <w:pPr>
        <w:pStyle w:val="BodyText"/>
        <w:spacing w:line="273"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8" w:right="273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72" w:lineRule="exact" w:before="139"/>
        <w:ind w:left="587" w:right="227" w:hanging="370"/>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6"/>
        </w:rPr>
        <w:t> </w:t>
      </w:r>
      <w:r>
        <w:rPr>
          <w:spacing w:val="-96"/>
        </w:rPr>
      </w:r>
      <w:r>
        <w:rPr/>
        <w:t>净资产差异情况</w:t>
      </w:r>
      <w:r>
        <w:rPr>
          <w:b w:val="0"/>
          <w:bCs w:val="0"/>
        </w:rPr>
      </w:r>
    </w:p>
    <w:p>
      <w:pPr>
        <w:pStyle w:val="BodyText"/>
        <w:spacing w:line="240" w:lineRule="auto" w:before="34"/>
        <w:ind w:left="218" w:right="273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27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8" w:right="2731"/>
        <w:jc w:val="left"/>
      </w:pPr>
      <w:r>
        <w:rPr/>
        <w:t>□适用</w:t>
      </w:r>
      <w:r>
        <w:rPr>
          <w:spacing w:val="-1"/>
        </w:rPr>
        <w:t> </w:t>
      </w:r>
      <w:r>
        <w:rPr/>
        <w:t>√不适用</w:t>
      </w:r>
    </w:p>
    <w:p>
      <w:pPr>
        <w:spacing w:line="240" w:lineRule="auto" w:before="9"/>
        <w:rPr>
          <w:rFonts w:ascii="宋体" w:hAnsi="宋体" w:cs="宋体" w:eastAsia="宋体" w:hint="default"/>
          <w:sz w:val="24"/>
          <w:szCs w:val="24"/>
        </w:rPr>
      </w:pPr>
    </w:p>
    <w:p>
      <w:pPr>
        <w:pStyle w:val="Heading2"/>
        <w:spacing w:line="240" w:lineRule="auto" w:before="36"/>
        <w:ind w:right="2731"/>
        <w:jc w:val="left"/>
        <w:rPr>
          <w:b w:val="0"/>
          <w:bCs w:val="0"/>
        </w:rPr>
      </w:pPr>
      <w:r>
        <w:rPr/>
        <w:t>九、 </w:t>
      </w:r>
      <w:r>
        <w:rPr>
          <w:rFonts w:ascii="宋体" w:hAnsi="宋体" w:cs="宋体" w:eastAsia="宋体" w:hint="default"/>
        </w:rPr>
        <w:t>2017</w:t>
      </w:r>
      <w:r>
        <w:rPr>
          <w:rFonts w:ascii="宋体" w:hAnsi="宋体" w:cs="宋体" w:eastAsia="宋体" w:hint="default"/>
          <w:spacing w:val="-86"/>
        </w:rPr>
        <w:t> </w:t>
      </w:r>
      <w:r>
        <w:rPr/>
        <w:t>年分季度主要财务数据</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270,118,516.75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292,118,884.64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352,548,010.30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485,856,848.08</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-45,177,892.59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16,568,040.18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44,729,979.42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73,288,301.41</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-46,493,955.81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11,367,078.98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41,929,978.55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63,187,377.44</w:t>
            </w:r>
          </w:p>
        </w:tc>
      </w:tr>
      <w:tr>
        <w:trPr>
          <w:trHeight w:val="557"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-78,058,991.30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67,612,687.61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30,723,869.33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286,057,696.04</w:t>
            </w:r>
          </w:p>
        </w:tc>
      </w:tr>
    </w:tbl>
    <w:p>
      <w:pPr>
        <w:spacing w:line="240" w:lineRule="auto" w:before="5"/>
        <w:rPr>
          <w:rFonts w:ascii="宋体" w:hAnsi="宋体" w:cs="宋体" w:eastAsia="宋体" w:hint="default"/>
          <w:sz w:val="15"/>
          <w:szCs w:val="15"/>
        </w:rPr>
      </w:pPr>
    </w:p>
    <w:p>
      <w:pPr>
        <w:pStyle w:val="BodyText"/>
        <w:spacing w:line="274" w:lineRule="exact" w:before="36"/>
        <w:ind w:left="218" w:right="2731"/>
        <w:jc w:val="left"/>
      </w:pPr>
      <w:r>
        <w:rPr/>
        <w:t>季度数据与已披露定期报告数据差异说明</w:t>
      </w:r>
    </w:p>
    <w:p>
      <w:pPr>
        <w:pStyle w:val="BodyText"/>
        <w:spacing w:line="274" w:lineRule="exact"/>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33"/>
        <w:gridCol w:w="1582"/>
        <w:gridCol w:w="965"/>
        <w:gridCol w:w="1688"/>
        <w:gridCol w:w="1582"/>
      </w:tblGrid>
      <w:tr>
        <w:trPr>
          <w:trHeight w:val="55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7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hanging="58"/>
              <w:jc w:val="left"/>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92"/>
                <w:w w:val="100"/>
                <w:sz w:val="21"/>
                <w:szCs w:val="21"/>
              </w:rPr>
              <w:t>注</w:t>
            </w:r>
            <w:r>
              <w:rPr>
                <w:rFonts w:ascii="宋体" w:hAnsi="宋体" w:cs="宋体" w:eastAsia="宋体" w:hint="default"/>
                <w:spacing w:val="-3"/>
                <w:w w:val="100"/>
                <w:sz w:val="21"/>
                <w:szCs w:val="21"/>
              </w:rPr>
              <w:t>（</w:t>
            </w:r>
            <w:r>
              <w:rPr>
                <w:rFonts w:ascii="宋体" w:hAnsi="宋体" w:cs="宋体" w:eastAsia="宋体" w:hint="default"/>
                <w:w w:val="100"/>
                <w:sz w:val="21"/>
                <w:szCs w:val="21"/>
              </w:rPr>
              <w:t>如</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-46,762.10</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-135,421.15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-105,599.77</w:t>
            </w:r>
          </w:p>
        </w:tc>
      </w:tr>
      <w:tr>
        <w:trPr>
          <w:trHeight w:val="55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15,220,342.01</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15,021,088.29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11,428,154.44</w:t>
            </w:r>
          </w:p>
        </w:tc>
      </w:tr>
      <w:tr>
        <w:trPr>
          <w:trHeight w:val="557"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33"/>
        <w:gridCol w:w="1582"/>
        <w:gridCol w:w="965"/>
        <w:gridCol w:w="1688"/>
        <w:gridCol w:w="1582"/>
      </w:tblGrid>
      <w:tr>
        <w:trPr>
          <w:trHeight w:val="28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9,072,808.08</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163,517,653.00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83,479,218.44</w:t>
            </w:r>
          </w:p>
        </w:tc>
      </w:tr>
      <w:tr>
        <w:trPr>
          <w:trHeight w:val="55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442,020.56</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17,906,589.19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-1,868,537.16</w:t>
            </w:r>
          </w:p>
        </w:tc>
      </w:tr>
      <w:tr>
        <w:trPr>
          <w:trHeight w:val="557"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-4,362,816.60</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-77,591,878.17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-918,181.30</w:t>
            </w: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-2,907,642.69</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-23,405,121.24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-2,071,672.44</w:t>
            </w: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19,417,949.26</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95,312,909.92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89,943,382.21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2"/>
        <w:tabs>
          <w:tab w:pos="1057" w:val="left" w:leader="none"/>
        </w:tabs>
        <w:spacing w:line="240" w:lineRule="auto" w:before="36"/>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8"/>
        <w:ind w:left="21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9" w:space="314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持有东方网新三板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挂牌股票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33,480,000.00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11,520,000.00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33,480,000.00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11,520,000.00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57" w:val="left" w:leader="none"/>
        </w:tabs>
        <w:spacing w:line="240" w:lineRule="auto" w:before="36"/>
        <w:ind w:right="2731"/>
        <w:jc w:val="left"/>
        <w:rPr>
          <w:b w:val="0"/>
          <w:bCs w:val="0"/>
        </w:rPr>
      </w:pPr>
      <w:r>
        <w:rPr/>
        <w:t>十二、</w:t>
        <w:tab/>
        <w:t>其他</w:t>
      </w:r>
      <w:r>
        <w:rPr>
          <w:b w:val="0"/>
          <w:bCs w:val="0"/>
        </w:rPr>
      </w:r>
    </w:p>
    <w:p>
      <w:pPr>
        <w:pStyle w:val="BodyText"/>
        <w:spacing w:line="240" w:lineRule="auto" w:before="56"/>
        <w:ind w:left="218" w:right="273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343"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公司是由人民日报社控股的传媒文化上市公司，也是国际互联网上最大的综合性网络媒体之</w:t>
      </w:r>
    </w:p>
    <w:p>
      <w:pPr>
        <w:pStyle w:val="BodyText"/>
        <w:spacing w:line="357" w:lineRule="auto" w:before="43"/>
        <w:ind w:right="130"/>
        <w:jc w:val="both"/>
        <w:rPr>
          <w:rFonts w:ascii="宋体" w:hAnsi="宋体" w:cs="宋体" w:eastAsia="宋体" w:hint="default"/>
        </w:rPr>
      </w:pPr>
      <w:r>
        <w:rPr>
          <w:spacing w:val="-2"/>
        </w:rPr>
        <w:t>一。作为国家重点新闻网站的排头兵与第一家上市的中央网络媒体，人民网致力于做最好内容的</w:t>
      </w:r>
      <w:r>
        <w:rPr>
          <w:spacing w:val="-25"/>
        </w:rPr>
        <w:t> </w:t>
      </w:r>
      <w:r>
        <w:rPr>
          <w:spacing w:val="-25"/>
        </w:rPr>
      </w:r>
      <w:r>
        <w:rPr>
          <w:spacing w:val="-2"/>
        </w:rPr>
        <w:t>网站，形成了新闻采写、网络评论、在线访谈、社区互动、视频直播、移动互联发布互相配合的</w:t>
      </w:r>
      <w:r>
        <w:rPr>
          <w:spacing w:val="-25"/>
        </w:rPr>
        <w:t> </w:t>
      </w:r>
      <w:r>
        <w:rPr>
          <w:spacing w:val="-25"/>
        </w:rPr>
      </w:r>
      <w:r>
        <w:rPr>
          <w:spacing w:val="-2"/>
        </w:rPr>
        <w:t>快速、权威、深度的全媒体新闻报道模式，在报道中广泛应用无人机、虚拟现实（</w:t>
      </w:r>
      <w:r>
        <w:rPr>
          <w:rFonts w:ascii="宋体" w:hAnsi="宋体" w:cs="宋体" w:eastAsia="宋体" w:hint="default"/>
          <w:spacing w:val="-2"/>
        </w:rPr>
        <w:t>VR</w:t>
      </w:r>
      <w:r>
        <w:rPr>
          <w:spacing w:val="-2"/>
        </w:rPr>
        <w:t>）、增强现</w:t>
      </w:r>
      <w:r>
        <w:rPr>
          <w:spacing w:val="-23"/>
        </w:rPr>
        <w:t> </w:t>
      </w:r>
      <w:r>
        <w:rPr>
          <w:spacing w:val="-23"/>
        </w:rPr>
      </w:r>
      <w:r>
        <w:rPr>
          <w:spacing w:val="-3"/>
        </w:rPr>
        <w:t>实（</w:t>
      </w:r>
      <w:r>
        <w:rPr>
          <w:rFonts w:ascii="宋体" w:hAnsi="宋体" w:cs="宋体" w:eastAsia="宋体" w:hint="default"/>
          <w:spacing w:val="-3"/>
        </w:rPr>
        <w:t>AR</w:t>
      </w:r>
      <w:r>
        <w:rPr>
          <w:spacing w:val="-3"/>
        </w:rPr>
        <w:t>）、手机直播等新技术新形式，增强新闻报道的吸引力和感染力。日常传播覆盖超过</w:t>
      </w:r>
      <w:r>
        <w:rPr>
          <w:spacing w:val="18"/>
        </w:rPr>
        <w:t> </w:t>
      </w:r>
      <w:r>
        <w:rPr>
          <w:rFonts w:ascii="宋体" w:hAnsi="宋体" w:cs="宋体" w:eastAsia="宋体" w:hint="default"/>
        </w:rPr>
        <w:t>2.58</w:t>
      </w:r>
    </w:p>
    <w:p>
      <w:pPr>
        <w:pStyle w:val="BodyText"/>
        <w:spacing w:line="357" w:lineRule="auto" w:before="30"/>
        <w:ind w:right="127"/>
        <w:jc w:val="both"/>
      </w:pPr>
      <w:r>
        <w:rPr>
          <w:spacing w:val="-6"/>
        </w:rPr>
        <w:t>亿人次，网民遍布</w:t>
      </w:r>
      <w:r>
        <w:rPr>
          <w:spacing w:val="-39"/>
        </w:rPr>
        <w:t> </w:t>
      </w:r>
      <w:r>
        <w:rPr>
          <w:rFonts w:ascii="宋体" w:hAnsi="宋体" w:cs="宋体" w:eastAsia="宋体" w:hint="default"/>
        </w:rPr>
        <w:t>210</w:t>
      </w:r>
      <w:r>
        <w:rPr>
          <w:rFonts w:ascii="宋体" w:hAnsi="宋体" w:cs="宋体" w:eastAsia="宋体" w:hint="default"/>
          <w:spacing w:val="-38"/>
        </w:rPr>
        <w:t> </w:t>
      </w:r>
      <w:r>
        <w:rPr>
          <w:spacing w:val="-5"/>
        </w:rPr>
        <w:t>多个国家和地区。公司在</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个省市自治区设立地方分公司，旗下主要子公</w:t>
      </w:r>
      <w:r>
        <w:rPr>
          <w:spacing w:val="-99"/>
        </w:rPr>
        <w:t> </w:t>
      </w:r>
      <w:r>
        <w:rPr>
          <w:spacing w:val="-99"/>
        </w:rPr>
      </w:r>
      <w:r>
        <w:rPr>
          <w:spacing w:val="-2"/>
        </w:rPr>
        <w:t>司包括人民在线、环球网、海外网、人民视讯、金台创投、人民健康、人民科技、人民体育等，</w:t>
      </w:r>
      <w:r>
        <w:rPr>
          <w:spacing w:val="-25"/>
        </w:rPr>
        <w:t> </w:t>
      </w:r>
      <w:r>
        <w:rPr>
          <w:spacing w:val="-25"/>
        </w:rPr>
      </w:r>
      <w:r>
        <w:rPr>
          <w:spacing w:val="-2"/>
        </w:rPr>
        <w:t>在日本东京、美国纽约、美国旧金山、韩国首尔、英国伦敦、俄罗斯莫斯科、南非约翰内斯堡、</w:t>
      </w:r>
      <w:r>
        <w:rPr>
          <w:spacing w:val="-25"/>
        </w:rPr>
        <w:t> </w:t>
      </w:r>
      <w:r>
        <w:rPr>
          <w:spacing w:val="-25"/>
        </w:rPr>
      </w:r>
      <w:r>
        <w:rPr/>
        <w:t>澳大利亚悉尼、法国巴黎、北欧瑞典以及香港等</w:t>
      </w:r>
      <w:r>
        <w:rPr>
          <w:spacing w:val="-54"/>
        </w:rPr>
        <w:t> </w:t>
      </w:r>
      <w:r>
        <w:rPr>
          <w:rFonts w:ascii="宋体" w:hAnsi="宋体" w:cs="宋体" w:eastAsia="宋体" w:hint="default"/>
        </w:rPr>
        <w:t>10</w:t>
      </w:r>
      <w:r>
        <w:rPr>
          <w:rFonts w:ascii="宋体" w:hAnsi="宋体" w:cs="宋体" w:eastAsia="宋体" w:hint="default"/>
          <w:spacing w:val="-56"/>
        </w:rPr>
        <w:t> </w:t>
      </w:r>
      <w:r>
        <w:rPr/>
        <w:t>个国家和地区设立了</w:t>
      </w:r>
      <w:r>
        <w:rPr>
          <w:spacing w:val="-54"/>
        </w:rPr>
        <w:t> </w:t>
      </w:r>
      <w:r>
        <w:rPr>
          <w:rFonts w:ascii="宋体" w:hAnsi="宋体" w:cs="宋体" w:eastAsia="宋体" w:hint="default"/>
        </w:rPr>
        <w:t>11</w:t>
      </w:r>
      <w:r>
        <w:rPr>
          <w:rFonts w:ascii="宋体" w:hAnsi="宋体" w:cs="宋体" w:eastAsia="宋体" w:hint="default"/>
          <w:spacing w:val="-56"/>
        </w:rPr>
        <w:t> </w:t>
      </w:r>
      <w:r>
        <w:rPr/>
        <w:t>个子公司或办事处。</w:t>
      </w:r>
      <w:r>
        <w:rPr>
          <w:w w:val="100"/>
        </w:rPr>
        <w:t> </w:t>
      </w:r>
      <w:r>
        <w:rPr/>
        <w:t>目前公司从事的主要业务包括以下类型：</w:t>
      </w:r>
    </w:p>
    <w:p>
      <w:pPr>
        <w:pStyle w:val="BodyText"/>
        <w:spacing w:line="355" w:lineRule="auto" w:before="30"/>
        <w:ind w:right="128" w:firstLine="419"/>
        <w:jc w:val="both"/>
      </w:pPr>
      <w:r>
        <w:rPr>
          <w:rFonts w:ascii="宋体" w:hAnsi="宋体" w:cs="宋体" w:eastAsia="宋体" w:hint="default"/>
          <w:spacing w:val="-4"/>
        </w:rPr>
        <w:t>1</w:t>
      </w:r>
      <w:r>
        <w:rPr>
          <w:spacing w:val="-4"/>
        </w:rPr>
        <w:t>、广告及宣传服务：公司依托于人民网、环球网、海外网等网页运营平台，在网站主页及其</w:t>
      </w:r>
      <w:r>
        <w:rPr>
          <w:w w:val="100"/>
        </w:rPr>
        <w:t> </w:t>
      </w:r>
      <w:r>
        <w:rPr>
          <w:spacing w:val="-2"/>
        </w:rPr>
        <w:t>各频道、互动社区等页面上通过文字链、图片、多媒体等表现形式为客户提供广告服务，广告客</w:t>
      </w:r>
      <w:r>
        <w:rPr>
          <w:spacing w:val="-25"/>
        </w:rPr>
        <w:t> </w:t>
      </w:r>
      <w:r>
        <w:rPr>
          <w:spacing w:val="-25"/>
        </w:rPr>
      </w:r>
      <w:r>
        <w:rPr/>
        <w:t>户涉及金融、房地产、食品、家电、通信等多个行业和领域。</w:t>
      </w:r>
    </w:p>
    <w:p>
      <w:pPr>
        <w:pStyle w:val="BodyText"/>
        <w:spacing w:line="357" w:lineRule="auto" w:before="34"/>
        <w:ind w:right="128" w:firstLine="419"/>
        <w:jc w:val="right"/>
      </w:pPr>
      <w:r>
        <w:rPr>
          <w:rFonts w:ascii="宋体" w:hAnsi="宋体" w:cs="宋体" w:eastAsia="宋体" w:hint="default"/>
          <w:spacing w:val="-4"/>
        </w:rPr>
        <w:t>2</w:t>
      </w:r>
      <w:r>
        <w:rPr>
          <w:spacing w:val="-4"/>
        </w:rPr>
        <w:t>、移动增值业务：公司拥有跨地区增值电信业务经营许可证和包括手机视听节目内容服务在</w:t>
      </w:r>
      <w:r>
        <w:rPr>
          <w:w w:val="100"/>
        </w:rPr>
        <w:t> </w:t>
      </w:r>
      <w:r>
        <w:rPr/>
        <w:t>内的信息网络传播视听节目许可证等经营资质，拥有</w:t>
      </w:r>
      <w:r>
        <w:rPr>
          <w:spacing w:val="-54"/>
        </w:rPr>
        <w:t> </w:t>
      </w:r>
      <w:r>
        <w:rPr>
          <w:rFonts w:ascii="宋体" w:hAnsi="宋体" w:cs="宋体" w:eastAsia="宋体" w:hint="default"/>
        </w:rPr>
        <w:t>WAP</w:t>
      </w:r>
      <w:r>
        <w:rPr>
          <w:rFonts w:ascii="宋体" w:hAnsi="宋体" w:cs="宋体" w:eastAsia="宋体" w:hint="default"/>
          <w:spacing w:val="-56"/>
        </w:rPr>
        <w:t> </w:t>
      </w:r>
      <w:r>
        <w:rPr/>
        <w:t>门户网站、手机视频、手机阅读、手机</w:t>
      </w:r>
      <w:r>
        <w:rPr>
          <w:w w:val="100"/>
        </w:rPr>
        <w:t> </w:t>
      </w:r>
      <w:r>
        <w:rPr>
          <w:spacing w:val="-2"/>
        </w:rPr>
        <w:t>音乐、手机动漫等多项移动增值业务。通过自身运营及与电信运营商合作的方式，在移动互联网</w:t>
      </w:r>
      <w:r>
        <w:rPr>
          <w:spacing w:val="-52"/>
        </w:rPr>
        <w:t> </w:t>
      </w:r>
      <w:r>
        <w:rPr>
          <w:spacing w:val="-52"/>
        </w:rPr>
      </w:r>
      <w:r>
        <w:rPr>
          <w:spacing w:val="-7"/>
        </w:rPr>
        <w:t>领域，通过文字、图片、视频等多种形式，向用户提供新闻、舆情、生活、娱乐等内容信息服务。</w:t>
      </w:r>
      <w:r>
        <w:rPr>
          <w:spacing w:val="-35"/>
        </w:rPr>
        <w:t> </w:t>
      </w:r>
      <w:r>
        <w:rPr>
          <w:spacing w:val="-35"/>
        </w:rPr>
      </w:r>
      <w:r>
        <w:rPr>
          <w:rFonts w:ascii="宋体" w:hAnsi="宋体" w:cs="宋体" w:eastAsia="宋体" w:hint="default"/>
          <w:spacing w:val="-4"/>
        </w:rPr>
        <w:t>3</w:t>
      </w:r>
      <w:r>
        <w:rPr>
          <w:spacing w:val="-4"/>
        </w:rPr>
        <w:t>、信息服务：公司拥有电信与信息服务业务经营许可证、互联网新闻信息服务许可证等信息</w:t>
      </w:r>
      <w:r>
        <w:rPr>
          <w:w w:val="100"/>
        </w:rPr>
        <w:t> </w:t>
      </w:r>
      <w:r>
        <w:rPr>
          <w:spacing w:val="-4"/>
        </w:rPr>
        <w:t>服务类经营资质，已形成完整的“信息采编</w:t>
      </w:r>
      <w:r>
        <w:rPr>
          <w:rFonts w:ascii="宋体" w:hAnsi="宋体" w:cs="宋体" w:eastAsia="宋体" w:hint="default"/>
          <w:spacing w:val="-4"/>
        </w:rPr>
        <w:t>-</w:t>
      </w:r>
      <w:r>
        <w:rPr>
          <w:spacing w:val="-4"/>
        </w:rPr>
        <w:t>策划</w:t>
      </w:r>
      <w:r>
        <w:rPr>
          <w:rFonts w:ascii="宋体" w:hAnsi="宋体" w:cs="宋体" w:eastAsia="宋体" w:hint="default"/>
          <w:spacing w:val="-4"/>
        </w:rPr>
        <w:t>-</w:t>
      </w:r>
      <w:r>
        <w:rPr>
          <w:spacing w:val="-4"/>
        </w:rPr>
        <w:t>信息发布</w:t>
      </w:r>
      <w:r>
        <w:rPr>
          <w:rFonts w:ascii="宋体" w:hAnsi="宋体" w:cs="宋体" w:eastAsia="宋体" w:hint="default"/>
          <w:spacing w:val="-4"/>
        </w:rPr>
        <w:t>-</w:t>
      </w:r>
      <w:r>
        <w:rPr>
          <w:spacing w:val="-4"/>
        </w:rPr>
        <w:t>信息服务”的一体化经营产业链，通</w:t>
      </w:r>
      <w:r>
        <w:rPr>
          <w:spacing w:val="-50"/>
        </w:rPr>
        <w:t> </w:t>
      </w:r>
      <w:r>
        <w:rPr>
          <w:spacing w:val="-50"/>
        </w:rPr>
      </w:r>
      <w:r>
        <w:rPr>
          <w:spacing w:val="-2"/>
        </w:rPr>
        <w:t>过新闻信息版权销售以及网络舆情咨询研究、数据库等其他信息增值服务形式，实现了公司优质</w:t>
      </w:r>
    </w:p>
    <w:p>
      <w:pPr>
        <w:pStyle w:val="BodyText"/>
        <w:spacing w:line="355" w:lineRule="auto" w:before="30"/>
        <w:ind w:left="558" w:right="0" w:hanging="420"/>
        <w:jc w:val="left"/>
      </w:pPr>
      <w:r>
        <w:rPr/>
        <w:t>原创新闻内容的进一步传播。</w:t>
      </w:r>
      <w:r>
        <w:rPr>
          <w:w w:val="100"/>
        </w:rPr>
        <w:t> </w:t>
      </w:r>
      <w:r>
        <w:rPr>
          <w:rFonts w:ascii="宋体" w:hAnsi="宋体" w:cs="宋体" w:eastAsia="宋体" w:hint="default"/>
          <w:spacing w:val="-4"/>
        </w:rPr>
        <w:t>4</w:t>
      </w:r>
      <w:r>
        <w:rPr>
          <w:spacing w:val="-4"/>
        </w:rPr>
        <w:t>、技术服务：公司依托完备的技术设施、专业的技术人员、先进的管理理念，面向社会用户</w:t>
      </w:r>
    </w:p>
    <w:p>
      <w:pPr>
        <w:pStyle w:val="BodyText"/>
        <w:spacing w:line="240" w:lineRule="auto" w:before="35"/>
        <w:ind w:right="0"/>
        <w:jc w:val="both"/>
      </w:pPr>
      <w:r>
        <w:rPr/>
        <w:t>提供网站建设、主机托管、网络接入、产品研发等多项专业技术服务。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right="130" w:firstLine="419"/>
        <w:jc w:val="both"/>
      </w:pPr>
      <w:r>
        <w:rPr>
          <w:spacing w:val="-4"/>
        </w:rPr>
        <w:t>根据证监会上市公司行业分类结果，公司属于信息传输、软件和信息技术服务业</w:t>
      </w:r>
      <w:r>
        <w:rPr>
          <w:rFonts w:ascii="宋体" w:hAnsi="宋体" w:cs="宋体" w:eastAsia="宋体" w:hint="default"/>
          <w:spacing w:val="-4"/>
        </w:rPr>
        <w:t>(I)</w:t>
      </w:r>
      <w:r>
        <w:rPr>
          <w:spacing w:val="-4"/>
        </w:rPr>
        <w:t>门类中的</w:t>
      </w:r>
      <w:r>
        <w:rPr>
          <w:w w:val="100"/>
        </w:rPr>
        <w:t> </w:t>
      </w:r>
      <w:r>
        <w:rPr/>
        <w:t>互联网和相关服务大类。</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t>二、报告期内公司主要资产发生重大变化情况的说明</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三、报告期内核心竞争力分析</w:t>
      </w:r>
      <w:r>
        <w:rPr>
          <w:b w:val="0"/>
          <w:bCs w:val="0"/>
        </w:rPr>
      </w:r>
    </w:p>
    <w:p>
      <w:pPr>
        <w:pStyle w:val="BodyText"/>
        <w:spacing w:line="240" w:lineRule="auto" w:before="59"/>
        <w:ind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127" w:firstLine="419"/>
        <w:jc w:val="both"/>
      </w:pPr>
      <w:r>
        <w:rPr>
          <w:rFonts w:ascii="宋体" w:hAnsi="宋体" w:cs="宋体" w:eastAsia="宋体" w:hint="default"/>
          <w:spacing w:val="-4"/>
        </w:rPr>
        <w:t>1</w:t>
      </w:r>
      <w:r>
        <w:rPr>
          <w:spacing w:val="-4"/>
        </w:rPr>
        <w:t>、品牌优势：人民网是世界十大报纸之一《人民日报》建设的以新闻为主的大型网上信息交</w:t>
      </w:r>
      <w:r>
        <w:rPr>
          <w:w w:val="100"/>
        </w:rPr>
        <w:t> </w:t>
      </w:r>
      <w:r>
        <w:rPr>
          <w:spacing w:val="-6"/>
          <w:w w:val="100"/>
        </w:rPr>
        <w:t>互平台，是人民日报社控股的传媒文化上市公司，也是国际互联网上最大的综合性网络媒体之一。</w:t>
      </w:r>
      <w:r>
        <w:rPr>
          <w:w w:val="100"/>
        </w:rPr>
        <w:t> </w:t>
      </w:r>
      <w:r>
        <w:rPr>
          <w:spacing w:val="-2"/>
        </w:rPr>
        <w:t>作为国家重点新闻网站的排头兵和第一家整体上市的媒体企业，人民网拥有“强国论坛”、“地</w:t>
      </w:r>
      <w:r>
        <w:rPr>
          <w:spacing w:val="-25"/>
        </w:rPr>
        <w:t> </w:t>
      </w:r>
      <w:r>
        <w:rPr>
          <w:spacing w:val="-25"/>
        </w:rPr>
      </w:r>
      <w:r>
        <w:rPr>
          <w:spacing w:val="-2"/>
        </w:rPr>
        <w:t>方领导留言板”、“高端访谈”、“一带一路全媒体平台”、“人民网舆情数据中心”、手机人</w:t>
      </w:r>
      <w:r>
        <w:rPr>
          <w:spacing w:val="-25"/>
        </w:rPr>
        <w:t> </w:t>
      </w:r>
      <w:r>
        <w:rPr>
          <w:spacing w:val="-25"/>
        </w:rPr>
      </w:r>
      <w:r>
        <w:rPr>
          <w:spacing w:val="-2"/>
        </w:rPr>
        <w:t>民网、法人微博、微信等品牌栏目，经中共中央批准举办了“中国共产党新闻网”。主办了“中</w:t>
      </w:r>
      <w:r>
        <w:rPr>
          <w:spacing w:val="-25"/>
        </w:rPr>
        <w:t> </w:t>
      </w:r>
      <w:r>
        <w:rPr>
          <w:spacing w:val="-25"/>
        </w:rPr>
      </w:r>
      <w:r>
        <w:rPr>
          <w:spacing w:val="-2"/>
        </w:rPr>
        <w:t>国人大新闻网”、“中国政协新闻网”、“科普中国”等多个专业性新闻网站，连续承办党的十</w:t>
      </w:r>
      <w:r>
        <w:rPr>
          <w:spacing w:val="-25"/>
        </w:rPr>
        <w:t> </w:t>
      </w:r>
      <w:r>
        <w:rPr>
          <w:spacing w:val="-25"/>
        </w:rPr>
      </w:r>
      <w:r>
        <w:rPr>
          <w:spacing w:val="-2"/>
        </w:rPr>
        <w:t>七大、十八大、十九大新闻中心官方网站及十九大新闻中心微信公众号、“一带一路”国际合作</w:t>
      </w:r>
      <w:r>
        <w:rPr>
          <w:spacing w:val="-25"/>
        </w:rPr>
        <w:t> </w:t>
      </w:r>
      <w:r>
        <w:rPr>
          <w:spacing w:val="-25"/>
        </w:rPr>
      </w:r>
      <w:r>
        <w:rPr>
          <w:spacing w:val="-2"/>
        </w:rPr>
        <w:t>高峰论坛官方网站，以及多个党的主题教育活动官方网站，并成功建设了十二个中央部委网站。</w:t>
      </w:r>
      <w:r>
        <w:rPr>
          <w:spacing w:val="-25"/>
        </w:rPr>
        <w:t> </w:t>
      </w:r>
      <w:r>
        <w:rPr>
          <w:spacing w:val="-25"/>
        </w:rPr>
      </w:r>
      <w:r>
        <w:rPr>
          <w:spacing w:val="-3"/>
        </w:rPr>
        <w:t>公司品牌的知名度、影响力、公信力在互联网业界中拥有独特的优势。</w:t>
      </w:r>
      <w:r>
        <w:rPr>
          <w:rFonts w:ascii="宋体" w:hAnsi="宋体" w:cs="宋体" w:eastAsia="宋体" w:hint="default"/>
          <w:spacing w:val="-3"/>
        </w:rPr>
        <w:t>2017 </w:t>
      </w:r>
      <w:r>
        <w:rPr>
          <w:spacing w:val="-3"/>
        </w:rPr>
        <w:t>年，人民网获得中央</w:t>
      </w:r>
      <w:r>
        <w:rPr>
          <w:spacing w:val="-82"/>
        </w:rPr>
        <w:t> </w:t>
      </w:r>
      <w:r>
        <w:rPr>
          <w:spacing w:val="-82"/>
        </w:rPr>
      </w:r>
      <w:r>
        <w:rPr/>
        <w:t>网信办授予的</w:t>
      </w:r>
      <w:r>
        <w:rPr>
          <w:spacing w:val="-55"/>
        </w:rPr>
        <w:t> </w:t>
      </w:r>
      <w:r>
        <w:rPr>
          <w:rFonts w:ascii="宋体" w:hAnsi="宋体" w:cs="宋体" w:eastAsia="宋体" w:hint="default"/>
        </w:rPr>
        <w:t>2017</w:t>
      </w:r>
      <w:r>
        <w:rPr>
          <w:rFonts w:ascii="宋体" w:hAnsi="宋体" w:cs="宋体" w:eastAsia="宋体" w:hint="default"/>
          <w:spacing w:val="-57"/>
        </w:rPr>
        <w:t> </w:t>
      </w:r>
      <w:r>
        <w:rPr/>
        <w:t>年度网上重大主题宣传工作先进集体称号；并先后获得“</w:t>
      </w:r>
      <w:r>
        <w:rPr>
          <w:rFonts w:ascii="宋体" w:hAnsi="宋体" w:cs="宋体" w:eastAsia="宋体" w:hint="default"/>
        </w:rPr>
        <w:t>2017</w:t>
      </w:r>
      <w:r>
        <w:rPr>
          <w:rFonts w:ascii="宋体" w:hAnsi="宋体" w:cs="宋体" w:eastAsia="宋体" w:hint="default"/>
          <w:spacing w:val="-54"/>
        </w:rPr>
        <w:t> </w:t>
      </w:r>
      <w:r>
        <w:rPr/>
        <w:t>年最具影响力</w:t>
      </w:r>
      <w:r>
        <w:rPr>
          <w:w w:val="100"/>
        </w:rPr>
        <w:t> </w:t>
      </w:r>
      <w:r>
        <w:rPr>
          <w:spacing w:val="-5"/>
        </w:rPr>
        <w:t>媒体新媒奖”、“</w:t>
      </w:r>
      <w:r>
        <w:rPr>
          <w:rFonts w:ascii="宋体" w:hAnsi="宋体" w:cs="宋体" w:eastAsia="宋体" w:hint="default"/>
          <w:spacing w:val="-5"/>
        </w:rPr>
        <w:t>2017</w:t>
      </w:r>
      <w:r>
        <w:rPr>
          <w:rFonts w:ascii="宋体" w:hAnsi="宋体" w:cs="宋体" w:eastAsia="宋体" w:hint="default"/>
          <w:spacing w:val="-47"/>
        </w:rPr>
        <w:t> </w:t>
      </w:r>
      <w:r>
        <w:rPr/>
        <w:t>年世界媒体</w:t>
      </w:r>
      <w:r>
        <w:rPr>
          <w:spacing w:val="-46"/>
        </w:rPr>
        <w:t> </w:t>
      </w:r>
      <w:r>
        <w:rPr>
          <w:rFonts w:ascii="宋体" w:hAnsi="宋体" w:cs="宋体" w:eastAsia="宋体" w:hint="default"/>
        </w:rPr>
        <w:t>500</w:t>
      </w:r>
      <w:r>
        <w:rPr>
          <w:rFonts w:ascii="宋体" w:hAnsi="宋体" w:cs="宋体" w:eastAsia="宋体" w:hint="default"/>
          <w:spacing w:val="-46"/>
        </w:rPr>
        <w:t> </w:t>
      </w:r>
      <w:r>
        <w:rPr>
          <w:spacing w:val="-7"/>
        </w:rPr>
        <w:t>强”、“</w:t>
      </w:r>
      <w:r>
        <w:rPr>
          <w:rFonts w:ascii="宋体" w:hAnsi="宋体" w:cs="宋体" w:eastAsia="宋体" w:hint="default"/>
          <w:spacing w:val="-7"/>
        </w:rPr>
        <w:t>2017</w:t>
      </w:r>
      <w:r>
        <w:rPr>
          <w:rFonts w:ascii="宋体" w:hAnsi="宋体" w:cs="宋体" w:eastAsia="宋体" w:hint="default"/>
          <w:spacing w:val="-45"/>
        </w:rPr>
        <w:t> </w:t>
      </w:r>
      <w:r>
        <w:rPr/>
        <w:t>年中国互联网企业</w:t>
      </w:r>
      <w:r>
        <w:rPr>
          <w:spacing w:val="-48"/>
        </w:rPr>
        <w:t> </w:t>
      </w:r>
      <w:r>
        <w:rPr>
          <w:rFonts w:ascii="宋体" w:hAnsi="宋体" w:cs="宋体" w:eastAsia="宋体" w:hint="default"/>
        </w:rPr>
        <w:t>100</w:t>
      </w:r>
      <w:r>
        <w:rPr>
          <w:rFonts w:ascii="宋体" w:hAnsi="宋体" w:cs="宋体" w:eastAsia="宋体" w:hint="default"/>
          <w:spacing w:val="-48"/>
        </w:rPr>
        <w:t> </w:t>
      </w:r>
      <w:r>
        <w:rPr>
          <w:spacing w:val="-3"/>
        </w:rPr>
        <w:t>强”等多项全国及国</w:t>
      </w:r>
      <w:r>
        <w:rPr>
          <w:spacing w:val="-102"/>
        </w:rPr>
        <w:t> </w:t>
      </w:r>
      <w:r>
        <w:rPr>
          <w:spacing w:val="-102"/>
        </w:rPr>
      </w:r>
      <w:r>
        <w:rPr>
          <w:spacing w:val="-2"/>
        </w:rPr>
        <w:t>际性荣誉称号。目前，人民日报媒体深度融合的巨大变革使人民网面临前所未有的重大机遇，人</w:t>
      </w:r>
      <w:r>
        <w:rPr>
          <w:spacing w:val="-25"/>
        </w:rPr>
        <w:t> </w:t>
      </w:r>
      <w:r>
        <w:rPr>
          <w:spacing w:val="-25"/>
        </w:rPr>
      </w:r>
      <w:r>
        <w:rPr>
          <w:spacing w:val="-2"/>
        </w:rPr>
        <w:t>民网将成为人民日报媒体融合发展的一方主阵地、主力军。可以预期，人民网的新闻生产力、传</w:t>
      </w:r>
      <w:r>
        <w:rPr>
          <w:spacing w:val="-25"/>
        </w:rPr>
        <w:t> </w:t>
      </w:r>
      <w:r>
        <w:rPr>
          <w:spacing w:val="-25"/>
        </w:rPr>
      </w:r>
      <w:r>
        <w:rPr/>
        <w:t>播力、影响力将大幅度提升。</w:t>
      </w:r>
    </w:p>
    <w:p>
      <w:pPr>
        <w:pStyle w:val="BodyText"/>
        <w:spacing w:line="357" w:lineRule="auto" w:before="30"/>
        <w:ind w:right="127" w:firstLine="419"/>
        <w:jc w:val="both"/>
      </w:pPr>
      <w:r>
        <w:rPr>
          <w:rFonts w:ascii="宋体" w:hAnsi="宋体" w:cs="宋体" w:eastAsia="宋体" w:hint="default"/>
          <w:spacing w:val="-9"/>
        </w:rPr>
        <w:t>2</w:t>
      </w:r>
      <w:r>
        <w:rPr>
          <w:spacing w:val="-9"/>
        </w:rPr>
        <w:t>、新闻内容优势：人民网始终坚守“网上的人民日报”定位，秉持“权威、实力，来自人民”</w:t>
      </w:r>
      <w:r>
        <w:rPr>
          <w:w w:val="100"/>
        </w:rPr>
        <w:t> </w:t>
      </w:r>
      <w:r>
        <w:rPr>
          <w:spacing w:val="-2"/>
        </w:rPr>
        <w:t>的办网理念，坚持“做最好内容的网站、做最好服务的平台”，形成了新闻采写、网络评论、在</w:t>
      </w:r>
      <w:r>
        <w:rPr>
          <w:spacing w:val="-25"/>
        </w:rPr>
        <w:t> </w:t>
      </w:r>
      <w:r>
        <w:rPr>
          <w:spacing w:val="-25"/>
        </w:rPr>
      </w:r>
      <w:r>
        <w:rPr>
          <w:spacing w:val="-2"/>
        </w:rPr>
        <w:t>线访谈、社区互动、视频直播、移动互联发布互相配合的快速、权威、深度新闻报道模式。</w:t>
      </w:r>
      <w:r>
        <w:rPr>
          <w:rFonts w:ascii="宋体" w:hAnsi="宋体" w:cs="宋体" w:eastAsia="宋体" w:hint="default"/>
          <w:spacing w:val="-2"/>
        </w:rPr>
        <w:t>2017</w:t>
      </w:r>
      <w:r>
        <w:rPr>
          <w:rFonts w:ascii="宋体" w:hAnsi="宋体" w:cs="宋体" w:eastAsia="宋体" w:hint="default"/>
          <w:spacing w:val="-21"/>
        </w:rPr>
        <w:t> </w:t>
      </w:r>
      <w:r>
        <w:rPr>
          <w:spacing w:val="-6"/>
        </w:rPr>
        <w:t>年，人民网继续发扬党媒在时政宣传报道和舆论引导方面的优势，重大主题报道做到权威、深刻、</w:t>
      </w:r>
      <w:r>
        <w:rPr>
          <w:spacing w:val="-54"/>
        </w:rPr>
        <w:t> </w:t>
      </w:r>
      <w:r>
        <w:rPr>
          <w:spacing w:val="-54"/>
        </w:rPr>
      </w:r>
      <w:r>
        <w:rPr>
          <w:spacing w:val="-2"/>
        </w:rPr>
        <w:t>全面、及时。报告期内，人民网重点围绕习近平总书记系列重要讲话精神和治国理政新理念新思</w:t>
      </w:r>
      <w:r>
        <w:rPr>
          <w:spacing w:val="-25"/>
        </w:rPr>
        <w:t> </w:t>
      </w:r>
      <w:r>
        <w:rPr>
          <w:spacing w:val="-25"/>
        </w:rPr>
      </w:r>
      <w:r>
        <w:rPr/>
        <w:t>想新战略、十九大、全国两会、“一带一路”高峰论坛、建军</w:t>
      </w:r>
      <w:r>
        <w:rPr>
          <w:spacing w:val="-53"/>
        </w:rPr>
        <w:t> </w:t>
      </w:r>
      <w:r>
        <w:rPr>
          <w:rFonts w:ascii="宋体" w:hAnsi="宋体" w:cs="宋体" w:eastAsia="宋体" w:hint="default"/>
        </w:rPr>
        <w:t>90</w:t>
      </w:r>
      <w:r>
        <w:rPr>
          <w:rFonts w:ascii="宋体" w:hAnsi="宋体" w:cs="宋体" w:eastAsia="宋体" w:hint="default"/>
          <w:spacing w:val="-56"/>
        </w:rPr>
        <w:t> </w:t>
      </w:r>
      <w:r>
        <w:rPr/>
        <w:t>周年、香港回归</w:t>
      </w:r>
      <w:r>
        <w:rPr>
          <w:spacing w:val="-53"/>
        </w:rPr>
        <w:t> </w:t>
      </w:r>
      <w:r>
        <w:rPr>
          <w:rFonts w:ascii="宋体" w:hAnsi="宋体" w:cs="宋体" w:eastAsia="宋体" w:hint="default"/>
        </w:rPr>
        <w:t>20</w:t>
      </w:r>
      <w:r>
        <w:rPr>
          <w:rFonts w:ascii="宋体" w:hAnsi="宋体" w:cs="宋体" w:eastAsia="宋体" w:hint="default"/>
          <w:spacing w:val="-54"/>
        </w:rPr>
        <w:t> </w:t>
      </w:r>
      <w:r>
        <w:rPr/>
        <w:t>周年等重大</w:t>
      </w:r>
      <w:r>
        <w:rPr>
          <w:w w:val="100"/>
        </w:rPr>
        <w:t> </w:t>
      </w:r>
      <w:r>
        <w:rPr/>
        <w:t>主题开展了内容丰富、形式鲜活、亮点纷呈的报道，传播效果突出。</w:t>
      </w:r>
    </w:p>
    <w:p>
      <w:pPr>
        <w:pStyle w:val="BodyText"/>
        <w:spacing w:line="357" w:lineRule="auto" w:before="30"/>
        <w:ind w:right="127" w:firstLine="419"/>
        <w:jc w:val="both"/>
      </w:pPr>
      <w:r>
        <w:rPr>
          <w:rFonts w:ascii="宋体" w:hAnsi="宋体" w:cs="宋体" w:eastAsia="宋体" w:hint="default"/>
          <w:spacing w:val="-4"/>
        </w:rPr>
        <w:t>3</w:t>
      </w:r>
      <w:r>
        <w:rPr>
          <w:spacing w:val="-4"/>
        </w:rPr>
        <w:t>、客户资源及渠道优势：人民网的受众群体以及公司的品牌形象决定了客户多为大型、知名</w:t>
      </w:r>
      <w:r>
        <w:rPr>
          <w:w w:val="100"/>
        </w:rPr>
        <w:t> </w:t>
      </w:r>
      <w:r>
        <w:rPr>
          <w:spacing w:val="-2"/>
        </w:rPr>
        <w:t>企业或者政府企事业单位。人民网通过加强客户服务，加强线上线下经营业务的互动与促进，加</w:t>
      </w:r>
      <w:r>
        <w:rPr>
          <w:spacing w:val="-26"/>
        </w:rPr>
        <w:t> </w:t>
      </w:r>
      <w:r>
        <w:rPr>
          <w:spacing w:val="-26"/>
        </w:rPr>
      </w:r>
      <w:r>
        <w:rPr>
          <w:spacing w:val="-2"/>
        </w:rPr>
        <w:t>强经营资源的整合，发力重大经营项目的策划与执行，广告业务客户资源保持平稳态势。在移动</w:t>
      </w:r>
      <w:r>
        <w:rPr>
          <w:spacing w:val="-26"/>
        </w:rPr>
        <w:t> </w:t>
      </w:r>
      <w:r>
        <w:rPr>
          <w:spacing w:val="-26"/>
        </w:rPr>
      </w:r>
      <w:r>
        <w:rPr>
          <w:spacing w:val="-2"/>
        </w:rPr>
        <w:t>互联网领域，结合公司已有资源优势，积极拓展各领域合作方、渠道，带动访问量和品牌影响力</w:t>
      </w:r>
      <w:r>
        <w:rPr>
          <w:spacing w:val="-26"/>
        </w:rPr>
        <w:t> </w:t>
      </w:r>
      <w:r>
        <w:rPr>
          <w:spacing w:val="-26"/>
        </w:rPr>
      </w:r>
      <w:r>
        <w:rPr/>
        <w:t>的进一步提升，充分发挥了人民网在手机端的主流舆论引导作用。</w:t>
      </w:r>
    </w:p>
    <w:p>
      <w:pPr>
        <w:pStyle w:val="BodyText"/>
        <w:spacing w:line="357" w:lineRule="auto" w:before="30"/>
        <w:ind w:right="128" w:firstLine="419"/>
        <w:jc w:val="both"/>
        <w:rPr>
          <w:rFonts w:ascii="宋体" w:hAnsi="宋体" w:cs="宋体" w:eastAsia="宋体" w:hint="default"/>
        </w:rPr>
      </w:pPr>
      <w:r>
        <w:rPr>
          <w:rFonts w:ascii="宋体" w:hAnsi="宋体" w:cs="宋体" w:eastAsia="宋体" w:hint="default"/>
          <w:spacing w:val="-9"/>
        </w:rPr>
        <w:t>4</w:t>
      </w:r>
      <w:r>
        <w:rPr>
          <w:spacing w:val="-9"/>
        </w:rPr>
        <w:t>、传播力及受众优势：人民网积极壮大主流宣传阵地，在 </w:t>
      </w:r>
      <w:r>
        <w:rPr>
          <w:rFonts w:ascii="宋体" w:hAnsi="宋体" w:cs="宋体" w:eastAsia="宋体" w:hint="default"/>
        </w:rPr>
        <w:t>31</w:t>
      </w:r>
      <w:r>
        <w:rPr>
          <w:rFonts w:ascii="宋体" w:hAnsi="宋体" w:cs="宋体" w:eastAsia="宋体" w:hint="default"/>
          <w:spacing w:val="-74"/>
        </w:rPr>
        <w:t> </w:t>
      </w:r>
      <w:r>
        <w:rPr/>
        <w:t>个省市自治区设立地方分公司，</w:t>
      </w:r>
      <w:r>
        <w:rPr>
          <w:w w:val="100"/>
        </w:rPr>
        <w:t> </w:t>
      </w:r>
      <w:r>
        <w:rPr>
          <w:spacing w:val="-2"/>
        </w:rPr>
        <w:t>旗下有环球网、海外网、人民在线、人民视讯、金台创投、人民健康、人民科技、人民体育等多</w:t>
      </w:r>
      <w:r>
        <w:rPr>
          <w:spacing w:val="-25"/>
        </w:rPr>
        <w:t> </w:t>
      </w:r>
      <w:r>
        <w:rPr>
          <w:spacing w:val="-25"/>
        </w:rPr>
      </w:r>
      <w:r>
        <w:rPr>
          <w:spacing w:val="-2"/>
        </w:rPr>
        <w:t>家控股子公司，在日本东京、美国纽约、美国旧金山、韩国首尔、英国伦敦、俄罗斯莫斯科、南</w:t>
      </w:r>
      <w:r>
        <w:rPr>
          <w:spacing w:val="-25"/>
        </w:rPr>
        <w:t> </w:t>
      </w:r>
      <w:r>
        <w:rPr>
          <w:spacing w:val="-25"/>
        </w:rPr>
      </w:r>
      <w:r>
        <w:rPr/>
        <w:t>非约翰内斯堡、澳大利亚悉尼、法国巴黎、北欧瑞典以及香港等</w:t>
      </w:r>
      <w:r>
        <w:rPr>
          <w:spacing w:val="-54"/>
        </w:rPr>
        <w:t> </w:t>
      </w:r>
      <w:r>
        <w:rPr>
          <w:rFonts w:ascii="宋体" w:hAnsi="宋体" w:cs="宋体" w:eastAsia="宋体" w:hint="default"/>
        </w:rPr>
        <w:t>10</w:t>
      </w:r>
      <w:r>
        <w:rPr>
          <w:rFonts w:ascii="宋体" w:hAnsi="宋体" w:cs="宋体" w:eastAsia="宋体" w:hint="default"/>
          <w:spacing w:val="-54"/>
        </w:rPr>
        <w:t> </w:t>
      </w:r>
      <w:r>
        <w:rPr/>
        <w:t>个国家和地区设立了</w:t>
      </w:r>
      <w:r>
        <w:rPr>
          <w:spacing w:val="-53"/>
        </w:rPr>
        <w:t> </w:t>
      </w:r>
      <w:r>
        <w:rPr>
          <w:rFonts w:ascii="宋体" w:hAnsi="宋体" w:cs="宋体" w:eastAsia="宋体" w:hint="default"/>
        </w:rPr>
        <w:t>11</w:t>
      </w:r>
      <w:r>
        <w:rPr>
          <w:rFonts w:ascii="宋体" w:hAnsi="宋体" w:cs="宋体" w:eastAsia="宋体" w:hint="default"/>
          <w:spacing w:val="-56"/>
        </w:rPr>
        <w:t> </w:t>
      </w:r>
      <w:r>
        <w:rPr/>
        <w:t>个子</w:t>
      </w:r>
      <w:r>
        <w:rPr>
          <w:w w:val="100"/>
        </w:rPr>
        <w:t> </w:t>
      </w:r>
      <w:r>
        <w:rPr>
          <w:spacing w:val="-3"/>
        </w:rPr>
        <w:t>公司或办事处。在传播形态上，人民网已形成拥有</w:t>
      </w:r>
      <w:r>
        <w:rPr>
          <w:spacing w:val="-31"/>
        </w:rPr>
        <w:t> </w:t>
      </w:r>
      <w:r>
        <w:rPr>
          <w:rFonts w:ascii="宋体" w:hAnsi="宋体" w:cs="宋体" w:eastAsia="宋体" w:hint="default"/>
        </w:rPr>
        <w:t>PC</w:t>
      </w:r>
      <w:r>
        <w:rPr>
          <w:rFonts w:ascii="宋体" w:hAnsi="宋体" w:cs="宋体" w:eastAsia="宋体" w:hint="default"/>
          <w:spacing w:val="-31"/>
        </w:rPr>
        <w:t> </w:t>
      </w:r>
      <w:r>
        <w:rPr>
          <w:spacing w:val="-5"/>
        </w:rPr>
        <w:t>网站、网络视频、手机网站、手机电视、社</w:t>
      </w:r>
      <w:r>
        <w:rPr>
          <w:spacing w:val="-95"/>
        </w:rPr>
        <w:t> </w:t>
      </w:r>
      <w:r>
        <w:rPr>
          <w:spacing w:val="-95"/>
        </w:rPr>
      </w:r>
      <w:r>
        <w:rPr>
          <w:spacing w:val="-3"/>
        </w:rPr>
        <w:t>区、博客、微博客、微信公众号等在内的新媒体布局；在传播范围上，人民网传播覆盖超过</w:t>
      </w:r>
      <w:r>
        <w:rPr>
          <w:spacing w:val="16"/>
        </w:rPr>
        <w:t> </w:t>
      </w:r>
      <w:r>
        <w:rPr>
          <w:rFonts w:ascii="宋体" w:hAnsi="宋体" w:cs="宋体" w:eastAsia="宋体" w:hint="default"/>
        </w:rPr>
        <w:t>2.58</w:t>
      </w:r>
    </w:p>
    <w:p>
      <w:pPr>
        <w:pStyle w:val="BodyText"/>
        <w:spacing w:line="357" w:lineRule="auto" w:before="30"/>
        <w:ind w:right="133"/>
        <w:jc w:val="left"/>
      </w:pPr>
      <w:r>
        <w:rPr/>
        <w:t>亿人次，网民遍布</w:t>
      </w:r>
      <w:r>
        <w:rPr>
          <w:spacing w:val="-53"/>
        </w:rPr>
        <w:t> </w:t>
      </w:r>
      <w:r>
        <w:rPr>
          <w:rFonts w:ascii="宋体" w:hAnsi="宋体" w:cs="宋体" w:eastAsia="宋体" w:hint="default"/>
        </w:rPr>
        <w:t>210</w:t>
      </w:r>
      <w:r>
        <w:rPr>
          <w:rFonts w:ascii="宋体" w:hAnsi="宋体" w:cs="宋体" w:eastAsia="宋体" w:hint="default"/>
          <w:spacing w:val="-52"/>
        </w:rPr>
        <w:t> </w:t>
      </w:r>
      <w:r>
        <w:rPr/>
        <w:t>多个国家和地区，除中文版本外，还拥有</w:t>
      </w:r>
      <w:r>
        <w:rPr>
          <w:spacing w:val="-53"/>
        </w:rPr>
        <w:t> </w:t>
      </w:r>
      <w:r>
        <w:rPr>
          <w:rFonts w:ascii="宋体" w:hAnsi="宋体" w:cs="宋体" w:eastAsia="宋体" w:hint="default"/>
        </w:rPr>
        <w:t>7</w:t>
      </w:r>
      <w:r>
        <w:rPr>
          <w:rFonts w:ascii="宋体" w:hAnsi="宋体" w:cs="宋体" w:eastAsia="宋体" w:hint="default"/>
          <w:spacing w:val="-55"/>
        </w:rPr>
        <w:t> </w:t>
      </w:r>
      <w:r>
        <w:rPr/>
        <w:t>种少数民族语言和</w:t>
      </w:r>
      <w:r>
        <w:rPr>
          <w:spacing w:val="-52"/>
        </w:rPr>
        <w:t> </w:t>
      </w:r>
      <w:r>
        <w:rPr>
          <w:rFonts w:ascii="宋体" w:hAnsi="宋体" w:cs="宋体" w:eastAsia="宋体" w:hint="default"/>
        </w:rPr>
        <w:t>9</w:t>
      </w:r>
      <w:r>
        <w:rPr>
          <w:rFonts w:ascii="宋体" w:hAnsi="宋体" w:cs="宋体" w:eastAsia="宋体" w:hint="default"/>
          <w:spacing w:val="-55"/>
        </w:rPr>
        <w:t> </w:t>
      </w:r>
      <w:r>
        <w:rPr/>
        <w:t>种外文版</w:t>
      </w:r>
      <w:r>
        <w:rPr>
          <w:w w:val="100"/>
        </w:rPr>
        <w:t> </w:t>
      </w:r>
      <w:r>
        <w:rPr>
          <w:spacing w:val="-2"/>
        </w:rPr>
        <w:t>本；在传播方式上，人民网紧随互联网发展的趋势，不断深化对网络传播规律的认识，打通自有</w:t>
      </w:r>
    </w:p>
    <w:p>
      <w:pPr>
        <w:spacing w:after="0" w:line="357" w:lineRule="auto"/>
        <w:jc w:val="left"/>
        <w:sectPr>
          <w:footerReference w:type="default" r:id="rId11"/>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137"/>
        <w:jc w:val="both"/>
      </w:pPr>
      <w:r>
        <w:rPr>
          <w:spacing w:val="-2"/>
        </w:rPr>
        <w:t>平台和社交平台，在生产有品质的新闻基础上，积极推动信息的分发与转发，实现观点的分享与</w:t>
      </w:r>
      <w:r>
        <w:rPr>
          <w:spacing w:val="-25"/>
        </w:rPr>
        <w:t> </w:t>
      </w:r>
      <w:r>
        <w:rPr>
          <w:spacing w:val="-25"/>
        </w:rPr>
      </w:r>
      <w:r>
        <w:rPr>
          <w:spacing w:val="-2"/>
        </w:rPr>
        <w:t>传播，进而实现用户规模的扩大和粘性的增强。截止报告期末，</w:t>
      </w:r>
      <w:r>
        <w:rPr>
          <w:color w:val="333333"/>
          <w:spacing w:val="-2"/>
        </w:rPr>
        <w:t>人</w:t>
      </w:r>
      <w:r>
        <w:rPr>
          <w:spacing w:val="-2"/>
        </w:rPr>
        <w:t>民网法人微博三大平台总粉丝</w:t>
      </w:r>
      <w:r>
        <w:rPr>
          <w:spacing w:val="-26"/>
        </w:rPr>
        <w:t> </w:t>
      </w:r>
      <w:r>
        <w:rPr>
          <w:spacing w:val="-26"/>
        </w:rPr>
      </w:r>
      <w:r>
        <w:rPr/>
        <w:t>数达</w:t>
      </w:r>
      <w:r>
        <w:rPr>
          <w:spacing w:val="-54"/>
        </w:rPr>
        <w:t> </w:t>
      </w:r>
      <w:r>
        <w:rPr>
          <w:rFonts w:ascii="宋体" w:hAnsi="宋体" w:cs="宋体" w:eastAsia="宋体" w:hint="default"/>
        </w:rPr>
        <w:t>8,296</w:t>
      </w:r>
      <w:r>
        <w:rPr>
          <w:rFonts w:ascii="宋体" w:hAnsi="宋体" w:cs="宋体" w:eastAsia="宋体" w:hint="default"/>
          <w:spacing w:val="-56"/>
        </w:rPr>
        <w:t> </w:t>
      </w:r>
      <w:r>
        <w:rPr/>
        <w:t>万，法人微信粉丝数超过</w:t>
      </w:r>
      <w:r>
        <w:rPr>
          <w:spacing w:val="-54"/>
        </w:rPr>
        <w:t> </w:t>
      </w:r>
      <w:r>
        <w:rPr>
          <w:rFonts w:ascii="宋体" w:hAnsi="宋体" w:cs="宋体" w:eastAsia="宋体" w:hint="default"/>
        </w:rPr>
        <w:t>560</w:t>
      </w:r>
      <w:r>
        <w:rPr>
          <w:rFonts w:ascii="宋体" w:hAnsi="宋体" w:cs="宋体" w:eastAsia="宋体" w:hint="default"/>
          <w:spacing w:val="-56"/>
        </w:rPr>
        <w:t> </w:t>
      </w:r>
      <w:r>
        <w:rPr/>
        <w:t>万，</w:t>
      </w:r>
      <w:r>
        <w:rPr>
          <w:rFonts w:ascii="宋体" w:hAnsi="宋体" w:cs="宋体" w:eastAsia="宋体" w:hint="default"/>
        </w:rPr>
        <w:t>Facebook</w:t>
      </w:r>
      <w:r>
        <w:rPr/>
        <w:t>、</w:t>
      </w:r>
      <w:r>
        <w:rPr>
          <w:rFonts w:ascii="宋体" w:hAnsi="宋体" w:cs="宋体" w:eastAsia="宋体" w:hint="default"/>
        </w:rPr>
        <w:t>Twitter</w:t>
      </w:r>
      <w:r>
        <w:rPr/>
        <w:t>、</w:t>
      </w:r>
      <w:r>
        <w:rPr>
          <w:rFonts w:ascii="宋体" w:hAnsi="宋体" w:cs="宋体" w:eastAsia="宋体" w:hint="default"/>
        </w:rPr>
        <w:t>Line</w:t>
      </w:r>
      <w:r>
        <w:rPr/>
        <w:t>、</w:t>
      </w:r>
      <w:r>
        <w:rPr>
          <w:rFonts w:ascii="宋体" w:hAnsi="宋体" w:cs="宋体" w:eastAsia="宋体" w:hint="default"/>
        </w:rPr>
        <w:t>VK</w:t>
      </w:r>
      <w:r>
        <w:rPr>
          <w:rFonts w:ascii="宋体" w:hAnsi="宋体" w:cs="宋体" w:eastAsia="宋体" w:hint="default"/>
          <w:spacing w:val="-55"/>
        </w:rPr>
        <w:t> </w:t>
      </w:r>
      <w:r>
        <w:rPr/>
        <w:t>等海外社交媒体上</w:t>
      </w:r>
    </w:p>
    <w:p>
      <w:pPr>
        <w:pStyle w:val="BodyText"/>
        <w:spacing w:line="240" w:lineRule="auto" w:before="30"/>
        <w:ind w:right="0"/>
        <w:jc w:val="both"/>
      </w:pPr>
      <w:r>
        <w:rPr/>
        <w:t>开设的多语种账号群总粉丝数已超过</w:t>
      </w:r>
      <w:r>
        <w:rPr>
          <w:spacing w:val="-54"/>
        </w:rPr>
        <w:t> </w:t>
      </w:r>
      <w:r>
        <w:rPr>
          <w:rFonts w:ascii="宋体" w:hAnsi="宋体" w:cs="宋体" w:eastAsia="宋体" w:hint="default"/>
        </w:rPr>
        <w:t>4,600</w:t>
      </w:r>
      <w:r>
        <w:rPr>
          <w:rFonts w:ascii="宋体" w:hAnsi="宋体" w:cs="宋体" w:eastAsia="宋体" w:hint="default"/>
          <w:spacing w:val="-55"/>
        </w:rPr>
        <w:t> </w:t>
      </w:r>
      <w:r>
        <w:rPr/>
        <w:t>万。</w:t>
      </w:r>
    </w:p>
    <w:p>
      <w:pPr>
        <w:spacing w:after="0" w:line="240" w:lineRule="auto"/>
        <w:jc w:val="both"/>
        <w:sectPr>
          <w:footerReference w:type="default" r:id="rId12"/>
          <w:pgSz w:w="11910" w:h="16840"/>
          <w:pgMar w:footer="1195" w:header="880" w:top="1120" w:bottom="1380" w:left="1660" w:right="1140"/>
          <w:pgNumType w:start="11"/>
        </w:sectPr>
      </w:pPr>
    </w:p>
    <w:p>
      <w:pPr>
        <w:spacing w:line="240" w:lineRule="auto" w:before="11"/>
        <w:rPr>
          <w:rFonts w:ascii="宋体" w:hAnsi="宋体" w:cs="宋体" w:eastAsia="宋体" w:hint="default"/>
          <w:sz w:val="25"/>
          <w:szCs w:val="25"/>
        </w:rPr>
      </w:pPr>
    </w:p>
    <w:p>
      <w:pPr>
        <w:pStyle w:val="Heading1"/>
        <w:tabs>
          <w:tab w:pos="3918" w:val="left" w:leader="none"/>
        </w:tabs>
        <w:spacing w:line="240" w:lineRule="auto"/>
        <w:ind w:left="2658" w:right="2543"/>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一、经营情况讨论与分析</w:t>
      </w:r>
      <w:r>
        <w:rPr>
          <w:b w:val="0"/>
          <w:bCs w:val="0"/>
        </w:rPr>
      </w:r>
    </w:p>
    <w:p>
      <w:pPr>
        <w:pStyle w:val="BodyText"/>
        <w:spacing w:line="357" w:lineRule="auto" w:before="118"/>
        <w:ind w:right="127" w:firstLine="419"/>
        <w:jc w:val="right"/>
      </w:pPr>
      <w:r>
        <w:rPr>
          <w:rFonts w:ascii="宋体" w:hAnsi="宋体" w:cs="宋体" w:eastAsia="宋体" w:hint="default"/>
        </w:rPr>
        <w:t>2017</w:t>
      </w:r>
      <w:r>
        <w:rPr>
          <w:rFonts w:ascii="宋体" w:hAnsi="宋体" w:cs="宋体" w:eastAsia="宋体" w:hint="default"/>
          <w:spacing w:val="-50"/>
        </w:rPr>
        <w:t> </w:t>
      </w:r>
      <w:r>
        <w:rPr/>
        <w:t>年是人民网创办</w:t>
      </w:r>
      <w:r>
        <w:rPr>
          <w:spacing w:val="-46"/>
        </w:rPr>
        <w:t> </w:t>
      </w:r>
      <w:r>
        <w:rPr>
          <w:rFonts w:ascii="宋体" w:hAnsi="宋体" w:cs="宋体" w:eastAsia="宋体" w:hint="default"/>
        </w:rPr>
        <w:t>20</w:t>
      </w:r>
      <w:r>
        <w:rPr>
          <w:rFonts w:ascii="宋体" w:hAnsi="宋体" w:cs="宋体" w:eastAsia="宋体" w:hint="default"/>
          <w:spacing w:val="-50"/>
        </w:rPr>
        <w:t> </w:t>
      </w:r>
      <w:r>
        <w:rPr>
          <w:spacing w:val="-6"/>
        </w:rPr>
        <w:t>周年，</w:t>
      </w:r>
      <w:r>
        <w:rPr>
          <w:rFonts w:ascii="宋体" w:hAnsi="宋体" w:cs="宋体" w:eastAsia="宋体" w:hint="default"/>
          <w:spacing w:val="-6"/>
        </w:rPr>
        <w:t>20</w:t>
      </w:r>
      <w:r>
        <w:rPr>
          <w:rFonts w:ascii="宋体" w:hAnsi="宋体" w:cs="宋体" w:eastAsia="宋体" w:hint="default"/>
          <w:spacing w:val="-48"/>
        </w:rPr>
        <w:t> </w:t>
      </w:r>
      <w:r>
        <w:rPr>
          <w:spacing w:val="-5"/>
        </w:rPr>
        <w:t>年栉风沐雨，</w:t>
      </w:r>
      <w:r>
        <w:rPr>
          <w:rFonts w:ascii="宋体" w:hAnsi="宋体" w:cs="宋体" w:eastAsia="宋体" w:hint="default"/>
          <w:spacing w:val="-5"/>
        </w:rPr>
        <w:t>20</w:t>
      </w:r>
      <w:r>
        <w:rPr>
          <w:rFonts w:ascii="宋体" w:hAnsi="宋体" w:cs="宋体" w:eastAsia="宋体" w:hint="default"/>
          <w:spacing w:val="-50"/>
        </w:rPr>
        <w:t> </w:t>
      </w:r>
      <w:r>
        <w:rPr>
          <w:spacing w:val="-4"/>
        </w:rPr>
        <w:t>年砥砺奋进。</w:t>
      </w:r>
      <w:r>
        <w:rPr>
          <w:rFonts w:ascii="宋体" w:hAnsi="宋体" w:cs="宋体" w:eastAsia="宋体" w:hint="default"/>
          <w:spacing w:val="-4"/>
        </w:rPr>
        <w:t>1997</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6"/>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spacing w:val="-6"/>
        </w:rPr>
        <w:t>日，人民日报</w:t>
      </w:r>
      <w:r>
        <w:rPr>
          <w:w w:val="100"/>
        </w:rPr>
        <w:t> </w:t>
      </w:r>
      <w:r>
        <w:rPr>
          <w:spacing w:val="-3"/>
        </w:rPr>
        <w:t>网络版正式接入国际互联网，开启了党报媒体进军互联网的征程。</w:t>
      </w:r>
      <w:r>
        <w:rPr>
          <w:rFonts w:ascii="宋体" w:hAnsi="宋体" w:cs="宋体" w:eastAsia="宋体" w:hint="default"/>
          <w:spacing w:val="-3"/>
        </w:rPr>
        <w:t>20</w:t>
      </w:r>
      <w:r>
        <w:rPr>
          <w:rFonts w:ascii="宋体" w:hAnsi="宋体" w:cs="宋体" w:eastAsia="宋体" w:hint="default"/>
          <w:spacing w:val="26"/>
        </w:rPr>
        <w:t> </w:t>
      </w:r>
      <w:r>
        <w:rPr>
          <w:spacing w:val="-3"/>
        </w:rPr>
        <w:t>年来，人民网坚守“网上的</w:t>
      </w:r>
      <w:r>
        <w:rPr>
          <w:w w:val="100"/>
        </w:rPr>
        <w:t> </w:t>
      </w:r>
      <w:r>
        <w:rPr>
          <w:spacing w:val="-2"/>
        </w:rPr>
        <w:t>人民日报”定位，秉持“权威、实力，来自人民”的办网理念，坚持“做最好内容的网站、做最</w:t>
      </w:r>
      <w:r>
        <w:rPr>
          <w:spacing w:val="-57"/>
        </w:rPr>
        <w:t> </w:t>
      </w:r>
      <w:r>
        <w:rPr>
          <w:spacing w:val="-57"/>
        </w:rPr>
      </w:r>
      <w:r>
        <w:rPr>
          <w:spacing w:val="-2"/>
        </w:rPr>
        <w:t>好服务的平台”，在网络宣传、对外传播、媒体融合、事业发展等方面取得了显著成绩。今天的</w:t>
      </w:r>
      <w:r>
        <w:rPr>
          <w:spacing w:val="-55"/>
        </w:rPr>
        <w:t> </w:t>
      </w:r>
      <w:r>
        <w:rPr>
          <w:spacing w:val="-55"/>
        </w:rPr>
      </w:r>
      <w:r>
        <w:rPr>
          <w:spacing w:val="-2"/>
        </w:rPr>
        <w:t>人民网，已成为多语种、多终端、全媒体、全球化的国内最大主流新闻网站，成为国际互联网上</w:t>
      </w:r>
      <w:r>
        <w:rPr>
          <w:spacing w:val="-53"/>
        </w:rPr>
        <w:t> </w:t>
      </w:r>
      <w:r>
        <w:rPr>
          <w:spacing w:val="-53"/>
        </w:rPr>
      </w:r>
      <w:r>
        <w:rPr>
          <w:spacing w:val="-2"/>
        </w:rPr>
        <w:t>最大的综合性网络媒体之一，在中央重点新闻网站综合传播力排行榜中，人民网长期位居第一。</w:t>
      </w:r>
      <w:r>
        <w:rPr>
          <w:spacing w:val="-53"/>
        </w:rPr>
        <w:t> </w:t>
      </w:r>
      <w:r>
        <w:rPr>
          <w:spacing w:val="-53"/>
        </w:rPr>
      </w:r>
      <w:r>
        <w:rPr>
          <w:spacing w:val="-2"/>
        </w:rPr>
        <w:t>报告期内，公司继续深入贯彻融合发展战略，牢牢把握正确舆论导向，加强党建工作引领作</w:t>
      </w:r>
      <w:r>
        <w:rPr>
          <w:w w:val="100"/>
        </w:rPr>
        <w:t> </w:t>
      </w:r>
      <w:r>
        <w:rPr>
          <w:spacing w:val="-2"/>
        </w:rPr>
        <w:t>用，人民网的政治价值、传播价值、平台价值、品牌价值和资本价值日益凸显，为新时代开启新</w:t>
      </w:r>
    </w:p>
    <w:p>
      <w:pPr>
        <w:pStyle w:val="BodyText"/>
        <w:spacing w:line="355" w:lineRule="auto" w:before="32"/>
        <w:ind w:left="558" w:right="0" w:hanging="420"/>
        <w:jc w:val="left"/>
      </w:pPr>
      <w:r>
        <w:rPr/>
        <w:t>征程打下坚实基础。</w:t>
      </w:r>
      <w:r>
        <w:rPr>
          <w:w w:val="100"/>
        </w:rPr>
        <w:t> </w:t>
      </w:r>
      <w:r>
        <w:rPr>
          <w:spacing w:val="-2"/>
        </w:rPr>
        <w:t>在新闻报道方面，公司紧紧围绕党的十九大报道这一中心任务，全面部署，精心打造，融合</w:t>
      </w:r>
    </w:p>
    <w:p>
      <w:pPr>
        <w:pStyle w:val="BodyText"/>
        <w:spacing w:line="357" w:lineRule="auto" w:before="32"/>
        <w:ind w:right="128"/>
        <w:jc w:val="both"/>
      </w:pPr>
      <w:r>
        <w:rPr>
          <w:spacing w:val="-4"/>
        </w:rPr>
        <w:t>创新，采用“专区</w:t>
      </w:r>
      <w:r>
        <w:rPr>
          <w:rFonts w:ascii="宋体" w:hAnsi="宋体" w:cs="宋体" w:eastAsia="宋体" w:hint="default"/>
          <w:spacing w:val="-4"/>
        </w:rPr>
        <w:t>+</w:t>
      </w:r>
      <w:r>
        <w:rPr>
          <w:spacing w:val="-4"/>
        </w:rPr>
        <w:t>专题、国内</w:t>
      </w:r>
      <w:r>
        <w:rPr>
          <w:rFonts w:ascii="宋体" w:hAnsi="宋体" w:cs="宋体" w:eastAsia="宋体" w:hint="default"/>
          <w:spacing w:val="-4"/>
        </w:rPr>
        <w:t>+</w:t>
      </w:r>
      <w:r>
        <w:rPr>
          <w:spacing w:val="-4"/>
        </w:rPr>
        <w:t>国际、地面</w:t>
      </w:r>
      <w:r>
        <w:rPr>
          <w:rFonts w:ascii="宋体" w:hAnsi="宋体" w:cs="宋体" w:eastAsia="宋体" w:hint="default"/>
          <w:spacing w:val="-4"/>
        </w:rPr>
        <w:t>+</w:t>
      </w:r>
      <w:r>
        <w:rPr>
          <w:spacing w:val="-4"/>
        </w:rPr>
        <w:t>空中”的方式进行深入立体报道，多形式、强联动持</w:t>
      </w:r>
      <w:r>
        <w:rPr>
          <w:spacing w:val="-30"/>
        </w:rPr>
        <w:t> </w:t>
      </w:r>
      <w:r>
        <w:rPr>
          <w:spacing w:val="-30"/>
        </w:rPr>
      </w:r>
      <w:r>
        <w:rPr>
          <w:spacing w:val="-6"/>
        </w:rPr>
        <w:t>续推进十九大精神宣传，高度凸显了人民网的政治价值。公司顺应网络传播发展趋势，向视频化、</w:t>
      </w:r>
      <w:r>
        <w:rPr>
          <w:spacing w:val="-54"/>
        </w:rPr>
        <w:t> </w:t>
      </w:r>
      <w:r>
        <w:rPr>
          <w:spacing w:val="-54"/>
        </w:rPr>
      </w:r>
      <w:r>
        <w:rPr>
          <w:spacing w:val="-2"/>
        </w:rPr>
        <w:t>移动化转型，不断提高视频制作水平，推出原创精品，深入推进媒体融合发展，并以海外社交媒</w:t>
      </w:r>
      <w:r>
        <w:rPr>
          <w:spacing w:val="-25"/>
        </w:rPr>
        <w:t> </w:t>
      </w:r>
      <w:r>
        <w:rPr>
          <w:spacing w:val="-25"/>
        </w:rPr>
      </w:r>
      <w:r>
        <w:rPr>
          <w:spacing w:val="-2"/>
        </w:rPr>
        <w:t>体为重点，推动海外站点建设发展，积极发挥媒体助推国家公共外交作用，不断强化了人民网的</w:t>
      </w:r>
      <w:r>
        <w:rPr>
          <w:spacing w:val="-25"/>
        </w:rPr>
        <w:t> </w:t>
      </w:r>
      <w:r>
        <w:rPr>
          <w:spacing w:val="-25"/>
        </w:rPr>
      </w:r>
      <w:r>
        <w:rPr/>
        <w:t>传播价值。公司进一步提升原创评论的时效度，全年刊发原创评论近</w:t>
      </w:r>
      <w:r>
        <w:rPr>
          <w:spacing w:val="-55"/>
        </w:rPr>
        <w:t> </w:t>
      </w:r>
      <w:r>
        <w:rPr>
          <w:rFonts w:ascii="宋体" w:hAnsi="宋体" w:cs="宋体" w:eastAsia="宋体" w:hint="default"/>
        </w:rPr>
        <w:t>700</w:t>
      </w:r>
      <w:r>
        <w:rPr>
          <w:rFonts w:ascii="宋体" w:hAnsi="宋体" w:cs="宋体" w:eastAsia="宋体" w:hint="default"/>
          <w:spacing w:val="-55"/>
        </w:rPr>
        <w:t> </w:t>
      </w:r>
      <w:r>
        <w:rPr/>
        <w:t>篇，在原有优秀栏目的</w:t>
      </w:r>
      <w:r>
        <w:rPr>
          <w:w w:val="100"/>
        </w:rPr>
        <w:t> </w:t>
      </w:r>
      <w:r>
        <w:rPr>
          <w:spacing w:val="-2"/>
        </w:rPr>
        <w:t>基础上，开创“三评”系列，敢于发声，善于发声，积极引领舆论，强力提升了人民网的品牌价</w:t>
      </w:r>
      <w:r>
        <w:rPr>
          <w:spacing w:val="-26"/>
        </w:rPr>
        <w:t> </w:t>
      </w:r>
      <w:r>
        <w:rPr>
          <w:spacing w:val="-26"/>
        </w:rPr>
      </w:r>
      <w:r>
        <w:rPr>
          <w:spacing w:val="-6"/>
        </w:rPr>
        <w:t>值。公司通过统筹采编力量、整合优势资源、优化组织结构，积极推动并初步完成内部机构改革，</w:t>
      </w:r>
      <w:r>
        <w:rPr>
          <w:spacing w:val="-52"/>
        </w:rPr>
        <w:t> </w:t>
      </w:r>
      <w:r>
        <w:rPr>
          <w:spacing w:val="-52"/>
        </w:rPr>
      </w:r>
      <w:r>
        <w:rPr/>
        <w:t>显著提升了专业水平及管理效率，通过再造流程，融通资源，深入挖掘了人民网的平台价值。</w:t>
      </w:r>
    </w:p>
    <w:p>
      <w:pPr>
        <w:pStyle w:val="BodyText"/>
        <w:spacing w:line="357" w:lineRule="auto" w:before="32"/>
        <w:ind w:right="137" w:firstLine="419"/>
        <w:jc w:val="both"/>
      </w:pPr>
      <w:r>
        <w:rPr>
          <w:spacing w:val="-2"/>
        </w:rPr>
        <w:t>在经营发展方面，公司通过建立新的体制机制，加强组织策划和服务能力建设，线上与线下</w:t>
      </w:r>
      <w:r>
        <w:rPr>
          <w:w w:val="100"/>
        </w:rPr>
        <w:t> </w:t>
      </w:r>
      <w:r>
        <w:rPr>
          <w:spacing w:val="-2"/>
        </w:rPr>
        <w:t>业务的结合更加紧密，各类主题活动、论坛和线上经营业务形成良性互动。通过打通地方公司、</w:t>
      </w:r>
      <w:r>
        <w:rPr>
          <w:spacing w:val="-25"/>
        </w:rPr>
        <w:t> </w:t>
      </w:r>
      <w:r>
        <w:rPr>
          <w:spacing w:val="-25"/>
        </w:rPr>
      </w:r>
      <w:r>
        <w:rPr>
          <w:spacing w:val="-2"/>
        </w:rPr>
        <w:t>海外公司和重点项目之间的壁垒，整合优势资源，形成发展合力，经营工作整体呈现平稳态势。</w:t>
      </w:r>
      <w:r>
        <w:rPr>
          <w:spacing w:val="-25"/>
        </w:rPr>
        <w:t> </w:t>
      </w:r>
      <w:r>
        <w:rPr>
          <w:spacing w:val="-25"/>
        </w:rPr>
      </w:r>
      <w:r>
        <w:rPr>
          <w:spacing w:val="-2"/>
        </w:rPr>
        <w:t>充分发挥内容、品牌、平台和资本优势，加强产业资源的整合，加强与各行业领军企业的共建共</w:t>
      </w:r>
      <w:r>
        <w:rPr>
          <w:spacing w:val="-25"/>
        </w:rPr>
        <w:t> </w:t>
      </w:r>
      <w:r>
        <w:rPr>
          <w:spacing w:val="-25"/>
        </w:rPr>
      </w:r>
      <w:r>
        <w:rPr>
          <w:spacing w:val="-2"/>
        </w:rPr>
        <w:t>享，人民健康、人民科技、人民体育、重庆政微、金台恒达等多家子公司先后完成注册并投入运</w:t>
      </w:r>
      <w:r>
        <w:rPr>
          <w:spacing w:val="-25"/>
        </w:rPr>
        <w:t> </w:t>
      </w:r>
      <w:r>
        <w:rPr>
          <w:spacing w:val="-25"/>
        </w:rPr>
      </w:r>
      <w:r>
        <w:rPr>
          <w:spacing w:val="-2"/>
        </w:rPr>
        <w:t>营，取得了良好的收益。公司积极推动原有投资项目的重组以及资本化进程，完成古羌科技资本</w:t>
      </w:r>
      <w:r>
        <w:rPr>
          <w:spacing w:val="-25"/>
        </w:rPr>
        <w:t> </w:t>
      </w:r>
      <w:r>
        <w:rPr>
          <w:spacing w:val="-25"/>
        </w:rPr>
      </w:r>
      <w:r>
        <w:rPr>
          <w:spacing w:val="-2"/>
        </w:rPr>
        <w:t>重组，转让人民澳客、网际星辰等公司股权，为文华在线、人民幼禾等合资公司引入战略投资，</w:t>
      </w:r>
      <w:r>
        <w:rPr>
          <w:spacing w:val="-26"/>
        </w:rPr>
        <w:t> </w:t>
      </w:r>
      <w:r>
        <w:rPr>
          <w:spacing w:val="-26"/>
        </w:rPr>
      </w:r>
      <w:r>
        <w:rPr/>
        <w:t>实现了投资的顺利退出和资产的保值增值，人民网资本价值得以有效增强。</w:t>
      </w:r>
    </w:p>
    <w:p>
      <w:pPr>
        <w:pStyle w:val="BodyText"/>
        <w:spacing w:line="357" w:lineRule="auto" w:before="30"/>
        <w:ind w:right="127" w:firstLine="419"/>
        <w:jc w:val="both"/>
      </w:pPr>
      <w:r>
        <w:rPr>
          <w:spacing w:val="-2"/>
        </w:rPr>
        <w:t>在主要子公司业务方面，环球网继续保持互联网国际与军事报道领域优势地位，广告业务、</w:t>
      </w:r>
      <w:r>
        <w:rPr>
          <w:w w:val="100"/>
        </w:rPr>
        <w:t> </w:t>
      </w:r>
      <w:r>
        <w:rPr>
          <w:spacing w:val="-2"/>
        </w:rPr>
        <w:t>增值业务、版权运营及编译平台等业务均取得较好发展。人民在线传统业务稳固，以传播及指数</w:t>
      </w:r>
      <w:r>
        <w:rPr>
          <w:spacing w:val="-25"/>
        </w:rPr>
        <w:t> </w:t>
      </w:r>
      <w:r>
        <w:rPr>
          <w:spacing w:val="-25"/>
        </w:rPr>
      </w:r>
      <w:r>
        <w:rPr>
          <w:spacing w:val="-2"/>
        </w:rPr>
        <w:t>榜单为代表的延伸业务相关收入占比进一步提升，在新兴业务层面，众云大数据平台及人民慕课</w:t>
      </w:r>
      <w:r>
        <w:rPr>
          <w:spacing w:val="-25"/>
        </w:rPr>
        <w:t> </w:t>
      </w:r>
      <w:r>
        <w:rPr>
          <w:spacing w:val="-25"/>
        </w:rPr>
      </w:r>
      <w:r>
        <w:rPr>
          <w:spacing w:val="-4"/>
        </w:rPr>
        <w:t>发展取得突破性进展，公司收入结构进一步多元化，产业布局趋于完善，向“数据</w:t>
      </w:r>
      <w:r>
        <w:rPr>
          <w:rFonts w:ascii="宋体" w:hAnsi="宋体" w:cs="宋体" w:eastAsia="宋体" w:hint="default"/>
          <w:spacing w:val="-4"/>
        </w:rPr>
        <w:t>+</w:t>
      </w:r>
      <w:r>
        <w:rPr>
          <w:spacing w:val="-4"/>
        </w:rPr>
        <w:t>咨询”的智库</w:t>
      </w:r>
      <w:r>
        <w:rPr>
          <w:spacing w:val="-35"/>
        </w:rPr>
        <w:t> </w:t>
      </w:r>
      <w:r>
        <w:rPr>
          <w:spacing w:val="-35"/>
        </w:rPr>
      </w:r>
      <w:r>
        <w:rPr>
          <w:spacing w:val="-6"/>
        </w:rPr>
        <w:t>转型已初显成效。人民视讯调整产业布局，建立以视频为核心的自有产品体系，以客户端为载体，</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218" w:right="237"/>
        <w:jc w:val="both"/>
      </w:pPr>
      <w:r>
        <w:rPr>
          <w:spacing w:val="-2"/>
        </w:rPr>
        <w:t>以内容建设为重点，大力发展内容原创和版权集成，建设差异化栏目，搭建人民视讯流量平台，</w:t>
      </w:r>
      <w:r>
        <w:rPr>
          <w:spacing w:val="-25"/>
        </w:rPr>
        <w:t> </w:t>
      </w:r>
      <w:r>
        <w:rPr>
          <w:spacing w:val="-25"/>
        </w:rPr>
      </w:r>
      <w:r>
        <w:rPr>
          <w:spacing w:val="-2"/>
        </w:rPr>
        <w:t>形成了具有用户口碑和市场影响力的强档名牌栏目群，在扩展品牌影响力的同时进一步拓展了公</w:t>
      </w:r>
      <w:r>
        <w:rPr>
          <w:spacing w:val="-26"/>
        </w:rPr>
        <w:t> </w:t>
      </w:r>
      <w:r>
        <w:rPr>
          <w:spacing w:val="-26"/>
        </w:rPr>
      </w:r>
      <w:r>
        <w:rPr>
          <w:spacing w:val="-2"/>
        </w:rPr>
        <w:t>司业务线。海外网充分发挥新媒体平台属性，运用融媒体的优势，着力打造媒体核心竞争力，通</w:t>
      </w:r>
      <w:r>
        <w:rPr>
          <w:spacing w:val="-25"/>
        </w:rPr>
        <w:t> </w:t>
      </w:r>
      <w:r>
        <w:rPr>
          <w:spacing w:val="-25"/>
        </w:rPr>
      </w:r>
      <w:r>
        <w:rPr/>
        <w:t>过对内加强管理、优化部门，对外加强营销、推出丰富活动及产品，首次实现扭亏为盈。</w:t>
      </w:r>
    </w:p>
    <w:p>
      <w:pPr>
        <w:spacing w:line="240" w:lineRule="auto" w:before="11"/>
        <w:rPr>
          <w:rFonts w:ascii="宋体" w:hAnsi="宋体" w:cs="宋体" w:eastAsia="宋体" w:hint="default"/>
          <w:sz w:val="27"/>
          <w:szCs w:val="27"/>
        </w:rPr>
      </w:pPr>
    </w:p>
    <w:p>
      <w:pPr>
        <w:pStyle w:val="Heading2"/>
        <w:spacing w:line="240" w:lineRule="auto"/>
        <w:ind w:right="0"/>
        <w:jc w:val="both"/>
        <w:rPr>
          <w:b w:val="0"/>
          <w:bCs w:val="0"/>
        </w:rPr>
      </w:pPr>
      <w:r>
        <w:rPr/>
        <w:t>二、报告期内主要经营情况</w:t>
      </w:r>
      <w:r>
        <w:rPr>
          <w:b w:val="0"/>
          <w:bCs w:val="0"/>
        </w:rPr>
      </w:r>
    </w:p>
    <w:p>
      <w:pPr>
        <w:pStyle w:val="BodyText"/>
        <w:spacing w:line="240" w:lineRule="auto" w:before="116"/>
        <w:ind w:left="638" w:right="124"/>
        <w:jc w:val="left"/>
      </w:pPr>
      <w:r>
        <w:rPr/>
        <w:t>截至</w:t>
      </w:r>
      <w:r>
        <w:rPr>
          <w:spacing w:val="-41"/>
        </w:rPr>
        <w:t> </w:t>
      </w:r>
      <w:r>
        <w:rPr>
          <w:rFonts w:ascii="宋体" w:hAnsi="宋体" w:cs="宋体" w:eastAsia="宋体" w:hint="default"/>
        </w:rPr>
        <w:t>2017</w:t>
      </w:r>
      <w:r>
        <w:rPr>
          <w:rFonts w:ascii="宋体" w:hAnsi="宋体" w:cs="宋体" w:eastAsia="宋体" w:hint="default"/>
          <w:spacing w:val="-43"/>
        </w:rPr>
        <w:t> </w:t>
      </w:r>
      <w:r>
        <w:rPr>
          <w:spacing w:val="-5"/>
        </w:rPr>
        <w:t>年末，人民网集团总资产达人民币</w:t>
      </w:r>
      <w:r>
        <w:rPr>
          <w:spacing w:val="-41"/>
        </w:rPr>
        <w:t> </w:t>
      </w:r>
      <w:r>
        <w:rPr>
          <w:rFonts w:ascii="宋体" w:hAnsi="宋体" w:cs="宋体" w:eastAsia="宋体" w:hint="default"/>
        </w:rPr>
        <w:t>36.51</w:t>
      </w:r>
      <w:r>
        <w:rPr>
          <w:rFonts w:ascii="宋体" w:hAnsi="宋体" w:cs="宋体" w:eastAsia="宋体" w:hint="default"/>
          <w:spacing w:val="-43"/>
        </w:rPr>
        <w:t> </w:t>
      </w:r>
      <w:r>
        <w:rPr>
          <w:spacing w:val="-4"/>
        </w:rPr>
        <w:t>亿元，归属于上市公司股东的净资产为人</w:t>
      </w:r>
    </w:p>
    <w:p>
      <w:pPr>
        <w:pStyle w:val="BodyText"/>
        <w:spacing w:line="357" w:lineRule="auto" w:before="133"/>
        <w:ind w:left="218" w:right="227"/>
        <w:jc w:val="both"/>
      </w:pPr>
      <w:r>
        <w:rPr/>
        <w:t>民币</w:t>
      </w:r>
      <w:r>
        <w:rPr>
          <w:spacing w:val="-54"/>
        </w:rPr>
        <w:t> </w:t>
      </w:r>
      <w:r>
        <w:rPr>
          <w:rFonts w:ascii="宋体" w:hAnsi="宋体" w:cs="宋体" w:eastAsia="宋体" w:hint="default"/>
        </w:rPr>
        <w:t>27.85</w:t>
      </w:r>
      <w:r>
        <w:rPr>
          <w:rFonts w:ascii="宋体" w:hAnsi="宋体" w:cs="宋体" w:eastAsia="宋体" w:hint="default"/>
          <w:spacing w:val="-56"/>
        </w:rPr>
        <w:t> </w:t>
      </w:r>
      <w:r>
        <w:rPr/>
        <w:t>亿元。报告期内，公司实现营业总收入人民币</w:t>
      </w:r>
      <w:r>
        <w:rPr>
          <w:spacing w:val="-53"/>
        </w:rPr>
        <w:t> </w:t>
      </w:r>
      <w:r>
        <w:rPr>
          <w:rFonts w:ascii="宋体" w:hAnsi="宋体" w:cs="宋体" w:eastAsia="宋体" w:hint="default"/>
        </w:rPr>
        <w:t>14.01</w:t>
      </w:r>
      <w:r>
        <w:rPr>
          <w:rFonts w:ascii="宋体" w:hAnsi="宋体" w:cs="宋体" w:eastAsia="宋体" w:hint="default"/>
          <w:spacing w:val="-54"/>
        </w:rPr>
        <w:t> </w:t>
      </w:r>
      <w:r>
        <w:rPr/>
        <w:t>亿元，与去年同期基本持平，实</w:t>
      </w:r>
      <w:r>
        <w:rPr>
          <w:w w:val="100"/>
        </w:rPr>
        <w:t> </w:t>
      </w:r>
      <w:r>
        <w:rPr/>
        <w:t>现归属于上市公司股东净利润人民币</w:t>
      </w:r>
      <w:r>
        <w:rPr>
          <w:spacing w:val="-56"/>
        </w:rPr>
        <w:t> </w:t>
      </w:r>
      <w:r>
        <w:rPr>
          <w:rFonts w:ascii="宋体" w:hAnsi="宋体" w:cs="宋体" w:eastAsia="宋体" w:hint="default"/>
        </w:rPr>
        <w:t>8,940.84</w:t>
      </w:r>
      <w:r>
        <w:rPr>
          <w:rFonts w:ascii="宋体" w:hAnsi="宋体" w:cs="宋体" w:eastAsia="宋体" w:hint="default"/>
          <w:spacing w:val="-56"/>
        </w:rPr>
        <w:t> </w:t>
      </w:r>
      <w:r>
        <w:rPr/>
        <w:t>万元，较去年同期下降</w:t>
      </w:r>
      <w:r>
        <w:rPr>
          <w:spacing w:val="-56"/>
        </w:rPr>
        <w:t> </w:t>
      </w:r>
      <w:r>
        <w:rPr>
          <w:rFonts w:ascii="宋体" w:hAnsi="宋体" w:cs="宋体" w:eastAsia="宋体" w:hint="default"/>
        </w:rPr>
        <w:t>15.65%</w:t>
      </w:r>
      <w:r>
        <w:rPr/>
        <w:t>。公司利润下降主</w:t>
      </w:r>
      <w:r>
        <w:rPr>
          <w:w w:val="100"/>
        </w:rPr>
        <w:t> </w:t>
      </w:r>
      <w:r>
        <w:rPr>
          <w:spacing w:val="-4"/>
        </w:rPr>
        <w:t>要归因于以下几点：</w:t>
      </w:r>
      <w:r>
        <w:rPr>
          <w:rFonts w:ascii="宋体" w:hAnsi="宋体" w:cs="宋体" w:eastAsia="宋体" w:hint="default"/>
          <w:spacing w:val="-4"/>
        </w:rPr>
        <w:t>1</w:t>
      </w:r>
      <w:r>
        <w:rPr>
          <w:spacing w:val="-4"/>
        </w:rPr>
        <w:t>、上年同期原子公司人民澳客处置了所持微屏软件股权，确认投资收益约人</w:t>
      </w:r>
      <w:r>
        <w:rPr>
          <w:spacing w:val="-34"/>
        </w:rPr>
        <w:t> </w:t>
      </w:r>
      <w:r>
        <w:rPr>
          <w:spacing w:val="-34"/>
        </w:rPr>
      </w:r>
      <w:r>
        <w:rPr/>
        <w:t>民币 </w:t>
      </w:r>
      <w:r>
        <w:rPr>
          <w:rFonts w:ascii="宋体" w:hAnsi="宋体" w:cs="宋体" w:eastAsia="宋体" w:hint="default"/>
        </w:rPr>
        <w:t>1.6</w:t>
      </w:r>
      <w:r>
        <w:rPr>
          <w:rFonts w:ascii="宋体" w:hAnsi="宋体" w:cs="宋体" w:eastAsia="宋体" w:hint="default"/>
          <w:spacing w:val="-52"/>
        </w:rPr>
        <w:t> </w:t>
      </w:r>
      <w:r>
        <w:rPr>
          <w:spacing w:val="-4"/>
        </w:rPr>
        <w:t>亿元；</w:t>
      </w:r>
      <w:r>
        <w:rPr>
          <w:rFonts w:ascii="宋体" w:hAnsi="宋体" w:cs="宋体" w:eastAsia="宋体" w:hint="default"/>
          <w:spacing w:val="-4"/>
        </w:rPr>
        <w:t>2</w:t>
      </w:r>
      <w:r>
        <w:rPr>
          <w:spacing w:val="-4"/>
        </w:rPr>
        <w:t>、公司于报告期内处置了所持子公司人民澳客的全部股权，人民网对人民澳客投</w:t>
      </w:r>
    </w:p>
    <w:p>
      <w:pPr>
        <w:pStyle w:val="BodyText"/>
        <w:spacing w:line="240" w:lineRule="auto" w:before="30"/>
        <w:ind w:left="218" w:right="0"/>
        <w:jc w:val="both"/>
      </w:pPr>
      <w:r>
        <w:rPr/>
        <w:t>资金额为人民币</w:t>
      </w:r>
      <w:r>
        <w:rPr>
          <w:spacing w:val="-55"/>
        </w:rPr>
        <w:t> </w:t>
      </w:r>
      <w:r>
        <w:rPr>
          <w:rFonts w:ascii="宋体" w:hAnsi="宋体" w:cs="宋体" w:eastAsia="宋体" w:hint="default"/>
        </w:rPr>
        <w:t>2,000</w:t>
      </w:r>
      <w:r>
        <w:rPr>
          <w:rFonts w:ascii="宋体" w:hAnsi="宋体" w:cs="宋体" w:eastAsia="宋体" w:hint="default"/>
          <w:spacing w:val="-54"/>
        </w:rPr>
        <w:t> </w:t>
      </w:r>
      <w:r>
        <w:rPr/>
        <w:t>万元，本次处置成交金额为人民币</w:t>
      </w:r>
      <w:r>
        <w:rPr>
          <w:spacing w:val="-55"/>
        </w:rPr>
        <w:t> </w:t>
      </w:r>
      <w:r>
        <w:rPr>
          <w:rFonts w:ascii="宋体" w:hAnsi="宋体" w:cs="宋体" w:eastAsia="宋体" w:hint="default"/>
        </w:rPr>
        <w:t>9,931</w:t>
      </w:r>
      <w:r>
        <w:rPr>
          <w:rFonts w:ascii="宋体" w:hAnsi="宋体" w:cs="宋体" w:eastAsia="宋体" w:hint="default"/>
          <w:spacing w:val="-55"/>
        </w:rPr>
        <w:t> </w:t>
      </w:r>
      <w:r>
        <w:rPr/>
        <w:t>万元，根据《企业会计准则》的</w:t>
      </w:r>
    </w:p>
    <w:p>
      <w:pPr>
        <w:pStyle w:val="BodyText"/>
        <w:spacing w:line="240" w:lineRule="auto" w:before="135"/>
        <w:ind w:left="218" w:right="0"/>
        <w:jc w:val="both"/>
      </w:pPr>
      <w:r>
        <w:rPr>
          <w:spacing w:val="-5"/>
        </w:rPr>
        <w:t>相关规定，由于人民澳客曾于 </w:t>
      </w:r>
      <w:r>
        <w:rPr>
          <w:rFonts w:ascii="宋体" w:hAnsi="宋体" w:cs="宋体" w:eastAsia="宋体" w:hint="default"/>
        </w:rPr>
        <w:t>2014</w:t>
      </w:r>
      <w:r>
        <w:rPr>
          <w:rFonts w:ascii="宋体" w:hAnsi="宋体" w:cs="宋体" w:eastAsia="宋体" w:hint="default"/>
          <w:spacing w:val="-32"/>
        </w:rPr>
        <w:t> </w:t>
      </w:r>
      <w:r>
        <w:rPr>
          <w:spacing w:val="-4"/>
        </w:rPr>
        <w:t>年接受少数股东增资，人民网所持股权被稀释但控制权未发生</w:t>
      </w:r>
    </w:p>
    <w:p>
      <w:pPr>
        <w:pStyle w:val="BodyText"/>
        <w:spacing w:line="355" w:lineRule="auto" w:before="133"/>
        <w:ind w:left="218" w:right="227"/>
        <w:jc w:val="both"/>
      </w:pPr>
      <w:r>
        <w:rPr>
          <w:spacing w:val="-9"/>
        </w:rPr>
        <w:t>变更，故本期处置股权时，于</w:t>
      </w:r>
      <w:r>
        <w:rPr>
          <w:spacing w:val="-49"/>
        </w:rPr>
        <w:t> </w:t>
      </w:r>
      <w:r>
        <w:rPr>
          <w:rFonts w:ascii="宋体" w:hAnsi="宋体" w:cs="宋体" w:eastAsia="宋体" w:hint="default"/>
        </w:rPr>
        <w:t>2014</w:t>
      </w:r>
      <w:r>
        <w:rPr>
          <w:rFonts w:ascii="宋体" w:hAnsi="宋体" w:cs="宋体" w:eastAsia="宋体" w:hint="default"/>
          <w:spacing w:val="-49"/>
        </w:rPr>
        <w:t> </w:t>
      </w:r>
      <w:r>
        <w:rPr/>
        <w:t>年已计入合并报表层面资本公积科目的约人民币</w:t>
      </w:r>
      <w:r>
        <w:rPr>
          <w:spacing w:val="-48"/>
        </w:rPr>
        <w:t> </w:t>
      </w:r>
      <w:r>
        <w:rPr>
          <w:rFonts w:ascii="宋体" w:hAnsi="宋体" w:cs="宋体" w:eastAsia="宋体" w:hint="default"/>
        </w:rPr>
        <w:t>7,000</w:t>
      </w:r>
      <w:r>
        <w:rPr>
          <w:rFonts w:ascii="宋体" w:hAnsi="宋体" w:cs="宋体" w:eastAsia="宋体" w:hint="default"/>
          <w:spacing w:val="-51"/>
        </w:rPr>
        <w:t> </w:t>
      </w:r>
      <w:r>
        <w:rPr/>
        <w:t>余万元</w:t>
      </w:r>
      <w:r>
        <w:rPr>
          <w:w w:val="100"/>
        </w:rPr>
        <w:t> </w:t>
      </w:r>
      <w:r>
        <w:rPr>
          <w:spacing w:val="-10"/>
          <w:w w:val="100"/>
        </w:rPr>
        <w:t>未转入当期损益；</w:t>
      </w:r>
      <w:r>
        <w:rPr>
          <w:rFonts w:ascii="宋体" w:hAnsi="宋体" w:cs="宋体" w:eastAsia="宋体" w:hint="default"/>
          <w:spacing w:val="-10"/>
          <w:w w:val="100"/>
        </w:rPr>
        <w:t>3</w:t>
      </w:r>
      <w:r>
        <w:rPr>
          <w:spacing w:val="-10"/>
          <w:w w:val="100"/>
        </w:rPr>
        <w:t>、由于公司业务转型投入较大，营业成本增至人民币</w:t>
      </w:r>
      <w:r>
        <w:rPr>
          <w:spacing w:val="-50"/>
          <w:w w:val="100"/>
        </w:rPr>
        <w:t> </w:t>
      </w:r>
      <w:r>
        <w:rPr>
          <w:rFonts w:ascii="宋体" w:hAnsi="宋体" w:cs="宋体" w:eastAsia="宋体" w:hint="default"/>
          <w:spacing w:val="-1"/>
          <w:w w:val="100"/>
        </w:rPr>
        <w:t>9.14</w:t>
      </w:r>
      <w:r>
        <w:rPr>
          <w:rFonts w:ascii="宋体" w:hAnsi="宋体" w:cs="宋体" w:eastAsia="宋体" w:hint="default"/>
          <w:spacing w:val="-50"/>
          <w:w w:val="100"/>
        </w:rPr>
        <w:t> </w:t>
      </w:r>
      <w:r>
        <w:rPr>
          <w:spacing w:val="-15"/>
          <w:w w:val="100"/>
        </w:rPr>
        <w:t>亿元，同比增长</w:t>
      </w:r>
      <w:r>
        <w:rPr>
          <w:spacing w:val="-49"/>
          <w:w w:val="100"/>
        </w:rPr>
        <w:t> </w:t>
      </w:r>
      <w:r>
        <w:rPr>
          <w:rFonts w:ascii="宋体" w:hAnsi="宋体" w:cs="宋体" w:eastAsia="宋体" w:hint="default"/>
          <w:spacing w:val="-1"/>
          <w:w w:val="100"/>
        </w:rPr>
        <w:t>11%</w:t>
      </w:r>
      <w:r>
        <w:rPr>
          <w:spacing w:val="-1"/>
          <w:w w:val="100"/>
        </w:rPr>
        <w:t>，</w:t>
      </w:r>
      <w:r>
        <w:rPr>
          <w:w w:val="100"/>
        </w:rPr>
        <w:t> </w:t>
      </w:r>
      <w:r>
        <w:rPr/>
        <w:t>进一步导致</w:t>
      </w:r>
      <w:r>
        <w:rPr>
          <w:spacing w:val="-56"/>
        </w:rPr>
        <w:t> </w:t>
      </w:r>
      <w:r>
        <w:rPr>
          <w:rFonts w:ascii="宋体" w:hAnsi="宋体" w:cs="宋体" w:eastAsia="宋体" w:hint="default"/>
        </w:rPr>
        <w:t>2017</w:t>
      </w:r>
      <w:r>
        <w:rPr>
          <w:rFonts w:ascii="宋体" w:hAnsi="宋体" w:cs="宋体" w:eastAsia="宋体" w:hint="default"/>
          <w:spacing w:val="-56"/>
        </w:rPr>
        <w:t> </w:t>
      </w:r>
      <w:r>
        <w:rPr/>
        <w:t>年度归属于上市公司股东净利润同比出现一定降幅。</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tabs>
          <w:tab w:pos="1057" w:val="left" w:leader="none"/>
        </w:tabs>
        <w:spacing w:line="240" w:lineRule="auto" w:before="36"/>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2"/>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6"/>
        <w:gridCol w:w="1899"/>
      </w:tblGrid>
      <w:tr>
        <w:trPr>
          <w:trHeight w:val="379"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79"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1,400,642,259.77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1,431,792,603.50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-2.18</w:t>
            </w:r>
          </w:p>
        </w:tc>
      </w:tr>
      <w:tr>
        <w:trPr>
          <w:trHeight w:val="377"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913,616,657.81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823,113,045.13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11.00</w:t>
            </w:r>
          </w:p>
        </w:tc>
      </w:tr>
      <w:tr>
        <w:trPr>
          <w:trHeight w:val="379"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258,288,485.02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309,688,674.33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-16.60</w:t>
            </w:r>
          </w:p>
        </w:tc>
      </w:tr>
      <w:tr>
        <w:trPr>
          <w:trHeight w:val="377"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189,578,391.54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207,868,553.21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-8.80</w:t>
            </w:r>
          </w:p>
        </w:tc>
      </w:tr>
      <w:tr>
        <w:trPr>
          <w:trHeight w:val="38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-874,418.37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-3,819,383.94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sz w:val="21"/>
              </w:rPr>
              <w:t>77.11</w:t>
            </w:r>
          </w:p>
        </w:tc>
      </w:tr>
      <w:tr>
        <w:trPr>
          <w:trHeight w:val="379"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306,335,261.68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240,180,415.67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27.54</w:t>
            </w:r>
          </w:p>
        </w:tc>
      </w:tr>
      <w:tr>
        <w:trPr>
          <w:trHeight w:val="377"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-107,955,644.49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-976,677,695.69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88.95</w:t>
            </w:r>
          </w:p>
        </w:tc>
      </w:tr>
      <w:tr>
        <w:trPr>
          <w:trHeight w:val="379"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-98,819,197.52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-89,136,316.81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-10.86</w:t>
            </w:r>
          </w:p>
        </w:tc>
      </w:tr>
      <w:tr>
        <w:trPr>
          <w:trHeight w:val="379"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34,579,573.45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45,220,956.78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-23.53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tabs>
          <w:tab w:pos="637" w:val="left" w:leader="none"/>
        </w:tabs>
        <w:spacing w:line="240" w:lineRule="auto" w:before="36"/>
        <w:ind w:right="2731"/>
        <w:jc w:val="left"/>
        <w:rPr>
          <w:b w:val="0"/>
          <w:bCs w:val="0"/>
        </w:rPr>
      </w:pPr>
      <w:r>
        <w:rPr>
          <w:rFonts w:ascii="宋体" w:hAnsi="宋体" w:cs="宋体" w:eastAsia="宋体" w:hint="default"/>
          <w:w w:val="95"/>
        </w:rPr>
        <w:t>1.</w:t>
        <w:tab/>
      </w:r>
      <w:r>
        <w:rPr/>
        <w:t>收入和成本分析</w:t>
      </w:r>
      <w:r>
        <w:rPr>
          <w:b w:val="0"/>
          <w:bCs w:val="0"/>
        </w:rPr>
      </w:r>
    </w:p>
    <w:p>
      <w:pPr>
        <w:pStyle w:val="BodyText"/>
        <w:spacing w:line="340" w:lineRule="auto" w:before="58"/>
        <w:ind w:left="638" w:right="2731" w:hanging="420"/>
        <w:jc w:val="left"/>
      </w:pPr>
      <w:r>
        <w:rPr/>
        <w:t>√适用</w:t>
      </w:r>
      <w:r>
        <w:rPr>
          <w:spacing w:val="-2"/>
        </w:rPr>
        <w:t> </w:t>
      </w:r>
      <w:r>
        <w:rPr/>
        <w:t>□不适用</w:t>
      </w:r>
      <w:r>
        <w:rPr>
          <w:w w:val="100"/>
        </w:rPr>
        <w:t> </w:t>
      </w:r>
      <w:r>
        <w:rPr>
          <w:spacing w:val="-2"/>
        </w:rPr>
        <w:t>详见以下分行业、分产品、分地区情况的具体说明。</w:t>
      </w:r>
    </w:p>
    <w:p>
      <w:pPr>
        <w:spacing w:after="0" w:line="3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2731"/>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6"/>
        <w:rPr>
          <w:rFonts w:ascii="宋体" w:hAnsi="宋体" w:cs="宋体" w:eastAsia="宋体" w:hint="default"/>
          <w:b/>
          <w:bCs/>
          <w:sz w:val="22"/>
          <w:szCs w:val="22"/>
        </w:rPr>
      </w:pPr>
    </w:p>
    <w:p>
      <w:pPr>
        <w:pStyle w:val="BodyText"/>
        <w:tabs>
          <w:tab w:pos="946" w:val="left" w:leader="none"/>
        </w:tabs>
        <w:spacing w:line="240" w:lineRule="auto" w:before="3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6"/>
        <w:gridCol w:w="283"/>
        <w:gridCol w:w="1705"/>
        <w:gridCol w:w="1702"/>
        <w:gridCol w:w="850"/>
        <w:gridCol w:w="1133"/>
        <w:gridCol w:w="1138"/>
        <w:gridCol w:w="1423"/>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4" w:right="13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6"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25"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940,070,411.11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600,933,971.72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7.46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380,729,522.07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249,223,965.46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8"/>
                <w:sz w:val="21"/>
                <w:szCs w:val="21"/>
              </w:rPr>
              <w:t> </w:t>
            </w:r>
            <w:r>
              <w:rPr>
                <w:rFonts w:ascii="宋体" w:hAnsi="宋体" w:cs="宋体" w:eastAsia="宋体" w:hint="default"/>
                <w:sz w:val="21"/>
                <w:szCs w:val="21"/>
              </w:rPr>
              <w:t>11.60</w:t>
            </w:r>
            <w:r>
              <w:rPr>
                <w:rFonts w:ascii="宋体" w:hAnsi="宋体" w:cs="宋体" w:eastAsia="宋体" w:hint="default"/>
                <w:spacing w:val="-81"/>
                <w:sz w:val="21"/>
                <w:szCs w:val="21"/>
              </w:rPr>
              <w:t> </w:t>
            </w:r>
            <w:r>
              <w:rPr>
                <w:rFonts w:ascii="宋体" w:hAnsi="宋体" w:cs="宋体" w:eastAsia="宋体" w:hint="default"/>
                <w:sz w:val="21"/>
                <w:szCs w:val="21"/>
              </w:rPr>
              <w:t>个</w:t>
            </w:r>
          </w:p>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5"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79,425,884.40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63,508,152.10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8"/>
                <w:sz w:val="21"/>
                <w:szCs w:val="21"/>
              </w:rPr>
              <w:t> </w:t>
            </w:r>
            <w:r>
              <w:rPr>
                <w:rFonts w:ascii="宋体" w:hAnsi="宋体" w:cs="宋体" w:eastAsia="宋体" w:hint="default"/>
                <w:sz w:val="21"/>
                <w:szCs w:val="21"/>
              </w:rPr>
              <w:t>11.04</w:t>
            </w:r>
            <w:r>
              <w:rPr>
                <w:rFonts w:ascii="宋体" w:hAnsi="宋体" w:cs="宋体" w:eastAsia="宋体" w:hint="default"/>
                <w:spacing w:val="-81"/>
                <w:sz w:val="21"/>
                <w:szCs w:val="21"/>
              </w:rPr>
              <w:t> </w:t>
            </w:r>
            <w:r>
              <w:rPr>
                <w:rFonts w:ascii="宋体" w:hAnsi="宋体" w:cs="宋体" w:eastAsia="宋体" w:hint="default"/>
                <w:sz w:val="21"/>
                <w:szCs w:val="21"/>
              </w:rPr>
              <w:t>个</w:t>
            </w:r>
          </w:p>
          <w:p>
            <w:pPr>
              <w:pStyle w:val="TableParagraph"/>
              <w:spacing w:line="275"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13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6"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25"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传服务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585,470,600.00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367,375,290.50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5.80</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380,729,522.07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249,223,965.46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8"/>
                <w:sz w:val="21"/>
                <w:szCs w:val="21"/>
              </w:rPr>
              <w:t> </w:t>
            </w:r>
            <w:r>
              <w:rPr>
                <w:rFonts w:ascii="宋体" w:hAnsi="宋体" w:cs="宋体" w:eastAsia="宋体" w:hint="default"/>
                <w:sz w:val="21"/>
                <w:szCs w:val="21"/>
              </w:rPr>
              <w:t>11.60</w:t>
            </w:r>
            <w:r>
              <w:rPr>
                <w:rFonts w:ascii="宋体" w:hAnsi="宋体" w:cs="宋体" w:eastAsia="宋体" w:hint="default"/>
                <w:spacing w:val="-81"/>
                <w:sz w:val="21"/>
                <w:szCs w:val="21"/>
              </w:rPr>
              <w:t> </w:t>
            </w:r>
            <w:r>
              <w:rPr>
                <w:rFonts w:ascii="宋体" w:hAnsi="宋体" w:cs="宋体" w:eastAsia="宋体" w:hint="default"/>
                <w:sz w:val="21"/>
                <w:szCs w:val="21"/>
              </w:rPr>
              <w:t>个</w:t>
            </w:r>
          </w:p>
          <w:p>
            <w:pPr>
              <w:pStyle w:val="TableParagraph"/>
              <w:spacing w:line="273"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354,599,811.11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233,558,681.22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3.04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7" w:right="189" w:hanging="106"/>
              <w:jc w:val="left"/>
              <w:rPr>
                <w:rFonts w:ascii="宋体" w:hAnsi="宋体" w:cs="宋体" w:eastAsia="宋体" w:hint="default"/>
                <w:sz w:val="21"/>
                <w:szCs w:val="21"/>
              </w:rPr>
            </w:pPr>
            <w:r>
              <w:rPr>
                <w:rFonts w:ascii="宋体" w:hAnsi="宋体" w:cs="宋体" w:eastAsia="宋体" w:hint="default"/>
                <w:sz w:val="21"/>
                <w:szCs w:val="21"/>
              </w:rPr>
              <w:t>分地</w:t>
            </w:r>
            <w:r>
              <w:rPr>
                <w:rFonts w:ascii="宋体" w:hAnsi="宋体" w:cs="宋体" w:eastAsia="宋体" w:hint="default"/>
                <w:spacing w:val="-103"/>
                <w:sz w:val="21"/>
                <w:szCs w:val="21"/>
              </w:rPr>
              <w:t> </w:t>
            </w:r>
            <w:r>
              <w:rPr>
                <w:rFonts w:ascii="宋体" w:hAnsi="宋体" w:cs="宋体" w:eastAsia="宋体" w:hint="default"/>
                <w:sz w:val="21"/>
                <w:szCs w:val="21"/>
              </w:rPr>
              <w:t>区</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4" w:right="13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6"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25"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1,382,480,829.62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908,466,485.32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8"/>
                <w:sz w:val="21"/>
                <w:szCs w:val="21"/>
              </w:rPr>
              <w:t> </w:t>
            </w:r>
            <w:r>
              <w:rPr>
                <w:rFonts w:ascii="宋体" w:hAnsi="宋体" w:cs="宋体" w:eastAsia="宋体" w:hint="default"/>
                <w:sz w:val="21"/>
                <w:szCs w:val="21"/>
              </w:rPr>
              <w:t>17.48</w:t>
            </w:r>
            <w:r>
              <w:rPr>
                <w:rFonts w:ascii="宋体" w:hAnsi="宋体" w:cs="宋体" w:eastAsia="宋体" w:hint="default"/>
                <w:spacing w:val="-81"/>
                <w:sz w:val="21"/>
                <w:szCs w:val="21"/>
              </w:rPr>
              <w:t> </w:t>
            </w:r>
            <w:r>
              <w:rPr>
                <w:rFonts w:ascii="宋体" w:hAnsi="宋体" w:cs="宋体" w:eastAsia="宋体" w:hint="default"/>
                <w:sz w:val="21"/>
                <w:szCs w:val="21"/>
              </w:rPr>
              <w:t>个</w:t>
            </w:r>
          </w:p>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sz w:val="21"/>
              </w:rPr>
              <w:t>17,744,987.96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5,199,603.96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72.29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2.53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8"/>
                <w:sz w:val="21"/>
                <w:szCs w:val="21"/>
              </w:rPr>
              <w:t> </w:t>
            </w:r>
            <w:r>
              <w:rPr>
                <w:rFonts w:ascii="宋体" w:hAnsi="宋体" w:cs="宋体" w:eastAsia="宋体" w:hint="default"/>
                <w:sz w:val="21"/>
                <w:szCs w:val="21"/>
              </w:rPr>
              <w:t>19.59</w:t>
            </w:r>
            <w:r>
              <w:rPr>
                <w:rFonts w:ascii="宋体" w:hAnsi="宋体" w:cs="宋体" w:eastAsia="宋体" w:hint="default"/>
                <w:spacing w:val="-81"/>
                <w:sz w:val="21"/>
                <w:szCs w:val="21"/>
              </w:rPr>
              <w:t> </w:t>
            </w:r>
            <w:r>
              <w:rPr>
                <w:rFonts w:ascii="宋体" w:hAnsi="宋体" w:cs="宋体" w:eastAsia="宋体" w:hint="default"/>
                <w:sz w:val="21"/>
                <w:szCs w:val="21"/>
              </w:rPr>
              <w:t>个</w:t>
            </w:r>
          </w:p>
          <w:p>
            <w:pPr>
              <w:pStyle w:val="TableParagraph"/>
              <w:spacing w:line="273" w:lineRule="exact"/>
              <w:ind w:left="679"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5"/>
          <w:szCs w:val="15"/>
        </w:rPr>
      </w:pPr>
    </w:p>
    <w:p>
      <w:pPr>
        <w:pStyle w:val="BodyText"/>
        <w:spacing w:line="274" w:lineRule="exact" w:before="36"/>
        <w:ind w:left="218" w:right="2731"/>
        <w:jc w:val="left"/>
      </w:pPr>
      <w:r>
        <w:rPr/>
        <w:t>主营业务分行业、分产品、分地区情况的说明</w:t>
      </w:r>
    </w:p>
    <w:p>
      <w:pPr>
        <w:pStyle w:val="BodyText"/>
        <w:spacing w:line="340" w:lineRule="auto"/>
        <w:ind w:left="638" w:right="227" w:hanging="420"/>
        <w:jc w:val="left"/>
      </w:pPr>
      <w:r>
        <w:rPr/>
        <w:t>√适用</w:t>
      </w:r>
      <w:r>
        <w:rPr>
          <w:spacing w:val="-2"/>
        </w:rPr>
        <w:t> </w:t>
      </w:r>
      <w:r>
        <w:rPr/>
        <w:t>□不适用</w:t>
      </w:r>
      <w:r>
        <w:rPr>
          <w:w w:val="100"/>
        </w:rPr>
        <w:t> </w:t>
      </w:r>
      <w:r>
        <w:rPr>
          <w:spacing w:val="-2"/>
        </w:rPr>
        <w:t>报告期内，公司主营业务以广告及宣传服务业务、移动增值业务、信息服务业务三类业务为</w:t>
      </w:r>
    </w:p>
    <w:p>
      <w:pPr>
        <w:pStyle w:val="BodyText"/>
        <w:spacing w:line="240" w:lineRule="auto" w:before="45"/>
        <w:ind w:left="218" w:right="227"/>
        <w:jc w:val="left"/>
      </w:pPr>
      <w:r>
        <w:rPr>
          <w:spacing w:val="-2"/>
        </w:rPr>
        <w:t>主，上述三类业务收入占营业收入的比例达</w:t>
      </w:r>
      <w:r>
        <w:rPr>
          <w:spacing w:val="22"/>
        </w:rPr>
        <w:t> </w:t>
      </w:r>
      <w:r>
        <w:rPr>
          <w:rFonts w:ascii="宋体" w:hAnsi="宋体" w:cs="宋体" w:eastAsia="宋体" w:hint="default"/>
          <w:spacing w:val="-2"/>
        </w:rPr>
        <w:t>94%</w:t>
      </w:r>
      <w:r>
        <w:rPr>
          <w:spacing w:val="-2"/>
        </w:rPr>
        <w:t>以上，各项业务的变动趋势及原因如下：</w:t>
      </w:r>
    </w:p>
    <w:p>
      <w:pPr>
        <w:pStyle w:val="BodyText"/>
        <w:spacing w:line="240" w:lineRule="auto" w:before="135"/>
        <w:ind w:left="638" w:right="2731"/>
        <w:jc w:val="left"/>
      </w:pPr>
      <w:r>
        <w:rPr/>
        <w:t>（</w:t>
      </w:r>
      <w:r>
        <w:rPr>
          <w:rFonts w:ascii="宋体" w:hAnsi="宋体" w:cs="宋体" w:eastAsia="宋体" w:hint="default"/>
        </w:rPr>
        <w:t>1</w:t>
      </w:r>
      <w:r>
        <w:rPr/>
        <w:t>）广告及宣传服务：</w:t>
      </w:r>
    </w:p>
    <w:p>
      <w:pPr>
        <w:pStyle w:val="BodyText"/>
        <w:spacing w:line="357" w:lineRule="auto" w:before="133"/>
        <w:ind w:left="218" w:right="227" w:firstLine="419"/>
        <w:jc w:val="both"/>
      </w:pPr>
      <w:r>
        <w:rPr>
          <w:rFonts w:ascii="宋体" w:hAnsi="宋体" w:cs="宋体" w:eastAsia="宋体" w:hint="default"/>
        </w:rPr>
        <w:t>2017</w:t>
      </w:r>
      <w:r>
        <w:rPr>
          <w:rFonts w:ascii="宋体" w:hAnsi="宋体" w:cs="宋体" w:eastAsia="宋体" w:hint="default"/>
          <w:spacing w:val="-56"/>
        </w:rPr>
        <w:t> </w:t>
      </w:r>
      <w:r>
        <w:rPr/>
        <w:t>年，中国网络广告市场规模为</w:t>
      </w:r>
      <w:r>
        <w:rPr>
          <w:spacing w:val="-54"/>
        </w:rPr>
        <w:t> </w:t>
      </w:r>
      <w:r>
        <w:rPr>
          <w:rFonts w:ascii="宋体" w:hAnsi="宋体" w:cs="宋体" w:eastAsia="宋体" w:hint="default"/>
        </w:rPr>
        <w:t>2,957</w:t>
      </w:r>
      <w:r>
        <w:rPr>
          <w:rFonts w:ascii="宋体" w:hAnsi="宋体" w:cs="宋体" w:eastAsia="宋体" w:hint="default"/>
          <w:spacing w:val="-56"/>
        </w:rPr>
        <w:t> </w:t>
      </w:r>
      <w:r>
        <w:rPr/>
        <w:t>亿元，同比增长</w:t>
      </w:r>
      <w:r>
        <w:rPr>
          <w:spacing w:val="-54"/>
        </w:rPr>
        <w:t> </w:t>
      </w:r>
      <w:r>
        <w:rPr>
          <w:rFonts w:ascii="宋体" w:hAnsi="宋体" w:cs="宋体" w:eastAsia="宋体" w:hint="default"/>
        </w:rPr>
        <w:t>28.8%</w:t>
      </w:r>
      <w:r>
        <w:rPr/>
        <w:t>。技术已成为互联网广告快</w:t>
      </w:r>
      <w:r>
        <w:rPr>
          <w:w w:val="100"/>
        </w:rPr>
        <w:t> </w:t>
      </w:r>
      <w:r>
        <w:rPr>
          <w:spacing w:val="-7"/>
        </w:rPr>
        <w:t>速发展的驱动力量，移动化、垂直化、智能化是未来主要发展方向，</w:t>
      </w:r>
      <w:r>
        <w:rPr>
          <w:color w:val="181818"/>
          <w:spacing w:val="-7"/>
        </w:rPr>
        <w:t>广告预算正在向移动、社交、</w:t>
      </w:r>
      <w:r>
        <w:rPr>
          <w:color w:val="181818"/>
          <w:spacing w:val="-15"/>
        </w:rPr>
        <w:t> </w:t>
      </w:r>
      <w:r>
        <w:rPr>
          <w:color w:val="181818"/>
          <w:spacing w:val="-15"/>
        </w:rPr>
      </w:r>
      <w:r>
        <w:rPr>
          <w:color w:val="181818"/>
          <w:spacing w:val="-3"/>
        </w:rPr>
        <w:t>视频、垂直平台等领域快速迁移，</w:t>
      </w:r>
      <w:r>
        <w:rPr>
          <w:rFonts w:ascii="宋体" w:hAnsi="宋体" w:cs="宋体" w:eastAsia="宋体" w:hint="default"/>
          <w:color w:val="181818"/>
          <w:spacing w:val="-3"/>
        </w:rPr>
        <w:t>PC </w:t>
      </w:r>
      <w:r>
        <w:rPr>
          <w:color w:val="181818"/>
          <w:spacing w:val="-3"/>
        </w:rPr>
        <w:t>端投放总预算不断下降。受上述因素影响，公司</w:t>
      </w:r>
      <w:r>
        <w:rPr>
          <w:spacing w:val="-3"/>
        </w:rPr>
        <w:t>在广告业务</w:t>
      </w:r>
      <w:r>
        <w:rPr>
          <w:spacing w:val="-82"/>
        </w:rPr>
        <w:t> </w:t>
      </w:r>
      <w:r>
        <w:rPr>
          <w:spacing w:val="-82"/>
        </w:rPr>
      </w:r>
      <w:r>
        <w:rPr>
          <w:spacing w:val="-2"/>
        </w:rPr>
        <w:t>市场开拓上面临严峻挑战。报告期内，公司</w:t>
      </w:r>
      <w:r>
        <w:rPr>
          <w:color w:val="181818"/>
          <w:spacing w:val="-2"/>
        </w:rPr>
        <w:t>依托政府、专家、行业代表的资源整合能力以及话题</w:t>
      </w:r>
      <w:r>
        <w:rPr>
          <w:color w:val="181818"/>
          <w:spacing w:val="-26"/>
        </w:rPr>
        <w:t> </w:t>
      </w:r>
      <w:r>
        <w:rPr>
          <w:color w:val="181818"/>
          <w:spacing w:val="-26"/>
        </w:rPr>
      </w:r>
      <w:r>
        <w:rPr>
          <w:color w:val="181818"/>
          <w:spacing w:val="-2"/>
        </w:rPr>
        <w:t>营销策划优势加强行业论坛服务，在一定程度上缓解了市场变化带来的巨大冲击。</w:t>
      </w:r>
      <w:r>
        <w:rPr>
          <w:rFonts w:ascii="宋体" w:hAnsi="宋体" w:cs="宋体" w:eastAsia="宋体" w:hint="default"/>
          <w:spacing w:val="-2"/>
        </w:rPr>
        <w:t>2017</w:t>
      </w:r>
      <w:r>
        <w:rPr>
          <w:rFonts w:ascii="宋体" w:hAnsi="宋体" w:cs="宋体" w:eastAsia="宋体" w:hint="default"/>
          <w:spacing w:val="-18"/>
        </w:rPr>
        <w:t> </w:t>
      </w:r>
      <w:r>
        <w:rPr>
          <w:spacing w:val="-5"/>
        </w:rPr>
        <w:t>年度，公</w:t>
      </w:r>
      <w:r>
        <w:rPr>
          <w:spacing w:val="-89"/>
        </w:rPr>
        <w:t> </w:t>
      </w:r>
      <w:r>
        <w:rPr>
          <w:spacing w:val="-89"/>
        </w:rPr>
      </w:r>
      <w:r>
        <w:rPr/>
        <w:t>司广告及宣传服务实现收入人民币</w:t>
      </w:r>
      <w:r>
        <w:rPr>
          <w:spacing w:val="-55"/>
        </w:rPr>
        <w:t> </w:t>
      </w:r>
      <w:r>
        <w:rPr>
          <w:rFonts w:ascii="宋体" w:hAnsi="宋体" w:cs="宋体" w:eastAsia="宋体" w:hint="default"/>
        </w:rPr>
        <w:t>5.85</w:t>
      </w:r>
      <w:r>
        <w:rPr>
          <w:rFonts w:ascii="宋体" w:hAnsi="宋体" w:cs="宋体" w:eastAsia="宋体" w:hint="default"/>
          <w:spacing w:val="-57"/>
        </w:rPr>
        <w:t> </w:t>
      </w:r>
      <w:r>
        <w:rPr/>
        <w:t>亿元，同比下降</w:t>
      </w:r>
      <w:r>
        <w:rPr>
          <w:spacing w:val="-55"/>
        </w:rPr>
        <w:t> </w:t>
      </w:r>
      <w:r>
        <w:rPr>
          <w:rFonts w:ascii="宋体" w:hAnsi="宋体" w:cs="宋体" w:eastAsia="宋体" w:hint="default"/>
        </w:rPr>
        <w:t>8.77%</w:t>
      </w:r>
      <w:r>
        <w:rPr/>
        <w:t>。</w:t>
      </w:r>
    </w:p>
    <w:p>
      <w:pPr>
        <w:pStyle w:val="BodyText"/>
        <w:spacing w:line="240" w:lineRule="auto" w:before="30"/>
        <w:ind w:left="638" w:right="2731"/>
        <w:jc w:val="left"/>
      </w:pPr>
      <w:r>
        <w:rPr/>
        <w:t>（</w:t>
      </w:r>
      <w:r>
        <w:rPr>
          <w:rFonts w:ascii="宋体" w:hAnsi="宋体" w:cs="宋体" w:eastAsia="宋体" w:hint="default"/>
        </w:rPr>
        <w:t>2</w:t>
      </w:r>
      <w:r>
        <w:rPr/>
        <w:t>）移动增值服务：</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right="127" w:firstLine="419"/>
        <w:jc w:val="both"/>
      </w:pPr>
      <w:r>
        <w:rPr>
          <w:spacing w:val="-2"/>
        </w:rPr>
        <w:t>报告期内，公司利用人民网自身媒体资源属性及资源优势，积极开拓新业务，全面扩大三方</w:t>
      </w:r>
      <w:r>
        <w:rPr>
          <w:w w:val="100"/>
        </w:rPr>
        <w:t> </w:t>
      </w:r>
      <w:r>
        <w:rPr>
          <w:spacing w:val="-2"/>
        </w:rPr>
        <w:t>市场站合作范围。凭借在内容审核方面独到的优势及专业的团队，继续开拓面向各类平台的风险</w:t>
      </w:r>
      <w:r>
        <w:rPr>
          <w:spacing w:val="-25"/>
        </w:rPr>
        <w:t> </w:t>
      </w:r>
      <w:r>
        <w:rPr>
          <w:spacing w:val="-25"/>
        </w:rPr>
      </w:r>
      <w:r>
        <w:rPr>
          <w:spacing w:val="-3"/>
        </w:rPr>
        <w:t>审核服务，</w:t>
      </w:r>
      <w:r>
        <w:rPr>
          <w:rFonts w:ascii="宋体" w:hAnsi="宋体" w:cs="宋体" w:eastAsia="宋体" w:hint="default"/>
          <w:spacing w:val="-3"/>
        </w:rPr>
        <w:t>2017 </w:t>
      </w:r>
      <w:r>
        <w:rPr>
          <w:spacing w:val="-3"/>
        </w:rPr>
        <w:t>年中标多项审核业务资格。手机视频业务方面，子公司人民视讯调整自身业务布</w:t>
      </w:r>
      <w:r>
        <w:rPr>
          <w:spacing w:val="-72"/>
        </w:rPr>
        <w:t> </w:t>
      </w:r>
      <w:r>
        <w:rPr>
          <w:spacing w:val="-72"/>
        </w:rPr>
      </w:r>
      <w:r>
        <w:rPr>
          <w:spacing w:val="-2"/>
        </w:rPr>
        <w:t>局，积极建立自有产品体系，利用现有资源优势，建立流量平台；以内容建设为重点，大力发展</w:t>
      </w:r>
      <w:r>
        <w:rPr>
          <w:spacing w:val="-25"/>
        </w:rPr>
        <w:t> </w:t>
      </w:r>
      <w:r>
        <w:rPr>
          <w:spacing w:val="-25"/>
        </w:rPr>
      </w:r>
      <w:r>
        <w:rPr>
          <w:spacing w:val="-2"/>
        </w:rPr>
        <w:t>内容原创和版权集成，加大资源投入，建设差异化栏目，形成了具有用户口碑和市场影响力的名</w:t>
      </w:r>
      <w:r>
        <w:rPr>
          <w:spacing w:val="-25"/>
        </w:rPr>
        <w:t> </w:t>
      </w:r>
      <w:r>
        <w:rPr>
          <w:spacing w:val="-25"/>
        </w:rPr>
      </w:r>
      <w:r>
        <w:rPr>
          <w:spacing w:val="-6"/>
        </w:rPr>
        <w:t>牌栏目群，收入水平在同行业仍保持前列。但由于移动互联网领域中新产品、新应用的层出不穷，</w:t>
      </w:r>
      <w:r>
        <w:rPr>
          <w:spacing w:val="-54"/>
        </w:rPr>
        <w:t> </w:t>
      </w:r>
      <w:r>
        <w:rPr>
          <w:spacing w:val="-54"/>
        </w:rPr>
      </w:r>
      <w:r>
        <w:rPr>
          <w:spacing w:val="-2"/>
        </w:rPr>
        <w:t>用户分流现象加剧，基于运营商服务的付费市场被进一步蚕食，加之内容提供商数量众多，诸如</w:t>
      </w:r>
      <w:r>
        <w:rPr>
          <w:spacing w:val="-25"/>
        </w:rPr>
        <w:t> </w:t>
      </w:r>
      <w:r>
        <w:rPr>
          <w:spacing w:val="-25"/>
        </w:rPr>
      </w:r>
      <w:r>
        <w:rPr>
          <w:spacing w:val="-2"/>
        </w:rPr>
        <w:t>手机报、手机阅读、动漫、游戏等相关产品同质化严重，市场环境日趋严峻、竞争日益激烈。报</w:t>
      </w:r>
      <w:r>
        <w:rPr>
          <w:spacing w:val="-26"/>
        </w:rPr>
        <w:t> </w:t>
      </w:r>
      <w:r>
        <w:rPr>
          <w:spacing w:val="-26"/>
        </w:rPr>
      </w:r>
      <w:r>
        <w:rPr>
          <w:spacing w:val="-2"/>
        </w:rPr>
        <w:t>告期内，尽管公司积极应对挑战，针对市场变化对自身业务进行一系列调整，合并层面移动增值</w:t>
      </w:r>
      <w:r>
        <w:rPr>
          <w:spacing w:val="-25"/>
        </w:rPr>
        <w:t> </w:t>
      </w:r>
      <w:r>
        <w:rPr>
          <w:spacing w:val="-25"/>
        </w:rPr>
      </w:r>
      <w:r>
        <w:rPr/>
        <w:t>业务收入仍出现一定程度下滑，全年实现相关业务收入人民币</w:t>
      </w:r>
      <w:r>
        <w:rPr>
          <w:spacing w:val="-57"/>
        </w:rPr>
        <w:t> </w:t>
      </w:r>
      <w:r>
        <w:rPr>
          <w:rFonts w:ascii="宋体" w:hAnsi="宋体" w:cs="宋体" w:eastAsia="宋体" w:hint="default"/>
        </w:rPr>
        <w:t>3.81</w:t>
      </w:r>
      <w:r>
        <w:rPr>
          <w:rFonts w:ascii="宋体" w:hAnsi="宋体" w:cs="宋体" w:eastAsia="宋体" w:hint="default"/>
          <w:spacing w:val="-57"/>
        </w:rPr>
        <w:t> </w:t>
      </w:r>
      <w:r>
        <w:rPr/>
        <w:t>亿元，同比下降</w:t>
      </w:r>
      <w:r>
        <w:rPr>
          <w:spacing w:val="-56"/>
        </w:rPr>
        <w:t> </w:t>
      </w:r>
      <w:r>
        <w:rPr>
          <w:rFonts w:ascii="宋体" w:hAnsi="宋体" w:cs="宋体" w:eastAsia="宋体" w:hint="default"/>
        </w:rPr>
        <w:t>17.26%</w:t>
      </w:r>
      <w:r>
        <w:rPr/>
        <w:t>。</w:t>
      </w:r>
    </w:p>
    <w:p>
      <w:pPr>
        <w:pStyle w:val="BodyText"/>
        <w:spacing w:line="355" w:lineRule="auto" w:before="32"/>
        <w:ind w:left="558" w:right="0"/>
        <w:jc w:val="left"/>
        <w:rPr>
          <w:rFonts w:ascii="宋体" w:hAnsi="宋体" w:cs="宋体" w:eastAsia="宋体" w:hint="default"/>
        </w:rPr>
      </w:pPr>
      <w:r>
        <w:rPr/>
        <w:t>（</w:t>
      </w:r>
      <w:r>
        <w:rPr>
          <w:rFonts w:ascii="宋体" w:hAnsi="宋体" w:cs="宋体" w:eastAsia="宋体" w:hint="default"/>
        </w:rPr>
        <w:t>3</w:t>
      </w:r>
      <w:r>
        <w:rPr/>
        <w:t>）信息服务业务：</w:t>
      </w:r>
      <w:r>
        <w:rPr>
          <w:w w:val="100"/>
        </w:rPr>
        <w:t> </w:t>
      </w:r>
      <w:r>
        <w:rPr>
          <w:spacing w:val="-2"/>
        </w:rPr>
        <w:t>报告期内，公司成立版权渠道部，深入挖掘行业资源，全面拓展渠道合作，深度融合版权</w:t>
      </w:r>
      <w:r>
        <w:rPr>
          <w:rFonts w:ascii="宋体" w:hAnsi="宋体" w:cs="宋体" w:eastAsia="宋体" w:hint="default"/>
          <w:spacing w:val="-2"/>
        </w:rPr>
        <w:t>+</w:t>
      </w:r>
    </w:p>
    <w:p>
      <w:pPr>
        <w:pStyle w:val="BodyText"/>
        <w:spacing w:line="357" w:lineRule="auto" w:before="32"/>
        <w:ind w:right="130"/>
        <w:jc w:val="both"/>
      </w:pPr>
      <w:r>
        <w:rPr>
          <w:spacing w:val="-2"/>
        </w:rPr>
        <w:t>渠道的业务模式，母公司信息服务业务收入稳中有增。子公司人民在线继续保持稳中有进、进中</w:t>
      </w:r>
      <w:r>
        <w:rPr>
          <w:spacing w:val="-25"/>
        </w:rPr>
        <w:t> </w:t>
      </w:r>
      <w:r>
        <w:rPr>
          <w:spacing w:val="-25"/>
        </w:rPr>
      </w:r>
      <w:r>
        <w:rPr>
          <w:spacing w:val="-7"/>
        </w:rPr>
        <w:t>向好的发展态势；传统业务稳固，延伸业务和新兴业务双双取得突破；产业布局趋于完善，向“数</w:t>
      </w:r>
      <w:r>
        <w:rPr>
          <w:spacing w:val="-14"/>
        </w:rPr>
        <w:t> </w:t>
      </w:r>
      <w:r>
        <w:rPr>
          <w:spacing w:val="-14"/>
        </w:rPr>
      </w:r>
      <w:r>
        <w:rPr/>
        <w:t>据</w:t>
      </w:r>
      <w:r>
        <w:rPr>
          <w:rFonts w:ascii="宋体" w:hAnsi="宋体" w:cs="宋体" w:eastAsia="宋体" w:hint="default"/>
        </w:rPr>
        <w:t>+</w:t>
      </w:r>
      <w:r>
        <w:rPr/>
        <w:t>咨询”的智库转型已初显成效。报告期内，公司信息服务业务实现收入人民币</w:t>
      </w:r>
      <w:r>
        <w:rPr>
          <w:spacing w:val="-54"/>
        </w:rPr>
        <w:t> </w:t>
      </w:r>
      <w:r>
        <w:rPr>
          <w:rFonts w:ascii="宋体" w:hAnsi="宋体" w:cs="宋体" w:eastAsia="宋体" w:hint="default"/>
        </w:rPr>
        <w:t>3.55</w:t>
      </w:r>
      <w:r>
        <w:rPr>
          <w:rFonts w:ascii="宋体" w:hAnsi="宋体" w:cs="宋体" w:eastAsia="宋体" w:hint="default"/>
          <w:spacing w:val="-57"/>
        </w:rPr>
        <w:t> </w:t>
      </w:r>
      <w:r>
        <w:rPr/>
        <w:t>亿元，同</w:t>
      </w:r>
      <w:r>
        <w:rPr>
          <w:w w:val="100"/>
        </w:rPr>
        <w:t> </w:t>
      </w:r>
      <w:r>
        <w:rPr/>
        <w:t>比增长</w:t>
      </w:r>
      <w:r>
        <w:rPr>
          <w:spacing w:val="-56"/>
        </w:rPr>
        <w:t> </w:t>
      </w:r>
      <w:r>
        <w:rPr>
          <w:rFonts w:ascii="宋体" w:hAnsi="宋体" w:cs="宋体" w:eastAsia="宋体" w:hint="default"/>
        </w:rPr>
        <w:t>16.49%</w:t>
      </w:r>
      <w:r>
        <w:rPr/>
        <w:t>。</w:t>
      </w:r>
    </w:p>
    <w:p>
      <w:pPr>
        <w:spacing w:line="240" w:lineRule="auto" w:before="9"/>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spacing w:before="20"/>
        <w:ind w:left="6473" w:right="639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left="220"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119"/>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95"/>
        <w:gridCol w:w="3685"/>
        <w:gridCol w:w="1848"/>
        <w:gridCol w:w="1152"/>
        <w:gridCol w:w="1966"/>
        <w:gridCol w:w="1359"/>
        <w:gridCol w:w="1277"/>
        <w:gridCol w:w="1563"/>
      </w:tblGrid>
      <w:tr>
        <w:trPr>
          <w:trHeight w:val="281" w:hRule="exact"/>
        </w:trPr>
        <w:tc>
          <w:tcPr>
            <w:tcW w:w="139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6"/>
              <w:ind w:left="413" w:right="147"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72" w:lineRule="exact" w:before="26"/>
              <w:ind w:left="516" w:right="144" w:hanging="368"/>
              <w:jc w:val="left"/>
              <w:rPr>
                <w:rFonts w:ascii="宋体" w:hAnsi="宋体" w:cs="宋体" w:eastAsia="宋体" w:hint="default"/>
                <w:sz w:val="21"/>
                <w:szCs w:val="21"/>
              </w:rPr>
            </w:pPr>
            <w:r>
              <w:rPr>
                <w:rFonts w:ascii="宋体" w:hAnsi="宋体" w:cs="宋体" w:eastAsia="宋体" w:hint="default"/>
                <w:sz w:val="21"/>
                <w:szCs w:val="21"/>
              </w:rPr>
              <w:t>总成本比例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6"/>
              <w:ind w:left="160" w:right="103"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562"/>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555"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代理费、人工成本、编辑费、网络运行</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维护成本、折旧及摊销、房租等</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600,933,971.72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65.78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504,863,123.11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r>
        <w:trPr>
          <w:trHeight w:val="55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版权成本、人工成本、渠道成本等</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249,223,965.46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247,857,780.61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r>
        <w:trPr>
          <w:trHeight w:val="55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版权成本、渠道成本、人工成本、网络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运行维护成本、折旧及摊销、房租等</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63,508,152.10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70,392,141.40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r>
        <w:trPr>
          <w:trHeight w:val="283" w:hRule="exact"/>
        </w:trPr>
        <w:tc>
          <w:tcPr>
            <w:tcW w:w="139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7"/>
              <w:ind w:left="413" w:right="147"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72" w:lineRule="exact" w:before="27"/>
              <w:ind w:left="516" w:right="144" w:hanging="368"/>
              <w:jc w:val="left"/>
              <w:rPr>
                <w:rFonts w:ascii="宋体" w:hAnsi="宋体" w:cs="宋体" w:eastAsia="宋体" w:hint="default"/>
                <w:sz w:val="21"/>
                <w:szCs w:val="21"/>
              </w:rPr>
            </w:pPr>
            <w:r>
              <w:rPr>
                <w:rFonts w:ascii="宋体" w:hAnsi="宋体" w:cs="宋体" w:eastAsia="宋体" w:hint="default"/>
                <w:sz w:val="21"/>
                <w:szCs w:val="21"/>
              </w:rPr>
              <w:t>总成本比例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7"/>
              <w:ind w:left="160" w:right="103"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66" w:right="562"/>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55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传服务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代理费、人工成本、编辑费、网络运行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维护成本、折旧及摊销、房租等</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367,375,290.50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40.21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365,496,857.89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r>
        <w:trPr>
          <w:trHeight w:val="55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版权成本、人工成本、渠道成本等</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249,223,965.46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247,857,780.61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r>
        <w:trPr>
          <w:trHeight w:val="55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版权成本、人工成本、编辑费、网络运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行维护成本、折旧及摊销、房租等</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233,558,681.22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191,253,057.68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bl>
    <w:p>
      <w:pPr>
        <w:spacing w:line="240" w:lineRule="auto" w:before="7"/>
        <w:rPr>
          <w:rFonts w:ascii="宋体" w:hAnsi="宋体" w:cs="宋体" w:eastAsia="宋体" w:hint="default"/>
          <w:sz w:val="15"/>
          <w:szCs w:val="15"/>
        </w:rPr>
      </w:pPr>
    </w:p>
    <w:p>
      <w:pPr>
        <w:pStyle w:val="BodyText"/>
        <w:spacing w:line="273" w:lineRule="exact" w:before="36"/>
        <w:ind w:left="220" w:right="0"/>
        <w:jc w:val="left"/>
      </w:pPr>
      <w:r>
        <w:rPr/>
        <w:t>成本分析其他情况说明</w:t>
      </w:r>
    </w:p>
    <w:p>
      <w:pPr>
        <w:pStyle w:val="BodyText"/>
        <w:spacing w:line="272" w:lineRule="exact" w:before="26"/>
        <w:ind w:left="640" w:right="0" w:hanging="421"/>
        <w:jc w:val="left"/>
      </w:pPr>
      <w:r>
        <w:rPr/>
        <w:t>√适用</w:t>
      </w:r>
      <w:r>
        <w:rPr>
          <w:spacing w:val="-2"/>
        </w:rPr>
        <w:t> </w:t>
      </w:r>
      <w:r>
        <w:rPr/>
        <w:t>□不适用</w:t>
      </w:r>
      <w:r>
        <w:rPr>
          <w:spacing w:val="-103"/>
        </w:rPr>
        <w:t> </w:t>
      </w:r>
      <w:r>
        <w:rPr>
          <w:spacing w:val="-103"/>
        </w:rPr>
      </w:r>
      <w:r>
        <w:rPr>
          <w:spacing w:val="-2"/>
        </w:rPr>
        <w:t>报告期内，随着公司营业规模进一步扩大，运维成本、人工成本等都较上一年有所增加，此外，报告期内公司处置所持古羌科技的相关股权，由于</w:t>
      </w:r>
    </w:p>
    <w:p>
      <w:pPr>
        <w:pStyle w:val="BodyText"/>
        <w:spacing w:line="240" w:lineRule="auto" w:before="110"/>
        <w:ind w:left="220" w:right="0"/>
        <w:jc w:val="left"/>
      </w:pPr>
      <w:r>
        <w:rPr/>
        <w:t>该子公司业务毛利较高，合并层面收入下降显著，但对营业成本减少影响不大。</w:t>
      </w:r>
      <w:r>
        <w:rPr>
          <w:rFonts w:ascii="宋体" w:hAnsi="宋体" w:cs="宋体" w:eastAsia="宋体" w:hint="default"/>
        </w:rPr>
        <w:t>2017</w:t>
      </w:r>
      <w:r>
        <w:rPr>
          <w:rFonts w:ascii="宋体" w:hAnsi="宋体" w:cs="宋体" w:eastAsia="宋体" w:hint="default"/>
          <w:spacing w:val="-59"/>
        </w:rPr>
        <w:t> </w:t>
      </w:r>
      <w:r>
        <w:rPr/>
        <w:t>年，公司营业成本为人民币</w:t>
      </w:r>
      <w:r>
        <w:rPr>
          <w:spacing w:val="-57"/>
        </w:rPr>
        <w:t> </w:t>
      </w:r>
      <w:r>
        <w:rPr>
          <w:rFonts w:ascii="宋体" w:hAnsi="宋体" w:cs="宋体" w:eastAsia="宋体" w:hint="default"/>
        </w:rPr>
        <w:t>9.14</w:t>
      </w:r>
      <w:r>
        <w:rPr>
          <w:rFonts w:ascii="宋体" w:hAnsi="宋体" w:cs="宋体" w:eastAsia="宋体" w:hint="default"/>
          <w:spacing w:val="-57"/>
        </w:rPr>
        <w:t> </w:t>
      </w:r>
      <w:r>
        <w:rPr/>
        <w:t>亿元，同比增长</w:t>
      </w:r>
      <w:r>
        <w:rPr>
          <w:spacing w:val="-57"/>
        </w:rPr>
        <w:t> </w:t>
      </w:r>
      <w:r>
        <w:rPr>
          <w:rFonts w:ascii="宋体" w:hAnsi="宋体" w:cs="宋体" w:eastAsia="宋体" w:hint="default"/>
        </w:rPr>
        <w:t>11%</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6473" w:right="6380" w:firstLine="0"/>
        <w:jc w:val="center"/>
        <w:rPr>
          <w:rFonts w:ascii="Calibri" w:hAnsi="Calibri" w:cs="Calibri" w:eastAsia="Calibri" w:hint="default"/>
          <w:sz w:val="18"/>
          <w:szCs w:val="18"/>
        </w:rPr>
      </w:pPr>
      <w:r>
        <w:rPr>
          <w:rFonts w:ascii="Calibri"/>
          <w:b/>
          <w:sz w:val="18"/>
        </w:rPr>
        <w:t>16 </w:t>
      </w:r>
      <w:r>
        <w:rPr>
          <w:rFonts w:ascii="Calibri"/>
          <w:sz w:val="18"/>
        </w:rPr>
        <w:t>/</w:t>
      </w:r>
      <w:r>
        <w:rPr>
          <w:rFonts w:ascii="Calibri"/>
          <w:spacing w:val="-4"/>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headerReference w:type="default" r:id="rId13"/>
          <w:footerReference w:type="default" r:id="rId14"/>
          <w:pgSz w:w="16840" w:h="11910" w:orient="landscape"/>
          <w:pgMar w:header="0" w:footer="0" w:top="800" w:bottom="280" w:left="1220" w:right="1400"/>
        </w:sectPr>
      </w:pPr>
    </w:p>
    <w:p>
      <w:pPr>
        <w:spacing w:line="240" w:lineRule="auto" w:before="1"/>
        <w:rPr>
          <w:rFonts w:ascii="Calibri" w:hAnsi="Calibri" w:cs="Calibri" w:eastAsia="Calibri" w:hint="default"/>
          <w:b/>
          <w:bCs/>
          <w:sz w:val="27"/>
          <w:szCs w:val="27"/>
        </w:rPr>
      </w:pPr>
    </w:p>
    <w:p>
      <w:pPr>
        <w:pStyle w:val="Heading2"/>
        <w:spacing w:line="240" w:lineRule="auto" w:before="36"/>
        <w:ind w:right="2731"/>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218" w:right="2731"/>
        <w:jc w:val="left"/>
      </w:pPr>
      <w:r>
        <w:rPr/>
        <w:t>√适用</w:t>
      </w:r>
      <w:r>
        <w:rPr>
          <w:spacing w:val="-1"/>
        </w:rPr>
        <w:t> </w:t>
      </w:r>
      <w:r>
        <w:rPr/>
        <w:t>□不适用</w:t>
      </w:r>
    </w:p>
    <w:p>
      <w:pPr>
        <w:pStyle w:val="BodyText"/>
        <w:spacing w:line="357" w:lineRule="auto"/>
        <w:ind w:left="218" w:right="227" w:firstLine="419"/>
        <w:jc w:val="left"/>
      </w:pPr>
      <w:r>
        <w:rPr/>
        <w:t>前五名客户销售额</w:t>
      </w:r>
      <w:r>
        <w:rPr>
          <w:spacing w:val="-39"/>
        </w:rPr>
        <w:t> </w:t>
      </w:r>
      <w:r>
        <w:rPr>
          <w:rFonts w:ascii="宋体" w:hAnsi="宋体" w:cs="宋体" w:eastAsia="宋体" w:hint="default"/>
        </w:rPr>
        <w:t>25,872.94</w:t>
      </w:r>
      <w:r>
        <w:rPr>
          <w:rFonts w:ascii="宋体" w:hAnsi="宋体" w:cs="宋体" w:eastAsia="宋体" w:hint="default"/>
          <w:spacing w:val="-40"/>
        </w:rPr>
        <w:t> </w:t>
      </w:r>
      <w:r>
        <w:rPr>
          <w:spacing w:val="-4"/>
        </w:rPr>
        <w:t>万元，占年度销售总额</w:t>
      </w:r>
      <w:r>
        <w:rPr>
          <w:spacing w:val="-40"/>
        </w:rPr>
        <w:t> </w:t>
      </w:r>
      <w:r>
        <w:rPr>
          <w:rFonts w:ascii="宋体" w:hAnsi="宋体" w:cs="宋体" w:eastAsia="宋体" w:hint="default"/>
          <w:spacing w:val="-3"/>
        </w:rPr>
        <w:t>18.47%</w:t>
      </w:r>
      <w:r>
        <w:rPr>
          <w:spacing w:val="-3"/>
        </w:rPr>
        <w:t>；其中前五名客户销售额中关联</w:t>
      </w:r>
      <w:r>
        <w:rPr>
          <w:w w:val="100"/>
        </w:rPr>
        <w:t> </w:t>
      </w:r>
      <w:r>
        <w:rPr/>
        <w:t>方销售额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1"/>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pStyle w:val="BodyText"/>
        <w:spacing w:line="355" w:lineRule="auto" w:before="30"/>
        <w:ind w:left="218" w:right="227" w:firstLine="419"/>
        <w:jc w:val="left"/>
      </w:pPr>
      <w:r>
        <w:rPr/>
        <w:t>前五名供应商采购额</w:t>
      </w:r>
      <w:r>
        <w:rPr>
          <w:spacing w:val="-38"/>
        </w:rPr>
        <w:t> </w:t>
      </w:r>
      <w:r>
        <w:rPr>
          <w:rFonts w:ascii="宋体" w:hAnsi="宋体" w:cs="宋体" w:eastAsia="宋体" w:hint="default"/>
        </w:rPr>
        <w:t>16,814.26</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18.40%</w:t>
      </w:r>
      <w:r>
        <w:rPr>
          <w:spacing w:val="-3"/>
        </w:rPr>
        <w:t>；其中前五名供应商采购额中</w:t>
      </w:r>
      <w:r>
        <w:rPr>
          <w:w w:val="100"/>
        </w:rPr>
        <w:t> </w:t>
      </w:r>
      <w:r>
        <w:rPr/>
        <w:t>关联方采购额</w:t>
      </w:r>
      <w:r>
        <w:rPr>
          <w:spacing w:val="-55"/>
        </w:rPr>
        <w:t> </w:t>
      </w:r>
      <w:r>
        <w:rPr>
          <w:rFonts w:ascii="宋体" w:hAnsi="宋体" w:cs="宋体" w:eastAsia="宋体" w:hint="default"/>
        </w:rPr>
        <w:t>4,852.86</w:t>
      </w:r>
      <w:r>
        <w:rPr>
          <w:rFonts w:ascii="宋体" w:hAnsi="宋体" w:cs="宋体" w:eastAsia="宋体" w:hint="default"/>
          <w:spacing w:val="-57"/>
        </w:rPr>
        <w:t> </w:t>
      </w:r>
      <w:r>
        <w:rPr/>
        <w:t>万元，占年度采购总额</w:t>
      </w:r>
      <w:r>
        <w:rPr>
          <w:spacing w:val="-55"/>
        </w:rPr>
        <w:t> </w:t>
      </w:r>
      <w:r>
        <w:rPr>
          <w:rFonts w:ascii="宋体" w:hAnsi="宋体" w:cs="宋体" w:eastAsia="宋体" w:hint="default"/>
        </w:rPr>
        <w:t>5.31%</w:t>
      </w:r>
      <w:r>
        <w:rPr/>
        <w:t>。</w:t>
      </w:r>
    </w:p>
    <w:p>
      <w:pPr>
        <w:pStyle w:val="BodyText"/>
        <w:spacing w:line="355" w:lineRule="auto" w:before="32"/>
        <w:ind w:left="638" w:right="7788"/>
        <w:jc w:val="left"/>
      </w:pPr>
      <w:r>
        <w:rPr/>
        <w:t>其他说明</w:t>
      </w:r>
      <w:r>
        <w:rPr>
          <w:w w:val="100"/>
        </w:rPr>
        <w:t> </w:t>
      </w:r>
      <w:r>
        <w:rPr/>
        <w:t>无</w:t>
      </w:r>
    </w:p>
    <w:p>
      <w:pPr>
        <w:spacing w:line="240" w:lineRule="auto" w:before="0"/>
        <w:rPr>
          <w:rFonts w:ascii="宋体" w:hAnsi="宋体" w:cs="宋体" w:eastAsia="宋体" w:hint="default"/>
          <w:sz w:val="28"/>
          <w:szCs w:val="28"/>
        </w:rPr>
      </w:pPr>
    </w:p>
    <w:p>
      <w:pPr>
        <w:pStyle w:val="Heading2"/>
        <w:tabs>
          <w:tab w:pos="637" w:val="left" w:leader="none"/>
        </w:tabs>
        <w:spacing w:line="240" w:lineRule="auto"/>
        <w:ind w:right="2731"/>
        <w:jc w:val="left"/>
        <w:rPr>
          <w:b w:val="0"/>
          <w:bCs w:val="0"/>
        </w:rPr>
      </w:pPr>
      <w:r>
        <w:rPr>
          <w:rFonts w:ascii="宋体" w:hAnsi="宋体" w:cs="宋体" w:eastAsia="宋体" w:hint="default"/>
          <w:w w:val="95"/>
        </w:rPr>
        <w:t>2.</w:t>
        <w:tab/>
      </w:r>
      <w:r>
        <w:rPr/>
        <w:t>费用</w:t>
      </w:r>
      <w:r>
        <w:rPr>
          <w:b w:val="0"/>
          <w:bCs w:val="0"/>
        </w:rPr>
      </w:r>
    </w:p>
    <w:p>
      <w:pPr>
        <w:pStyle w:val="BodyText"/>
        <w:spacing w:line="273" w:lineRule="exact" w:before="58"/>
        <w:ind w:left="218" w:right="2731"/>
        <w:jc w:val="left"/>
      </w:pPr>
      <w:r>
        <w:rPr/>
        <w:t>√适用</w:t>
      </w:r>
      <w:r>
        <w:rPr>
          <w:spacing w:val="-1"/>
        </w:rPr>
        <w:t> </w:t>
      </w:r>
      <w:r>
        <w:rPr/>
        <w:t>□不适用</w:t>
      </w:r>
    </w:p>
    <w:p>
      <w:pPr>
        <w:pStyle w:val="BodyText"/>
        <w:spacing w:line="357" w:lineRule="auto"/>
        <w:ind w:left="218" w:right="124" w:firstLine="419"/>
        <w:jc w:val="left"/>
      </w:pPr>
      <w:r>
        <w:rPr>
          <w:spacing w:val="-3"/>
        </w:rPr>
        <w:t>报告期内，公司销售费用为人民币</w:t>
      </w:r>
      <w:r>
        <w:rPr>
          <w:spacing w:val="-45"/>
        </w:rPr>
        <w:t> </w:t>
      </w:r>
      <w:r>
        <w:rPr>
          <w:rFonts w:ascii="宋体" w:hAnsi="宋体" w:cs="宋体" w:eastAsia="宋体" w:hint="default"/>
        </w:rPr>
        <w:t>2.58</w:t>
      </w:r>
      <w:r>
        <w:rPr>
          <w:rFonts w:ascii="宋体" w:hAnsi="宋体" w:cs="宋体" w:eastAsia="宋体" w:hint="default"/>
          <w:spacing w:val="-47"/>
        </w:rPr>
        <w:t> </w:t>
      </w:r>
      <w:r>
        <w:rPr>
          <w:spacing w:val="-3"/>
        </w:rPr>
        <w:t>亿元，同比下降</w:t>
      </w:r>
      <w:r>
        <w:rPr>
          <w:spacing w:val="-44"/>
        </w:rPr>
        <w:t> </w:t>
      </w:r>
      <w:r>
        <w:rPr>
          <w:rFonts w:ascii="宋体" w:hAnsi="宋体" w:cs="宋体" w:eastAsia="宋体" w:hint="default"/>
          <w:spacing w:val="-3"/>
        </w:rPr>
        <w:t>16.60%</w:t>
      </w:r>
      <w:r>
        <w:rPr>
          <w:spacing w:val="-3"/>
        </w:rPr>
        <w:t>；管理费用为人民币</w:t>
      </w:r>
      <w:r>
        <w:rPr>
          <w:spacing w:val="-44"/>
        </w:rPr>
        <w:t> </w:t>
      </w:r>
      <w:r>
        <w:rPr>
          <w:rFonts w:ascii="宋体" w:hAnsi="宋体" w:cs="宋体" w:eastAsia="宋体" w:hint="default"/>
        </w:rPr>
        <w:t>1.90</w:t>
      </w:r>
      <w:r>
        <w:rPr>
          <w:rFonts w:ascii="宋体" w:hAnsi="宋体" w:cs="宋体" w:eastAsia="宋体" w:hint="default"/>
          <w:spacing w:val="-45"/>
        </w:rPr>
        <w:t> </w:t>
      </w:r>
      <w:r>
        <w:rPr/>
        <w:t>亿</w:t>
      </w:r>
      <w:r>
        <w:rPr>
          <w:w w:val="100"/>
        </w:rPr>
        <w:t> </w:t>
      </w:r>
      <w:r>
        <w:rPr/>
        <w:t>元，同比下降</w:t>
      </w:r>
      <w:r>
        <w:rPr>
          <w:spacing w:val="-55"/>
        </w:rPr>
        <w:t> </w:t>
      </w:r>
      <w:r>
        <w:rPr>
          <w:rFonts w:ascii="宋体" w:hAnsi="宋体" w:cs="宋体" w:eastAsia="宋体" w:hint="default"/>
        </w:rPr>
        <w:t>8.80%</w:t>
      </w:r>
      <w:r>
        <w:rPr/>
        <w:t>，销售及管理费用的下降，主要由于报告期内公司处置了所持古羌科技、网</w:t>
      </w:r>
      <w:r>
        <w:rPr>
          <w:w w:val="100"/>
        </w:rPr>
        <w:t> </w:t>
      </w:r>
      <w:r>
        <w:rPr/>
        <w:t>际星辰、人民澳客的股权，合并层面相关费用较上年大幅减少。财务费用为人民币</w:t>
      </w:r>
      <w:r>
        <w:rPr>
          <w:rFonts w:ascii="宋体" w:hAnsi="宋体" w:cs="宋体" w:eastAsia="宋体" w:hint="default"/>
        </w:rPr>
        <w:t>-87.44</w:t>
      </w:r>
      <w:r>
        <w:rPr>
          <w:rFonts w:ascii="宋体" w:hAnsi="宋体" w:cs="宋体" w:eastAsia="宋体" w:hint="default"/>
          <w:spacing w:val="-14"/>
        </w:rPr>
        <w:t> </w:t>
      </w:r>
      <w:r>
        <w:rPr>
          <w:spacing w:val="2"/>
        </w:rPr>
        <w:t>万元，</w:t>
      </w:r>
      <w:r>
        <w:rPr>
          <w:spacing w:val="-93"/>
        </w:rPr>
        <w:t> </w:t>
      </w:r>
      <w:r>
        <w:rPr/>
        <w:t>上年同期为</w:t>
      </w:r>
      <w:r>
        <w:rPr>
          <w:rFonts w:ascii="宋体" w:hAnsi="宋体" w:cs="宋体" w:eastAsia="宋体" w:hint="default"/>
        </w:rPr>
        <w:t>-381.94</w:t>
      </w:r>
      <w:r>
        <w:rPr>
          <w:rFonts w:ascii="宋体" w:hAnsi="宋体" w:cs="宋体" w:eastAsia="宋体" w:hint="default"/>
          <w:spacing w:val="-39"/>
        </w:rPr>
        <w:t> </w:t>
      </w:r>
      <w:r>
        <w:rPr>
          <w:spacing w:val="-3"/>
        </w:rPr>
        <w:t>万元</w:t>
      </w:r>
      <w:r>
        <w:rPr>
          <w:rFonts w:ascii="宋体" w:hAnsi="宋体" w:cs="宋体" w:eastAsia="宋体" w:hint="default"/>
          <w:spacing w:val="-3"/>
        </w:rPr>
        <w:t>,</w:t>
      </w:r>
      <w:r>
        <w:rPr>
          <w:spacing w:val="-3"/>
        </w:rPr>
        <w:t>同比变动较大的原因主要是报告期内汇率波动较大，汇兑损失较上年大</w:t>
      </w:r>
      <w:r>
        <w:rPr>
          <w:spacing w:val="-65"/>
        </w:rPr>
        <w:t> </w:t>
      </w:r>
      <w:r>
        <w:rPr>
          <w:spacing w:val="-65"/>
        </w:rPr>
      </w:r>
      <w:r>
        <w:rPr/>
        <w:t>幅增加所致。</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5"/>
          <w:pgSz w:w="11910" w:h="16840"/>
          <w:pgMar w:footer="1195" w:header="0" w:top="1120" w:bottom="1380" w:left="1580" w:right="1040"/>
          <w:pgNumType w:start="17"/>
        </w:sectPr>
      </w:pPr>
    </w:p>
    <w:p>
      <w:pPr>
        <w:pStyle w:val="Heading2"/>
        <w:tabs>
          <w:tab w:pos="637" w:val="left" w:leader="none"/>
        </w:tabs>
        <w:spacing w:line="290" w:lineRule="auto" w:before="36"/>
        <w:ind w:right="96"/>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spacing w:line="240" w:lineRule="auto" w:before="14"/>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34,579,573.45</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34,579,573.45</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2.47</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197</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7.68</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2"/>
        <w:spacing w:line="240" w:lineRule="auto" w:before="36"/>
        <w:ind w:right="2731"/>
        <w:jc w:val="left"/>
        <w:rPr>
          <w:b w:val="0"/>
          <w:bCs w:val="0"/>
        </w:rPr>
      </w:pPr>
      <w:r>
        <w:rPr/>
        <w:t>情况说明</w:t>
      </w:r>
      <w:r>
        <w:rPr>
          <w:b w:val="0"/>
          <w:bCs w:val="0"/>
        </w:rPr>
      </w:r>
    </w:p>
    <w:p>
      <w:pPr>
        <w:pStyle w:val="BodyText"/>
        <w:spacing w:line="290" w:lineRule="auto" w:before="56"/>
        <w:ind w:left="638" w:right="227" w:hanging="420"/>
        <w:jc w:val="left"/>
      </w:pPr>
      <w:r>
        <w:rPr/>
        <w:t>√适用</w:t>
      </w:r>
      <w:r>
        <w:rPr>
          <w:spacing w:val="-2"/>
        </w:rPr>
        <w:t> </w:t>
      </w:r>
      <w:r>
        <w:rPr/>
        <w:t>□不适用</w:t>
      </w:r>
      <w:r>
        <w:rPr>
          <w:w w:val="100"/>
        </w:rPr>
        <w:t> </w:t>
      </w:r>
      <w:r>
        <w:rPr>
          <w:spacing w:val="-2"/>
        </w:rPr>
        <w:t>报告期内，公司费用化研发支出主要由人民在线、环球网、人民澳客、古羌科技等子公司投</w:t>
      </w:r>
    </w:p>
    <w:p>
      <w:pPr>
        <w:pStyle w:val="BodyText"/>
        <w:spacing w:line="240" w:lineRule="auto" w:before="89"/>
        <w:ind w:left="218" w:right="2731"/>
        <w:jc w:val="left"/>
      </w:pPr>
      <w:r>
        <w:rPr/>
        <w:t>入其从事的信息及技术领域研发项目。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637" w:val="left" w:leader="none"/>
        </w:tabs>
        <w:spacing w:line="240" w:lineRule="auto"/>
        <w:ind w:right="2731"/>
        <w:jc w:val="left"/>
        <w:rPr>
          <w:b w:val="0"/>
          <w:bCs w:val="0"/>
        </w:rPr>
      </w:pPr>
      <w:r>
        <w:rPr>
          <w:rFonts w:ascii="宋体" w:hAnsi="宋体" w:cs="宋体" w:eastAsia="宋体" w:hint="default"/>
          <w:w w:val="95"/>
        </w:rPr>
        <w:t>4.</w:t>
        <w:tab/>
      </w:r>
      <w:r>
        <w:rPr/>
        <w:t>现金流</w:t>
      </w:r>
      <w:r>
        <w:rPr>
          <w:b w:val="0"/>
          <w:bCs w:val="0"/>
        </w:rPr>
      </w:r>
    </w:p>
    <w:p>
      <w:pPr>
        <w:pStyle w:val="BodyText"/>
        <w:spacing w:line="274" w:lineRule="exact" w:before="56"/>
        <w:ind w:left="218" w:right="2731"/>
        <w:jc w:val="left"/>
      </w:pPr>
      <w:r>
        <w:rPr/>
        <w:t>√适用</w:t>
      </w:r>
      <w:r>
        <w:rPr>
          <w:spacing w:val="-1"/>
        </w:rPr>
        <w:t> </w:t>
      </w:r>
      <w:r>
        <w:rPr/>
        <w:t>□不适用</w:t>
      </w:r>
    </w:p>
    <w:p>
      <w:pPr>
        <w:pStyle w:val="BodyText"/>
        <w:spacing w:line="357" w:lineRule="auto"/>
        <w:ind w:left="218" w:right="244" w:firstLine="419"/>
        <w:jc w:val="both"/>
      </w:pPr>
      <w:r>
        <w:rPr/>
        <w:t>报告期内，公司经营活动产生的现金流量净额为人民币</w:t>
      </w:r>
      <w:r>
        <w:rPr>
          <w:spacing w:val="-55"/>
        </w:rPr>
        <w:t> </w:t>
      </w:r>
      <w:r>
        <w:rPr>
          <w:rFonts w:ascii="宋体" w:hAnsi="宋体" w:cs="宋体" w:eastAsia="宋体" w:hint="default"/>
        </w:rPr>
        <w:t>3.06</w:t>
      </w:r>
      <w:r>
        <w:rPr>
          <w:rFonts w:ascii="宋体" w:hAnsi="宋体" w:cs="宋体" w:eastAsia="宋体" w:hint="default"/>
          <w:spacing w:val="-57"/>
        </w:rPr>
        <w:t> </w:t>
      </w:r>
      <w:r>
        <w:rPr/>
        <w:t>亿元，同比增长</w:t>
      </w:r>
      <w:r>
        <w:rPr>
          <w:spacing w:val="-55"/>
        </w:rPr>
        <w:t> </w:t>
      </w:r>
      <w:r>
        <w:rPr>
          <w:rFonts w:ascii="宋体" w:hAnsi="宋体" w:cs="宋体" w:eastAsia="宋体" w:hint="default"/>
        </w:rPr>
        <w:t>27.54%</w:t>
      </w:r>
      <w:r>
        <w:rPr/>
        <w:t>，主要</w:t>
      </w:r>
      <w:r>
        <w:rPr>
          <w:spacing w:val="-3"/>
          <w:w w:val="100"/>
        </w:rPr>
        <w:t> </w:t>
      </w:r>
      <w:r>
        <w:rPr>
          <w:spacing w:val="-2"/>
        </w:rPr>
        <w:t>由于以下原因：（</w:t>
      </w:r>
      <w:r>
        <w:rPr>
          <w:rFonts w:ascii="宋体" w:hAnsi="宋体" w:cs="宋体" w:eastAsia="宋体" w:hint="default"/>
          <w:spacing w:val="-2"/>
        </w:rPr>
        <w:t>1</w:t>
      </w:r>
      <w:r>
        <w:rPr>
          <w:spacing w:val="-2"/>
        </w:rPr>
        <w:t>）报告期内公司加大了收款力度，收款情况良好；（</w:t>
      </w:r>
      <w:r>
        <w:rPr>
          <w:rFonts w:ascii="宋体" w:hAnsi="宋体" w:cs="宋体" w:eastAsia="宋体" w:hint="default"/>
          <w:spacing w:val="-2"/>
        </w:rPr>
        <w:t>2</w:t>
      </w:r>
      <w:r>
        <w:rPr>
          <w:spacing w:val="-2"/>
        </w:rPr>
        <w:t>）报告期内，公司收到</w:t>
      </w:r>
      <w:r>
        <w:rPr>
          <w:spacing w:val="-33"/>
        </w:rPr>
        <w:t> </w:t>
      </w:r>
      <w:r>
        <w:rPr>
          <w:spacing w:val="-33"/>
        </w:rPr>
      </w:r>
      <w:r>
        <w:rPr/>
        <w:t>人民日报社预付数据中心项目款项人民币</w:t>
      </w:r>
      <w:r>
        <w:rPr>
          <w:spacing w:val="-54"/>
        </w:rPr>
        <w:t> </w:t>
      </w:r>
      <w:r>
        <w:rPr>
          <w:rFonts w:ascii="宋体" w:hAnsi="宋体" w:cs="宋体" w:eastAsia="宋体" w:hint="default"/>
        </w:rPr>
        <w:t>5,500</w:t>
      </w:r>
      <w:r>
        <w:rPr>
          <w:rFonts w:ascii="宋体" w:hAnsi="宋体" w:cs="宋体" w:eastAsia="宋体" w:hint="default"/>
          <w:spacing w:val="-54"/>
        </w:rPr>
        <w:t> </w:t>
      </w:r>
      <w:r>
        <w:rPr/>
        <w:t>万元。</w:t>
      </w:r>
    </w:p>
    <w:p>
      <w:pPr>
        <w:spacing w:after="0" w:line="357"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right="140" w:firstLine="419"/>
        <w:jc w:val="both"/>
      </w:pPr>
      <w:r>
        <w:rPr/>
        <w:t>投资活动产生的现金流量净额为人民币</w:t>
      </w:r>
      <w:r>
        <w:rPr>
          <w:rFonts w:ascii="宋体" w:hAnsi="宋体" w:cs="宋体" w:eastAsia="宋体" w:hint="default"/>
        </w:rPr>
        <w:t>-1.08</w:t>
      </w:r>
      <w:r>
        <w:rPr>
          <w:rFonts w:ascii="宋体" w:hAnsi="宋体" w:cs="宋体" w:eastAsia="宋体" w:hint="default"/>
          <w:spacing w:val="-58"/>
        </w:rPr>
        <w:t> </w:t>
      </w:r>
      <w:r>
        <w:rPr/>
        <w:t>亿元，同比回升</w:t>
      </w:r>
      <w:r>
        <w:rPr>
          <w:spacing w:val="-56"/>
        </w:rPr>
        <w:t> </w:t>
      </w:r>
      <w:r>
        <w:rPr>
          <w:rFonts w:ascii="宋体" w:hAnsi="宋体" w:cs="宋体" w:eastAsia="宋体" w:hint="default"/>
        </w:rPr>
        <w:t>88.95%</w:t>
      </w:r>
      <w:r>
        <w:rPr/>
        <w:t>，主要由于报告期末公</w:t>
      </w:r>
      <w:r>
        <w:rPr>
          <w:w w:val="100"/>
        </w:rPr>
        <w:t> </w:t>
      </w:r>
      <w:r>
        <w:rPr/>
        <w:t>司购买理财产品未到期余额较上年同期有所减少。</w:t>
      </w:r>
    </w:p>
    <w:p>
      <w:pPr>
        <w:pStyle w:val="BodyText"/>
        <w:spacing w:line="355" w:lineRule="auto" w:before="30"/>
        <w:ind w:right="137" w:firstLine="419"/>
        <w:jc w:val="both"/>
      </w:pPr>
      <w:r>
        <w:rPr/>
        <w:t>筹资活动现金流量净额为人民币</w:t>
      </w:r>
      <w:r>
        <w:rPr>
          <w:rFonts w:ascii="宋体" w:hAnsi="宋体" w:cs="宋体" w:eastAsia="宋体" w:hint="default"/>
        </w:rPr>
        <w:t>-9,881.92</w:t>
      </w:r>
      <w:r>
        <w:rPr>
          <w:rFonts w:ascii="宋体" w:hAnsi="宋体" w:cs="宋体" w:eastAsia="宋体" w:hint="default"/>
          <w:spacing w:val="-56"/>
        </w:rPr>
        <w:t> </w:t>
      </w:r>
      <w:r>
        <w:rPr/>
        <w:t>万元，同比下降</w:t>
      </w:r>
      <w:r>
        <w:rPr>
          <w:spacing w:val="-56"/>
        </w:rPr>
        <w:t> </w:t>
      </w:r>
      <w:r>
        <w:rPr>
          <w:rFonts w:ascii="宋体" w:hAnsi="宋体" w:cs="宋体" w:eastAsia="宋体" w:hint="default"/>
        </w:rPr>
        <w:t>10.86%</w:t>
      </w:r>
      <w:r>
        <w:rPr/>
        <w:t>，主要由于本报告期内原</w:t>
      </w:r>
      <w:r>
        <w:rPr>
          <w:w w:val="100"/>
        </w:rPr>
        <w:t> </w:t>
      </w:r>
      <w:r>
        <w:rPr>
          <w:spacing w:val="-2"/>
        </w:rPr>
        <w:t>子公司人民澳客在合并范围期间进行利润分配，导致子公司支付给少数股东的股利较去年相比大</w:t>
      </w:r>
      <w:r>
        <w:rPr>
          <w:spacing w:val="-25"/>
        </w:rPr>
        <w:t> </w:t>
      </w:r>
      <w:r>
        <w:rPr>
          <w:spacing w:val="-25"/>
        </w:rPr>
      </w:r>
      <w:r>
        <w:rPr/>
        <w:t>幅增加所致。</w:t>
      </w:r>
    </w:p>
    <w:p>
      <w:pPr>
        <w:spacing w:line="240" w:lineRule="auto" w:before="13"/>
        <w:rPr>
          <w:rFonts w:ascii="宋体" w:hAnsi="宋体" w:cs="宋体" w:eastAsia="宋体" w:hint="default"/>
          <w:sz w:val="27"/>
          <w:szCs w:val="27"/>
        </w:rPr>
      </w:pPr>
    </w:p>
    <w:p>
      <w:pPr>
        <w:pStyle w:val="Heading2"/>
        <w:tabs>
          <w:tab w:pos="977" w:val="left" w:leader="none"/>
        </w:tabs>
        <w:spacing w:line="240" w:lineRule="auto"/>
        <w:ind w:left="138" w:right="254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before="20"/>
        <w:ind w:left="6469" w:right="641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6"/>
          <w:footerReference w:type="default" r:id="rId17"/>
          <w:pgSz w:w="16840" w:h="11910" w:orient="landscape"/>
          <w:pgMar w:header="0" w:footer="0" w:top="800" w:bottom="280" w:left="1220" w:right="1380"/>
        </w:sectPr>
      </w:pPr>
    </w:p>
    <w:p>
      <w:pPr>
        <w:pStyle w:val="Heading2"/>
        <w:tabs>
          <w:tab w:pos="1060" w:val="left" w:leader="none"/>
        </w:tabs>
        <w:spacing w:line="240" w:lineRule="auto" w:before="169"/>
        <w:ind w:left="22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56"/>
        <w:ind w:left="220" w:right="-17"/>
        <w:jc w:val="left"/>
      </w:pPr>
      <w:r>
        <w:rPr/>
        <w:t>√适用 □不适用</w:t>
      </w:r>
    </w:p>
    <w:p>
      <w:pPr>
        <w:pStyle w:val="Heading2"/>
        <w:tabs>
          <w:tab w:pos="645" w:val="left" w:leader="none"/>
        </w:tabs>
        <w:spacing w:line="240" w:lineRule="auto" w:before="58"/>
        <w:ind w:left="220" w:right="-17"/>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ind w:left="220" w:right="0"/>
        <w:jc w:val="left"/>
      </w:pPr>
      <w:r>
        <w:rPr/>
        <w:t>单位：元</w:t>
      </w:r>
    </w:p>
    <w:p>
      <w:pPr>
        <w:spacing w:after="0" w:line="240" w:lineRule="auto"/>
        <w:jc w:val="left"/>
        <w:sectPr>
          <w:type w:val="continuous"/>
          <w:pgSz w:w="16840" w:h="11910" w:orient="landscape"/>
          <w:pgMar w:top="1120" w:bottom="1380" w:left="1220" w:right="1380"/>
          <w:cols w:num="2" w:equalWidth="0">
            <w:col w:w="2962" w:space="10072"/>
            <w:col w:w="120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4"/>
        <w:gridCol w:w="1697"/>
        <w:gridCol w:w="1280"/>
        <w:gridCol w:w="1699"/>
        <w:gridCol w:w="1277"/>
        <w:gridCol w:w="1560"/>
        <w:gridCol w:w="5245"/>
      </w:tblGrid>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本期期末数</w:t>
            </w:r>
          </w:p>
          <w:p>
            <w:pPr>
              <w:pStyle w:val="TableParagraph"/>
              <w:spacing w:line="240" w:lineRule="auto"/>
              <w:ind w:left="160" w:right="106"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上期期末数</w:t>
            </w:r>
          </w:p>
          <w:p>
            <w:pPr>
              <w:pStyle w:val="TableParagraph"/>
              <w:spacing w:line="240" w:lineRule="auto"/>
              <w:ind w:left="160" w:right="103"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40" w:lineRule="auto"/>
              <w:ind w:left="196" w:right="141" w:hanging="53"/>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531,417,930.28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427,244,538.71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11.55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24.38</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公司报告期内加大催款力度，收款情况良好；报告期末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理财产品未到期金额较上年期末有所下降。</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77,217,183.23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24,090,616.26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220.53</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报告期内，公司处置了所持网际星辰、人民澳客的全部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股权，部分交易款截至期末尚未到账。</w:t>
            </w:r>
          </w:p>
        </w:tc>
      </w:tr>
      <w:tr>
        <w:trPr>
          <w:trHeight w:val="55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14,602,046.15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7,290,403.47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100.29</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公司受托承建的人民日报数据中心项目尚未完工，前期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投入计入存货。</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124,900,000.00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88,380,000.00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41.32</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报告期内，公司投资基金人民币</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公司所持东方网股份公允价值根据市场价格有所调增。</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86"/>
              <w:jc w:val="left"/>
              <w:rPr>
                <w:rFonts w:ascii="宋体" w:hAnsi="宋体" w:cs="宋体" w:eastAsia="宋体" w:hint="default"/>
                <w:sz w:val="21"/>
                <w:szCs w:val="21"/>
              </w:rPr>
            </w:pPr>
            <w:r>
              <w:rPr>
                <w:rFonts w:ascii="宋体" w:hAnsi="宋体" w:cs="宋体" w:eastAsia="宋体" w:hint="default"/>
                <w:sz w:val="21"/>
                <w:szCs w:val="21"/>
              </w:rPr>
              <w:t>长期股权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454,740,263.38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12.46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202,356,220.02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124.72</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报告期内，以所持</w:t>
            </w:r>
            <w:r>
              <w:rPr>
                <w:rFonts w:ascii="宋体" w:hAnsi="宋体" w:cs="宋体" w:eastAsia="宋体" w:hint="default"/>
                <w:spacing w:val="-39"/>
                <w:sz w:val="21"/>
                <w:szCs w:val="21"/>
              </w:rPr>
              <w:t> </w:t>
            </w:r>
            <w:r>
              <w:rPr>
                <w:rFonts w:ascii="宋体" w:hAnsi="宋体" w:cs="宋体" w:eastAsia="宋体" w:hint="default"/>
                <w:sz w:val="21"/>
                <w:szCs w:val="21"/>
              </w:rPr>
              <w:t>69.25%</w:t>
            </w:r>
            <w:r>
              <w:rPr>
                <w:rFonts w:ascii="宋体" w:hAnsi="宋体" w:cs="宋体" w:eastAsia="宋体" w:hint="default"/>
                <w:sz w:val="21"/>
                <w:szCs w:val="21"/>
              </w:rPr>
              <w:t>古羌科技股权作价置换金辉文</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化部分股权，置换完成后公司由成本法核算古羌科技转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为权益法核算金辉文化。</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19,083,296.05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84,954,098.98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-77.54</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报告期末，资产负债表合并范围减少了古羌科技、网际</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星辰、人民澳客三家公司，上述公司期初无形资产金额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较大。</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135,044,985.26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公司原商誉组成主要为收购古羌科技、网际星辰两公司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形成，报告期内相关公司股权已被处置。</w:t>
            </w:r>
          </w:p>
        </w:tc>
      </w:tr>
      <w:tr>
        <w:trPr>
          <w:trHeight w:val="82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421,428,563.87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11.54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218,877,297.41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92.54</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公司报告期内收款情况优于去年同期，母公司及主要子</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公司经营相关预收款余额均高于去年，此外本期收到人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民日报社预付数据中心项目款项人民币</w:t>
            </w:r>
            <w:r>
              <w:rPr>
                <w:rFonts w:ascii="宋体" w:hAnsi="宋体" w:cs="宋体" w:eastAsia="宋体" w:hint="default"/>
                <w:spacing w:val="-53"/>
                <w:sz w:val="21"/>
                <w:szCs w:val="21"/>
              </w:rPr>
              <w:t> </w:t>
            </w:r>
            <w:r>
              <w:rPr>
                <w:rFonts w:ascii="宋体" w:hAnsi="宋体" w:cs="宋体" w:eastAsia="宋体" w:hint="default"/>
                <w:sz w:val="21"/>
                <w:szCs w:val="21"/>
              </w:rPr>
              <w:t>5,500</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spacing w:line="240" w:lineRule="auto" w:before="5"/>
        <w:rPr>
          <w:rFonts w:ascii="宋体" w:hAnsi="宋体" w:cs="宋体" w:eastAsia="宋体" w:hint="default"/>
          <w:sz w:val="15"/>
          <w:szCs w:val="15"/>
        </w:rPr>
      </w:pPr>
    </w:p>
    <w:p>
      <w:pPr>
        <w:pStyle w:val="BodyText"/>
        <w:spacing w:line="274" w:lineRule="exact" w:before="36"/>
        <w:ind w:left="220" w:right="0"/>
        <w:jc w:val="left"/>
      </w:pPr>
      <w:r>
        <w:rPr/>
        <w:t>其他说明</w:t>
      </w:r>
    </w:p>
    <w:p>
      <w:pPr>
        <w:pStyle w:val="BodyText"/>
        <w:spacing w:line="274" w:lineRule="exact"/>
        <w:ind w:left="640" w:right="0"/>
        <w:jc w:val="left"/>
      </w:pPr>
      <w:r>
        <w:rPr>
          <w:w w:val="100"/>
        </w:rPr>
        <w:t>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6473" w:right="6400" w:firstLine="0"/>
        <w:jc w:val="center"/>
        <w:rPr>
          <w:rFonts w:ascii="Calibri" w:hAnsi="Calibri" w:cs="Calibri" w:eastAsia="Calibri" w:hint="default"/>
          <w:sz w:val="18"/>
          <w:szCs w:val="18"/>
        </w:rPr>
      </w:pPr>
      <w:r>
        <w:rPr>
          <w:rFonts w:ascii="Calibri"/>
          <w:b/>
          <w:sz w:val="18"/>
        </w:rPr>
        <w:t>19 </w:t>
      </w:r>
      <w:r>
        <w:rPr>
          <w:rFonts w:ascii="Calibri"/>
          <w:sz w:val="18"/>
        </w:rPr>
        <w:t>/</w:t>
      </w:r>
      <w:r>
        <w:rPr>
          <w:rFonts w:ascii="Calibri"/>
          <w:spacing w:val="-4"/>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8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254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72" w:lineRule="exact" w:before="86"/>
        <w:ind w:left="558" w:right="3467" w:hanging="420"/>
        <w:jc w:val="left"/>
      </w:pPr>
      <w:r>
        <w:rPr/>
        <w:t>√适用</w:t>
      </w:r>
      <w:r>
        <w:rPr>
          <w:spacing w:val="-2"/>
        </w:rPr>
        <w:t> </w:t>
      </w:r>
      <w:r>
        <w:rPr/>
        <w:t>□不适用</w:t>
      </w:r>
      <w:r>
        <w:rPr>
          <w:w w:val="100"/>
        </w:rPr>
        <w:t> </w:t>
      </w:r>
      <w:r>
        <w:rPr>
          <w:spacing w:val="-2"/>
        </w:rPr>
        <w:t>详见本节对行业竞争格局和发展趋势的讨论分析。</w:t>
      </w:r>
    </w:p>
    <w:p>
      <w:pPr>
        <w:spacing w:after="0" w:line="272" w:lineRule="exact"/>
        <w:jc w:val="left"/>
        <w:sectPr>
          <w:footerReference w:type="default" r:id="rId18"/>
          <w:pgSz w:w="11910" w:h="16840"/>
          <w:pgMar w:footer="1195" w:header="0" w:top="1120" w:bottom="1380" w:left="1660" w:right="1140"/>
          <w:pgNumType w:star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2"/>
        <w:spacing w:line="240" w:lineRule="auto" w:before="56"/>
        <w:ind w:left="138"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公司在报告期内充分发挥内容、品牌、平台和资本优势，加强产业资源的整合，加强与各行</w:t>
      </w:r>
    </w:p>
    <w:p>
      <w:pPr>
        <w:pStyle w:val="BodyText"/>
        <w:spacing w:line="357" w:lineRule="auto" w:before="110"/>
        <w:ind w:right="128"/>
        <w:jc w:val="both"/>
      </w:pPr>
      <w:r>
        <w:rPr>
          <w:spacing w:val="-2"/>
        </w:rPr>
        <w:t>业领军企业的共建共享，以合资或新设方式成立了人民健康、人民科技、人民体育、重庆政微、</w:t>
      </w:r>
      <w:r>
        <w:rPr>
          <w:spacing w:val="-26"/>
        </w:rPr>
        <w:t> </w:t>
      </w:r>
      <w:r>
        <w:rPr>
          <w:spacing w:val="-26"/>
        </w:rPr>
      </w:r>
      <w:r>
        <w:rPr>
          <w:spacing w:val="-2"/>
        </w:rPr>
        <w:t>金台恒达等多家子公司。此外，公司积极推动原有投资项目的重组以及资本化进程。完成古羌科</w:t>
      </w:r>
      <w:r>
        <w:rPr>
          <w:spacing w:val="-25"/>
        </w:rPr>
        <w:t> </w:t>
      </w:r>
      <w:r>
        <w:rPr>
          <w:spacing w:val="-25"/>
        </w:rPr>
      </w:r>
      <w:r>
        <w:rPr>
          <w:spacing w:val="-2"/>
        </w:rPr>
        <w:t>技资本重组，转让人民澳客、网际星辰等公司股权，为文华在线、人民幼禾等合资公司引入战略</w:t>
      </w:r>
      <w:r>
        <w:rPr>
          <w:spacing w:val="-24"/>
        </w:rPr>
        <w:t> </w:t>
      </w:r>
      <w:r>
        <w:rPr>
          <w:spacing w:val="-24"/>
        </w:rPr>
      </w:r>
      <w:r>
        <w:rPr>
          <w:spacing w:val="-7"/>
        </w:rPr>
        <w:t>投资，完成总规模达</w:t>
      </w:r>
      <w:r>
        <w:rPr>
          <w:spacing w:val="-40"/>
        </w:rPr>
        <w:t> </w:t>
      </w:r>
      <w:r>
        <w:rPr>
          <w:rFonts w:ascii="宋体" w:hAnsi="宋体" w:cs="宋体" w:eastAsia="宋体" w:hint="default"/>
        </w:rPr>
        <w:t>2</w:t>
      </w:r>
      <w:r>
        <w:rPr>
          <w:rFonts w:ascii="宋体" w:hAnsi="宋体" w:cs="宋体" w:eastAsia="宋体" w:hint="default"/>
          <w:spacing w:val="-42"/>
        </w:rPr>
        <w:t> </w:t>
      </w:r>
      <w:r>
        <w:rPr>
          <w:spacing w:val="-4"/>
        </w:rPr>
        <w:t>亿元的专项基金的设立及投资工作，完成总规模达</w:t>
      </w:r>
      <w:r>
        <w:rPr>
          <w:spacing w:val="-40"/>
        </w:rPr>
        <w:t> </w:t>
      </w:r>
      <w:r>
        <w:rPr>
          <w:rFonts w:ascii="宋体" w:hAnsi="宋体" w:cs="宋体" w:eastAsia="宋体" w:hint="default"/>
        </w:rPr>
        <w:t>15</w:t>
      </w:r>
      <w:r>
        <w:rPr>
          <w:rFonts w:ascii="宋体" w:hAnsi="宋体" w:cs="宋体" w:eastAsia="宋体" w:hint="default"/>
          <w:spacing w:val="-43"/>
        </w:rPr>
        <w:t> </w:t>
      </w:r>
      <w:r>
        <w:rPr/>
        <w:t>亿元的产业投资基金</w:t>
      </w:r>
      <w:r>
        <w:rPr>
          <w:spacing w:val="-101"/>
        </w:rPr>
        <w:t> </w:t>
      </w:r>
      <w:r>
        <w:rPr>
          <w:spacing w:val="-101"/>
        </w:rPr>
      </w:r>
      <w:r>
        <w:rPr>
          <w:spacing w:val="-2"/>
        </w:rPr>
        <w:t>的发起筹备工作，上述事项，使公司实现了对外投资的顺利退出和资产的保值增值，人民网资本</w:t>
      </w:r>
      <w:r>
        <w:rPr>
          <w:spacing w:val="-26"/>
        </w:rPr>
        <w:t> </w:t>
      </w:r>
      <w:r>
        <w:rPr>
          <w:spacing w:val="-26"/>
        </w:rPr>
      </w:r>
      <w:r>
        <w:rPr/>
        <w:t>价值得以有效增强。</w:t>
      </w:r>
    </w:p>
    <w:p>
      <w:pPr>
        <w:spacing w:line="240" w:lineRule="auto" w:before="8"/>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8"/>
        <w:ind w:right="0"/>
        <w:jc w:val="both"/>
      </w:pPr>
      <w:r>
        <w:rPr/>
        <w:t>√适用</w:t>
      </w:r>
      <w:r>
        <w:rPr>
          <w:spacing w:val="-1"/>
        </w:rPr>
        <w:t> </w:t>
      </w:r>
      <w:r>
        <w:rPr/>
        <w:t>□不适用</w:t>
      </w:r>
    </w:p>
    <w:p>
      <w:pPr>
        <w:pStyle w:val="BodyText"/>
        <w:spacing w:line="357" w:lineRule="auto"/>
        <w:ind w:right="130" w:firstLine="419"/>
        <w:jc w:val="both"/>
      </w:pPr>
      <w:r>
        <w:rPr/>
        <w:t>公司于</w:t>
      </w:r>
      <w:r>
        <w:rPr>
          <w:spacing w:val="-38"/>
        </w:rPr>
        <w:t> </w:t>
      </w:r>
      <w:r>
        <w:rPr>
          <w:rFonts w:ascii="宋体" w:hAnsi="宋体" w:cs="宋体" w:eastAsia="宋体" w:hint="default"/>
        </w:rPr>
        <w:t>2017</w:t>
      </w:r>
      <w:r>
        <w:rPr>
          <w:rFonts w:ascii="宋体" w:hAnsi="宋体" w:cs="宋体" w:eastAsia="宋体" w:hint="default"/>
          <w:spacing w:val="-38"/>
        </w:rPr>
        <w:t> </w:t>
      </w:r>
      <w:r>
        <w:rPr/>
        <w:t>年</w:t>
      </w:r>
      <w:r>
        <w:rPr>
          <w:spacing w:val="-41"/>
        </w:rPr>
        <w:t> </w:t>
      </w:r>
      <w:r>
        <w:rPr>
          <w:rFonts w:ascii="宋体" w:hAnsi="宋体" w:cs="宋体" w:eastAsia="宋体" w:hint="default"/>
        </w:rPr>
        <w:t>3</w:t>
      </w:r>
      <w:r>
        <w:rPr>
          <w:rFonts w:ascii="宋体" w:hAnsi="宋体" w:cs="宋体" w:eastAsia="宋体" w:hint="default"/>
          <w:spacing w:val="-38"/>
        </w:rPr>
        <w:t> </w:t>
      </w:r>
      <w:r>
        <w:rPr>
          <w:spacing w:val="-5"/>
        </w:rPr>
        <w:t>月召开第三次董事会第二次会议，会议审议通过了《关于以所持成都古羌科</w:t>
      </w:r>
      <w:r>
        <w:rPr>
          <w:w w:val="100"/>
        </w:rPr>
        <w:t> </w:t>
      </w:r>
      <w:r>
        <w:rPr>
          <w:spacing w:val="-2"/>
        </w:rPr>
        <w:t>技有限公司股权投资烟台金辉文化传媒股份有限公司暨签署相关协议的议案》，以所持古羌科技</w:t>
      </w:r>
      <w:r>
        <w:rPr>
          <w:spacing w:val="-25"/>
        </w:rPr>
        <w:t> </w:t>
      </w:r>
      <w:r>
        <w:rPr>
          <w:spacing w:val="-25"/>
        </w:rPr>
      </w:r>
      <w:r>
        <w:rPr/>
        <w:t>全部</w:t>
      </w:r>
      <w:r>
        <w:rPr>
          <w:spacing w:val="-55"/>
        </w:rPr>
        <w:t> </w:t>
      </w:r>
      <w:r>
        <w:rPr>
          <w:rFonts w:ascii="宋体" w:hAnsi="宋体" w:cs="宋体" w:eastAsia="宋体" w:hint="default"/>
        </w:rPr>
        <w:t>69.25%</w:t>
      </w:r>
      <w:r>
        <w:rPr/>
        <w:t>的股权折价人民币</w:t>
      </w:r>
      <w:r>
        <w:rPr>
          <w:spacing w:val="-54"/>
        </w:rPr>
        <w:t> </w:t>
      </w:r>
      <w:r>
        <w:rPr>
          <w:rFonts w:ascii="宋体" w:hAnsi="宋体" w:cs="宋体" w:eastAsia="宋体" w:hint="default"/>
        </w:rPr>
        <w:t>2.493</w:t>
      </w:r>
      <w:r>
        <w:rPr>
          <w:rFonts w:ascii="宋体" w:hAnsi="宋体" w:cs="宋体" w:eastAsia="宋体" w:hint="default"/>
          <w:spacing w:val="-57"/>
        </w:rPr>
        <w:t> </w:t>
      </w:r>
      <w:r>
        <w:rPr/>
        <w:t>亿元认购金辉文化新增</w:t>
      </w:r>
      <w:r>
        <w:rPr>
          <w:spacing w:val="-55"/>
        </w:rPr>
        <w:t> </w:t>
      </w:r>
      <w:r>
        <w:rPr>
          <w:rFonts w:ascii="宋体" w:hAnsi="宋体" w:cs="宋体" w:eastAsia="宋体" w:hint="default"/>
        </w:rPr>
        <w:t>1,922.76</w:t>
      </w:r>
      <w:r>
        <w:rPr>
          <w:rFonts w:ascii="宋体" w:hAnsi="宋体" w:cs="宋体" w:eastAsia="宋体" w:hint="default"/>
          <w:spacing w:val="-57"/>
        </w:rPr>
        <w:t> </w:t>
      </w:r>
      <w:r>
        <w:rPr/>
        <w:t>万股股份，详情请参见公</w:t>
      </w:r>
    </w:p>
    <w:p>
      <w:pPr>
        <w:pStyle w:val="BodyText"/>
        <w:spacing w:line="357" w:lineRule="auto" w:before="30"/>
        <w:ind w:right="128"/>
        <w:jc w:val="both"/>
      </w:pPr>
      <w:r>
        <w:rPr/>
        <w:t>司登载于上交所网站的临</w:t>
      </w:r>
      <w:r>
        <w:rPr>
          <w:spacing w:val="-39"/>
        </w:rPr>
        <w:t> </w:t>
      </w:r>
      <w:r>
        <w:rPr>
          <w:rFonts w:ascii="宋体" w:hAnsi="宋体" w:cs="宋体" w:eastAsia="宋体" w:hint="default"/>
        </w:rPr>
        <w:t>2017-003</w:t>
      </w:r>
      <w:r>
        <w:rPr>
          <w:rFonts w:ascii="宋体" w:hAnsi="宋体" w:cs="宋体" w:eastAsia="宋体" w:hint="default"/>
          <w:spacing w:val="-39"/>
        </w:rPr>
        <w:t> </w:t>
      </w:r>
      <w:r>
        <w:rPr>
          <w:spacing w:val="-5"/>
        </w:rPr>
        <w:t>号公告。截至报告期末，相关股权置换事宜已办理完毕。被投</w:t>
      </w:r>
      <w:r>
        <w:rPr>
          <w:spacing w:val="-99"/>
        </w:rPr>
        <w:t> </w:t>
      </w:r>
      <w:r>
        <w:rPr>
          <w:spacing w:val="-99"/>
        </w:rPr>
      </w:r>
      <w:r>
        <w:rPr>
          <w:spacing w:val="-2"/>
        </w:rPr>
        <w:t>资方因进行注册资本、登记机关、住所等事项的工商变更，现公司名称已变更为阿尔山市金辉文</w:t>
      </w:r>
      <w:r>
        <w:rPr>
          <w:spacing w:val="-26"/>
        </w:rPr>
        <w:t> </w:t>
      </w:r>
      <w:r>
        <w:rPr>
          <w:spacing w:val="-26"/>
        </w:rPr>
      </w:r>
      <w:r>
        <w:rPr/>
        <w:t>化传媒股份有限公司。</w:t>
      </w:r>
    </w:p>
    <w:p>
      <w:pPr>
        <w:pStyle w:val="BodyText"/>
        <w:spacing w:line="240" w:lineRule="auto" w:before="32"/>
        <w:ind w:left="558" w:right="0"/>
        <w:jc w:val="left"/>
      </w:pPr>
      <w:r>
        <w:rPr/>
        <w:t>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3"/>
        </w:rPr>
        <w:t> </w:t>
      </w:r>
      <w:r>
        <w:rPr/>
        <w:t>月召开第三次董事会第九次会议，会议审议通过了《关于投资设立人民浦</w:t>
      </w:r>
    </w:p>
    <w:p>
      <w:pPr>
        <w:pStyle w:val="BodyText"/>
        <w:spacing w:line="355" w:lineRule="auto" w:before="133"/>
        <w:ind w:right="137"/>
        <w:jc w:val="both"/>
      </w:pPr>
      <w:r>
        <w:rPr/>
        <w:t>东招银文创产业股权投资基金合伙企业（有限合伙）的议案》，拟出资人民币</w:t>
      </w:r>
      <w:r>
        <w:rPr>
          <w:spacing w:val="-53"/>
        </w:rPr>
        <w:t> </w:t>
      </w:r>
      <w:r>
        <w:rPr>
          <w:rFonts w:ascii="宋体" w:hAnsi="宋体" w:cs="宋体" w:eastAsia="宋体" w:hint="default"/>
        </w:rPr>
        <w:t>1.5</w:t>
      </w:r>
      <w:r>
        <w:rPr>
          <w:rFonts w:ascii="宋体" w:hAnsi="宋体" w:cs="宋体" w:eastAsia="宋体" w:hint="default"/>
          <w:spacing w:val="-56"/>
        </w:rPr>
        <w:t> </w:t>
      </w:r>
      <w:r>
        <w:rPr/>
        <w:t>亿元参与投资</w:t>
      </w:r>
      <w:r>
        <w:rPr>
          <w:w w:val="100"/>
        </w:rPr>
        <w:t> </w:t>
      </w:r>
      <w:r>
        <w:rPr>
          <w:spacing w:val="-2"/>
        </w:rPr>
        <w:t>设立人民浦东招银文创产业股权投资基金合伙企业（有限合伙）（暂定名），详情请参见公司登</w:t>
      </w:r>
      <w:r>
        <w:rPr>
          <w:spacing w:val="-25"/>
        </w:rPr>
        <w:t> </w:t>
      </w:r>
      <w:r>
        <w:rPr>
          <w:spacing w:val="-25"/>
        </w:rPr>
      </w:r>
      <w:r>
        <w:rPr/>
        <w:t>载于上交所网站的临</w:t>
      </w:r>
      <w:r>
        <w:rPr>
          <w:spacing w:val="-57"/>
        </w:rPr>
        <w:t> </w:t>
      </w:r>
      <w:r>
        <w:rPr>
          <w:rFonts w:ascii="宋体" w:hAnsi="宋体" w:cs="宋体" w:eastAsia="宋体" w:hint="default"/>
        </w:rPr>
        <w:t>2017-029</w:t>
      </w:r>
      <w:r>
        <w:rPr>
          <w:rFonts w:ascii="宋体" w:hAnsi="宋体" w:cs="宋体" w:eastAsia="宋体" w:hint="default"/>
          <w:spacing w:val="-59"/>
        </w:rPr>
        <w:t> </w:t>
      </w:r>
      <w:r>
        <w:rPr/>
        <w:t>号公告。截至报告期末，该基金尚未完成设立登记等相关工作。</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7"/>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3" w:lineRule="exact" w:before="58"/>
        <w:ind w:right="0"/>
        <w:jc w:val="both"/>
      </w:pPr>
      <w:r>
        <w:rPr/>
        <w:t>√适用</w:t>
      </w:r>
      <w:r>
        <w:rPr>
          <w:spacing w:val="-1"/>
        </w:rPr>
        <w:t> </w:t>
      </w:r>
      <w:r>
        <w:rPr/>
        <w:t>□不适用</w:t>
      </w:r>
    </w:p>
    <w:p>
      <w:pPr>
        <w:pStyle w:val="BodyText"/>
        <w:spacing w:line="355" w:lineRule="auto"/>
        <w:ind w:right="127" w:firstLine="419"/>
        <w:jc w:val="both"/>
      </w:pPr>
      <w:r>
        <w:rPr>
          <w:spacing w:val="-5"/>
        </w:rPr>
        <w:t>报告期内，公司持有的东方网股份以公允价值计量，具体参见本报告第二节</w:t>
      </w:r>
      <w:r>
        <w:rPr>
          <w:spacing w:val="53"/>
        </w:rPr>
        <w:t> </w:t>
      </w:r>
      <w:r>
        <w:rPr/>
        <w:t>采用公允价值计</w:t>
      </w:r>
      <w:r>
        <w:rPr>
          <w:w w:val="100"/>
        </w:rPr>
        <w:t> </w:t>
      </w:r>
      <w:r>
        <w:rPr/>
        <w:t>量的项目。</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73" w:lineRule="exact" w:before="58"/>
        <w:ind w:right="0"/>
        <w:jc w:val="both"/>
      </w:pPr>
      <w:r>
        <w:rPr/>
        <w:t>√适用</w:t>
      </w:r>
      <w:r>
        <w:rPr>
          <w:spacing w:val="-1"/>
        </w:rPr>
        <w:t> </w:t>
      </w:r>
      <w:r>
        <w:rPr/>
        <w:t>□不适用</w:t>
      </w:r>
    </w:p>
    <w:p>
      <w:pPr>
        <w:pStyle w:val="BodyText"/>
        <w:spacing w:line="357" w:lineRule="auto"/>
        <w:ind w:right="130" w:firstLine="419"/>
        <w:jc w:val="both"/>
      </w:pPr>
      <w:r>
        <w:rPr/>
        <w:t>公司于</w:t>
      </w:r>
      <w:r>
        <w:rPr>
          <w:spacing w:val="-38"/>
        </w:rPr>
        <w:t> </w:t>
      </w:r>
      <w:r>
        <w:rPr>
          <w:rFonts w:ascii="宋体" w:hAnsi="宋体" w:cs="宋体" w:eastAsia="宋体" w:hint="default"/>
        </w:rPr>
        <w:t>2017</w:t>
      </w:r>
      <w:r>
        <w:rPr>
          <w:rFonts w:ascii="宋体" w:hAnsi="宋体" w:cs="宋体" w:eastAsia="宋体" w:hint="default"/>
          <w:spacing w:val="-38"/>
        </w:rPr>
        <w:t> </w:t>
      </w:r>
      <w:r>
        <w:rPr/>
        <w:t>年</w:t>
      </w:r>
      <w:r>
        <w:rPr>
          <w:spacing w:val="-41"/>
        </w:rPr>
        <w:t> </w:t>
      </w:r>
      <w:r>
        <w:rPr>
          <w:rFonts w:ascii="宋体" w:hAnsi="宋体" w:cs="宋体" w:eastAsia="宋体" w:hint="default"/>
        </w:rPr>
        <w:t>9</w:t>
      </w:r>
      <w:r>
        <w:rPr>
          <w:rFonts w:ascii="宋体" w:hAnsi="宋体" w:cs="宋体" w:eastAsia="宋体" w:hint="default"/>
          <w:spacing w:val="-38"/>
        </w:rPr>
        <w:t> </w:t>
      </w:r>
      <w:r>
        <w:rPr>
          <w:spacing w:val="-5"/>
        </w:rPr>
        <w:t>月召开第三次董事会第七次会议，会议审议通过了《关于转让人民澳客传媒</w:t>
      </w:r>
      <w:r>
        <w:rPr>
          <w:w w:val="100"/>
        </w:rPr>
        <w:t> </w:t>
      </w:r>
      <w:r>
        <w:rPr>
          <w:spacing w:val="-2"/>
        </w:rPr>
        <w:t>科技有限公司股权并设立彩票运营机构的议案》，授权公司管理团队按照国有产权转让的相关规</w:t>
      </w:r>
    </w:p>
    <w:p>
      <w:pPr>
        <w:pStyle w:val="BodyText"/>
        <w:spacing w:line="240" w:lineRule="auto" w:before="32"/>
        <w:ind w:right="0"/>
        <w:jc w:val="both"/>
      </w:pPr>
      <w:r>
        <w:rPr>
          <w:spacing w:val="-3"/>
        </w:rPr>
        <w:t>定具体组织人民澳客股权转让事宜，详情请参见公司登载于上交所网站的临 </w:t>
      </w:r>
      <w:r>
        <w:rPr>
          <w:rFonts w:ascii="宋体" w:hAnsi="宋体" w:cs="宋体" w:eastAsia="宋体" w:hint="default"/>
        </w:rPr>
        <w:t>2017-022</w:t>
      </w:r>
      <w:r>
        <w:rPr>
          <w:rFonts w:ascii="宋体" w:hAnsi="宋体" w:cs="宋体" w:eastAsia="宋体" w:hint="default"/>
          <w:spacing w:val="-51"/>
        </w:rPr>
        <w:t> </w:t>
      </w:r>
      <w:r>
        <w:rPr>
          <w:spacing w:val="-11"/>
        </w:rPr>
        <w:t>号公告。人</w:t>
      </w:r>
    </w:p>
    <w:p>
      <w:pPr>
        <w:spacing w:after="0" w:line="240"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127"/>
        <w:jc w:val="both"/>
      </w:pPr>
      <w:r>
        <w:rPr/>
        <w:t>民网对人民澳客投资金额为人民币</w:t>
      </w:r>
      <w:r>
        <w:rPr>
          <w:spacing w:val="-54"/>
        </w:rPr>
        <w:t> </w:t>
      </w:r>
      <w:r>
        <w:rPr>
          <w:rFonts w:ascii="宋体" w:hAnsi="宋体" w:cs="宋体" w:eastAsia="宋体" w:hint="default"/>
        </w:rPr>
        <w:t>2,000</w:t>
      </w:r>
      <w:r>
        <w:rPr>
          <w:rFonts w:ascii="宋体" w:hAnsi="宋体" w:cs="宋体" w:eastAsia="宋体" w:hint="default"/>
          <w:spacing w:val="-56"/>
        </w:rPr>
        <w:t> </w:t>
      </w:r>
      <w:r>
        <w:rPr/>
        <w:t>万元，</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月，公司以人民币</w:t>
      </w:r>
      <w:r>
        <w:rPr>
          <w:spacing w:val="-56"/>
        </w:rPr>
        <w:t> </w:t>
      </w:r>
      <w:r>
        <w:rPr>
          <w:rFonts w:ascii="宋体" w:hAnsi="宋体" w:cs="宋体" w:eastAsia="宋体" w:hint="default"/>
        </w:rPr>
        <w:t>9,931</w:t>
      </w:r>
      <w:r>
        <w:rPr>
          <w:rFonts w:ascii="宋体" w:hAnsi="宋体" w:cs="宋体" w:eastAsia="宋体" w:hint="default"/>
          <w:spacing w:val="-56"/>
        </w:rPr>
        <w:t> </w:t>
      </w:r>
      <w:r>
        <w:rPr/>
        <w:t>万元挂牌转</w:t>
      </w:r>
      <w:r>
        <w:rPr>
          <w:w w:val="100"/>
        </w:rPr>
        <w:t> </w:t>
      </w:r>
      <w:r>
        <w:rPr>
          <w:spacing w:val="-2"/>
        </w:rPr>
        <w:t>让了所持人民澳客的全部股权，并在上交所网站上对股权转让的进展情况进行了公告。截至报告</w:t>
      </w:r>
      <w:r>
        <w:rPr>
          <w:spacing w:val="-25"/>
        </w:rPr>
        <w:t> </w:t>
      </w:r>
      <w:r>
        <w:rPr>
          <w:spacing w:val="-25"/>
        </w:rPr>
      </w:r>
      <w:r>
        <w:rPr>
          <w:spacing w:val="-5"/>
        </w:rPr>
        <w:t>期末，相关股权交割事宜已完成。由于人民澳客曾于 </w:t>
      </w:r>
      <w:r>
        <w:rPr>
          <w:rFonts w:ascii="宋体" w:hAnsi="宋体" w:cs="宋体" w:eastAsia="宋体" w:hint="default"/>
        </w:rPr>
        <w:t>2014</w:t>
      </w:r>
      <w:r>
        <w:rPr>
          <w:rFonts w:ascii="宋体" w:hAnsi="宋体" w:cs="宋体" w:eastAsia="宋体" w:hint="default"/>
          <w:spacing w:val="-19"/>
        </w:rPr>
        <w:t> </w:t>
      </w:r>
      <w:r>
        <w:rPr>
          <w:spacing w:val="-4"/>
        </w:rPr>
        <w:t>年接受少数股东增资，导致人民网所持</w:t>
      </w:r>
    </w:p>
    <w:p>
      <w:pPr>
        <w:pStyle w:val="BodyText"/>
        <w:spacing w:line="357" w:lineRule="auto" w:before="30"/>
        <w:ind w:right="130"/>
        <w:jc w:val="left"/>
      </w:pPr>
      <w:r>
        <w:rPr/>
        <w:t>股权比例被稀释，但控制权未发生变更，根据《企业会计准则第</w:t>
      </w:r>
      <w:r>
        <w:rPr>
          <w:spacing w:val="-55"/>
        </w:rPr>
        <w:t> </w:t>
      </w:r>
      <w:r>
        <w:rPr>
          <w:rFonts w:ascii="宋体" w:hAnsi="宋体" w:cs="宋体" w:eastAsia="宋体" w:hint="default"/>
        </w:rPr>
        <w:t>33</w:t>
      </w:r>
      <w:r>
        <w:rPr>
          <w:rFonts w:ascii="宋体" w:hAnsi="宋体" w:cs="宋体" w:eastAsia="宋体" w:hint="default"/>
          <w:spacing w:val="-55"/>
        </w:rPr>
        <w:t> </w:t>
      </w:r>
      <w:r>
        <w:rPr/>
        <w:t>号——合并财务报表（</w:t>
      </w:r>
      <w:r>
        <w:rPr>
          <w:rFonts w:ascii="宋体" w:hAnsi="宋体" w:cs="宋体" w:eastAsia="宋体" w:hint="default"/>
        </w:rPr>
        <w:t>2014</w:t>
      </w:r>
      <w:r>
        <w:rPr>
          <w:rFonts w:ascii="宋体" w:hAnsi="宋体" w:cs="宋体" w:eastAsia="宋体" w:hint="default"/>
          <w:w w:val="100"/>
        </w:rPr>
        <w:t> </w:t>
      </w:r>
      <w:r>
        <w:rPr>
          <w:spacing w:val="-2"/>
        </w:rPr>
        <w:t>年修订）》第四十九条的规定，在合并财务报表中，处置价款与处置长期股权投资相对应享有子</w:t>
      </w:r>
      <w:r>
        <w:rPr>
          <w:spacing w:val="-25"/>
        </w:rPr>
        <w:t> </w:t>
      </w:r>
      <w:r>
        <w:rPr>
          <w:spacing w:val="-25"/>
        </w:rPr>
      </w:r>
      <w:r>
        <w:rPr>
          <w:spacing w:val="-2"/>
        </w:rPr>
        <w:t>公司自购买日或合并日开始持续计算的净资产份额之间的差额，应当调整资本公积。故本次股权</w:t>
      </w:r>
      <w:r>
        <w:rPr>
          <w:spacing w:val="-25"/>
        </w:rPr>
        <w:t> </w:t>
      </w:r>
      <w:r>
        <w:rPr>
          <w:spacing w:val="-25"/>
        </w:rPr>
      </w:r>
      <w:r>
        <w:rPr>
          <w:spacing w:val="-4"/>
        </w:rPr>
        <w:t>处置时，人民网母公司可按照处置价款减去投资成本计入投资收益，但合并报表层面于 </w:t>
      </w:r>
      <w:r>
        <w:rPr>
          <w:rFonts w:ascii="宋体" w:hAnsi="宋体" w:cs="宋体" w:eastAsia="宋体" w:hint="default"/>
        </w:rPr>
        <w:t>2014</w:t>
      </w:r>
      <w:r>
        <w:rPr>
          <w:rFonts w:ascii="宋体" w:hAnsi="宋体" w:cs="宋体" w:eastAsia="宋体" w:hint="default"/>
          <w:spacing w:val="-50"/>
        </w:rPr>
        <w:t> </w:t>
      </w:r>
      <w:r>
        <w:rPr>
          <w:spacing w:val="-3"/>
        </w:rPr>
        <w:t>年已</w:t>
      </w:r>
      <w:r>
        <w:rPr/>
      </w:r>
    </w:p>
    <w:p>
      <w:pPr>
        <w:pStyle w:val="BodyText"/>
        <w:spacing w:line="240" w:lineRule="auto" w:before="30"/>
        <w:ind w:right="0"/>
        <w:jc w:val="both"/>
      </w:pPr>
      <w:r>
        <w:rPr/>
        <w:t>计入资本公积的约人民币</w:t>
      </w:r>
      <w:r>
        <w:rPr>
          <w:spacing w:val="-55"/>
        </w:rPr>
        <w:t> </w:t>
      </w:r>
      <w:r>
        <w:rPr>
          <w:rFonts w:ascii="宋体" w:hAnsi="宋体" w:cs="宋体" w:eastAsia="宋体" w:hint="default"/>
        </w:rPr>
        <w:t>7,000</w:t>
      </w:r>
      <w:r>
        <w:rPr>
          <w:rFonts w:ascii="宋体" w:hAnsi="宋体" w:cs="宋体" w:eastAsia="宋体" w:hint="default"/>
          <w:spacing w:val="-55"/>
        </w:rPr>
        <w:t> </w:t>
      </w:r>
      <w:r>
        <w:rPr/>
        <w:t>余万元不再转至当期损益。</w:t>
      </w:r>
    </w:p>
    <w:p>
      <w:pPr>
        <w:spacing w:after="0" w:line="240" w:lineRule="auto"/>
        <w:jc w:val="both"/>
        <w:sectPr>
          <w:pgSz w:w="11910" w:h="16840"/>
          <w:pgMar w:header="0" w:footer="1195" w:top="1120" w:bottom="1380" w:left="1660" w:right="11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9"/>
          <w:footerReference w:type="default" r:id="rId20"/>
          <w:pgSz w:w="16840" w:h="11910" w:orient="landscape"/>
          <w:pgMar w:header="0" w:footer="0" w:top="800" w:bottom="280" w:left="1220" w:right="1300"/>
        </w:sectPr>
      </w:pPr>
    </w:p>
    <w:p>
      <w:pPr>
        <w:pStyle w:val="Heading2"/>
        <w:tabs>
          <w:tab w:pos="1060" w:val="left" w:leader="none"/>
        </w:tabs>
        <w:spacing w:line="240" w:lineRule="auto" w:before="36"/>
        <w:ind w:left="220"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240" w:lineRule="auto" w:before="56"/>
        <w:ind w:left="220" w:right="0"/>
        <w:jc w:val="left"/>
      </w:pPr>
      <w:r>
        <w:rPr/>
        <w:t>√适用</w:t>
      </w:r>
      <w:r>
        <w:rPr>
          <w:spacing w:val="-2"/>
        </w:rPr>
        <w:t> </w:t>
      </w:r>
      <w:r>
        <w:rPr/>
        <w:t>□不适用</w:t>
      </w:r>
      <w:r>
        <w:rPr>
          <w:spacing w:val="-103"/>
        </w:rPr>
        <w:t> </w:t>
      </w:r>
      <w:r>
        <w:rPr>
          <w:spacing w:val="-103"/>
        </w:rPr>
      </w:r>
      <w:r>
        <w:rPr>
          <w:spacing w:val="-2"/>
        </w:rPr>
        <w:t>报告期内，公司主要控股、参股公司基本信息及主要财务数据信息如下表所示：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20" w:right="0"/>
        <w:jc w:val="left"/>
      </w:pPr>
      <w:r>
        <w:rPr/>
        <w:t>单位：人民币 元</w:t>
      </w:r>
    </w:p>
    <w:p>
      <w:pPr>
        <w:spacing w:after="0" w:line="240" w:lineRule="auto"/>
        <w:jc w:val="left"/>
        <w:sectPr>
          <w:type w:val="continuous"/>
          <w:pgSz w:w="16840" w:h="11910" w:orient="landscape"/>
          <w:pgMar w:top="1120" w:bottom="1380" w:left="1220" w:right="1300"/>
          <w:cols w:num="2" w:equalWidth="0">
            <w:col w:w="7578" w:space="4722"/>
            <w:col w:w="202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782"/>
        <w:gridCol w:w="1549"/>
        <w:gridCol w:w="881"/>
        <w:gridCol w:w="658"/>
        <w:gridCol w:w="1582"/>
        <w:gridCol w:w="1687"/>
        <w:gridCol w:w="1685"/>
        <w:gridCol w:w="1687"/>
        <w:gridCol w:w="1580"/>
      </w:tblGrid>
      <w:tr>
        <w:trPr>
          <w:trHeight w:val="281" w:hRule="exact"/>
        </w:trPr>
        <w:tc>
          <w:tcPr>
            <w:tcW w:w="2782"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49" w:type="dxa"/>
            <w:vMerge w:val="restart"/>
            <w:tcBorders>
              <w:top w:val="single" w:sz="4" w:space="0" w:color="000000"/>
              <w:left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582" w:type="dxa"/>
            <w:vMerge w:val="restart"/>
            <w:tcBorders>
              <w:top w:val="single" w:sz="4" w:space="0" w:color="000000"/>
              <w:left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7" w:type="dxa"/>
            <w:vMerge w:val="restart"/>
            <w:tcBorders>
              <w:top w:val="single" w:sz="4" w:space="0" w:color="000000"/>
              <w:left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5" w:type="dxa"/>
            <w:vMerge w:val="restart"/>
            <w:tcBorders>
              <w:top w:val="single" w:sz="4" w:space="0" w:color="000000"/>
              <w:left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87" w:type="dxa"/>
            <w:vMerge w:val="restart"/>
            <w:tcBorders>
              <w:top w:val="single" w:sz="4" w:space="0" w:color="000000"/>
              <w:left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vMerge w:val="restart"/>
            <w:tcBorders>
              <w:top w:val="single" w:sz="4" w:space="0" w:color="000000"/>
              <w:left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2782" w:type="dxa"/>
            <w:vMerge/>
            <w:tcBorders>
              <w:left w:val="single" w:sz="4" w:space="0" w:color="000000"/>
              <w:bottom w:val="single" w:sz="4" w:space="0" w:color="000000"/>
              <w:right w:val="single" w:sz="4" w:space="0" w:color="000000"/>
            </w:tcBorders>
          </w:tcPr>
          <w:p>
            <w:pPr/>
          </w:p>
        </w:tc>
        <w:tc>
          <w:tcPr>
            <w:tcW w:w="1549" w:type="dxa"/>
            <w:vMerge/>
            <w:tcBorders>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hAnsi="宋体" w:cs="宋体" w:eastAsia="宋体" w:hint="default"/>
                <w:sz w:val="21"/>
                <w:szCs w:val="21"/>
              </w:rPr>
              <w:t>直接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582"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
              <w:jc w:val="center"/>
              <w:rPr>
                <w:rFonts w:ascii="宋体" w:hAnsi="宋体" w:cs="宋体" w:eastAsia="宋体" w:hint="default"/>
                <w:sz w:val="21"/>
                <w:szCs w:val="21"/>
              </w:rPr>
            </w:pPr>
            <w:r>
              <w:rPr>
                <w:rFonts w:ascii="宋体" w:hAnsi="宋体" w:cs="宋体" w:eastAsia="宋体" w:hint="default"/>
                <w:sz w:val="21"/>
                <w:szCs w:val="21"/>
              </w:rPr>
              <w:t>舆情信息服务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sz w:val="21"/>
              </w:rPr>
              <w:t>60.00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211,242,597.80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101,539,989.02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193,625,036.99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10,736,664.83</w:t>
            </w:r>
          </w:p>
        </w:tc>
      </w:tr>
      <w:tr>
        <w:trPr>
          <w:trHeight w:val="555"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环球时报在线</w:t>
            </w:r>
            <w:r>
              <w:rPr>
                <w:rFonts w:ascii="宋体" w:hAnsi="宋体" w:cs="宋体" w:eastAsia="宋体" w:hint="default"/>
                <w:spacing w:val="2"/>
                <w:sz w:val="21"/>
                <w:szCs w:val="21"/>
              </w:rPr>
              <w:t>(</w:t>
            </w:r>
            <w:r>
              <w:rPr>
                <w:rFonts w:ascii="宋体" w:hAnsi="宋体" w:cs="宋体" w:eastAsia="宋体" w:hint="default"/>
                <w:spacing w:val="2"/>
                <w:sz w:val="21"/>
                <w:szCs w:val="21"/>
              </w:rPr>
              <w:t>北京</w:t>
            </w:r>
            <w:r>
              <w:rPr>
                <w:rFonts w:ascii="宋体" w:hAnsi="宋体" w:cs="宋体" w:eastAsia="宋体" w:hint="default"/>
                <w:spacing w:val="2"/>
                <w:sz w:val="21"/>
                <w:szCs w:val="21"/>
              </w:rPr>
              <w:t>)</w:t>
            </w:r>
            <w:r>
              <w:rPr>
                <w:rFonts w:ascii="宋体" w:hAnsi="宋体" w:cs="宋体" w:eastAsia="宋体" w:hint="default"/>
                <w:spacing w:val="2"/>
                <w:sz w:val="21"/>
                <w:szCs w:val="21"/>
              </w:rPr>
              <w:t>文化传</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
              <w:jc w:val="center"/>
              <w:rPr>
                <w:rFonts w:ascii="宋体" w:hAnsi="宋体" w:cs="宋体" w:eastAsia="宋体" w:hint="default"/>
                <w:sz w:val="21"/>
                <w:szCs w:val="21"/>
              </w:rPr>
            </w:pPr>
            <w:r>
              <w:rPr>
                <w:rFonts w:ascii="宋体" w:hAnsi="宋体" w:cs="宋体" w:eastAsia="宋体" w:hint="default"/>
                <w:sz w:val="21"/>
                <w:szCs w:val="21"/>
              </w:rPr>
              <w:t>信息技术服务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sz w:val="21"/>
              </w:rPr>
              <w:t>60.00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124,656,823.72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sz w:val="21"/>
              </w:rPr>
              <w:t>72,162,075.27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166,973,324.65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12,676,710.08</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
              <w:jc w:val="center"/>
              <w:rPr>
                <w:rFonts w:ascii="宋体" w:hAnsi="宋体" w:cs="宋体" w:eastAsia="宋体" w:hint="default"/>
                <w:sz w:val="21"/>
                <w:szCs w:val="21"/>
              </w:rPr>
            </w:pPr>
            <w:r>
              <w:rPr>
                <w:rFonts w:ascii="宋体" w:hAnsi="宋体" w:cs="宋体" w:eastAsia="宋体" w:hint="default"/>
                <w:sz w:val="21"/>
                <w:szCs w:val="21"/>
              </w:rPr>
              <w:t>手机视频服务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sz w:val="21"/>
              </w:rPr>
              <w:t>51.00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190,396,674.09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127,074,005.35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175,019,640.74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38,724,478.17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tabs>
          <w:tab w:pos="1060" w:val="left" w:leader="none"/>
        </w:tabs>
        <w:spacing w:line="240" w:lineRule="auto" w:before="36"/>
        <w:ind w:left="220" w:right="77"/>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spacing w:line="240" w:lineRule="auto" w:before="58"/>
        <w:ind w:left="220" w:right="77"/>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6475" w:right="6479" w:firstLine="0"/>
        <w:jc w:val="center"/>
        <w:rPr>
          <w:rFonts w:ascii="Calibri" w:hAnsi="Calibri" w:cs="Calibri" w:eastAsia="Calibri" w:hint="default"/>
          <w:sz w:val="18"/>
          <w:szCs w:val="18"/>
        </w:rPr>
      </w:pPr>
      <w:r>
        <w:rPr>
          <w:rFonts w:ascii="Calibri"/>
          <w:b/>
          <w:sz w:val="18"/>
        </w:rPr>
        <w:t>23 </w:t>
      </w:r>
      <w:r>
        <w:rPr>
          <w:rFonts w:ascii="Calibri"/>
          <w:sz w:val="18"/>
        </w:rPr>
        <w:t>/</w:t>
      </w:r>
      <w:r>
        <w:rPr>
          <w:rFonts w:ascii="Calibri"/>
          <w:spacing w:val="-4"/>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pStyle w:val="Heading2"/>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73" w:lineRule="exact" w:before="14"/>
        <w:ind w:right="2543"/>
        <w:jc w:val="left"/>
      </w:pPr>
      <w:r>
        <w:rPr/>
        <w:t>√适用</w:t>
      </w:r>
      <w:r>
        <w:rPr>
          <w:spacing w:val="-1"/>
        </w:rPr>
        <w:t> </w:t>
      </w:r>
      <w:r>
        <w:rPr/>
        <w:t>□不适用</w:t>
      </w:r>
    </w:p>
    <w:p>
      <w:pPr>
        <w:pStyle w:val="BodyText"/>
        <w:spacing w:line="357" w:lineRule="auto"/>
        <w:ind w:right="127" w:firstLine="419"/>
        <w:jc w:val="both"/>
      </w:pPr>
      <w:r>
        <w:rPr>
          <w:spacing w:val="-3"/>
        </w:rPr>
        <w:t>中国互联网信息中心研究报告显示，截至</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spacing w:val="-5"/>
        </w:rPr>
        <w:t>月，我国网民规模</w:t>
      </w:r>
      <w:r>
        <w:rPr>
          <w:spacing w:val="-46"/>
        </w:rPr>
        <w:t> </w:t>
      </w:r>
      <w:r>
        <w:rPr>
          <w:rFonts w:ascii="宋体" w:hAnsi="宋体" w:cs="宋体" w:eastAsia="宋体" w:hint="default"/>
        </w:rPr>
        <w:t>7.72</w:t>
      </w:r>
      <w:r>
        <w:rPr>
          <w:rFonts w:ascii="宋体" w:hAnsi="宋体" w:cs="宋体" w:eastAsia="宋体" w:hint="default"/>
          <w:spacing w:val="-49"/>
        </w:rPr>
        <w:t> </w:t>
      </w:r>
      <w:r>
        <w:rPr>
          <w:spacing w:val="-6"/>
        </w:rPr>
        <w:t>亿人，互联网普</w:t>
      </w:r>
      <w:r>
        <w:rPr>
          <w:w w:val="100"/>
        </w:rPr>
        <w:t> </w:t>
      </w:r>
      <w:r>
        <w:rPr/>
        <w:t>及率为</w:t>
      </w:r>
      <w:r>
        <w:rPr>
          <w:spacing w:val="-55"/>
        </w:rPr>
        <w:t> </w:t>
      </w:r>
      <w:r>
        <w:rPr>
          <w:rFonts w:ascii="宋体" w:hAnsi="宋体" w:cs="宋体" w:eastAsia="宋体" w:hint="default"/>
        </w:rPr>
        <w:t>55.8%</w:t>
      </w:r>
      <w:r>
        <w:rPr/>
        <w:t>，其中网络新闻用户规模为</w:t>
      </w:r>
      <w:r>
        <w:rPr>
          <w:spacing w:val="-55"/>
        </w:rPr>
        <w:t> </w:t>
      </w:r>
      <w:r>
        <w:rPr>
          <w:rFonts w:ascii="宋体" w:hAnsi="宋体" w:cs="宋体" w:eastAsia="宋体" w:hint="default"/>
        </w:rPr>
        <w:t>6.47</w:t>
      </w:r>
      <w:r>
        <w:rPr>
          <w:rFonts w:ascii="宋体" w:hAnsi="宋体" w:cs="宋体" w:eastAsia="宋体" w:hint="default"/>
          <w:spacing w:val="-55"/>
        </w:rPr>
        <w:t> </w:t>
      </w:r>
      <w:r>
        <w:rPr/>
        <w:t>亿，年增长率为</w:t>
      </w:r>
      <w:r>
        <w:rPr>
          <w:spacing w:val="-55"/>
        </w:rPr>
        <w:t> </w:t>
      </w:r>
      <w:r>
        <w:rPr>
          <w:rFonts w:ascii="宋体" w:hAnsi="宋体" w:cs="宋体" w:eastAsia="宋体" w:hint="default"/>
        </w:rPr>
        <w:t>5.4%</w:t>
      </w:r>
      <w:r>
        <w:rPr/>
        <w:t>。</w:t>
      </w:r>
      <w:r>
        <w:rPr>
          <w:rFonts w:ascii="宋体" w:hAnsi="宋体" w:cs="宋体" w:eastAsia="宋体" w:hint="default"/>
        </w:rPr>
        <w:t>2017</w:t>
      </w:r>
      <w:r>
        <w:rPr>
          <w:rFonts w:ascii="宋体" w:hAnsi="宋体" w:cs="宋体" w:eastAsia="宋体" w:hint="default"/>
          <w:spacing w:val="-57"/>
        </w:rPr>
        <w:t> </w:t>
      </w:r>
      <w:r>
        <w:rPr/>
        <w:t>年，中国新闻资讯领</w:t>
      </w:r>
      <w:r>
        <w:rPr>
          <w:w w:val="100"/>
        </w:rPr>
        <w:t> </w:t>
      </w:r>
      <w:r>
        <w:rPr/>
        <w:t>域发展呈现出以下特点：</w:t>
      </w:r>
    </w:p>
    <w:p>
      <w:pPr>
        <w:pStyle w:val="BodyText"/>
        <w:spacing w:line="357" w:lineRule="auto" w:before="30"/>
        <w:ind w:right="128" w:firstLine="419"/>
        <w:jc w:val="both"/>
      </w:pPr>
      <w:r>
        <w:rPr>
          <w:spacing w:val="-2"/>
        </w:rPr>
        <w:t>首先，互联网新闻领域相关法律法规建设进一步健全，《互联网新闻信息服务管理规定》于</w:t>
      </w:r>
      <w:r>
        <w:rPr>
          <w:w w:val="100"/>
        </w:rPr>
        <w:t> </w:t>
      </w:r>
      <w:r>
        <w:rPr>
          <w:rFonts w:ascii="宋体" w:hAnsi="宋体" w:cs="宋体" w:eastAsia="宋体" w:hint="default"/>
        </w:rPr>
        <w:t>2017</w:t>
      </w:r>
      <w:r>
        <w:rPr>
          <w:rFonts w:ascii="宋体" w:hAnsi="宋体" w:cs="宋体" w:eastAsia="宋体" w:hint="default"/>
          <w:spacing w:val="-36"/>
        </w:rPr>
        <w:t> </w:t>
      </w:r>
      <w:r>
        <w:rPr/>
        <w:t>年</w:t>
      </w:r>
      <w:r>
        <w:rPr>
          <w:spacing w:val="-33"/>
        </w:rPr>
        <w:t> </w:t>
      </w:r>
      <w:r>
        <w:rPr>
          <w:rFonts w:ascii="宋体" w:hAnsi="宋体" w:cs="宋体" w:eastAsia="宋体" w:hint="default"/>
        </w:rPr>
        <w:t>6</w:t>
      </w:r>
      <w:r>
        <w:rPr>
          <w:rFonts w:ascii="宋体" w:hAnsi="宋体" w:cs="宋体" w:eastAsia="宋体" w:hint="default"/>
          <w:spacing w:val="-36"/>
        </w:rPr>
        <w:t> </w:t>
      </w:r>
      <w:r>
        <w:rPr>
          <w:spacing w:val="-3"/>
        </w:rPr>
        <w:t>月开始正式施行，其他相关规定、细则也相继出台，互联网新闻信息服务业务得以进一</w:t>
      </w:r>
      <w:r>
        <w:rPr>
          <w:spacing w:val="-97"/>
        </w:rPr>
        <w:t> </w:t>
      </w:r>
      <w:r>
        <w:rPr>
          <w:spacing w:val="-97"/>
        </w:rPr>
      </w:r>
      <w:r>
        <w:rPr>
          <w:spacing w:val="-2"/>
        </w:rPr>
        <w:t>步规范，在保护互联网新闻信息服务单位的合法权益的同时，也促进互联网新闻信息服务行业健</w:t>
      </w:r>
      <w:r>
        <w:rPr>
          <w:spacing w:val="-25"/>
        </w:rPr>
        <w:t> </w:t>
      </w:r>
      <w:r>
        <w:rPr>
          <w:spacing w:val="-25"/>
        </w:rPr>
      </w:r>
      <w:r>
        <w:rPr/>
        <w:t>康、有序发展。</w:t>
      </w:r>
    </w:p>
    <w:p>
      <w:pPr>
        <w:pStyle w:val="BodyText"/>
        <w:spacing w:line="355" w:lineRule="auto" w:before="30"/>
        <w:ind w:right="128" w:firstLine="419"/>
        <w:jc w:val="both"/>
      </w:pPr>
      <w:r>
        <w:rPr>
          <w:spacing w:val="-2"/>
        </w:rPr>
        <w:t>其次，传统新闻媒体加速互联网改造，媒体融合进入全新发展阶段。传统主流新闻媒体对互</w:t>
      </w:r>
      <w:r>
        <w:rPr>
          <w:w w:val="100"/>
        </w:rPr>
        <w:t> </w:t>
      </w:r>
      <w:r>
        <w:rPr>
          <w:spacing w:val="-6"/>
        </w:rPr>
        <w:t>联网媒介的重视程度空前，深入学习、快速运用互联网产品和形式，在内容、渠道、平台、经营、</w:t>
      </w:r>
      <w:r>
        <w:rPr>
          <w:spacing w:val="-52"/>
        </w:rPr>
        <w:t> </w:t>
      </w:r>
      <w:r>
        <w:rPr>
          <w:spacing w:val="-52"/>
        </w:rPr>
      </w:r>
      <w:r>
        <w:rPr>
          <w:spacing w:val="-7"/>
        </w:rPr>
        <w:t>管理等方面深度融合，已打造出一批覆盖广泛、形态多样、手段先进、具有较强传播力、引导力、</w:t>
      </w:r>
      <w:r>
        <w:rPr>
          <w:spacing w:val="-13"/>
        </w:rPr>
        <w:t> </w:t>
      </w:r>
      <w:r>
        <w:rPr>
          <w:spacing w:val="-13"/>
        </w:rPr>
      </w:r>
      <w:r>
        <w:rPr/>
        <w:t>影响力、公信力的新型新闻资讯平台。</w:t>
      </w:r>
    </w:p>
    <w:p>
      <w:pPr>
        <w:pStyle w:val="BodyText"/>
        <w:spacing w:line="357" w:lineRule="auto" w:before="34"/>
        <w:ind w:right="130" w:firstLine="419"/>
        <w:jc w:val="both"/>
      </w:pPr>
      <w:r>
        <w:rPr>
          <w:spacing w:val="-2"/>
        </w:rPr>
        <w:t>此外，互联网新闻资讯平台竞争从单纯流量向内容、形式、技术等多维度转移。优质内容获</w:t>
      </w:r>
      <w:r>
        <w:rPr>
          <w:w w:val="100"/>
        </w:rPr>
        <w:t> </w:t>
      </w:r>
      <w:r>
        <w:rPr>
          <w:spacing w:val="-2"/>
        </w:rPr>
        <w:t>取成为各新闻资讯平台争夺焦点，头部企业纷纷持续加大对原创内容扶持的力度；在用户需求和</w:t>
      </w:r>
      <w:r>
        <w:rPr>
          <w:spacing w:val="-25"/>
        </w:rPr>
        <w:t> </w:t>
      </w:r>
      <w:r>
        <w:rPr>
          <w:spacing w:val="-25"/>
        </w:rPr>
      </w:r>
      <w:r>
        <w:rPr>
          <w:spacing w:val="-3"/>
        </w:rPr>
        <w:t>技术基础的催生下，短视频、直播、</w:t>
      </w:r>
      <w:r>
        <w:rPr>
          <w:rFonts w:ascii="宋体" w:hAnsi="宋体" w:cs="宋体" w:eastAsia="宋体" w:hint="default"/>
          <w:spacing w:val="-3"/>
        </w:rPr>
        <w:t>VR</w:t>
      </w:r>
      <w:r>
        <w:rPr>
          <w:rFonts w:ascii="宋体" w:hAnsi="宋体" w:cs="宋体" w:eastAsia="宋体" w:hint="default"/>
          <w:spacing w:val="-52"/>
        </w:rPr>
        <w:t> </w:t>
      </w:r>
      <w:r>
        <w:rPr/>
        <w:t>等富媒体化内容形态逐步成为行业发展的基础设施；以人</w:t>
      </w:r>
      <w:r>
        <w:rPr>
          <w:w w:val="100"/>
        </w:rPr>
        <w:t> </w:t>
      </w:r>
      <w:r>
        <w:rPr>
          <w:spacing w:val="-2"/>
        </w:rPr>
        <w:t>工智能为核心的技术发展成为资讯平台核心竞争力，促使资讯聚合平台在资讯推荐、营销推广乃</w:t>
      </w:r>
      <w:r>
        <w:rPr>
          <w:spacing w:val="-25"/>
        </w:rPr>
        <w:t> </w:t>
      </w:r>
      <w:r>
        <w:rPr>
          <w:spacing w:val="-25"/>
        </w:rPr>
      </w:r>
      <w:r>
        <w:rPr/>
        <w:t>至更深入的内容制作、互动沟通等方面取得进一步发展。</w:t>
      </w:r>
    </w:p>
    <w:p>
      <w:pPr>
        <w:pStyle w:val="BodyText"/>
        <w:spacing w:line="357" w:lineRule="auto" w:before="30"/>
        <w:ind w:right="137" w:firstLine="419"/>
        <w:jc w:val="both"/>
      </w:pPr>
      <w:r>
        <w:rPr>
          <w:spacing w:val="-2"/>
        </w:rPr>
        <w:t>随着技术发展日新月异，我国社会的信息传播方式发生着巨大变化，新媒体、新应用层出不</w:t>
      </w:r>
      <w:r>
        <w:rPr>
          <w:w w:val="100"/>
        </w:rPr>
        <w:t> </w:t>
      </w:r>
      <w:r>
        <w:rPr>
          <w:spacing w:val="-2"/>
        </w:rPr>
        <w:t>穷，传媒边界正在快速消融，媒体形式的多样性促进了多元社会意见的表达，但也制约及影响了</w:t>
      </w:r>
      <w:r>
        <w:rPr>
          <w:spacing w:val="-25"/>
        </w:rPr>
        <w:t> </w:t>
      </w:r>
      <w:r>
        <w:rPr>
          <w:spacing w:val="-25"/>
        </w:rPr>
      </w:r>
      <w:r>
        <w:rPr>
          <w:spacing w:val="-2"/>
        </w:rPr>
        <w:t>网络空间公共舆论的质量。党的十九大报告指出，要坚持中国特色社会主义文化发展道路，建设</w:t>
      </w:r>
      <w:r>
        <w:rPr>
          <w:spacing w:val="-25"/>
        </w:rPr>
        <w:t> </w:t>
      </w:r>
      <w:r>
        <w:rPr>
          <w:spacing w:val="-25"/>
        </w:rPr>
      </w:r>
      <w:r>
        <w:rPr>
          <w:spacing w:val="-2"/>
        </w:rPr>
        <w:t>社会主义文化强国，首先要牢牢掌握意识形态工作领导权，既要高度重视传播手段建设和创新，</w:t>
      </w:r>
      <w:r>
        <w:rPr>
          <w:spacing w:val="-25"/>
        </w:rPr>
        <w:t> </w:t>
      </w:r>
      <w:r>
        <w:rPr>
          <w:spacing w:val="-25"/>
        </w:rPr>
      </w:r>
      <w:r>
        <w:rPr>
          <w:spacing w:val="-2"/>
        </w:rPr>
        <w:t>更要加强阵地建设和管理，旗帜鲜明反对和抵制各种错误观点。进一步提高新闻舆论传播力、引</w:t>
      </w:r>
      <w:r>
        <w:rPr>
          <w:spacing w:val="-25"/>
        </w:rPr>
        <w:t> </w:t>
      </w:r>
      <w:r>
        <w:rPr>
          <w:spacing w:val="-25"/>
        </w:rPr>
      </w:r>
      <w:r>
        <w:rPr>
          <w:spacing w:val="-2"/>
        </w:rPr>
        <w:t>导力、影响力、公信力，加强互联网内容建设，营造清朗的网络空间，是主流新闻媒体肩负的责</w:t>
      </w:r>
      <w:r>
        <w:rPr>
          <w:spacing w:val="-26"/>
        </w:rPr>
        <w:t> </w:t>
      </w:r>
      <w:r>
        <w:rPr>
          <w:spacing w:val="-26"/>
        </w:rPr>
      </w:r>
      <w:r>
        <w:rPr/>
        <w:t>任与使命。</w:t>
      </w:r>
    </w:p>
    <w:p>
      <w:pPr>
        <w:pStyle w:val="BodyText"/>
        <w:spacing w:line="357" w:lineRule="auto" w:before="30"/>
        <w:ind w:right="128" w:firstLine="419"/>
        <w:jc w:val="both"/>
      </w:pPr>
      <w:r>
        <w:rPr>
          <w:spacing w:val="-7"/>
        </w:rPr>
        <w:t>作为国家重点新闻网站的排头兵，人民网始终以“做好网上的人民日报，做最好内容的网站”</w:t>
      </w:r>
      <w:r>
        <w:rPr>
          <w:w w:val="100"/>
        </w:rPr>
        <w:t> </w:t>
      </w:r>
      <w:r>
        <w:rPr>
          <w:spacing w:val="-2"/>
        </w:rPr>
        <w:t>为目标，认真履行党媒党网责任使命，始终坚持正确政治方向、舆论导向和价值取向，在网络舆</w:t>
      </w:r>
      <w:r>
        <w:rPr>
          <w:spacing w:val="-25"/>
        </w:rPr>
        <w:t> </w:t>
      </w:r>
      <w:r>
        <w:rPr>
          <w:spacing w:val="-25"/>
        </w:rPr>
      </w:r>
      <w:r>
        <w:rPr>
          <w:spacing w:val="-2"/>
        </w:rPr>
        <w:t>论生态中努力发挥着“领航者”、“排头兵”和“中流砥柱、定海神针”的作用。未来将继续牢</w:t>
      </w:r>
      <w:r>
        <w:rPr>
          <w:spacing w:val="-25"/>
        </w:rPr>
        <w:t> </w:t>
      </w:r>
      <w:r>
        <w:rPr>
          <w:spacing w:val="-25"/>
        </w:rPr>
      </w:r>
      <w:r>
        <w:rPr>
          <w:spacing w:val="-2"/>
        </w:rPr>
        <w:t>固树立“四个意识”，牢牢坚持新闻党性原则，以内容创新为根本，提升原创报道质量，以技术</w:t>
      </w:r>
      <w:r>
        <w:rPr>
          <w:spacing w:val="-25"/>
        </w:rPr>
        <w:t> </w:t>
      </w:r>
      <w:r>
        <w:rPr>
          <w:spacing w:val="-25"/>
        </w:rPr>
      </w:r>
      <w:r>
        <w:rPr>
          <w:spacing w:val="-2"/>
        </w:rPr>
        <w:t>创新为重点，提升技术研发及应用水平，以体制机制创新为突破口，大幅度提高新闻生产效率和</w:t>
      </w:r>
      <w:r>
        <w:rPr>
          <w:spacing w:val="-25"/>
        </w:rPr>
        <w:t> </w:t>
      </w:r>
      <w:r>
        <w:rPr>
          <w:spacing w:val="-25"/>
        </w:rPr>
      </w:r>
      <w:r>
        <w:rPr>
          <w:spacing w:val="-2"/>
        </w:rPr>
        <w:t>业务运行质量。充分发挥公司政治价值、传播价值、品牌价值、平台价值及资本价值，进一步拓</w:t>
      </w:r>
      <w:r>
        <w:rPr>
          <w:spacing w:val="-26"/>
        </w:rPr>
        <w:t> </w:t>
      </w:r>
      <w:r>
        <w:rPr>
          <w:spacing w:val="-26"/>
        </w:rPr>
      </w:r>
      <w:r>
        <w:rPr/>
        <w:t>展经营领域、提高经营水平，努力实现公司持续发展、健康发展、高质量发展。</w:t>
      </w:r>
    </w:p>
    <w:p>
      <w:pPr>
        <w:spacing w:after="0" w:line="357" w:lineRule="auto"/>
        <w:jc w:val="both"/>
        <w:sectPr>
          <w:footerReference w:type="default" r:id="rId21"/>
          <w:pgSz w:w="11910" w:h="16840"/>
          <w:pgMar w:footer="1195" w:header="0" w:top="1120" w:bottom="1380" w:left="1660" w:right="1140"/>
          <w:pgNumType w:start="24"/>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人民网作为国家重点新闻网站的排头兵，始终坚守“网上的人民日报”定位，秉持“权威、</w:t>
      </w:r>
    </w:p>
    <w:p>
      <w:pPr>
        <w:pStyle w:val="BodyText"/>
        <w:spacing w:line="357" w:lineRule="auto" w:before="110"/>
        <w:ind w:right="137"/>
        <w:jc w:val="both"/>
      </w:pPr>
      <w:r>
        <w:rPr>
          <w:spacing w:val="-2"/>
        </w:rPr>
        <w:t>实力，来自人民”的办网理念，坚持“做最好内容的网站、做最好服务的平台”，在网络舆论生</w:t>
      </w:r>
      <w:r>
        <w:rPr>
          <w:spacing w:val="-25"/>
        </w:rPr>
        <w:t> </w:t>
      </w:r>
      <w:r>
        <w:rPr>
          <w:spacing w:val="-25"/>
        </w:rPr>
      </w:r>
      <w:r>
        <w:rPr>
          <w:spacing w:val="-2"/>
        </w:rPr>
        <w:t>态中努力发挥着“领航者”、“排头兵”和“中流砥柱、定海神针”的作用。按照“人民网是人</w:t>
      </w:r>
      <w:r>
        <w:rPr>
          <w:spacing w:val="-26"/>
        </w:rPr>
        <w:t> </w:t>
      </w:r>
      <w:r>
        <w:rPr>
          <w:spacing w:val="-26"/>
        </w:rPr>
      </w:r>
      <w:r>
        <w:rPr>
          <w:spacing w:val="-2"/>
        </w:rPr>
        <w:t>民日报的互联网媒体，是生产、传播优秀文化产品的国家级企业，是同行业领军的上市公司，是</w:t>
      </w:r>
      <w:r>
        <w:rPr>
          <w:spacing w:val="-25"/>
        </w:rPr>
        <w:t> </w:t>
      </w:r>
      <w:r>
        <w:rPr>
          <w:spacing w:val="-25"/>
        </w:rPr>
      </w:r>
      <w:r>
        <w:rPr>
          <w:spacing w:val="-2"/>
        </w:rPr>
        <w:t>人民日报融合发展下的新媒体旗舰”的四个定位，强化导向管理、提升传播能力，积极探索新形</w:t>
      </w:r>
      <w:r>
        <w:rPr>
          <w:spacing w:val="-25"/>
        </w:rPr>
        <w:t> </w:t>
      </w:r>
      <w:r>
        <w:rPr>
          <w:spacing w:val="-25"/>
        </w:rPr>
      </w:r>
      <w:r>
        <w:rPr>
          <w:spacing w:val="-2"/>
        </w:rPr>
        <w:t>势下的经营模式，凭借自身独特的政治价值、传播价值、品牌价值、平台价值及资本价值，加快</w:t>
      </w:r>
      <w:r>
        <w:rPr>
          <w:spacing w:val="-25"/>
        </w:rPr>
        <w:t> </w:t>
      </w:r>
      <w:r>
        <w:rPr>
          <w:spacing w:val="-25"/>
        </w:rPr>
      </w:r>
      <w:r>
        <w:rPr>
          <w:spacing w:val="-2"/>
        </w:rPr>
        <w:t>打造新型主流媒体，通过投资布局，形成以传媒产业和文化产业为主体的产业集群，增强上市公</w:t>
      </w:r>
      <w:r>
        <w:rPr>
          <w:spacing w:val="-25"/>
        </w:rPr>
        <w:t> </w:t>
      </w:r>
      <w:r>
        <w:rPr>
          <w:spacing w:val="-25"/>
        </w:rPr>
      </w:r>
      <w:r>
        <w:rPr/>
        <w:t>司盈利能力，实现可持续发展。</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4" w:lineRule="exact" w:before="56"/>
        <w:ind w:right="0"/>
        <w:jc w:val="both"/>
      </w:pPr>
      <w:r>
        <w:rPr/>
        <w:t>√适用</w:t>
      </w:r>
      <w:r>
        <w:rPr>
          <w:spacing w:val="-1"/>
        </w:rPr>
        <w:t> </w:t>
      </w:r>
      <w:r>
        <w:rPr/>
        <w:t>□不适用</w:t>
      </w:r>
    </w:p>
    <w:p>
      <w:pPr>
        <w:pStyle w:val="BodyText"/>
        <w:spacing w:line="355" w:lineRule="auto"/>
        <w:ind w:right="128" w:firstLine="419"/>
        <w:jc w:val="both"/>
      </w:pPr>
      <w:r>
        <w:rPr>
          <w:rFonts w:ascii="宋体" w:hAnsi="宋体" w:cs="宋体" w:eastAsia="宋体" w:hint="default"/>
        </w:rPr>
        <w:t>2018</w:t>
      </w:r>
      <w:r>
        <w:rPr>
          <w:rFonts w:ascii="宋体" w:hAnsi="宋体" w:cs="宋体" w:eastAsia="宋体" w:hint="default"/>
          <w:spacing w:val="-7"/>
        </w:rPr>
        <w:t> </w:t>
      </w:r>
      <w:r>
        <w:rPr>
          <w:spacing w:val="-3"/>
        </w:rPr>
        <w:t>年，公司将进一步增强责任感使命感，牢记肩负的责任与使命，在新闻舆论工作中强化</w:t>
      </w:r>
      <w:r>
        <w:rPr>
          <w:w w:val="100"/>
        </w:rPr>
        <w:t> </w:t>
      </w:r>
      <w:r>
        <w:rPr>
          <w:spacing w:val="-2"/>
        </w:rPr>
        <w:t>“四个意识”，牢牢坚持正确政治方向和舆论导向，唱响时代主旋律，传递社会正能量，努力做</w:t>
      </w:r>
      <w:r>
        <w:rPr>
          <w:spacing w:val="-26"/>
        </w:rPr>
        <w:t> </w:t>
      </w:r>
      <w:r>
        <w:rPr>
          <w:spacing w:val="-26"/>
        </w:rPr>
      </w:r>
      <w:r>
        <w:rPr>
          <w:spacing w:val="-2"/>
        </w:rPr>
        <w:t>到导向管理有落点、重大报道有亮点、自主策划有看点、创新传播有爆点、外宣报道有重点、合</w:t>
      </w:r>
      <w:r>
        <w:rPr>
          <w:spacing w:val="-25"/>
        </w:rPr>
        <w:t> </w:t>
      </w:r>
      <w:r>
        <w:rPr>
          <w:spacing w:val="-25"/>
        </w:rPr>
      </w:r>
      <w:r>
        <w:rPr/>
        <w:t>作拓展有特点，积极做好以下几方面工作：</w:t>
      </w:r>
    </w:p>
    <w:p>
      <w:pPr>
        <w:pStyle w:val="BodyText"/>
        <w:spacing w:line="357" w:lineRule="auto" w:before="32"/>
        <w:ind w:right="137" w:firstLine="419"/>
        <w:jc w:val="both"/>
      </w:pPr>
      <w:r>
        <w:rPr>
          <w:rFonts w:ascii="宋体" w:hAnsi="宋体" w:cs="宋体" w:eastAsia="宋体" w:hint="default"/>
        </w:rPr>
        <w:t>1</w:t>
      </w:r>
      <w:r>
        <w:rPr/>
        <w:t>、十九大精神宣传报道求精求新求实效：</w:t>
      </w:r>
      <w:r>
        <w:rPr>
          <w:rFonts w:ascii="宋体" w:hAnsi="宋体" w:cs="宋体" w:eastAsia="宋体" w:hint="default"/>
        </w:rPr>
        <w:t>2018</w:t>
      </w:r>
      <w:r>
        <w:rPr>
          <w:rFonts w:ascii="宋体" w:hAnsi="宋体" w:cs="宋体" w:eastAsia="宋体" w:hint="default"/>
          <w:spacing w:val="-56"/>
        </w:rPr>
        <w:t> </w:t>
      </w:r>
      <w:r>
        <w:rPr/>
        <w:t>年，人民网将以继续深化十九大精神宣传报</w:t>
      </w:r>
      <w:r>
        <w:rPr>
          <w:w w:val="100"/>
        </w:rPr>
        <w:t> </w:t>
      </w:r>
      <w:r>
        <w:rPr>
          <w:spacing w:val="-2"/>
        </w:rPr>
        <w:t>道为主线，紧紧围绕“新时代”的主题，以推动党的十九大精神进企业、进农村、进机关、进校</w:t>
      </w:r>
      <w:r>
        <w:rPr>
          <w:spacing w:val="-26"/>
        </w:rPr>
        <w:t> </w:t>
      </w:r>
      <w:r>
        <w:rPr>
          <w:spacing w:val="-26"/>
        </w:rPr>
      </w:r>
      <w:r>
        <w:rPr>
          <w:spacing w:val="-2"/>
        </w:rPr>
        <w:t>园、进社区、进军营、进网络为工作指引，充分利用各种宣传形式和手段，营造学习十九大精神</w:t>
      </w:r>
      <w:r>
        <w:rPr>
          <w:spacing w:val="-25"/>
        </w:rPr>
        <w:t> </w:t>
      </w:r>
      <w:r>
        <w:rPr>
          <w:spacing w:val="-25"/>
        </w:rPr>
      </w:r>
      <w:r>
        <w:rPr/>
        <w:t>的良好网络氛围。</w:t>
      </w:r>
    </w:p>
    <w:p>
      <w:pPr>
        <w:pStyle w:val="BodyText"/>
        <w:spacing w:line="357" w:lineRule="auto" w:before="30"/>
        <w:ind w:right="130" w:firstLine="419"/>
        <w:jc w:val="both"/>
      </w:pPr>
      <w:r>
        <w:rPr>
          <w:rFonts w:ascii="宋体" w:hAnsi="宋体" w:cs="宋体" w:eastAsia="宋体" w:hint="default"/>
        </w:rPr>
        <w:t>2</w:t>
      </w:r>
      <w:r>
        <w:rPr/>
        <w:t>、做好党的全会、全国两会、改革开放四十周年等重大主题宣传：围绕</w:t>
      </w:r>
      <w:r>
        <w:rPr>
          <w:spacing w:val="-55"/>
        </w:rPr>
        <w:t> </w:t>
      </w:r>
      <w:r>
        <w:rPr>
          <w:rFonts w:ascii="宋体" w:hAnsi="宋体" w:cs="宋体" w:eastAsia="宋体" w:hint="default"/>
        </w:rPr>
        <w:t>2018</w:t>
      </w:r>
      <w:r>
        <w:rPr>
          <w:rFonts w:ascii="宋体" w:hAnsi="宋体" w:cs="宋体" w:eastAsia="宋体" w:hint="default"/>
          <w:spacing w:val="-58"/>
        </w:rPr>
        <w:t> </w:t>
      </w:r>
      <w:r>
        <w:rPr/>
        <w:t>年党的十九届</w:t>
      </w:r>
      <w:r>
        <w:rPr>
          <w:w w:val="100"/>
        </w:rPr>
        <w:t> </w:t>
      </w:r>
      <w:r>
        <w:rPr>
          <w:spacing w:val="-7"/>
        </w:rPr>
        <w:t>二中、三中全会、十九届中纪委二次全会、</w:t>
      </w:r>
      <w:r>
        <w:rPr>
          <w:rFonts w:ascii="宋体" w:hAnsi="宋体" w:cs="宋体" w:eastAsia="宋体" w:hint="default"/>
          <w:spacing w:val="-7"/>
        </w:rPr>
        <w:t>2018</w:t>
      </w:r>
      <w:r>
        <w:rPr>
          <w:rFonts w:ascii="宋体" w:hAnsi="宋体" w:cs="宋体" w:eastAsia="宋体" w:hint="default"/>
          <w:spacing w:val="-35"/>
        </w:rPr>
        <w:t> </w:t>
      </w:r>
      <w:r>
        <w:rPr>
          <w:spacing w:val="-6"/>
        </w:rPr>
        <w:t>年全国两会、改革开放</w:t>
      </w:r>
      <w:r>
        <w:rPr>
          <w:spacing w:val="-35"/>
        </w:rPr>
        <w:t> </w:t>
      </w:r>
      <w:r>
        <w:rPr>
          <w:rFonts w:ascii="宋体" w:hAnsi="宋体" w:cs="宋体" w:eastAsia="宋体" w:hint="default"/>
        </w:rPr>
        <w:t>40</w:t>
      </w:r>
      <w:r>
        <w:rPr>
          <w:rFonts w:ascii="宋体" w:hAnsi="宋体" w:cs="宋体" w:eastAsia="宋体" w:hint="default"/>
          <w:spacing w:val="-35"/>
        </w:rPr>
        <w:t> </w:t>
      </w:r>
      <w:r>
        <w:rPr/>
        <w:t>周年等重大主题宣传，</w:t>
      </w:r>
      <w:r>
        <w:rPr>
          <w:spacing w:val="-97"/>
        </w:rPr>
        <w:t> </w:t>
      </w:r>
      <w:r>
        <w:rPr>
          <w:spacing w:val="-97"/>
        </w:rPr>
      </w:r>
      <w:r>
        <w:rPr>
          <w:spacing w:val="-2"/>
        </w:rPr>
        <w:t>提前策划，总结经验重新出发，打造优势品牌栏目，发挥全媒体传播优势，力争出新出彩做好宣</w:t>
      </w:r>
      <w:r>
        <w:rPr>
          <w:spacing w:val="-25"/>
        </w:rPr>
        <w:t> </w:t>
      </w:r>
      <w:r>
        <w:rPr>
          <w:spacing w:val="-25"/>
        </w:rPr>
      </w:r>
      <w:r>
        <w:rPr/>
        <w:t>传工作，并推出一系列大型专题、系列主题采访和策划活动。</w:t>
      </w:r>
    </w:p>
    <w:p>
      <w:pPr>
        <w:pStyle w:val="BodyText"/>
        <w:spacing w:line="357" w:lineRule="auto" w:before="31"/>
        <w:ind w:right="128" w:firstLine="419"/>
        <w:jc w:val="both"/>
      </w:pPr>
      <w:r>
        <w:rPr>
          <w:rFonts w:ascii="宋体" w:hAnsi="宋体" w:cs="宋体" w:eastAsia="宋体" w:hint="default"/>
          <w:spacing w:val="-4"/>
        </w:rPr>
        <w:t>3</w:t>
      </w:r>
      <w:r>
        <w:rPr>
          <w:spacing w:val="-4"/>
        </w:rPr>
        <w:t>、树立移动优先、视频引领战略：不断加强手机人民网和两微、海外社交媒体账号建设，扩</w:t>
      </w:r>
      <w:r>
        <w:rPr>
          <w:w w:val="100"/>
        </w:rPr>
        <w:t> </w:t>
      </w:r>
      <w:r>
        <w:rPr>
          <w:spacing w:val="-2"/>
        </w:rPr>
        <w:t>大传播矩阵。深入探索视频直播内容与形式，总结已有的视频报道经验，进一步提升编采人员的</w:t>
      </w:r>
      <w:r>
        <w:rPr>
          <w:spacing w:val="-25"/>
        </w:rPr>
        <w:t> </w:t>
      </w:r>
      <w:r>
        <w:rPr>
          <w:spacing w:val="-25"/>
        </w:rPr>
      </w:r>
      <w:r>
        <w:rPr/>
        <w:t>视频报道水平，形成重大报道中视频引领的优势。</w:t>
      </w:r>
    </w:p>
    <w:p>
      <w:pPr>
        <w:pStyle w:val="BodyText"/>
        <w:spacing w:line="355" w:lineRule="auto" w:before="30"/>
        <w:ind w:right="137" w:firstLine="419"/>
        <w:jc w:val="both"/>
      </w:pPr>
      <w:r>
        <w:rPr>
          <w:rFonts w:ascii="宋体" w:hAnsi="宋体" w:cs="宋体" w:eastAsia="宋体" w:hint="default"/>
          <w:spacing w:val="-2"/>
        </w:rPr>
        <w:t>4</w:t>
      </w:r>
      <w:r>
        <w:rPr>
          <w:spacing w:val="-2"/>
        </w:rPr>
        <w:t>、继续加强海外传播力建设</w:t>
      </w:r>
      <w:r>
        <w:rPr>
          <w:rFonts w:ascii="宋体" w:hAnsi="宋体" w:cs="宋体" w:eastAsia="宋体" w:hint="default"/>
          <w:spacing w:val="-2"/>
        </w:rPr>
        <w:t>:</w:t>
      </w:r>
      <w:r>
        <w:rPr>
          <w:spacing w:val="-2"/>
        </w:rPr>
        <w:t>继续加强国际新闻报道力度，统筹国内外资源，在重大国际事</w:t>
      </w:r>
      <w:r>
        <w:rPr>
          <w:w w:val="100"/>
        </w:rPr>
        <w:t> </w:t>
      </w:r>
      <w:r>
        <w:rPr>
          <w:spacing w:val="-2"/>
        </w:rPr>
        <w:t>件报道上及时发声；持续开展本土化媒体合作，做好稿件落地工作，深入传播中国声音；不断加</w:t>
      </w:r>
      <w:r>
        <w:rPr>
          <w:spacing w:val="-25"/>
        </w:rPr>
        <w:t> </w:t>
      </w:r>
      <w:r>
        <w:rPr>
          <w:spacing w:val="-25"/>
        </w:rPr>
      </w:r>
      <w:r>
        <w:rPr/>
        <w:t>大海外社交媒体平台建设，创新“讲好中国故事”的新形式。</w:t>
      </w:r>
    </w:p>
    <w:p>
      <w:pPr>
        <w:pStyle w:val="BodyText"/>
        <w:spacing w:line="357" w:lineRule="auto" w:before="32"/>
        <w:ind w:right="128" w:firstLine="419"/>
        <w:jc w:val="both"/>
      </w:pPr>
      <w:r>
        <w:rPr>
          <w:rFonts w:ascii="宋体" w:hAnsi="宋体" w:cs="宋体" w:eastAsia="宋体" w:hint="default"/>
          <w:spacing w:val="-4"/>
        </w:rPr>
        <w:t>5</w:t>
      </w:r>
      <w:r>
        <w:rPr>
          <w:spacing w:val="-4"/>
        </w:rPr>
        <w:t>、继续加强“人民网评”品牌栏目建设：发挥人民系评论优势，锻炼网评写作队伍，加强选</w:t>
      </w:r>
      <w:r>
        <w:rPr>
          <w:w w:val="100"/>
        </w:rPr>
        <w:t> </w:t>
      </w:r>
      <w:r>
        <w:rPr>
          <w:spacing w:val="-2"/>
        </w:rPr>
        <w:t>题策划、审核评阅机制，增加评论栏目推出频次，继续提升人民网评应对网上舆情、提升阅读品</w:t>
      </w:r>
      <w:r>
        <w:rPr>
          <w:spacing w:val="-25"/>
        </w:rPr>
        <w:t> </w:t>
      </w:r>
      <w:r>
        <w:rPr>
          <w:spacing w:val="-25"/>
        </w:rPr>
      </w:r>
      <w:r>
        <w:rPr>
          <w:spacing w:val="-2"/>
        </w:rPr>
        <w:t>质的快速反应能力，持续擦亮“三评”评论品牌，做到不失声、不失位、不失语，以独家、权威</w:t>
      </w:r>
      <w:r>
        <w:rPr>
          <w:spacing w:val="-25"/>
        </w:rPr>
        <w:t> </w:t>
      </w:r>
      <w:r>
        <w:rPr>
          <w:spacing w:val="-25"/>
        </w:rPr>
      </w:r>
      <w:r>
        <w:rPr/>
        <w:t>的发声，增强品牌影响力。</w:t>
      </w:r>
    </w:p>
    <w:p>
      <w:pPr>
        <w:spacing w:after="0" w:line="357"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208" w:firstLine="419"/>
        <w:jc w:val="both"/>
      </w:pPr>
      <w:r>
        <w:rPr>
          <w:rFonts w:ascii="宋体" w:hAnsi="宋体" w:cs="宋体" w:eastAsia="宋体" w:hint="default"/>
          <w:spacing w:val="-4"/>
        </w:rPr>
        <w:t>6</w:t>
      </w:r>
      <w:r>
        <w:rPr>
          <w:spacing w:val="-4"/>
        </w:rPr>
        <w:t>、打造地方频道新闻快稿机制：进一步增强地方频道的新闻报道实力，《网连中国》地方频</w:t>
      </w:r>
      <w:r>
        <w:rPr>
          <w:w w:val="100"/>
        </w:rPr>
        <w:t> </w:t>
      </w:r>
      <w:r>
        <w:rPr>
          <w:spacing w:val="-6"/>
        </w:rPr>
        <w:t>道联动报道打造地方新闻快稿机制，围绕时效性强的热点话题，多方核实，快速跟进视频、文字、</w:t>
      </w:r>
      <w:r>
        <w:rPr>
          <w:spacing w:val="-51"/>
        </w:rPr>
        <w:t> </w:t>
      </w:r>
      <w:r>
        <w:rPr>
          <w:spacing w:val="-51"/>
        </w:rPr>
      </w:r>
      <w:r>
        <w:rPr/>
        <w:t>直播、话题互动等，让各地联动报道组织更迅速、形式更灵活。</w:t>
      </w:r>
    </w:p>
    <w:p>
      <w:pPr>
        <w:pStyle w:val="BodyText"/>
        <w:spacing w:line="357" w:lineRule="auto" w:before="30"/>
        <w:ind w:right="208" w:firstLine="419"/>
        <w:jc w:val="both"/>
      </w:pPr>
      <w:r>
        <w:rPr>
          <w:rFonts w:ascii="宋体" w:hAnsi="宋体" w:cs="宋体" w:eastAsia="宋体" w:hint="default"/>
          <w:spacing w:val="-4"/>
        </w:rPr>
        <w:t>7</w:t>
      </w:r>
      <w:r>
        <w:rPr>
          <w:spacing w:val="-4"/>
        </w:rPr>
        <w:t>、全力打造雄安频道：加大对雄安的宣传力度和报道声势，使人民雄安网成为雄安新区建设</w:t>
      </w:r>
      <w:r>
        <w:rPr>
          <w:w w:val="100"/>
        </w:rPr>
        <w:t> </w:t>
      </w:r>
      <w:r>
        <w:rPr>
          <w:spacing w:val="-2"/>
        </w:rPr>
        <w:t>对外宣传和国际传播的权威渠道。讲好雄安故事，勾画雄安美好未来，为雄安吸引人才聚拢资源</w:t>
      </w:r>
      <w:r>
        <w:rPr>
          <w:spacing w:val="-25"/>
        </w:rPr>
        <w:t> </w:t>
      </w:r>
      <w:r>
        <w:rPr>
          <w:spacing w:val="-25"/>
        </w:rPr>
      </w:r>
      <w:r>
        <w:rPr>
          <w:spacing w:val="-2"/>
        </w:rPr>
        <w:t>提供强大舆论支持；深入阐释新发展理念时代内涵，推动雄安城市建设理念更广传播，使雄安成</w:t>
      </w:r>
      <w:r>
        <w:rPr>
          <w:spacing w:val="-25"/>
        </w:rPr>
        <w:t> </w:t>
      </w:r>
      <w:r>
        <w:rPr>
          <w:spacing w:val="-25"/>
        </w:rPr>
      </w:r>
      <w:r>
        <w:rPr/>
        <w:t>为新发展理念引领的新时代城市建设典范，使雄安的崭新模式在世界范围内产生广泛影响卷。</w:t>
      </w:r>
    </w:p>
    <w:p>
      <w:pPr>
        <w:pStyle w:val="BodyText"/>
        <w:spacing w:line="357" w:lineRule="auto" w:before="30"/>
        <w:ind w:right="148" w:firstLine="419"/>
        <w:jc w:val="left"/>
      </w:pPr>
      <w:r>
        <w:rPr>
          <w:rFonts w:ascii="宋体" w:hAnsi="宋体" w:cs="宋体" w:eastAsia="宋体" w:hint="default"/>
          <w:spacing w:val="-2"/>
        </w:rPr>
        <w:t>8</w:t>
      </w:r>
      <w:r>
        <w:rPr>
          <w:spacing w:val="-2"/>
        </w:rPr>
        <w:t>、提高内容策划水平，提前谋划核心客户的合作需求：在内容和产品层面，加强经营策划、</w:t>
      </w:r>
      <w:r>
        <w:rPr>
          <w:w w:val="100"/>
        </w:rPr>
        <w:t> </w:t>
      </w:r>
      <w:r>
        <w:rPr/>
        <w:t>设计、执行等方面的能力建设，提高内容策划的稀缺性和应用性，升级原有投放营销策略，加强</w:t>
      </w:r>
      <w:r>
        <w:rPr>
          <w:w w:val="100"/>
        </w:rPr>
        <w:t> </w:t>
      </w:r>
      <w:r>
        <w:rPr/>
        <w:t>与核心客户、大客户的沟通与协调，努力建设自有数据管理平台。</w:t>
      </w:r>
    </w:p>
    <w:p>
      <w:pPr>
        <w:pStyle w:val="BodyText"/>
        <w:spacing w:line="355" w:lineRule="auto" w:before="32"/>
        <w:ind w:right="208" w:firstLine="419"/>
        <w:jc w:val="both"/>
      </w:pPr>
      <w:r>
        <w:rPr>
          <w:rFonts w:ascii="宋体" w:hAnsi="宋体" w:cs="宋体" w:eastAsia="宋体" w:hint="default"/>
          <w:spacing w:val="-4"/>
        </w:rPr>
        <w:t>9</w:t>
      </w:r>
      <w:r>
        <w:rPr>
          <w:spacing w:val="-4"/>
        </w:rPr>
        <w:t>、积极探索新业务领域及模式：面对市场的不断变化，在继续巩固传统业务的基础上，加强</w:t>
      </w:r>
      <w:r>
        <w:rPr>
          <w:w w:val="100"/>
        </w:rPr>
        <w:t> </w:t>
      </w:r>
      <w:r>
        <w:rPr>
          <w:spacing w:val="-2"/>
        </w:rPr>
        <w:t>转型发展的探索。在无线增值、版权合作、信息服务、技术服务、赛事运营等方面积极稳妥地探</w:t>
      </w:r>
      <w:r>
        <w:rPr>
          <w:spacing w:val="-25"/>
        </w:rPr>
        <w:t> </w:t>
      </w:r>
      <w:r>
        <w:rPr>
          <w:spacing w:val="-25"/>
        </w:rPr>
      </w:r>
      <w:r>
        <w:rPr/>
        <w:t>索新的业务版图及经营模式。</w:t>
      </w:r>
    </w:p>
    <w:p>
      <w:pPr>
        <w:pStyle w:val="BodyText"/>
        <w:spacing w:line="357" w:lineRule="auto" w:before="32"/>
        <w:ind w:right="217" w:firstLine="419"/>
        <w:jc w:val="both"/>
      </w:pPr>
      <w:r>
        <w:rPr>
          <w:rFonts w:ascii="宋体" w:hAnsi="宋体" w:cs="宋体" w:eastAsia="宋体" w:hint="default"/>
          <w:spacing w:val="-2"/>
        </w:rPr>
        <w:t>10</w:t>
      </w:r>
      <w:r>
        <w:rPr>
          <w:spacing w:val="-2"/>
        </w:rPr>
        <w:t>、全力推动重点项目的建设和实施：围绕人民网发展的核心任务及目标，全力推动健康、</w:t>
      </w:r>
      <w:r>
        <w:rPr>
          <w:w w:val="100"/>
        </w:rPr>
        <w:t> </w:t>
      </w:r>
      <w:r>
        <w:rPr>
          <w:spacing w:val="-2"/>
        </w:rPr>
        <w:t>技术、体育、版权等业务平台的建设，加强行业整合，加强经营能力建设；挖掘地方公司经营潜</w:t>
      </w:r>
      <w:r>
        <w:rPr>
          <w:spacing w:val="-25"/>
        </w:rPr>
        <w:t> </w:t>
      </w:r>
      <w:r>
        <w:rPr>
          <w:spacing w:val="-25"/>
        </w:rPr>
      </w:r>
      <w:r>
        <w:rPr>
          <w:spacing w:val="-2"/>
        </w:rPr>
        <w:t>力，加强总网、控股子公司与地方公司的业务协同、联动；推动视频合资公司及产业投资基金的</w:t>
      </w:r>
      <w:r>
        <w:rPr>
          <w:spacing w:val="-25"/>
        </w:rPr>
        <w:t> </w:t>
      </w:r>
      <w:r>
        <w:rPr>
          <w:spacing w:val="-25"/>
        </w:rPr>
      </w:r>
      <w:r>
        <w:rPr/>
        <w:t>落地及后续建设。</w:t>
      </w:r>
    </w:p>
    <w:p>
      <w:pPr>
        <w:pStyle w:val="BodyText"/>
        <w:spacing w:line="355" w:lineRule="auto" w:before="30"/>
        <w:ind w:right="217" w:firstLine="419"/>
        <w:jc w:val="both"/>
      </w:pPr>
      <w:r>
        <w:rPr>
          <w:rFonts w:ascii="宋体" w:hAnsi="宋体" w:cs="宋体" w:eastAsia="宋体" w:hint="default"/>
          <w:spacing w:val="-2"/>
        </w:rPr>
        <w:t>11</w:t>
      </w:r>
      <w:r>
        <w:rPr>
          <w:spacing w:val="-2"/>
        </w:rPr>
        <w:t>、进一步完善业务管理的体制机制：在内部机构调整的基础上，进一步加强业务指导，完</w:t>
      </w:r>
      <w:r>
        <w:rPr>
          <w:w w:val="100"/>
        </w:rPr>
        <w:t> </w:t>
      </w:r>
      <w:r>
        <w:rPr>
          <w:spacing w:val="-2"/>
        </w:rPr>
        <w:t>善配套制度的建设，充分发挥机制优势，调动全体员工的主观能动性，合力做大做强人民网的各</w:t>
      </w:r>
      <w:r>
        <w:rPr>
          <w:spacing w:val="-25"/>
        </w:rPr>
        <w:t> </w:t>
      </w:r>
      <w:r>
        <w:rPr>
          <w:spacing w:val="-25"/>
        </w:rPr>
      </w:r>
      <w:r>
        <w:rPr/>
        <w:t>项业务。</w:t>
      </w:r>
    </w:p>
    <w:p>
      <w:pPr>
        <w:spacing w:line="240" w:lineRule="auto" w:before="13"/>
        <w:rPr>
          <w:rFonts w:ascii="宋体" w:hAnsi="宋体" w:cs="宋体" w:eastAsia="宋体" w:hint="default"/>
          <w:sz w:val="27"/>
          <w:szCs w:val="27"/>
        </w:rPr>
      </w:pPr>
    </w:p>
    <w:p>
      <w:pPr>
        <w:pStyle w:val="Heading2"/>
        <w:tabs>
          <w:tab w:pos="977" w:val="left" w:leader="none"/>
        </w:tabs>
        <w:spacing w:line="240" w:lineRule="auto"/>
        <w:ind w:left="138" w:right="14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73" w:lineRule="exact" w:before="58"/>
        <w:ind w:right="148"/>
        <w:jc w:val="left"/>
      </w:pPr>
      <w:r>
        <w:rPr/>
        <w:t>√适用</w:t>
      </w:r>
      <w:r>
        <w:rPr>
          <w:spacing w:val="-1"/>
        </w:rPr>
        <w:t> </w:t>
      </w:r>
      <w:r>
        <w:rPr/>
        <w:t>□不适用</w:t>
      </w:r>
    </w:p>
    <w:p>
      <w:pPr>
        <w:pStyle w:val="BodyText"/>
        <w:spacing w:line="357" w:lineRule="auto"/>
        <w:ind w:right="207" w:firstLine="419"/>
        <w:jc w:val="both"/>
      </w:pPr>
      <w:r>
        <w:rPr>
          <w:rFonts w:ascii="宋体" w:hAnsi="宋体" w:cs="宋体" w:eastAsia="宋体" w:hint="default"/>
          <w:spacing w:val="-4"/>
        </w:rPr>
        <w:t>1</w:t>
      </w:r>
      <w:r>
        <w:rPr>
          <w:spacing w:val="-4"/>
        </w:rPr>
        <w:t>、业务拓展风险：</w:t>
      </w:r>
      <w:r>
        <w:rPr>
          <w:rFonts w:ascii="宋体" w:hAnsi="宋体" w:cs="宋体" w:eastAsia="宋体" w:hint="default"/>
          <w:spacing w:val="-4"/>
        </w:rPr>
        <w:t>2017</w:t>
      </w:r>
      <w:r>
        <w:rPr>
          <w:rFonts w:ascii="宋体" w:hAnsi="宋体" w:cs="宋体" w:eastAsia="宋体" w:hint="default"/>
          <w:spacing w:val="-41"/>
        </w:rPr>
        <w:t> </w:t>
      </w:r>
      <w:r>
        <w:rPr>
          <w:spacing w:val="-3"/>
        </w:rPr>
        <w:t>年，中国网络广告市场规模为</w:t>
      </w:r>
      <w:r>
        <w:rPr>
          <w:spacing w:val="-41"/>
        </w:rPr>
        <w:t> </w:t>
      </w:r>
      <w:r>
        <w:rPr>
          <w:rFonts w:ascii="宋体" w:hAnsi="宋体" w:cs="宋体" w:eastAsia="宋体" w:hint="default"/>
        </w:rPr>
        <w:t>2,957</w:t>
      </w:r>
      <w:r>
        <w:rPr>
          <w:rFonts w:ascii="宋体" w:hAnsi="宋体" w:cs="宋体" w:eastAsia="宋体" w:hint="default"/>
          <w:spacing w:val="-41"/>
        </w:rPr>
        <w:t> </w:t>
      </w:r>
      <w:r>
        <w:rPr>
          <w:spacing w:val="-4"/>
        </w:rPr>
        <w:t>亿元，同比增长</w:t>
      </w:r>
      <w:r>
        <w:rPr>
          <w:spacing w:val="-40"/>
        </w:rPr>
        <w:t> </w:t>
      </w:r>
      <w:r>
        <w:rPr>
          <w:rFonts w:ascii="宋体" w:hAnsi="宋体" w:cs="宋体" w:eastAsia="宋体" w:hint="default"/>
          <w:spacing w:val="-4"/>
        </w:rPr>
        <w:t>28.8%</w:t>
      </w:r>
      <w:r>
        <w:rPr>
          <w:spacing w:val="-4"/>
        </w:rPr>
        <w:t>，增速较</w:t>
      </w:r>
      <w:r>
        <w:rPr>
          <w:w w:val="100"/>
        </w:rPr>
        <w:t> </w:t>
      </w:r>
      <w:r>
        <w:rPr>
          <w:spacing w:val="-4"/>
        </w:rPr>
        <w:t>上年进一步提高，市场结构趋于稳定，互联网广告运营商广告收入结构呈现移动端压倒</w:t>
      </w:r>
      <w:r>
        <w:rPr>
          <w:spacing w:val="-31"/>
        </w:rPr>
        <w:t> </w:t>
      </w:r>
      <w:r>
        <w:rPr>
          <w:rFonts w:ascii="宋体" w:hAnsi="宋体" w:cs="宋体" w:eastAsia="宋体" w:hint="default"/>
        </w:rPr>
        <w:t>PC</w:t>
      </w:r>
      <w:r>
        <w:rPr>
          <w:rFonts w:ascii="宋体" w:hAnsi="宋体" w:cs="宋体" w:eastAsia="宋体" w:hint="default"/>
          <w:spacing w:val="-34"/>
        </w:rPr>
        <w:t> </w:t>
      </w:r>
      <w:r>
        <w:rPr/>
        <w:t>端的态</w:t>
      </w:r>
      <w:r>
        <w:rPr>
          <w:spacing w:val="-96"/>
        </w:rPr>
        <w:t> </w:t>
      </w:r>
      <w:r>
        <w:rPr>
          <w:spacing w:val="-96"/>
        </w:rPr>
      </w:r>
      <w:r>
        <w:rPr>
          <w:spacing w:val="-2"/>
        </w:rPr>
        <w:t>势。从未来发展趋势来看，技术仍然是互联网广告快速发展的驱动力量，通过智能算法、数据挖</w:t>
      </w:r>
      <w:r>
        <w:rPr>
          <w:spacing w:val="-25"/>
        </w:rPr>
        <w:t> </w:t>
      </w:r>
      <w:r>
        <w:rPr>
          <w:spacing w:val="-25"/>
        </w:rPr>
      </w:r>
      <w:r>
        <w:rPr>
          <w:spacing w:val="-2"/>
        </w:rPr>
        <w:t>掘实现精准推送，并深度整合直播、社交、游戏、奖金等创新激励元素，视频、客户端媒体甚至</w:t>
      </w:r>
      <w:r>
        <w:rPr>
          <w:spacing w:val="-25"/>
        </w:rPr>
        <w:t> </w:t>
      </w:r>
      <w:r>
        <w:rPr>
          <w:spacing w:val="-25"/>
        </w:rPr>
      </w:r>
      <w:r>
        <w:rPr>
          <w:spacing w:val="-2"/>
        </w:rPr>
        <w:t>硬件设备厂商的营销方案都成为瓜分广告市场的利器。此外，广告投放呈现出更精准、集中的趋</w:t>
      </w:r>
      <w:r>
        <w:rPr>
          <w:spacing w:val="-25"/>
        </w:rPr>
        <w:t> </w:t>
      </w:r>
      <w:r>
        <w:rPr>
          <w:spacing w:val="-25"/>
        </w:rPr>
      </w:r>
      <w:r>
        <w:rPr>
          <w:spacing w:val="-2"/>
        </w:rPr>
        <w:t>势，较少考虑普惠式投放，产品线市场预算占比增大，投放效果的可衡量性成为必要参考指数。</w:t>
      </w:r>
      <w:r>
        <w:rPr>
          <w:spacing w:val="-25"/>
        </w:rPr>
        <w:t> </w:t>
      </w:r>
      <w:r>
        <w:rPr>
          <w:spacing w:val="-25"/>
        </w:rPr>
      </w:r>
      <w:r>
        <w:rPr>
          <w:spacing w:val="-2"/>
        </w:rPr>
        <w:t>基于公司的新闻媒体属性，存在受众结构集中度较高、覆盖面不够广泛等特点，在广告业务市场</w:t>
      </w:r>
      <w:r>
        <w:rPr>
          <w:spacing w:val="-25"/>
        </w:rPr>
        <w:t> </w:t>
      </w:r>
      <w:r>
        <w:rPr>
          <w:spacing w:val="-25"/>
        </w:rPr>
      </w:r>
      <w:r>
        <w:rPr>
          <w:spacing w:val="-2"/>
        </w:rPr>
        <w:t>开拓方面仍面临挑战。在移动互联网领域，由于内容提供商众多、相关产品同质化严重，如何在</w:t>
      </w:r>
      <w:r>
        <w:rPr>
          <w:spacing w:val="-26"/>
        </w:rPr>
        <w:t> </w:t>
      </w:r>
      <w:r>
        <w:rPr>
          <w:spacing w:val="-26"/>
        </w:rPr>
      </w:r>
      <w:r>
        <w:rPr>
          <w:spacing w:val="-2"/>
        </w:rPr>
        <w:t>激烈的市场竞争中脱颖而出，进一步加深与运营商的合作紧密度，寻找新的业务扩张点，也是公</w:t>
      </w:r>
      <w:r>
        <w:rPr>
          <w:spacing w:val="-25"/>
        </w:rPr>
        <w:t> </w:t>
      </w:r>
      <w:r>
        <w:rPr>
          <w:spacing w:val="-25"/>
        </w:rPr>
      </w:r>
      <w:r>
        <w:rPr/>
        <w:t>司亟待解决的问题。</w:t>
      </w:r>
    </w:p>
    <w:p>
      <w:pPr>
        <w:spacing w:after="0" w:line="357" w:lineRule="auto"/>
        <w:jc w:val="both"/>
        <w:sectPr>
          <w:pgSz w:w="11910" w:h="16840"/>
          <w:pgMar w:header="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right="127" w:firstLine="419"/>
        <w:jc w:val="both"/>
      </w:pPr>
      <w:r>
        <w:rPr>
          <w:rFonts w:ascii="宋体" w:hAnsi="宋体" w:cs="宋体" w:eastAsia="宋体" w:hint="default"/>
          <w:spacing w:val="-4"/>
        </w:rPr>
        <w:t>2</w:t>
      </w:r>
      <w:r>
        <w:rPr>
          <w:spacing w:val="-4"/>
        </w:rPr>
        <w:t>、用户分流风险：随着技术发展日新月异，新媒体、新应用层出不穷，移动互联网新媒体便</w:t>
      </w:r>
      <w:r>
        <w:rPr>
          <w:w w:val="100"/>
        </w:rPr>
        <w:t> </w:t>
      </w:r>
      <w:r>
        <w:rPr>
          <w:spacing w:val="-2"/>
        </w:rPr>
        <w:t>捷性和即时性突出，传播方式更为多元，传播行为更为个性化，实现了传统媒体传播前所未有的</w:t>
      </w:r>
      <w:r>
        <w:rPr>
          <w:spacing w:val="-25"/>
        </w:rPr>
        <w:t> </w:t>
      </w:r>
      <w:r>
        <w:rPr>
          <w:spacing w:val="-25"/>
        </w:rPr>
      </w:r>
      <w:r>
        <w:rPr>
          <w:spacing w:val="-7"/>
        </w:rPr>
        <w:t>互动性，吸引用户由</w:t>
      </w:r>
      <w:r>
        <w:rPr>
          <w:spacing w:val="-27"/>
        </w:rPr>
        <w:t> </w:t>
      </w:r>
      <w:r>
        <w:rPr>
          <w:rFonts w:ascii="宋体" w:hAnsi="宋体" w:cs="宋体" w:eastAsia="宋体" w:hint="default"/>
        </w:rPr>
        <w:t>PC</w:t>
      </w:r>
      <w:r>
        <w:rPr>
          <w:rFonts w:ascii="宋体" w:hAnsi="宋体" w:cs="宋体" w:eastAsia="宋体" w:hint="default"/>
          <w:spacing w:val="-29"/>
        </w:rPr>
        <w:t> </w:t>
      </w:r>
      <w:r>
        <w:rPr>
          <w:spacing w:val="-3"/>
        </w:rPr>
        <w:t>端向移动端快速迁移，对公司页面浏览量及访问者数的进一步提升产生影</w:t>
      </w:r>
      <w:r>
        <w:rPr>
          <w:spacing w:val="-96"/>
        </w:rPr>
        <w:t> </w:t>
      </w:r>
      <w:r>
        <w:rPr>
          <w:spacing w:val="-96"/>
        </w:rPr>
      </w:r>
      <w:r>
        <w:rPr>
          <w:spacing w:val="-2"/>
        </w:rPr>
        <w:t>响。此外，传统纸媒对互联网媒介的重视程度空前，纷纷开展深入学习，运用互联网产品和形式</w:t>
      </w:r>
      <w:r>
        <w:rPr>
          <w:spacing w:val="-25"/>
        </w:rPr>
        <w:t> </w:t>
      </w:r>
      <w:r>
        <w:rPr>
          <w:spacing w:val="-25"/>
        </w:rPr>
      </w:r>
      <w:r>
        <w:rPr>
          <w:spacing w:val="-6"/>
          <w:w w:val="100"/>
        </w:rPr>
        <w:t>打造新型新闻资讯平台，凭借多年积累的品牌影响力和社会公信力，对用户仍具有相当的吸引力。</w:t>
      </w:r>
      <w:r>
        <w:rPr>
          <w:spacing w:val="-104"/>
          <w:w w:val="100"/>
        </w:rPr>
        <w:t> </w:t>
      </w:r>
      <w:r>
        <w:rPr>
          <w:spacing w:val="-104"/>
          <w:w w:val="100"/>
        </w:rPr>
      </w:r>
      <w:r>
        <w:rPr>
          <w:spacing w:val="-6"/>
        </w:rPr>
        <w:t>加强新闻内容创新，提升原创报道质量，是人民网提升用户保有率的根本，此外，通过技术创新，</w:t>
      </w:r>
      <w:r>
        <w:rPr>
          <w:spacing w:val="-53"/>
        </w:rPr>
        <w:t> </w:t>
      </w:r>
      <w:r>
        <w:rPr>
          <w:spacing w:val="-53"/>
        </w:rPr>
      </w:r>
      <w:r>
        <w:rPr>
          <w:spacing w:val="-2"/>
        </w:rPr>
        <w:t>提升传播形态多样性，全面推动媒体深度融合发展，“做最好内容的网站、做最好服务的平台”</w:t>
      </w:r>
      <w:r>
        <w:rPr>
          <w:spacing w:val="-26"/>
        </w:rPr>
        <w:t> </w:t>
      </w:r>
      <w:r>
        <w:rPr>
          <w:spacing w:val="-26"/>
        </w:rPr>
      </w:r>
      <w:r>
        <w:rPr/>
        <w:t>是公司一直以来的努力方向。</w:t>
      </w:r>
    </w:p>
    <w:p>
      <w:pPr>
        <w:pStyle w:val="BodyText"/>
        <w:spacing w:line="357" w:lineRule="auto" w:before="31"/>
        <w:ind w:right="128" w:firstLine="419"/>
        <w:jc w:val="both"/>
      </w:pPr>
      <w:r>
        <w:rPr>
          <w:rFonts w:ascii="宋体" w:hAnsi="宋体" w:cs="宋体" w:eastAsia="宋体" w:hint="default"/>
          <w:spacing w:val="-4"/>
        </w:rPr>
        <w:t>3</w:t>
      </w:r>
      <w:r>
        <w:rPr>
          <w:spacing w:val="-4"/>
        </w:rPr>
        <w:t>、技术提升风险：互联网尤其是移动互联网作为空前广阔的融合发展领域，与广泛的技术和</w:t>
      </w:r>
      <w:r>
        <w:rPr>
          <w:w w:val="100"/>
        </w:rPr>
        <w:t> </w:t>
      </w:r>
      <w:r>
        <w:rPr>
          <w:spacing w:val="-2"/>
        </w:rPr>
        <w:t>产业相关联，技术发展水平已成为网络平台核心竞争力之一，互联网巨头正通过技术创新不断开</w:t>
      </w:r>
      <w:r>
        <w:rPr>
          <w:spacing w:val="-25"/>
        </w:rPr>
        <w:t> </w:t>
      </w:r>
      <w:r>
        <w:rPr>
          <w:spacing w:val="-25"/>
        </w:rPr>
      </w:r>
      <w:r>
        <w:rPr>
          <w:spacing w:val="-2"/>
        </w:rPr>
        <w:t>拓新市场、巩固其掌控力。目前公司现有技术能力和行业领先水平还存在一定差距，需要通过培</w:t>
      </w:r>
      <w:r>
        <w:rPr>
          <w:spacing w:val="-25"/>
        </w:rPr>
        <w:t> </w:t>
      </w:r>
      <w:r>
        <w:rPr>
          <w:spacing w:val="-25"/>
        </w:rPr>
      </w:r>
      <w:r>
        <w:rPr>
          <w:spacing w:val="-2"/>
        </w:rPr>
        <w:t>育专业人才队伍，持续强化技术创新，加大技术储备的纵深，才能在在严酷的市场竞争下巩固现</w:t>
      </w:r>
      <w:r>
        <w:rPr>
          <w:spacing w:val="-25"/>
        </w:rPr>
        <w:t> </w:t>
      </w:r>
      <w:r>
        <w:rPr>
          <w:spacing w:val="-25"/>
        </w:rPr>
      </w:r>
      <w:r>
        <w:rPr/>
        <w:t>有市场份额，抢抓发展先机，提升新领域的主动权和话语权。</w:t>
      </w:r>
    </w:p>
    <w:p>
      <w:pPr>
        <w:pStyle w:val="BodyText"/>
        <w:spacing w:line="240" w:lineRule="auto" w:before="30"/>
        <w:ind w:left="558" w:right="0"/>
        <w:jc w:val="left"/>
      </w:pPr>
      <w:r>
        <w:rPr>
          <w:rFonts w:ascii="宋体" w:hAnsi="宋体" w:cs="宋体" w:eastAsia="宋体" w:hint="default"/>
        </w:rPr>
        <w:t>4</w:t>
      </w:r>
      <w:r>
        <w:rPr/>
        <w:t>、募集资金投资项目风险：公司首次公开发行募集资金投资项目投资总额为</w:t>
      </w:r>
      <w:r>
        <w:rPr>
          <w:spacing w:val="-57"/>
        </w:rPr>
        <w:t> </w:t>
      </w:r>
      <w:r>
        <w:rPr>
          <w:rFonts w:ascii="宋体" w:hAnsi="宋体" w:cs="宋体" w:eastAsia="宋体" w:hint="default"/>
        </w:rPr>
        <w:t>5.27</w:t>
      </w:r>
      <w:r>
        <w:rPr>
          <w:rFonts w:ascii="宋体" w:hAnsi="宋体" w:cs="宋体" w:eastAsia="宋体" w:hint="default"/>
          <w:spacing w:val="-57"/>
        </w:rPr>
        <w:t> </w:t>
      </w:r>
      <w:r>
        <w:rPr/>
        <w:t>亿元，其</w:t>
      </w:r>
    </w:p>
    <w:p>
      <w:pPr>
        <w:pStyle w:val="BodyText"/>
        <w:spacing w:line="357" w:lineRule="auto" w:before="133"/>
        <w:ind w:right="137"/>
        <w:jc w:val="both"/>
      </w:pPr>
      <w:r>
        <w:rPr/>
        <w:t>中，超过</w:t>
      </w:r>
      <w:r>
        <w:rPr>
          <w:spacing w:val="-54"/>
        </w:rPr>
        <w:t> </w:t>
      </w:r>
      <w:r>
        <w:rPr>
          <w:rFonts w:ascii="宋体" w:hAnsi="宋体" w:cs="宋体" w:eastAsia="宋体" w:hint="default"/>
        </w:rPr>
        <w:t>2</w:t>
      </w:r>
      <w:r>
        <w:rPr>
          <w:rFonts w:ascii="宋体" w:hAnsi="宋体" w:cs="宋体" w:eastAsia="宋体" w:hint="default"/>
          <w:spacing w:val="-56"/>
        </w:rPr>
        <w:t> </w:t>
      </w:r>
      <w:r>
        <w:rPr/>
        <w:t>亿元用于购置设备等固定资产和软件等无形资产，且技术平台改造升级项目和采编平</w:t>
      </w:r>
      <w:r>
        <w:rPr>
          <w:w w:val="100"/>
        </w:rPr>
        <w:t> </w:t>
      </w:r>
      <w:r>
        <w:rPr>
          <w:spacing w:val="-2"/>
        </w:rPr>
        <w:t>台扩充升级项目不能直接带来经济效益，项目实施后资产结构发生变化，可能会对公司未来收益</w:t>
      </w:r>
      <w:r>
        <w:rPr>
          <w:spacing w:val="-25"/>
        </w:rPr>
        <w:t> </w:t>
      </w:r>
      <w:r>
        <w:rPr>
          <w:spacing w:val="-25"/>
        </w:rPr>
      </w:r>
      <w:r>
        <w:rPr>
          <w:spacing w:val="-2"/>
        </w:rPr>
        <w:t>造成一定的压力。另外，由于互联网行业市场参与者众多、技术升级速度加快，行业同质化竞争</w:t>
      </w:r>
      <w:r>
        <w:rPr>
          <w:spacing w:val="-25"/>
        </w:rPr>
        <w:t> </w:t>
      </w:r>
      <w:r>
        <w:rPr>
          <w:spacing w:val="-25"/>
        </w:rPr>
      </w:r>
      <w:r>
        <w:rPr>
          <w:spacing w:val="-2"/>
        </w:rPr>
        <w:t>加剧，市场开发风险逐步加大，为避免募集资金浪费，公司出于审慎考虑，暂时未将募集资金依</w:t>
      </w:r>
      <w:r>
        <w:rPr>
          <w:spacing w:val="-25"/>
        </w:rPr>
        <w:t> </w:t>
      </w:r>
      <w:r>
        <w:rPr>
          <w:spacing w:val="-25"/>
        </w:rPr>
      </w:r>
      <w:r>
        <w:rPr>
          <w:spacing w:val="-2"/>
        </w:rPr>
        <w:t>预期进度投入募投项目中，如上述业务未实现预定的市场开发计划，将影响募集资金项目的开展</w:t>
      </w:r>
      <w:r>
        <w:rPr>
          <w:spacing w:val="-25"/>
        </w:rPr>
        <w:t> </w:t>
      </w:r>
      <w:r>
        <w:rPr>
          <w:spacing w:val="-25"/>
        </w:rPr>
      </w:r>
      <w:r>
        <w:rPr/>
        <w:t>进度以及投资回报的实现。</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7"/>
        <w:ind w:right="0"/>
        <w:jc w:val="both"/>
      </w:pPr>
      <w:r>
        <w:rPr/>
        <w:t>□适用</w:t>
      </w:r>
      <w:r>
        <w:rPr>
          <w:spacing w:val="-1"/>
        </w:rPr>
        <w:t> </w:t>
      </w:r>
      <w:r>
        <w:rPr/>
        <w:t>√不适用</w:t>
      </w:r>
    </w:p>
    <w:p>
      <w:pPr>
        <w:spacing w:after="0" w:line="240" w:lineRule="auto"/>
        <w:jc w:val="both"/>
        <w:sectPr>
          <w:pgSz w:w="11910" w:h="16840"/>
          <w:pgMar w:header="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2731"/>
        <w:jc w:val="left"/>
        <w:rPr>
          <w:b w:val="0"/>
          <w:bCs w:val="0"/>
        </w:rPr>
      </w:pPr>
      <w:r>
        <w:rPr/>
        <w:t>一、普通股利润分配或资本公积金转增预案</w:t>
      </w:r>
      <w:r>
        <w:rPr>
          <w:b w:val="0"/>
          <w:bCs w:val="0"/>
        </w:rPr>
      </w:r>
    </w:p>
    <w:p>
      <w:pPr>
        <w:pStyle w:val="Heading2"/>
        <w:spacing w:line="240" w:lineRule="auto" w:before="58"/>
        <w:ind w:right="27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left="218" w:right="2731"/>
        <w:jc w:val="left"/>
      </w:pPr>
      <w:r>
        <w:rPr/>
        <w:t>√适用</w:t>
      </w:r>
      <w:r>
        <w:rPr>
          <w:spacing w:val="-1"/>
        </w:rPr>
        <w:t> </w:t>
      </w:r>
      <w:r>
        <w:rPr/>
        <w:t>□不适用</w:t>
      </w:r>
    </w:p>
    <w:p>
      <w:pPr>
        <w:pStyle w:val="BodyText"/>
        <w:spacing w:line="355" w:lineRule="auto" w:before="118"/>
        <w:ind w:left="218" w:right="227" w:firstLine="419"/>
        <w:jc w:val="left"/>
      </w:pPr>
      <w:r>
        <w:rPr/>
        <w:t>公司在 </w:t>
      </w:r>
      <w:r>
        <w:rPr>
          <w:rFonts w:ascii="宋体" w:hAnsi="宋体" w:cs="宋体" w:eastAsia="宋体" w:hint="default"/>
        </w:rPr>
        <w:t>2011</w:t>
      </w:r>
      <w:r>
        <w:rPr>
          <w:rFonts w:ascii="宋体" w:hAnsi="宋体" w:cs="宋体" w:eastAsia="宋体" w:hint="default"/>
          <w:spacing w:val="-46"/>
        </w:rPr>
        <w:t> </w:t>
      </w:r>
      <w:r>
        <w:rPr>
          <w:spacing w:val="-5"/>
        </w:rPr>
        <w:t>年第三次临时股东大会上对《公司章程》中股利分配政策进行了修改与明确，公</w:t>
      </w:r>
      <w:r>
        <w:rPr>
          <w:w w:val="100"/>
        </w:rPr>
        <w:t> </w:t>
      </w:r>
      <w:r>
        <w:rPr/>
        <w:t>司实行持续、稳定的利润分配政策，重视对投资者的合理投资回报并兼顾公司的可持续发展。</w:t>
      </w:r>
    </w:p>
    <w:p>
      <w:pPr>
        <w:pStyle w:val="BodyText"/>
        <w:spacing w:line="240" w:lineRule="auto" w:before="32"/>
        <w:ind w:left="638" w:right="124"/>
        <w:jc w:val="left"/>
      </w:pPr>
      <w:r>
        <w:rPr/>
        <w:t>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30</w:t>
      </w:r>
      <w:r>
        <w:rPr>
          <w:rFonts w:ascii="宋体" w:hAnsi="宋体" w:cs="宋体" w:eastAsia="宋体" w:hint="default"/>
          <w:spacing w:val="-54"/>
        </w:rPr>
        <w:t> </w:t>
      </w:r>
      <w:r>
        <w:rPr/>
        <w:t>日召开的</w:t>
      </w:r>
      <w:r>
        <w:rPr>
          <w:spacing w:val="-54"/>
        </w:rPr>
        <w:t> </w:t>
      </w:r>
      <w:r>
        <w:rPr>
          <w:rFonts w:ascii="宋体" w:hAnsi="宋体" w:cs="宋体" w:eastAsia="宋体" w:hint="default"/>
        </w:rPr>
        <w:t>2016</w:t>
      </w:r>
      <w:r>
        <w:rPr>
          <w:rFonts w:ascii="宋体" w:hAnsi="宋体" w:cs="宋体" w:eastAsia="宋体" w:hint="default"/>
          <w:spacing w:val="-54"/>
        </w:rPr>
        <w:t> </w:t>
      </w:r>
      <w:r>
        <w:rPr/>
        <w:t>年年度股东大会上审议通过了《关于</w:t>
      </w:r>
      <w:r>
        <w:rPr>
          <w:rFonts w:ascii="宋体" w:hAnsi="宋体" w:cs="宋体" w:eastAsia="宋体" w:hint="default"/>
        </w:rPr>
        <w:t>&lt;</w:t>
      </w:r>
      <w:r>
        <w:rPr/>
        <w:t>人民网股份有限</w:t>
      </w:r>
    </w:p>
    <w:p>
      <w:pPr>
        <w:pStyle w:val="BodyText"/>
        <w:spacing w:line="357" w:lineRule="auto" w:before="133"/>
        <w:ind w:left="218" w:right="227"/>
        <w:jc w:val="left"/>
      </w:pPr>
      <w:r>
        <w:rPr/>
        <w:t>公司</w:t>
      </w:r>
      <w:r>
        <w:rPr>
          <w:spacing w:val="-55"/>
        </w:rPr>
        <w:t> </w:t>
      </w:r>
      <w:r>
        <w:rPr>
          <w:rFonts w:ascii="宋体" w:hAnsi="宋体" w:cs="宋体" w:eastAsia="宋体" w:hint="default"/>
        </w:rPr>
        <w:t>2016</w:t>
      </w:r>
      <w:r>
        <w:rPr>
          <w:rFonts w:ascii="宋体" w:hAnsi="宋体" w:cs="宋体" w:eastAsia="宋体" w:hint="default"/>
          <w:spacing w:val="-57"/>
        </w:rPr>
        <w:t> </w:t>
      </w:r>
      <w:r>
        <w:rPr/>
        <w:t>年度利润分配方案</w:t>
      </w:r>
      <w:r>
        <w:rPr>
          <w:rFonts w:ascii="宋体" w:hAnsi="宋体" w:cs="宋体" w:eastAsia="宋体" w:hint="default"/>
        </w:rPr>
        <w:t>&gt;</w:t>
      </w:r>
      <w:r>
        <w:rPr/>
        <w:t>的议案》，同意公司以总股本</w:t>
      </w:r>
      <w:r>
        <w:rPr>
          <w:spacing w:val="-55"/>
        </w:rPr>
        <w:t> </w:t>
      </w:r>
      <w:r>
        <w:rPr>
          <w:rFonts w:ascii="宋体" w:hAnsi="宋体" w:cs="宋体" w:eastAsia="宋体" w:hint="default"/>
        </w:rPr>
        <w:t>1,105,691,056</w:t>
      </w:r>
      <w:r>
        <w:rPr>
          <w:rFonts w:ascii="宋体" w:hAnsi="宋体" w:cs="宋体" w:eastAsia="宋体" w:hint="default"/>
          <w:spacing w:val="-55"/>
        </w:rPr>
        <w:t> </w:t>
      </w:r>
      <w:r>
        <w:rPr/>
        <w:t>股为基数，向全体股</w:t>
      </w:r>
      <w:r>
        <w:rPr>
          <w:w w:val="100"/>
        </w:rPr>
        <w:t> </w:t>
      </w:r>
      <w:r>
        <w:rPr/>
        <w:t>东每</w:t>
      </w:r>
      <w:r>
        <w:rPr>
          <w:spacing w:val="-48"/>
        </w:rPr>
        <w:t> </w:t>
      </w:r>
      <w:r>
        <w:rPr>
          <w:rFonts w:ascii="宋体" w:hAnsi="宋体" w:cs="宋体" w:eastAsia="宋体" w:hint="default"/>
        </w:rPr>
        <w:t>10</w:t>
      </w:r>
      <w:r>
        <w:rPr>
          <w:rFonts w:ascii="宋体" w:hAnsi="宋体" w:cs="宋体" w:eastAsia="宋体" w:hint="default"/>
          <w:spacing w:val="-48"/>
        </w:rPr>
        <w:t> </w:t>
      </w:r>
      <w:r>
        <w:rPr/>
        <w:t>股派发现金股利人民币</w:t>
      </w:r>
      <w:r>
        <w:rPr>
          <w:spacing w:val="-47"/>
        </w:rPr>
        <w:t> </w:t>
      </w:r>
      <w:r>
        <w:rPr>
          <w:rFonts w:ascii="宋体" w:hAnsi="宋体" w:cs="宋体" w:eastAsia="宋体" w:hint="default"/>
        </w:rPr>
        <w:t>0.45</w:t>
      </w:r>
      <w:r>
        <w:rPr>
          <w:rFonts w:ascii="宋体" w:hAnsi="宋体" w:cs="宋体" w:eastAsia="宋体" w:hint="default"/>
          <w:spacing w:val="-51"/>
        </w:rPr>
        <w:t> </w:t>
      </w:r>
      <w:r>
        <w:rPr>
          <w:spacing w:val="-11"/>
        </w:rPr>
        <w:t>元（含税），共计分配现金股利人民币</w:t>
      </w:r>
      <w:r>
        <w:rPr>
          <w:spacing w:val="-48"/>
        </w:rPr>
        <w:t> </w:t>
      </w:r>
      <w:r>
        <w:rPr>
          <w:rFonts w:ascii="宋体" w:hAnsi="宋体" w:cs="宋体" w:eastAsia="宋体" w:hint="default"/>
        </w:rPr>
        <w:t>49,756,097.52</w:t>
      </w:r>
      <w:r>
        <w:rPr>
          <w:rFonts w:ascii="宋体" w:hAnsi="宋体" w:cs="宋体" w:eastAsia="宋体" w:hint="default"/>
          <w:spacing w:val="-47"/>
        </w:rPr>
        <w:t> </w:t>
      </w:r>
      <w:r>
        <w:rPr>
          <w:spacing w:val="-19"/>
        </w:rPr>
        <w:t>元（含</w:t>
      </w:r>
      <w:r>
        <w:rPr>
          <w:spacing w:val="-103"/>
        </w:rPr>
        <w:t> </w:t>
      </w:r>
      <w:r>
        <w:rPr>
          <w:spacing w:val="-103"/>
        </w:rPr>
      </w:r>
      <w:r>
        <w:rPr/>
        <w:t>税）。上述利润分配方案已于</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月实施完毕，详见公司于当月在上海证券交易所网站</w:t>
      </w:r>
      <w:r>
        <w:rPr>
          <w:w w:val="100"/>
        </w:rPr>
        <w:t> </w:t>
      </w:r>
      <w:hyperlink r:id="rId10">
        <w:r>
          <w:rPr>
            <w:rFonts w:ascii="宋体" w:hAnsi="宋体" w:cs="宋体" w:eastAsia="宋体" w:hint="default"/>
          </w:rPr>
          <w:t>(www.sse.com.cn</w:t>
        </w:r>
      </w:hyperlink>
      <w:r>
        <w:rPr>
          <w:rFonts w:ascii="宋体" w:hAnsi="宋体" w:cs="宋体" w:eastAsia="宋体" w:hint="default"/>
        </w:rPr>
        <w:t>)</w:t>
      </w:r>
      <w:r>
        <w:rPr/>
        <w:t>披露的相关公告。</w:t>
      </w:r>
    </w:p>
    <w:p>
      <w:pPr>
        <w:pStyle w:val="BodyText"/>
        <w:spacing w:line="240" w:lineRule="auto" w:before="30"/>
        <w:ind w:left="638" w:right="124"/>
        <w:jc w:val="left"/>
      </w:pPr>
      <w:r>
        <w:rPr>
          <w:spacing w:val="-4"/>
        </w:rPr>
        <w:t>经公司第三届董事会第十二次会议审议，公司 </w:t>
      </w:r>
      <w:r>
        <w:rPr>
          <w:rFonts w:ascii="宋体" w:hAnsi="宋体" w:cs="宋体" w:eastAsia="宋体" w:hint="default"/>
        </w:rPr>
        <w:t>2017</w:t>
      </w:r>
      <w:r>
        <w:rPr>
          <w:rFonts w:ascii="宋体" w:hAnsi="宋体" w:cs="宋体" w:eastAsia="宋体" w:hint="default"/>
          <w:spacing w:val="-49"/>
        </w:rPr>
        <w:t> </w:t>
      </w:r>
      <w:r>
        <w:rPr>
          <w:spacing w:val="-4"/>
        </w:rPr>
        <w:t>年度的利润分配方案拟定如下：公司拟以</w:t>
      </w:r>
    </w:p>
    <w:p>
      <w:pPr>
        <w:pStyle w:val="BodyText"/>
        <w:spacing w:line="240" w:lineRule="auto" w:before="135"/>
        <w:ind w:left="218" w:right="124"/>
        <w:jc w:val="left"/>
      </w:pPr>
      <w:r>
        <w:rPr/>
        <w:t>总股本</w:t>
      </w:r>
      <w:r>
        <w:rPr>
          <w:spacing w:val="-55"/>
        </w:rPr>
        <w:t> </w:t>
      </w:r>
      <w:r>
        <w:rPr>
          <w:rFonts w:ascii="宋体" w:hAnsi="宋体" w:cs="宋体" w:eastAsia="宋体" w:hint="default"/>
        </w:rPr>
        <w:t>1,105,691,056</w:t>
      </w:r>
      <w:r>
        <w:rPr>
          <w:rFonts w:ascii="宋体" w:hAnsi="宋体" w:cs="宋体" w:eastAsia="宋体" w:hint="default"/>
          <w:spacing w:val="-54"/>
        </w:rPr>
        <w:t> </w:t>
      </w:r>
      <w:r>
        <w:rPr/>
        <w:t>股为基数，每</w:t>
      </w:r>
      <w:r>
        <w:rPr>
          <w:spacing w:val="-55"/>
        </w:rPr>
        <w:t> </w:t>
      </w:r>
      <w:r>
        <w:rPr>
          <w:rFonts w:ascii="宋体" w:hAnsi="宋体" w:cs="宋体" w:eastAsia="宋体" w:hint="default"/>
        </w:rPr>
        <w:t>10</w:t>
      </w:r>
      <w:r>
        <w:rPr>
          <w:rFonts w:ascii="宋体" w:hAnsi="宋体" w:cs="宋体" w:eastAsia="宋体" w:hint="default"/>
          <w:spacing w:val="-57"/>
        </w:rPr>
        <w:t> </w:t>
      </w:r>
      <w:r>
        <w:rPr/>
        <w:t>股派发现金股利人民币</w:t>
      </w:r>
      <w:r>
        <w:rPr>
          <w:spacing w:val="-55"/>
        </w:rPr>
        <w:t> </w:t>
      </w:r>
      <w:r>
        <w:rPr>
          <w:rFonts w:ascii="宋体" w:hAnsi="宋体" w:cs="宋体" w:eastAsia="宋体" w:hint="default"/>
        </w:rPr>
        <w:t>0.45</w:t>
      </w:r>
      <w:r>
        <w:rPr>
          <w:rFonts w:ascii="宋体" w:hAnsi="宋体" w:cs="宋体" w:eastAsia="宋体" w:hint="default"/>
          <w:spacing w:val="-55"/>
        </w:rPr>
        <w:t> </w:t>
      </w:r>
      <w:r>
        <w:rPr/>
        <w:t>元（含税），共计分配现金</w:t>
      </w:r>
    </w:p>
    <w:p>
      <w:pPr>
        <w:pStyle w:val="BodyText"/>
        <w:spacing w:line="355" w:lineRule="auto" w:before="133"/>
        <w:ind w:left="218" w:right="236"/>
        <w:jc w:val="left"/>
      </w:pPr>
      <w:r>
        <w:rPr/>
        <w:t>股利人民币</w:t>
      </w:r>
      <w:r>
        <w:rPr>
          <w:spacing w:val="-57"/>
        </w:rPr>
        <w:t> </w:t>
      </w:r>
      <w:r>
        <w:rPr>
          <w:rFonts w:ascii="宋体" w:hAnsi="宋体" w:cs="宋体" w:eastAsia="宋体" w:hint="default"/>
        </w:rPr>
        <w:t>49,756,097.52</w:t>
      </w:r>
      <w:r>
        <w:rPr>
          <w:rFonts w:ascii="宋体" w:hAnsi="宋体" w:cs="宋体" w:eastAsia="宋体" w:hint="default"/>
          <w:spacing w:val="-56"/>
        </w:rPr>
        <w:t> </w:t>
      </w:r>
      <w:r>
        <w:rPr/>
        <w:t>元（含税），剩余未分配利润将结转下一年度。上述利润分配方案尚</w:t>
      </w:r>
      <w:r>
        <w:rPr>
          <w:w w:val="100"/>
        </w:rPr>
        <w:t> </w:t>
      </w:r>
      <w:r>
        <w:rPr/>
        <w:t>需提交股东大会审议通过。</w:t>
      </w:r>
    </w:p>
    <w:p>
      <w:pPr>
        <w:spacing w:line="240" w:lineRule="auto" w:before="13"/>
        <w:rPr>
          <w:rFonts w:ascii="宋体" w:hAnsi="宋体" w:cs="宋体" w:eastAsia="宋体" w:hint="default"/>
          <w:sz w:val="27"/>
          <w:szCs w:val="27"/>
        </w:rPr>
      </w:pPr>
    </w:p>
    <w:p>
      <w:pPr>
        <w:pStyle w:val="Heading2"/>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64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80" w:right="17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49,756,097.52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89,408,428.42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55.65</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49,756,097.52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106,002,915.63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46.94</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82,926,829.20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274,280,594.31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30.23</w:t>
            </w:r>
          </w:p>
        </w:tc>
      </w:tr>
    </w:tbl>
    <w:p>
      <w:pPr>
        <w:spacing w:line="240" w:lineRule="auto" w:before="13"/>
        <w:rPr>
          <w:rFonts w:ascii="宋体" w:hAnsi="宋体" w:cs="宋体" w:eastAsia="宋体" w:hint="default"/>
          <w:sz w:val="19"/>
          <w:szCs w:val="19"/>
        </w:rPr>
      </w:pPr>
    </w:p>
    <w:p>
      <w:pPr>
        <w:pStyle w:val="Heading2"/>
        <w:spacing w:line="240" w:lineRule="auto" w:before="36"/>
        <w:ind w:right="27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218" w:right="2731"/>
        <w:jc w:val="left"/>
      </w:pPr>
      <w:r>
        <w:rPr/>
        <w:t>□适用</w:t>
      </w:r>
      <w:r>
        <w:rPr>
          <w:spacing w:val="-1"/>
        </w:rPr>
        <w:t> </w:t>
      </w:r>
      <w:r>
        <w:rPr/>
        <w:t>√不适用</w:t>
      </w:r>
    </w:p>
    <w:p>
      <w:pPr>
        <w:pStyle w:val="Heading2"/>
        <w:spacing w:line="274" w:lineRule="exact" w:before="82"/>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218" w:right="2731"/>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before="17"/>
        <w:ind w:left="6497" w:right="64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spacing w:line="240" w:lineRule="auto"/>
        <w:ind w:left="244" w:right="0"/>
        <w:jc w:val="left"/>
        <w:rPr>
          <w:b w:val="0"/>
          <w:bCs w:val="0"/>
        </w:rPr>
      </w:pPr>
      <w:r>
        <w:rPr/>
        <w:t>二、承诺事项履行情况</w:t>
      </w:r>
      <w:r>
        <w:rPr>
          <w:b w:val="0"/>
          <w:bCs w:val="0"/>
        </w:rPr>
      </w:r>
    </w:p>
    <w:p>
      <w:pPr>
        <w:pStyle w:val="Heading2"/>
        <w:tabs>
          <w:tab w:pos="810" w:val="left" w:leader="none"/>
        </w:tabs>
        <w:spacing w:line="240" w:lineRule="auto" w:before="58"/>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24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96"/>
        <w:gridCol w:w="708"/>
        <w:gridCol w:w="708"/>
        <w:gridCol w:w="7515"/>
        <w:gridCol w:w="709"/>
        <w:gridCol w:w="708"/>
        <w:gridCol w:w="710"/>
        <w:gridCol w:w="1274"/>
        <w:gridCol w:w="1078"/>
      </w:tblGrid>
      <w:tr>
        <w:trPr>
          <w:trHeight w:val="1099"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12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134" w:hanging="10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43" w:right="353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37" w:lineRule="auto"/>
              <w:ind w:left="139" w:right="135"/>
              <w:jc w:val="both"/>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pacing w:val="-103"/>
                <w:sz w:val="21"/>
                <w:szCs w:val="21"/>
              </w:rPr>
              <w:t> </w:t>
            </w:r>
            <w:r>
              <w:rPr>
                <w:rFonts w:ascii="宋体" w:hAnsi="宋体" w:cs="宋体" w:eastAsia="宋体" w:hint="default"/>
                <w:sz w:val="21"/>
                <w:szCs w:val="21"/>
              </w:rPr>
              <w:t>及期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如未能及时</w:t>
            </w:r>
          </w:p>
          <w:p>
            <w:pPr>
              <w:pStyle w:val="TableParagraph"/>
              <w:spacing w:line="237" w:lineRule="auto"/>
              <w:ind w:left="105" w:right="103"/>
              <w:jc w:val="both"/>
              <w:rPr>
                <w:rFonts w:ascii="宋体" w:hAnsi="宋体" w:cs="宋体" w:eastAsia="宋体" w:hint="default"/>
                <w:sz w:val="21"/>
                <w:szCs w:val="21"/>
              </w:rPr>
            </w:pP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12" w:right="111"/>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6275"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05" w:right="156"/>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3" w:right="170"/>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37" w:lineRule="auto" w:before="2"/>
              <w:ind w:left="103" w:right="17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民日</w:t>
            </w:r>
            <w:r>
              <w:rPr>
                <w:rFonts w:ascii="宋体" w:hAnsi="宋体" w:cs="宋体" w:eastAsia="宋体" w:hint="default"/>
                <w:spacing w:val="-103"/>
                <w:sz w:val="21"/>
                <w:szCs w:val="21"/>
              </w:rPr>
              <w:t> </w:t>
            </w:r>
            <w:r>
              <w:rPr>
                <w:rFonts w:ascii="宋体" w:hAnsi="宋体" w:cs="宋体" w:eastAsia="宋体" w:hint="default"/>
                <w:sz w:val="21"/>
                <w:szCs w:val="21"/>
              </w:rPr>
              <w:t>报社</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、致力于把人民网打造成人民日报社下唯一的“综合性新闻网站”、“经</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营性网站（搜索引擎除外）”业务的单位，从事互联网新闻信息服务、互联网广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告业务、移动增值业务等与互联网相关的经营性业务，并支持人民网在该领域发</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展和扩大竞争优势。</w:t>
            </w:r>
          </w:p>
          <w:p>
            <w:pPr>
              <w:pStyle w:val="TableParagraph"/>
              <w:spacing w:line="237" w:lineRule="auto" w:before="1"/>
              <w:ind w:left="103" w:right="9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、人民日报社以及下属单位及企业（不包括人民网，以下相同概念同此理</w:t>
            </w:r>
            <w:r>
              <w:rPr>
                <w:rFonts w:ascii="宋体" w:hAnsi="宋体" w:cs="宋体" w:eastAsia="宋体" w:hint="default"/>
                <w:w w:val="100"/>
                <w:sz w:val="21"/>
                <w:szCs w:val="21"/>
              </w:rPr>
              <w:t> </w:t>
            </w:r>
            <w:r>
              <w:rPr>
                <w:rFonts w:ascii="宋体" w:hAnsi="宋体" w:cs="宋体" w:eastAsia="宋体" w:hint="default"/>
                <w:spacing w:val="-3"/>
                <w:sz w:val="21"/>
                <w:szCs w:val="21"/>
              </w:rPr>
              <w:t>解）目前没有从事或参与任何与人民网主营业务类似的业务；并承诺自本承诺函</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正式签署和出具之日起，人民日报社不会及促使下属单位及企业不会：①、在中</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4"/>
                <w:sz w:val="21"/>
                <w:szCs w:val="21"/>
              </w:rPr>
              <w:t>国境内外以任何形式（包括但不限于投资、并购、联营、合资、合作、合伙、承</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包或租赁经营、购买上市公司股票；以下相同概念同此涵义）从事或参与与人民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网主营业务类似的业务。②、在中国境内外以任何形式支持人民网及其全资及</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或控股子公司以外的第三方从事或参与与人民网主营业务类似的业务。</w:t>
            </w:r>
          </w:p>
          <w:p>
            <w:pPr>
              <w:pStyle w:val="TableParagraph"/>
              <w:spacing w:line="237" w:lineRule="auto"/>
              <w:ind w:left="103" w:right="151" w:firstLine="42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、人民日报社以及下属单位及企业如从任何第三方获得的商业机会与人民</w:t>
            </w:r>
            <w:r>
              <w:rPr>
                <w:rFonts w:ascii="宋体" w:hAnsi="宋体" w:cs="宋体" w:eastAsia="宋体" w:hint="default"/>
                <w:w w:val="100"/>
                <w:sz w:val="21"/>
                <w:szCs w:val="21"/>
              </w:rPr>
              <w:t> </w:t>
            </w:r>
            <w:r>
              <w:rPr>
                <w:rFonts w:ascii="宋体" w:hAnsi="宋体" w:cs="宋体" w:eastAsia="宋体" w:hint="default"/>
                <w:spacing w:val="-2"/>
                <w:sz w:val="21"/>
                <w:szCs w:val="21"/>
              </w:rPr>
              <w:t>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或控股子公司的主营业务可能构成直接或间接的竞争，则人民日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报社并承诺促使下属单位及企业将立即告知人民网及其全资及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并尽力促使该商业机会按合理和公平的条款和条件首先提供给人民网及其全资</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sz w:val="21"/>
                <w:szCs w:val="21"/>
              </w:rPr>
              <w:t>/</w:t>
            </w:r>
            <w:r>
              <w:rPr>
                <w:rFonts w:ascii="宋体" w:hAnsi="宋体" w:cs="宋体" w:eastAsia="宋体" w:hint="default"/>
                <w:sz w:val="21"/>
                <w:szCs w:val="21"/>
              </w:rPr>
              <w:t>或控股子公司。</w:t>
            </w:r>
          </w:p>
          <w:p>
            <w:pPr>
              <w:pStyle w:val="TableParagraph"/>
              <w:spacing w:line="274" w:lineRule="exact" w:before="22"/>
              <w:ind w:left="103" w:right="96" w:firstLine="420"/>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、人民日报社保证不利用控股股东的地位损害人民网及其全资及</w:t>
            </w:r>
            <w:r>
              <w:rPr>
                <w:rFonts w:ascii="宋体" w:hAnsi="宋体" w:cs="宋体" w:eastAsia="宋体" w:hint="default"/>
                <w:spacing w:val="-3"/>
                <w:sz w:val="21"/>
                <w:szCs w:val="21"/>
              </w:rPr>
              <w:t>/</w:t>
            </w:r>
            <w:r>
              <w:rPr>
                <w:rFonts w:ascii="宋体" w:hAnsi="宋体" w:cs="宋体" w:eastAsia="宋体" w:hint="default"/>
                <w:spacing w:val="-3"/>
                <w:sz w:val="21"/>
                <w:szCs w:val="21"/>
              </w:rPr>
              <w:t>或控股子</w:t>
            </w:r>
            <w:r>
              <w:rPr>
                <w:rFonts w:ascii="宋体" w:hAnsi="宋体" w:cs="宋体" w:eastAsia="宋体" w:hint="default"/>
                <w:w w:val="100"/>
                <w:sz w:val="21"/>
                <w:szCs w:val="21"/>
              </w:rPr>
              <w:t> </w:t>
            </w:r>
            <w:r>
              <w:rPr>
                <w:rFonts w:ascii="宋体" w:hAnsi="宋体" w:cs="宋体" w:eastAsia="宋体" w:hint="default"/>
                <w:sz w:val="21"/>
                <w:szCs w:val="21"/>
              </w:rPr>
              <w:t>公司的合法权益，也不利用自身特殊地位谋取非正常的额外利益。</w:t>
            </w:r>
          </w:p>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、以上承诺于人民日报社一直作为人民网的控股股东期间持续有效，且是</w:t>
            </w:r>
          </w:p>
          <w:p>
            <w:pPr>
              <w:pStyle w:val="TableParagraph"/>
              <w:spacing w:line="237" w:lineRule="auto" w:before="2"/>
              <w:ind w:left="103" w:right="100"/>
              <w:jc w:val="left"/>
              <w:rPr>
                <w:rFonts w:ascii="宋体" w:hAnsi="宋体" w:cs="宋体" w:eastAsia="宋体" w:hint="default"/>
                <w:sz w:val="21"/>
                <w:szCs w:val="21"/>
              </w:rPr>
            </w:pPr>
            <w:r>
              <w:rPr>
                <w:rFonts w:ascii="宋体" w:hAnsi="宋体" w:cs="宋体" w:eastAsia="宋体" w:hint="default"/>
                <w:sz w:val="21"/>
                <w:szCs w:val="21"/>
              </w:rPr>
              <w:t>不可撤销的。</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、如因人民日报社未履行在本承诺函中所作的承诺及保证而给人民网及其全资</w:t>
            </w:r>
            <w:r>
              <w:rPr>
                <w:rFonts w:ascii="宋体" w:hAnsi="宋体" w:cs="宋体" w:eastAsia="宋体" w:hint="default"/>
                <w:w w:val="100"/>
                <w:sz w:val="21"/>
                <w:szCs w:val="21"/>
              </w:rPr>
              <w:t> </w:t>
            </w:r>
            <w:r>
              <w:rPr>
                <w:rFonts w:ascii="宋体" w:hAnsi="宋体" w:cs="宋体" w:eastAsia="宋体" w:hint="default"/>
                <w:spacing w:val="-3"/>
                <w:sz w:val="21"/>
                <w:szCs w:val="21"/>
              </w:rPr>
              <w:t>及</w:t>
            </w:r>
            <w:r>
              <w:rPr>
                <w:rFonts w:ascii="宋体" w:hAnsi="宋体" w:cs="宋体" w:eastAsia="宋体" w:hint="default"/>
                <w:spacing w:val="-3"/>
                <w:sz w:val="21"/>
                <w:szCs w:val="21"/>
              </w:rPr>
              <w:t>/</w:t>
            </w:r>
            <w:r>
              <w:rPr>
                <w:rFonts w:ascii="宋体" w:hAnsi="宋体" w:cs="宋体" w:eastAsia="宋体" w:hint="default"/>
                <w:spacing w:val="-3"/>
                <w:sz w:val="21"/>
                <w:szCs w:val="21"/>
              </w:rPr>
              <w:t>或控股子公司造成损失，人民日报社将赔偿人民网及其全资及</w:t>
            </w:r>
            <w:r>
              <w:rPr>
                <w:rFonts w:ascii="宋体" w:hAnsi="宋体" w:cs="宋体" w:eastAsia="宋体" w:hint="default"/>
                <w:spacing w:val="-3"/>
                <w:sz w:val="21"/>
                <w:szCs w:val="21"/>
              </w:rPr>
              <w:t>/</w:t>
            </w:r>
            <w:r>
              <w:rPr>
                <w:rFonts w:ascii="宋体" w:hAnsi="宋体" w:cs="宋体" w:eastAsia="宋体" w:hint="default"/>
                <w:spacing w:val="-3"/>
                <w:sz w:val="21"/>
                <w:szCs w:val="21"/>
              </w:rPr>
              <w:t>或控股子公司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的一切实际损失。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37" w:lineRule="auto"/>
              <w:ind w:left="103" w:right="171"/>
              <w:jc w:val="left"/>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pacing w:val="-103"/>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2011</w:t>
            </w:r>
          </w:p>
          <w:p>
            <w:pPr>
              <w:pStyle w:val="TableParagraph"/>
              <w:spacing w:line="237" w:lineRule="auto" w:before="1"/>
              <w:ind w:left="103" w:right="17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期限</w:t>
            </w:r>
            <w:r>
              <w:rPr>
                <w:rFonts w:ascii="宋体" w:hAnsi="宋体" w:cs="宋体" w:eastAsia="宋体" w:hint="default"/>
                <w:spacing w:val="-103"/>
                <w:sz w:val="21"/>
                <w:szCs w:val="21"/>
              </w:rPr>
              <w:t> </w:t>
            </w:r>
            <w:r>
              <w:rPr>
                <w:rFonts w:ascii="宋体" w:hAnsi="宋体" w:cs="宋体" w:eastAsia="宋体" w:hint="default"/>
                <w:sz w:val="21"/>
                <w:szCs w:val="21"/>
              </w:rPr>
              <w:t>为长</w:t>
            </w:r>
            <w:r>
              <w:rPr>
                <w:rFonts w:ascii="宋体" w:hAnsi="宋体" w:cs="宋体" w:eastAsia="宋体" w:hint="default"/>
                <w:spacing w:val="-103"/>
                <w:sz w:val="21"/>
                <w:szCs w:val="21"/>
              </w:rPr>
              <w:t> </w:t>
            </w:r>
            <w:r>
              <w:rPr>
                <w:rFonts w:ascii="宋体" w:hAnsi="宋体" w:cs="宋体" w:eastAsia="宋体" w:hint="default"/>
                <w:sz w:val="21"/>
                <w:szCs w:val="21"/>
              </w:rPr>
              <w:t>期有</w:t>
            </w:r>
            <w:r>
              <w:rPr>
                <w:rFonts w:ascii="宋体" w:hAnsi="宋体" w:cs="宋体" w:eastAsia="宋体" w:hint="default"/>
                <w:spacing w:val="-103"/>
                <w:sz w:val="21"/>
                <w:szCs w:val="21"/>
              </w:rPr>
              <w:t> </w:t>
            </w:r>
            <w:r>
              <w:rPr>
                <w:rFonts w:ascii="宋体" w:hAnsi="宋体" w:cs="宋体" w:eastAsia="宋体" w:hint="default"/>
                <w:sz w:val="21"/>
                <w:szCs w:val="21"/>
              </w:rPr>
              <w:t>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63"/>
        <w:ind w:left="6497" w:right="6475" w:firstLine="0"/>
        <w:jc w:val="center"/>
        <w:rPr>
          <w:rFonts w:ascii="Calibri" w:hAnsi="Calibri" w:cs="Calibri" w:eastAsia="Calibri" w:hint="default"/>
          <w:sz w:val="18"/>
          <w:szCs w:val="18"/>
        </w:rPr>
      </w:pPr>
      <w:r>
        <w:rPr>
          <w:rFonts w:ascii="Calibri"/>
          <w:b/>
          <w:sz w:val="18"/>
        </w:rPr>
        <w:t>29 </w:t>
      </w:r>
      <w:r>
        <w:rPr>
          <w:rFonts w:ascii="Calibri"/>
          <w:sz w:val="18"/>
        </w:rPr>
        <w:t>/</w:t>
      </w:r>
      <w:r>
        <w:rPr>
          <w:rFonts w:ascii="Calibri"/>
          <w:spacing w:val="-4"/>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headerReference w:type="default" r:id="rId22"/>
          <w:footerReference w:type="default" r:id="rId23"/>
          <w:pgSz w:w="16840" w:h="11910" w:orient="landscape"/>
          <w:pgMar w:header="0" w:footer="0" w:top="800" w:bottom="280" w:left="128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pStyle w:val="Heading2"/>
        <w:tabs>
          <w:tab w:pos="704" w:val="left" w:leader="none"/>
        </w:tabs>
        <w:spacing w:line="264" w:lineRule="auto"/>
        <w:ind w:left="138" w:right="8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right="0"/>
        <w:jc w:val="both"/>
      </w:pPr>
      <w:r>
        <w:rPr/>
        <w:t>□已达到 □未达到 √不适用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三、报告期内资金被占用情况及清欠进展情况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5"/>
        <w:rPr>
          <w:rFonts w:ascii="宋体" w:hAnsi="宋体" w:cs="宋体" w:eastAsia="宋体" w:hint="default"/>
          <w:sz w:val="27"/>
          <w:szCs w:val="27"/>
        </w:rPr>
      </w:pPr>
    </w:p>
    <w:p>
      <w:pPr>
        <w:pStyle w:val="Heading2"/>
        <w:spacing w:line="240" w:lineRule="auto"/>
        <w:ind w:left="138" w:right="0"/>
        <w:jc w:val="both"/>
        <w:rPr>
          <w:b w:val="0"/>
          <w:bCs w:val="0"/>
        </w:rPr>
      </w:pPr>
      <w:r>
        <w:rPr/>
        <w:t>四、公司对会计师事务所“非标准意见审计报告”的说明</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五、公司对会计政策、会计估计变更或重大会计差错更正原因和影响的分析说明</w:t>
      </w:r>
      <w:r>
        <w:rPr>
          <w:b w:val="0"/>
          <w:bCs w:val="0"/>
        </w:rPr>
      </w:r>
    </w:p>
    <w:p>
      <w:pPr>
        <w:pStyle w:val="Heading2"/>
        <w:spacing w:line="240" w:lineRule="auto" w:before="56"/>
        <w:ind w:left="13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为解决执行企业会计准则的企业在财务报告编制中的实际问题，规范企业财务报表列报，提</w:t>
      </w:r>
    </w:p>
    <w:p>
      <w:pPr>
        <w:pStyle w:val="BodyText"/>
        <w:spacing w:line="240" w:lineRule="auto" w:before="108"/>
        <w:ind w:right="0"/>
        <w:jc w:val="both"/>
      </w:pPr>
      <w:r>
        <w:rPr/>
        <w:t>高会计信息质量，针对</w:t>
      </w:r>
      <w:r>
        <w:rPr>
          <w:spacing w:val="-53"/>
        </w:rPr>
        <w:t> </w:t>
      </w:r>
      <w:r>
        <w:rPr>
          <w:rFonts w:ascii="宋体" w:hAnsi="宋体" w:cs="宋体" w:eastAsia="宋体" w:hint="default"/>
        </w:rPr>
        <w:t>2017</w:t>
      </w:r>
      <w:r>
        <w:rPr>
          <w:rFonts w:ascii="宋体" w:hAnsi="宋体" w:cs="宋体" w:eastAsia="宋体" w:hint="default"/>
          <w:spacing w:val="-54"/>
        </w:rPr>
        <w:t> </w:t>
      </w:r>
      <w:r>
        <w:rPr/>
        <w:t>年施行的财政部于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日印发的《企业会计准则第</w:t>
      </w:r>
      <w:r>
        <w:rPr>
          <w:spacing w:val="-54"/>
        </w:rPr>
        <w:t> </w:t>
      </w:r>
      <w:r>
        <w:rPr>
          <w:rFonts w:ascii="宋体" w:hAnsi="宋体" w:cs="宋体" w:eastAsia="宋体" w:hint="default"/>
        </w:rPr>
        <w:t>42</w:t>
      </w:r>
      <w:r>
        <w:rPr>
          <w:rFonts w:ascii="宋体" w:hAnsi="宋体" w:cs="宋体" w:eastAsia="宋体" w:hint="default"/>
          <w:spacing w:val="-54"/>
        </w:rPr>
        <w:t> </w:t>
      </w:r>
      <w:r>
        <w:rPr/>
        <w:t>号</w:t>
      </w:r>
    </w:p>
    <w:p>
      <w:pPr>
        <w:pStyle w:val="BodyText"/>
        <w:spacing w:line="355" w:lineRule="auto" w:before="135"/>
        <w:ind w:right="128"/>
        <w:jc w:val="both"/>
      </w:pPr>
      <w:r>
        <w:rPr/>
        <w:t>——持有待售的非流动资产、处置组和终止经营》的通知（财会</w:t>
      </w:r>
      <w:r>
        <w:rPr>
          <w:rFonts w:ascii="宋体" w:hAnsi="宋体" w:cs="宋体" w:eastAsia="宋体" w:hint="default"/>
        </w:rPr>
        <w:t>[2017]13</w:t>
      </w:r>
      <w:r>
        <w:rPr>
          <w:rFonts w:ascii="宋体" w:hAnsi="宋体" w:cs="宋体" w:eastAsia="宋体" w:hint="default"/>
          <w:spacing w:val="-56"/>
        </w:rPr>
        <w:t> </w:t>
      </w:r>
      <w:r>
        <w:rPr/>
        <w:t>号，自</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w w:val="100"/>
        </w:rPr>
        <w:t> </w:t>
      </w:r>
      <w:r>
        <w:rPr>
          <w:spacing w:val="-2"/>
        </w:rPr>
        <w:t>日起施行，要求对于施行日存在持有待售的非流动资产、处置组和终止经营，采用未来适用法处</w:t>
      </w:r>
      <w:r>
        <w:rPr>
          <w:spacing w:val="-25"/>
        </w:rPr>
        <w:t> </w:t>
      </w:r>
      <w:r>
        <w:rPr>
          <w:spacing w:val="-25"/>
        </w:rPr>
      </w:r>
      <w:r>
        <w:rPr>
          <w:spacing w:val="-12"/>
        </w:rPr>
        <w:t>理）和财政部于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5</w:t>
      </w:r>
      <w:r>
        <w:rPr>
          <w:rFonts w:ascii="宋体" w:hAnsi="宋体" w:cs="宋体" w:eastAsia="宋体" w:hint="default"/>
          <w:spacing w:val="-49"/>
        </w:rPr>
        <w:t> </w:t>
      </w:r>
      <w:r>
        <w:rPr/>
        <w:t>月</w:t>
      </w:r>
      <w:r>
        <w:rPr>
          <w:spacing w:val="-47"/>
        </w:rPr>
        <w:t> </w:t>
      </w:r>
      <w:r>
        <w:rPr>
          <w:rFonts w:ascii="宋体" w:hAnsi="宋体" w:cs="宋体" w:eastAsia="宋体" w:hint="default"/>
        </w:rPr>
        <w:t>10</w:t>
      </w:r>
      <w:r>
        <w:rPr>
          <w:rFonts w:ascii="宋体" w:hAnsi="宋体" w:cs="宋体" w:eastAsia="宋体" w:hint="default"/>
          <w:spacing w:val="-49"/>
        </w:rPr>
        <w:t> </w:t>
      </w:r>
      <w:r>
        <w:rPr>
          <w:spacing w:val="-7"/>
        </w:rPr>
        <w:t>日修订并发布的《企业会计准则第</w:t>
      </w:r>
      <w:r>
        <w:rPr>
          <w:spacing w:val="-46"/>
        </w:rPr>
        <w:t> </w:t>
      </w:r>
      <w:r>
        <w:rPr>
          <w:rFonts w:ascii="宋体" w:hAnsi="宋体" w:cs="宋体" w:eastAsia="宋体" w:hint="default"/>
        </w:rPr>
        <w:t>16</w:t>
      </w:r>
      <w:r>
        <w:rPr>
          <w:rFonts w:ascii="宋体" w:hAnsi="宋体" w:cs="宋体" w:eastAsia="宋体" w:hint="default"/>
          <w:spacing w:val="-47"/>
        </w:rPr>
        <w:t> </w:t>
      </w:r>
      <w:r>
        <w:rPr>
          <w:spacing w:val="-13"/>
        </w:rPr>
        <w:t>号——政府补助》的通知（财</w:t>
      </w:r>
    </w:p>
    <w:p>
      <w:pPr>
        <w:pStyle w:val="BodyText"/>
        <w:spacing w:line="240" w:lineRule="auto" w:before="32"/>
        <w:ind w:right="0"/>
        <w:jc w:val="both"/>
      </w:pPr>
      <w:r>
        <w:rPr/>
        <w:t>会</w:t>
      </w:r>
      <w:r>
        <w:rPr>
          <w:rFonts w:ascii="宋体" w:hAnsi="宋体" w:cs="宋体" w:eastAsia="宋体" w:hint="default"/>
        </w:rPr>
        <w:t>[2017]15</w:t>
      </w:r>
      <w:r>
        <w:rPr>
          <w:rFonts w:ascii="宋体" w:hAnsi="宋体" w:cs="宋体" w:eastAsia="宋体" w:hint="default"/>
          <w:spacing w:val="-54"/>
        </w:rPr>
        <w:t> </w:t>
      </w:r>
      <w:r>
        <w:rPr/>
        <w:t>号，自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日起施行，要求对</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日存在的政府补助采用未来</w:t>
      </w:r>
    </w:p>
    <w:p>
      <w:pPr>
        <w:pStyle w:val="BodyText"/>
        <w:spacing w:line="240" w:lineRule="auto" w:before="135"/>
        <w:ind w:right="0"/>
        <w:jc w:val="both"/>
      </w:pPr>
      <w:r>
        <w:rPr>
          <w:spacing w:val="-8"/>
        </w:rPr>
        <w:t>适用法处理，对</w:t>
      </w:r>
      <w:r>
        <w:rPr>
          <w:spacing w:val="-41"/>
        </w:rPr>
        <w:t> </w:t>
      </w:r>
      <w:r>
        <w:rPr>
          <w:rFonts w:ascii="宋体" w:hAnsi="宋体" w:cs="宋体" w:eastAsia="宋体" w:hint="default"/>
        </w:rPr>
        <w:t>2017</w:t>
      </w:r>
      <w:r>
        <w:rPr>
          <w:rFonts w:ascii="宋体" w:hAnsi="宋体" w:cs="宋体" w:eastAsia="宋体" w:hint="default"/>
          <w:spacing w:val="-41"/>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1"/>
        </w:rPr>
        <w:t> </w:t>
      </w:r>
      <w:r>
        <w:rPr>
          <w:rFonts w:ascii="宋体" w:hAnsi="宋体" w:cs="宋体" w:eastAsia="宋体" w:hint="default"/>
        </w:rPr>
        <w:t>1</w:t>
      </w:r>
      <w:r>
        <w:rPr>
          <w:rFonts w:ascii="宋体" w:hAnsi="宋体" w:cs="宋体" w:eastAsia="宋体" w:hint="default"/>
          <w:spacing w:val="-41"/>
        </w:rPr>
        <w:t> </w:t>
      </w:r>
      <w:r>
        <w:rPr>
          <w:spacing w:val="-4"/>
        </w:rPr>
        <w:t>日至本准则施行日之间新增的政府补助根据本准则进行调整）的相</w:t>
      </w:r>
      <w:r>
        <w:rPr/>
      </w:r>
    </w:p>
    <w:p>
      <w:pPr>
        <w:pStyle w:val="BodyText"/>
        <w:spacing w:line="355" w:lineRule="auto" w:before="133"/>
        <w:ind w:right="128"/>
        <w:jc w:val="both"/>
      </w:pPr>
      <w:r>
        <w:rPr/>
        <w:t>关规定</w:t>
      </w:r>
      <w:r>
        <w:rPr>
          <w:rFonts w:ascii="宋体" w:hAnsi="宋体" w:cs="宋体" w:eastAsia="宋体" w:hint="default"/>
        </w:rPr>
        <w:t>,</w:t>
      </w:r>
      <w:r>
        <w:rPr/>
        <w:t>财政部对一般企业财务报表格式进行了修订，于</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日修订并发布了《关于</w:t>
      </w:r>
      <w:r>
        <w:rPr>
          <w:w w:val="100"/>
        </w:rPr>
        <w:t> </w:t>
      </w:r>
      <w:r>
        <w:rPr/>
        <w:t>修订印发一般企业财务报表格式的通知》（财会</w:t>
      </w:r>
      <w:r>
        <w:rPr>
          <w:rFonts w:ascii="宋体" w:hAnsi="宋体" w:cs="宋体" w:eastAsia="宋体" w:hint="default"/>
        </w:rPr>
        <w:t>[2017]30</w:t>
      </w:r>
      <w:r>
        <w:rPr>
          <w:rFonts w:ascii="宋体" w:hAnsi="宋体" w:cs="宋体" w:eastAsia="宋体" w:hint="default"/>
          <w:spacing w:val="-53"/>
        </w:rPr>
        <w:t> </w:t>
      </w:r>
      <w:r>
        <w:rPr>
          <w:spacing w:val="-3"/>
        </w:rPr>
        <w:t>号），要求执行企业会计准则的企业应</w:t>
      </w:r>
      <w:r>
        <w:rPr>
          <w:w w:val="100"/>
        </w:rPr>
        <w:t> </w:t>
      </w:r>
      <w:r>
        <w:rPr/>
        <w:t>按照企业会计准则和该通知要求编制</w:t>
      </w:r>
      <w:r>
        <w:rPr>
          <w:spacing w:val="-56"/>
        </w:rPr>
        <w:t> </w:t>
      </w:r>
      <w:r>
        <w:rPr>
          <w:rFonts w:ascii="宋体" w:hAnsi="宋体" w:cs="宋体" w:eastAsia="宋体" w:hint="default"/>
        </w:rPr>
        <w:t>2017</w:t>
      </w:r>
      <w:r>
        <w:rPr>
          <w:rFonts w:ascii="宋体" w:hAnsi="宋体" w:cs="宋体" w:eastAsia="宋体" w:hint="default"/>
          <w:spacing w:val="-56"/>
        </w:rPr>
        <w:t> </w:t>
      </w:r>
      <w:r>
        <w:rPr/>
        <w:t>年度及以后期间的财务报表。</w:t>
      </w:r>
    </w:p>
    <w:p>
      <w:pPr>
        <w:pStyle w:val="BodyText"/>
        <w:spacing w:line="357" w:lineRule="auto" w:before="32"/>
        <w:ind w:right="130" w:firstLine="419"/>
        <w:jc w:val="both"/>
      </w:pPr>
      <w:r>
        <w:rPr>
          <w:spacing w:val="-2"/>
        </w:rPr>
        <w:t>根据上述规定，公司调整了财务报表列报，资产负债表新增“持有待售资产”和“持有待售</w:t>
      </w:r>
      <w:r>
        <w:rPr>
          <w:w w:val="100"/>
        </w:rPr>
        <w:t> </w:t>
      </w:r>
      <w:r>
        <w:rPr>
          <w:spacing w:val="-15"/>
          <w:w w:val="100"/>
        </w:rPr>
        <w:t>负债”行项目，利润表新增“其他收益”、“资产处置收益”、“（一）持续经营净利润”和“（二）</w:t>
      </w:r>
      <w:r>
        <w:rPr>
          <w:w w:val="100"/>
        </w:rPr>
        <w:t> </w:t>
      </w:r>
      <w:r>
        <w:rPr/>
        <w:t>终止经营净利润”行项目。本次会计政策变更对公司的影响如下：</w:t>
      </w:r>
    </w:p>
    <w:p>
      <w:pPr>
        <w:pStyle w:val="BodyText"/>
        <w:spacing w:line="240" w:lineRule="auto" w:before="31"/>
        <w:ind w:left="337" w:right="2543"/>
        <w:jc w:val="left"/>
      </w:pPr>
      <w:r>
        <w:rPr>
          <w:rFonts w:ascii="宋体" w:hAnsi="宋体" w:cs="宋体" w:eastAsia="宋体" w:hint="default"/>
        </w:rPr>
        <w:t>1</w:t>
      </w:r>
      <w:r>
        <w:rPr/>
        <w:t>、资产负债表新增“持有待售资产”行项目。</w:t>
      </w:r>
    </w:p>
    <w:p>
      <w:pPr>
        <w:pStyle w:val="BodyText"/>
        <w:spacing w:line="240" w:lineRule="auto" w:before="133"/>
        <w:ind w:left="337" w:right="2543"/>
        <w:jc w:val="left"/>
      </w:pPr>
      <w:r>
        <w:rPr>
          <w:rFonts w:ascii="宋体" w:hAnsi="宋体" w:cs="宋体" w:eastAsia="宋体" w:hint="default"/>
        </w:rPr>
        <w:t>2</w:t>
      </w:r>
      <w:r>
        <w:rPr/>
        <w:t>、资产负债表新增“持有待售负债”行项目。</w:t>
      </w:r>
    </w:p>
    <w:p>
      <w:pPr>
        <w:pStyle w:val="BodyText"/>
        <w:spacing w:line="240" w:lineRule="auto" w:before="133"/>
        <w:ind w:left="25" w:right="0"/>
        <w:jc w:val="center"/>
        <w:rPr>
          <w:rFonts w:ascii="宋体" w:hAnsi="宋体" w:cs="宋体" w:eastAsia="宋体" w:hint="default"/>
        </w:rPr>
      </w:pPr>
      <w:r>
        <w:rPr>
          <w:rFonts w:ascii="宋体" w:hAnsi="宋体" w:cs="宋体" w:eastAsia="宋体" w:hint="default"/>
          <w:spacing w:val="-2"/>
        </w:rPr>
        <w:t>3</w:t>
      </w:r>
      <w:r>
        <w:rPr>
          <w:spacing w:val="-2"/>
        </w:rPr>
        <w:t>、利润表新增“其他收益”行项目。调增本期合并利润表“其他收益”项目</w:t>
      </w:r>
      <w:r>
        <w:rPr>
          <w:spacing w:val="19"/>
        </w:rPr>
        <w:t> </w:t>
      </w:r>
      <w:r>
        <w:rPr>
          <w:rFonts w:ascii="宋体" w:hAnsi="宋体" w:cs="宋体" w:eastAsia="宋体" w:hint="default"/>
          <w:spacing w:val="-1"/>
        </w:rPr>
        <w:t>15,220,342.01</w:t>
      </w:r>
    </w:p>
    <w:p>
      <w:pPr>
        <w:pStyle w:val="BodyText"/>
        <w:spacing w:line="240" w:lineRule="auto" w:before="135"/>
        <w:ind w:right="0"/>
        <w:jc w:val="both"/>
      </w:pPr>
      <w:r>
        <w:rPr/>
        <w:t>元，调减“营业外收入”项目</w:t>
      </w:r>
      <w:r>
        <w:rPr>
          <w:spacing w:val="-54"/>
        </w:rPr>
        <w:t> </w:t>
      </w:r>
      <w:r>
        <w:rPr>
          <w:rFonts w:ascii="宋体" w:hAnsi="宋体" w:cs="宋体" w:eastAsia="宋体" w:hint="default"/>
        </w:rPr>
        <w:t>15,220,342.01</w:t>
      </w:r>
      <w:r>
        <w:rPr>
          <w:rFonts w:ascii="宋体" w:hAnsi="宋体" w:cs="宋体" w:eastAsia="宋体" w:hint="default"/>
          <w:spacing w:val="-56"/>
        </w:rPr>
        <w:t> </w:t>
      </w:r>
      <w:r>
        <w:rPr/>
        <w:t>元；</w:t>
      </w:r>
    </w:p>
    <w:p>
      <w:pPr>
        <w:pStyle w:val="BodyText"/>
        <w:spacing w:line="240" w:lineRule="auto" w:before="133"/>
        <w:ind w:left="2" w:right="114"/>
        <w:jc w:val="center"/>
      </w:pPr>
      <w:r>
        <w:rPr/>
        <w:t>调增本期母公司利润表“其他收益”项目</w:t>
      </w:r>
      <w:r>
        <w:rPr>
          <w:spacing w:val="-59"/>
        </w:rPr>
        <w:t> </w:t>
      </w:r>
      <w:r>
        <w:rPr>
          <w:rFonts w:ascii="宋体" w:hAnsi="宋体" w:cs="宋体" w:eastAsia="宋体" w:hint="default"/>
        </w:rPr>
        <w:t>3,749,211.14</w:t>
      </w:r>
      <w:r>
        <w:rPr>
          <w:rFonts w:ascii="宋体" w:hAnsi="宋体" w:cs="宋体" w:eastAsia="宋体" w:hint="default"/>
          <w:spacing w:val="-61"/>
        </w:rPr>
        <w:t> </w:t>
      </w:r>
      <w:r>
        <w:rPr/>
        <w:t>元，调减“营业外收入”项目</w:t>
      </w:r>
    </w:p>
    <w:p>
      <w:pPr>
        <w:pStyle w:val="BodyText"/>
        <w:spacing w:line="240" w:lineRule="auto" w:before="133"/>
        <w:ind w:right="0"/>
        <w:jc w:val="both"/>
      </w:pPr>
      <w:r>
        <w:rPr>
          <w:rFonts w:ascii="宋体" w:hAnsi="宋体" w:cs="宋体" w:eastAsia="宋体" w:hint="default"/>
        </w:rPr>
        <w:t>3,749,211.14</w:t>
      </w:r>
      <w:r>
        <w:rPr>
          <w:rFonts w:ascii="宋体" w:hAnsi="宋体" w:cs="宋体" w:eastAsia="宋体" w:hint="default"/>
          <w:spacing w:val="-52"/>
        </w:rPr>
        <w:t> </w:t>
      </w:r>
      <w:r>
        <w:rPr/>
        <w:t>元。</w:t>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w w:val="100"/>
        </w:rPr>
        <w:t>4</w:t>
      </w:r>
      <w:r>
        <w:rPr>
          <w:spacing w:val="-94"/>
          <w:w w:val="100"/>
        </w:rPr>
        <w:t>、</w:t>
      </w:r>
      <w:r>
        <w:rPr>
          <w:spacing w:val="-3"/>
          <w:w w:val="100"/>
        </w:rPr>
        <w:t>利</w:t>
      </w:r>
      <w:r>
        <w:rPr>
          <w:w w:val="100"/>
        </w:rPr>
        <w:t>润</w:t>
      </w:r>
      <w:r>
        <w:rPr>
          <w:spacing w:val="-3"/>
          <w:w w:val="100"/>
        </w:rPr>
        <w:t>表</w:t>
      </w:r>
      <w:r>
        <w:rPr>
          <w:w w:val="100"/>
        </w:rPr>
        <w:t>新</w:t>
      </w:r>
      <w:r>
        <w:rPr>
          <w:spacing w:val="-97"/>
          <w:w w:val="100"/>
        </w:rPr>
        <w:t>增</w:t>
      </w:r>
      <w:r>
        <w:rPr>
          <w:spacing w:val="-3"/>
          <w:w w:val="100"/>
        </w:rPr>
        <w:t>“</w:t>
      </w:r>
      <w:r>
        <w:rPr>
          <w:w w:val="100"/>
        </w:rPr>
        <w:t>资</w:t>
      </w:r>
      <w:r>
        <w:rPr>
          <w:spacing w:val="-3"/>
          <w:w w:val="100"/>
        </w:rPr>
        <w:t>产</w:t>
      </w:r>
      <w:r>
        <w:rPr>
          <w:w w:val="100"/>
        </w:rPr>
        <w:t>处</w:t>
      </w:r>
      <w:r>
        <w:rPr>
          <w:spacing w:val="-3"/>
          <w:w w:val="100"/>
        </w:rPr>
        <w:t>置收</w:t>
      </w:r>
      <w:r>
        <w:rPr>
          <w:w w:val="100"/>
        </w:rPr>
        <w:t>益</w:t>
      </w:r>
      <w:r>
        <w:rPr>
          <w:spacing w:val="-97"/>
          <w:w w:val="100"/>
        </w:rPr>
        <w:t>”</w:t>
      </w:r>
      <w:r>
        <w:rPr>
          <w:w w:val="100"/>
        </w:rPr>
        <w:t>行</w:t>
      </w:r>
      <w:r>
        <w:rPr>
          <w:spacing w:val="-3"/>
          <w:w w:val="100"/>
        </w:rPr>
        <w:t>项</w:t>
      </w:r>
      <w:r>
        <w:rPr>
          <w:w w:val="100"/>
        </w:rPr>
        <w:t>目</w:t>
      </w:r>
      <w:r>
        <w:rPr>
          <w:spacing w:val="-97"/>
          <w:w w:val="100"/>
        </w:rPr>
        <w:t>。</w:t>
      </w:r>
      <w:r>
        <w:rPr>
          <w:w w:val="100"/>
        </w:rPr>
        <w:t>调</w:t>
      </w:r>
      <w:r>
        <w:rPr>
          <w:spacing w:val="-3"/>
          <w:w w:val="100"/>
        </w:rPr>
        <w:t>增</w:t>
      </w:r>
      <w:r>
        <w:rPr>
          <w:w w:val="100"/>
        </w:rPr>
        <w:t>本</w:t>
      </w:r>
      <w:r>
        <w:rPr>
          <w:spacing w:val="-3"/>
          <w:w w:val="100"/>
        </w:rPr>
        <w:t>期</w:t>
      </w:r>
      <w:r>
        <w:rPr>
          <w:w w:val="100"/>
        </w:rPr>
        <w:t>合</w:t>
      </w:r>
      <w:r>
        <w:rPr>
          <w:spacing w:val="-3"/>
          <w:w w:val="100"/>
        </w:rPr>
        <w:t>并</w:t>
      </w:r>
      <w:r>
        <w:rPr>
          <w:w w:val="100"/>
        </w:rPr>
        <w:t>利润</w:t>
      </w:r>
      <w:r>
        <w:rPr>
          <w:spacing w:val="-97"/>
          <w:w w:val="100"/>
        </w:rPr>
        <w:t>表</w:t>
      </w:r>
      <w:r>
        <w:rPr>
          <w:spacing w:val="-3"/>
          <w:w w:val="100"/>
        </w:rPr>
        <w:t>“</w:t>
      </w:r>
      <w:r>
        <w:rPr>
          <w:w w:val="100"/>
        </w:rPr>
        <w:t>资</w:t>
      </w:r>
      <w:r>
        <w:rPr>
          <w:spacing w:val="-3"/>
          <w:w w:val="100"/>
        </w:rPr>
        <w:t>产</w:t>
      </w:r>
      <w:r>
        <w:rPr>
          <w:w w:val="100"/>
        </w:rPr>
        <w:t>处</w:t>
      </w:r>
      <w:r>
        <w:rPr>
          <w:spacing w:val="-3"/>
          <w:w w:val="100"/>
        </w:rPr>
        <w:t>置</w:t>
      </w:r>
      <w:r>
        <w:rPr>
          <w:w w:val="100"/>
        </w:rPr>
        <w:t>收</w:t>
      </w:r>
      <w:r>
        <w:rPr>
          <w:spacing w:val="-3"/>
          <w:w w:val="100"/>
        </w:rPr>
        <w:t>益</w:t>
      </w:r>
      <w:r>
        <w:rPr>
          <w:spacing w:val="-94"/>
          <w:w w:val="100"/>
        </w:rPr>
        <w:t>”</w:t>
      </w:r>
      <w:r>
        <w:rPr>
          <w:spacing w:val="-3"/>
          <w:w w:val="100"/>
        </w:rPr>
        <w:t>项</w:t>
      </w:r>
      <w:r>
        <w:rPr>
          <w:w w:val="100"/>
        </w:rPr>
        <w:t>目</w:t>
      </w:r>
      <w:r>
        <w:rPr>
          <w:spacing w:val="-52"/>
        </w:rPr>
        <w:t> </w:t>
      </w:r>
      <w:r>
        <w:rPr>
          <w:rFonts w:ascii="宋体" w:hAnsi="宋体" w:cs="宋体" w:eastAsia="宋体" w:hint="default"/>
          <w:w w:val="100"/>
        </w:rPr>
        <w:t>11</w:t>
      </w:r>
      <w:r>
        <w:rPr>
          <w:rFonts w:ascii="宋体" w:hAnsi="宋体" w:cs="宋体" w:eastAsia="宋体" w:hint="default"/>
          <w:spacing w:val="-3"/>
          <w:w w:val="100"/>
        </w:rPr>
        <w:t>8</w:t>
      </w:r>
      <w:r>
        <w:rPr>
          <w:rFonts w:ascii="宋体" w:hAnsi="宋体" w:cs="宋体" w:eastAsia="宋体" w:hint="default"/>
          <w:w w:val="100"/>
        </w:rPr>
        <w:t>,05</w:t>
      </w:r>
      <w:r>
        <w:rPr>
          <w:rFonts w:ascii="宋体" w:hAnsi="宋体" w:cs="宋体" w:eastAsia="宋体" w:hint="default"/>
          <w:spacing w:val="-3"/>
          <w:w w:val="100"/>
        </w:rPr>
        <w:t>0</w:t>
      </w:r>
      <w:r>
        <w:rPr>
          <w:rFonts w:ascii="宋体" w:hAnsi="宋体" w:cs="宋体" w:eastAsia="宋体" w:hint="default"/>
          <w:w w:val="100"/>
        </w:rPr>
        <w:t>.42</w:t>
      </w:r>
    </w:p>
    <w:p>
      <w:pPr>
        <w:pStyle w:val="BodyText"/>
        <w:spacing w:line="240" w:lineRule="auto" w:before="135"/>
        <w:ind w:right="0"/>
        <w:jc w:val="both"/>
      </w:pPr>
      <w:r>
        <w:rPr>
          <w:spacing w:val="-9"/>
        </w:rPr>
        <w:t>元，调减“营业外收入”项目</w:t>
      </w:r>
      <w:r>
        <w:rPr>
          <w:spacing w:val="-43"/>
        </w:rPr>
        <w:t> </w:t>
      </w:r>
      <w:r>
        <w:rPr>
          <w:rFonts w:ascii="宋体" w:hAnsi="宋体" w:cs="宋体" w:eastAsia="宋体" w:hint="default"/>
        </w:rPr>
        <w:t>118,050.42</w:t>
      </w:r>
      <w:r>
        <w:rPr>
          <w:rFonts w:ascii="宋体" w:hAnsi="宋体" w:cs="宋体" w:eastAsia="宋体" w:hint="default"/>
          <w:spacing w:val="-45"/>
        </w:rPr>
        <w:t> </w:t>
      </w:r>
      <w:r>
        <w:rPr>
          <w:spacing w:val="-7"/>
        </w:rPr>
        <w:t>元；调增上年同期“资产处置收益”项目</w:t>
      </w:r>
      <w:r>
        <w:rPr>
          <w:spacing w:val="-42"/>
        </w:rPr>
        <w:t> </w:t>
      </w:r>
      <w:r>
        <w:rPr>
          <w:rFonts w:ascii="宋体" w:hAnsi="宋体" w:cs="宋体" w:eastAsia="宋体" w:hint="default"/>
        </w:rPr>
        <w:t>1,187.64</w:t>
      </w:r>
      <w:r>
        <w:rPr>
          <w:rFonts w:ascii="宋体" w:hAnsi="宋体" w:cs="宋体" w:eastAsia="宋体" w:hint="default"/>
          <w:spacing w:val="-43"/>
        </w:rPr>
        <w:t> </w:t>
      </w:r>
      <w:r>
        <w:rPr>
          <w:spacing w:val="-3"/>
        </w:rPr>
        <w:t>元，</w:t>
      </w:r>
      <w:r>
        <w:rPr/>
      </w:r>
    </w:p>
    <w:p>
      <w:pPr>
        <w:pStyle w:val="BodyText"/>
        <w:spacing w:line="240" w:lineRule="auto" w:before="133"/>
        <w:ind w:right="0"/>
        <w:jc w:val="both"/>
      </w:pPr>
      <w:r>
        <w:rPr/>
        <w:t>调减“营业外收入”项目</w:t>
      </w:r>
      <w:r>
        <w:rPr>
          <w:spacing w:val="-54"/>
        </w:rPr>
        <w:t> </w:t>
      </w:r>
      <w:r>
        <w:rPr>
          <w:rFonts w:ascii="宋体" w:hAnsi="宋体" w:cs="宋体" w:eastAsia="宋体" w:hint="default"/>
        </w:rPr>
        <w:t>1,187.64</w:t>
      </w:r>
      <w:r>
        <w:rPr>
          <w:rFonts w:ascii="宋体" w:hAnsi="宋体" w:cs="宋体" w:eastAsia="宋体" w:hint="default"/>
          <w:spacing w:val="-54"/>
        </w:rPr>
        <w:t> </w:t>
      </w:r>
      <w:r>
        <w:rPr/>
        <w:t>元。</w:t>
      </w:r>
    </w:p>
    <w:p>
      <w:pPr>
        <w:spacing w:after="0" w:line="240" w:lineRule="auto"/>
        <w:jc w:val="both"/>
        <w:sectPr>
          <w:footerReference w:type="default" r:id="rId24"/>
          <w:pgSz w:w="11910" w:h="16840"/>
          <w:pgMar w:footer="1195" w:header="0" w:top="1120" w:bottom="1380" w:left="1660" w:right="1140"/>
          <w:pgNumType w:start="30"/>
        </w:sectPr>
      </w:pPr>
    </w:p>
    <w:p>
      <w:pPr>
        <w:spacing w:line="240" w:lineRule="auto" w:before="4"/>
        <w:rPr>
          <w:rFonts w:ascii="宋体" w:hAnsi="宋体" w:cs="宋体" w:eastAsia="宋体" w:hint="default"/>
          <w:sz w:val="25"/>
          <w:szCs w:val="25"/>
        </w:rPr>
      </w:pPr>
    </w:p>
    <w:p>
      <w:pPr>
        <w:pStyle w:val="BodyText"/>
        <w:spacing w:line="240" w:lineRule="auto" w:before="36"/>
        <w:ind w:left="0" w:right="227"/>
        <w:jc w:val="right"/>
        <w:rPr>
          <w:rFonts w:ascii="宋体" w:hAnsi="宋体" w:cs="宋体" w:eastAsia="宋体" w:hint="default"/>
        </w:rPr>
      </w:pPr>
      <w:r>
        <w:rPr>
          <w:w w:val="100"/>
        </w:rPr>
        <w:t>调增</w:t>
      </w:r>
      <w:r>
        <w:rPr>
          <w:spacing w:val="-3"/>
          <w:w w:val="100"/>
        </w:rPr>
        <w:t>本</w:t>
      </w:r>
      <w:r>
        <w:rPr>
          <w:w w:val="100"/>
        </w:rPr>
        <w:t>期</w:t>
      </w:r>
      <w:r>
        <w:rPr>
          <w:spacing w:val="-3"/>
          <w:w w:val="100"/>
        </w:rPr>
        <w:t>母</w:t>
      </w:r>
      <w:r>
        <w:rPr>
          <w:w w:val="100"/>
        </w:rPr>
        <w:t>公</w:t>
      </w:r>
      <w:r>
        <w:rPr>
          <w:spacing w:val="-3"/>
          <w:w w:val="100"/>
        </w:rPr>
        <w:t>司</w:t>
      </w:r>
      <w:r>
        <w:rPr>
          <w:w w:val="100"/>
        </w:rPr>
        <w:t>利</w:t>
      </w:r>
      <w:r>
        <w:rPr>
          <w:spacing w:val="-3"/>
          <w:w w:val="100"/>
        </w:rPr>
        <w:t>润</w:t>
      </w:r>
      <w:r>
        <w:rPr>
          <w:spacing w:val="-106"/>
          <w:w w:val="100"/>
        </w:rPr>
        <w:t>表</w:t>
      </w:r>
      <w:r>
        <w:rPr>
          <w:spacing w:val="-3"/>
          <w:w w:val="100"/>
        </w:rPr>
        <w:t>“资</w:t>
      </w:r>
      <w:r>
        <w:rPr>
          <w:w w:val="100"/>
        </w:rPr>
        <w:t>产处</w:t>
      </w:r>
      <w:r>
        <w:rPr>
          <w:spacing w:val="-3"/>
          <w:w w:val="100"/>
        </w:rPr>
        <w:t>置</w:t>
      </w:r>
      <w:r>
        <w:rPr>
          <w:w w:val="100"/>
        </w:rPr>
        <w:t>收</w:t>
      </w:r>
      <w:r>
        <w:rPr>
          <w:spacing w:val="-3"/>
          <w:w w:val="100"/>
        </w:rPr>
        <w:t>益</w:t>
      </w:r>
      <w:r>
        <w:rPr>
          <w:spacing w:val="-106"/>
          <w:w w:val="100"/>
        </w:rPr>
        <w:t>”</w:t>
      </w:r>
      <w:r>
        <w:rPr>
          <w:w w:val="100"/>
        </w:rPr>
        <w:t>项目</w:t>
      </w:r>
      <w:r>
        <w:rPr>
          <w:spacing w:val="-69"/>
        </w:rPr>
        <w:t> </w:t>
      </w:r>
      <w:r>
        <w:rPr>
          <w:rFonts w:ascii="宋体" w:hAnsi="宋体" w:cs="宋体" w:eastAsia="宋体" w:hint="default"/>
          <w:w w:val="100"/>
        </w:rPr>
        <w:t>12,</w:t>
      </w:r>
      <w:r>
        <w:rPr>
          <w:rFonts w:ascii="宋体" w:hAnsi="宋体" w:cs="宋体" w:eastAsia="宋体" w:hint="default"/>
          <w:spacing w:val="-3"/>
          <w:w w:val="100"/>
        </w:rPr>
        <w:t>4</w:t>
      </w:r>
      <w:r>
        <w:rPr>
          <w:rFonts w:ascii="宋体" w:hAnsi="宋体" w:cs="宋体" w:eastAsia="宋体" w:hint="default"/>
          <w:w w:val="100"/>
        </w:rPr>
        <w:t>04.</w:t>
      </w:r>
      <w:r>
        <w:rPr>
          <w:rFonts w:ascii="宋体" w:hAnsi="宋体" w:cs="宋体" w:eastAsia="宋体" w:hint="default"/>
          <w:spacing w:val="-3"/>
          <w:w w:val="100"/>
        </w:rPr>
        <w:t>7</w:t>
      </w:r>
      <w:r>
        <w:rPr>
          <w:rFonts w:ascii="宋体" w:hAnsi="宋体" w:cs="宋体" w:eastAsia="宋体" w:hint="default"/>
          <w:w w:val="100"/>
        </w:rPr>
        <w:t>1</w:t>
      </w:r>
      <w:r>
        <w:rPr>
          <w:rFonts w:ascii="宋体" w:hAnsi="宋体" w:cs="宋体" w:eastAsia="宋体" w:hint="default"/>
          <w:spacing w:val="-67"/>
        </w:rPr>
        <w:t> </w:t>
      </w:r>
      <w:r>
        <w:rPr>
          <w:w w:val="100"/>
        </w:rPr>
        <w:t>元</w:t>
      </w:r>
      <w:r>
        <w:rPr>
          <w:spacing w:val="-106"/>
          <w:w w:val="100"/>
        </w:rPr>
        <w:t>，</w:t>
      </w:r>
      <w:r>
        <w:rPr>
          <w:spacing w:val="-3"/>
          <w:w w:val="100"/>
        </w:rPr>
        <w:t>调</w:t>
      </w:r>
      <w:r>
        <w:rPr>
          <w:spacing w:val="-106"/>
          <w:w w:val="100"/>
        </w:rPr>
        <w:t>减</w:t>
      </w:r>
      <w:r>
        <w:rPr>
          <w:w w:val="100"/>
        </w:rPr>
        <w:t>“</w:t>
      </w:r>
      <w:r>
        <w:rPr>
          <w:spacing w:val="-3"/>
          <w:w w:val="100"/>
        </w:rPr>
        <w:t>营</w:t>
      </w:r>
      <w:r>
        <w:rPr>
          <w:w w:val="100"/>
        </w:rPr>
        <w:t>业</w:t>
      </w:r>
      <w:r>
        <w:rPr>
          <w:spacing w:val="-3"/>
          <w:w w:val="100"/>
        </w:rPr>
        <w:t>外</w:t>
      </w:r>
      <w:r>
        <w:rPr>
          <w:w w:val="100"/>
        </w:rPr>
        <w:t>收</w:t>
      </w:r>
      <w:r>
        <w:rPr>
          <w:spacing w:val="-3"/>
          <w:w w:val="100"/>
        </w:rPr>
        <w:t>入</w:t>
      </w:r>
      <w:r>
        <w:rPr>
          <w:spacing w:val="-106"/>
          <w:w w:val="100"/>
        </w:rPr>
        <w:t>”</w:t>
      </w:r>
      <w:r>
        <w:rPr>
          <w:spacing w:val="-3"/>
          <w:w w:val="100"/>
        </w:rPr>
        <w:t>项</w:t>
      </w:r>
      <w:r>
        <w:rPr>
          <w:w w:val="100"/>
        </w:rPr>
        <w:t>目</w:t>
      </w:r>
      <w:r>
        <w:rPr>
          <w:spacing w:val="-67"/>
        </w:rPr>
        <w:t> </w:t>
      </w:r>
      <w:r>
        <w:rPr>
          <w:rFonts w:ascii="宋体" w:hAnsi="宋体" w:cs="宋体" w:eastAsia="宋体" w:hint="default"/>
          <w:w w:val="100"/>
        </w:rPr>
        <w:t>12,4</w:t>
      </w:r>
      <w:r>
        <w:rPr>
          <w:rFonts w:ascii="宋体" w:hAnsi="宋体" w:cs="宋体" w:eastAsia="宋体" w:hint="default"/>
          <w:spacing w:val="-3"/>
          <w:w w:val="100"/>
        </w:rPr>
        <w:t>0</w:t>
      </w:r>
      <w:r>
        <w:rPr>
          <w:rFonts w:ascii="宋体" w:hAnsi="宋体" w:cs="宋体" w:eastAsia="宋体" w:hint="default"/>
          <w:w w:val="100"/>
        </w:rPr>
        <w:t>4.71</w:t>
      </w:r>
    </w:p>
    <w:p>
      <w:pPr>
        <w:pStyle w:val="BodyText"/>
        <w:spacing w:line="355" w:lineRule="auto" w:before="135"/>
        <w:ind w:left="218" w:right="230"/>
        <w:jc w:val="right"/>
      </w:pPr>
      <w:r>
        <w:rPr/>
        <w:t>元；调增上年同期“资产处置收益”项目</w:t>
      </w:r>
      <w:r>
        <w:rPr>
          <w:spacing w:val="-53"/>
        </w:rPr>
        <w:t> </w:t>
      </w:r>
      <w:r>
        <w:rPr>
          <w:rFonts w:ascii="宋体" w:hAnsi="宋体" w:cs="宋体" w:eastAsia="宋体" w:hint="default"/>
        </w:rPr>
        <w:t>1,187.64</w:t>
      </w:r>
      <w:r>
        <w:rPr>
          <w:rFonts w:ascii="宋体" w:hAnsi="宋体" w:cs="宋体" w:eastAsia="宋体" w:hint="default"/>
          <w:spacing w:val="-56"/>
        </w:rPr>
        <w:t> </w:t>
      </w:r>
      <w:r>
        <w:rPr/>
        <w:t>元，调减“营业外收入”项目</w:t>
      </w:r>
      <w:r>
        <w:rPr>
          <w:spacing w:val="-53"/>
        </w:rPr>
        <w:t> </w:t>
      </w:r>
      <w:r>
        <w:rPr>
          <w:rFonts w:ascii="宋体" w:hAnsi="宋体" w:cs="宋体" w:eastAsia="宋体" w:hint="default"/>
        </w:rPr>
        <w:t>1,187.64</w:t>
      </w:r>
      <w:r>
        <w:rPr>
          <w:rFonts w:ascii="宋体" w:hAnsi="宋体" w:cs="宋体" w:eastAsia="宋体" w:hint="default"/>
          <w:spacing w:val="-56"/>
        </w:rPr>
        <w:t> </w:t>
      </w:r>
      <w:r>
        <w:rPr/>
        <w:t>元。</w:t>
      </w:r>
      <w:r>
        <w:rPr>
          <w:w w:val="100"/>
        </w:rPr>
        <w:t> </w:t>
      </w:r>
      <w:r>
        <w:rPr>
          <w:rFonts w:ascii="宋体" w:hAnsi="宋体" w:cs="宋体" w:eastAsia="宋体" w:hint="default"/>
          <w:spacing w:val="-9"/>
        </w:rPr>
        <w:t>5</w:t>
      </w:r>
      <w:r>
        <w:rPr>
          <w:spacing w:val="-9"/>
        </w:rPr>
        <w:t>、利润表新增“（一）持续经营净利润”行项目。调增合并利润表“（一）持续经营净利润”</w:t>
      </w:r>
      <w:r>
        <w:rPr>
          <w:w w:val="100"/>
        </w:rPr>
        <w:t> </w:t>
      </w:r>
      <w:r>
        <w:rPr/>
        <w:t>项目</w:t>
      </w:r>
      <w:r>
        <w:rPr>
          <w:spacing w:val="-43"/>
        </w:rPr>
        <w:t> </w:t>
      </w:r>
      <w:r>
        <w:rPr>
          <w:rFonts w:ascii="宋体" w:hAnsi="宋体" w:cs="宋体" w:eastAsia="宋体" w:hint="default"/>
        </w:rPr>
        <w:t>107,666,629.37</w:t>
      </w:r>
      <w:r>
        <w:rPr>
          <w:rFonts w:ascii="宋体" w:hAnsi="宋体" w:cs="宋体" w:eastAsia="宋体" w:hint="default"/>
          <w:spacing w:val="-43"/>
        </w:rPr>
        <w:t> </w:t>
      </w:r>
      <w:r>
        <w:rPr>
          <w:spacing w:val="-10"/>
        </w:rPr>
        <w:t>元；调增母公司利润表“（一）持续经营净利润”项目</w:t>
      </w:r>
      <w:r>
        <w:rPr>
          <w:spacing w:val="-46"/>
        </w:rPr>
        <w:t> </w:t>
      </w:r>
      <w:r>
        <w:rPr>
          <w:rFonts w:ascii="宋体" w:hAnsi="宋体" w:cs="宋体" w:eastAsia="宋体" w:hint="default"/>
        </w:rPr>
        <w:t>209,256,506.81</w:t>
      </w:r>
      <w:r>
        <w:rPr>
          <w:rFonts w:ascii="宋体" w:hAnsi="宋体" w:cs="宋体" w:eastAsia="宋体" w:hint="default"/>
          <w:spacing w:val="-46"/>
        </w:rPr>
        <w:t> </w:t>
      </w:r>
      <w:r>
        <w:rPr>
          <w:spacing w:val="-3"/>
        </w:rPr>
        <w:t>元。</w:t>
      </w:r>
      <w:r>
        <w:rPr/>
      </w:r>
    </w:p>
    <w:p>
      <w:pPr>
        <w:pStyle w:val="BodyText"/>
        <w:spacing w:line="355" w:lineRule="auto" w:before="32"/>
        <w:ind w:left="638" w:right="227"/>
        <w:jc w:val="left"/>
      </w:pPr>
      <w:r>
        <w:rPr>
          <w:rFonts w:ascii="宋体" w:hAnsi="宋体" w:cs="宋体" w:eastAsia="宋体" w:hint="default"/>
        </w:rPr>
        <w:t>6</w:t>
      </w:r>
      <w:r>
        <w:rPr/>
        <w:t>、利润表新增“（二）终止经营净利润”行项目。</w:t>
      </w:r>
      <w:r>
        <w:rPr>
          <w:w w:val="100"/>
        </w:rPr>
        <w:t> </w:t>
      </w:r>
      <w:r>
        <w:rPr>
          <w:spacing w:val="-2"/>
        </w:rPr>
        <w:t>本次会计政策变更是对财政部相关文件精神进行的配套调整，符合法律、法规和《人民网股</w:t>
      </w:r>
    </w:p>
    <w:p>
      <w:pPr>
        <w:pStyle w:val="BodyText"/>
        <w:spacing w:line="355" w:lineRule="auto" w:before="34"/>
        <w:ind w:left="218" w:right="227"/>
        <w:jc w:val="left"/>
      </w:pPr>
      <w:r>
        <w:rPr>
          <w:spacing w:val="-5"/>
        </w:rPr>
        <w:t>份有限公司章程》的规定，不影响公司损益、总资产、净资产，不会对公司</w:t>
      </w:r>
      <w:r>
        <w:rPr>
          <w:spacing w:val="-28"/>
        </w:rPr>
        <w:t> </w:t>
      </w:r>
      <w:r>
        <w:rPr>
          <w:rFonts w:ascii="宋体" w:hAnsi="宋体" w:cs="宋体" w:eastAsia="宋体" w:hint="default"/>
        </w:rPr>
        <w:t>2017</w:t>
      </w:r>
      <w:r>
        <w:rPr>
          <w:rFonts w:ascii="宋体" w:hAnsi="宋体" w:cs="宋体" w:eastAsia="宋体" w:hint="default"/>
          <w:spacing w:val="-26"/>
        </w:rPr>
        <w:t> </w:t>
      </w:r>
      <w:r>
        <w:rPr/>
        <w:t>年度及之前年度</w:t>
      </w:r>
      <w:r>
        <w:rPr>
          <w:spacing w:val="-95"/>
        </w:rPr>
        <w:t> </w:t>
      </w:r>
      <w:r>
        <w:rPr>
          <w:spacing w:val="-95"/>
        </w:rPr>
      </w:r>
      <w:r>
        <w:rPr/>
        <w:t>利润水平产生影响。</w:t>
      </w:r>
    </w:p>
    <w:p>
      <w:pPr>
        <w:spacing w:line="240" w:lineRule="auto" w:before="0"/>
        <w:rPr>
          <w:rFonts w:ascii="宋体" w:hAnsi="宋体" w:cs="宋体" w:eastAsia="宋体" w:hint="default"/>
          <w:sz w:val="28"/>
          <w:szCs w:val="28"/>
        </w:rPr>
      </w:pPr>
    </w:p>
    <w:p>
      <w:pPr>
        <w:pStyle w:val="Heading2"/>
        <w:tabs>
          <w:tab w:pos="1057" w:val="left" w:leader="none"/>
        </w:tabs>
        <w:spacing w:line="240" w:lineRule="auto"/>
        <w:ind w:right="2731"/>
        <w:jc w:val="left"/>
        <w:rPr>
          <w:b w:val="0"/>
          <w:bCs w:val="0"/>
        </w:rPr>
      </w:pPr>
      <w:r>
        <w:rPr/>
        <w:t>（二）</w:t>
        <w:tab/>
        <w:t>公司对重大会计差错更正原因及影响的分析说明</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731"/>
        <w:jc w:val="left"/>
        <w:rPr>
          <w:b w:val="0"/>
          <w:bCs w:val="0"/>
        </w:rPr>
      </w:pPr>
      <w:r>
        <w:rPr/>
        <w:t>（三）</w:t>
        <w:tab/>
        <w:t>与前任会计师事务所进行的沟通情况</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tabs>
          <w:tab w:pos="1057" w:val="left" w:leader="none"/>
        </w:tabs>
        <w:spacing w:line="240" w:lineRule="auto"/>
        <w:ind w:right="2731"/>
        <w:jc w:val="left"/>
        <w:rPr>
          <w:b w:val="0"/>
          <w:bCs w:val="0"/>
        </w:rPr>
      </w:pPr>
      <w:r>
        <w:rPr/>
        <w:t>（四）</w:t>
        <w:tab/>
        <w:t>其他说明</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731"/>
        <w:jc w:val="left"/>
        <w:rPr>
          <w:b w:val="0"/>
          <w:bCs w:val="0"/>
        </w:rPr>
      </w:pPr>
      <w:r>
        <w:rPr/>
        <w:t>六、聘任、解聘会计师事务所情况</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5965"/>
      </w:tblGrid>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85"/>
        <w:gridCol w:w="3545"/>
        <w:gridCol w:w="2420"/>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bl>
    <w:p>
      <w:pPr>
        <w:spacing w:line="240" w:lineRule="auto" w:before="5"/>
        <w:rPr>
          <w:rFonts w:ascii="宋体" w:hAnsi="宋体" w:cs="宋体" w:eastAsia="宋体" w:hint="default"/>
          <w:sz w:val="15"/>
          <w:szCs w:val="15"/>
        </w:rPr>
      </w:pPr>
    </w:p>
    <w:p>
      <w:pPr>
        <w:pStyle w:val="BodyText"/>
        <w:spacing w:line="273" w:lineRule="exact" w:before="36"/>
        <w:ind w:left="218" w:right="2731"/>
        <w:jc w:val="left"/>
      </w:pPr>
      <w:r>
        <w:rPr/>
        <w:t>聘任、解聘会计师事务所的情况说明</w:t>
      </w:r>
    </w:p>
    <w:p>
      <w:pPr>
        <w:pStyle w:val="BodyText"/>
        <w:spacing w:line="273" w:lineRule="exact"/>
        <w:ind w:left="218" w:right="2731"/>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218" w:right="2731"/>
        <w:jc w:val="left"/>
      </w:pPr>
      <w:r>
        <w:rPr/>
        <w:t>审计期间改聘会计师事务所的情况说明</w:t>
      </w:r>
    </w:p>
    <w:p>
      <w:pPr>
        <w:pStyle w:val="BodyText"/>
        <w:spacing w:line="274"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4"/>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73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八、面临终止上市的情况和原因</w:t>
      </w:r>
      <w:r>
        <w:rPr>
          <w:b w:val="0"/>
          <w:bCs w:val="0"/>
        </w:rPr>
      </w:r>
    </w:p>
    <w:p>
      <w:pPr>
        <w:pStyle w:val="BodyText"/>
        <w:spacing w:line="240" w:lineRule="auto" w:before="58"/>
        <w:ind w:left="218" w:right="2731"/>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2731"/>
        <w:jc w:val="left"/>
        <w:rPr>
          <w:b w:val="0"/>
          <w:bCs w:val="0"/>
        </w:rPr>
      </w:pPr>
      <w:r>
        <w:rPr/>
        <w:t>九、破产重整相关事项</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十、重大诉讼、仲裁事项</w:t>
      </w:r>
      <w:r>
        <w:rPr>
          <w:b w:val="0"/>
          <w:bCs w:val="0"/>
        </w:rPr>
      </w:r>
    </w:p>
    <w:p>
      <w:pPr>
        <w:pStyle w:val="BodyText"/>
        <w:spacing w:line="240" w:lineRule="auto" w:before="58"/>
        <w:ind w:left="218" w:right="227"/>
        <w:jc w:val="left"/>
      </w:pPr>
      <w:r>
        <w:rPr/>
        <w:t>□本年度公司有重大诉讼、仲裁事项</w:t>
      </w:r>
      <w:r>
        <w:rPr>
          <w:spacing w:val="-7"/>
        </w:rPr>
        <w:t> </w:t>
      </w:r>
      <w:r>
        <w:rPr/>
        <w:t>√本年度公司无重大诉讼、仲裁事项</w:t>
      </w:r>
    </w:p>
    <w:p>
      <w:pPr>
        <w:spacing w:line="240" w:lineRule="auto" w:before="4"/>
        <w:rPr>
          <w:rFonts w:ascii="宋体" w:hAnsi="宋体" w:cs="宋体" w:eastAsia="宋体" w:hint="default"/>
          <w:sz w:val="27"/>
          <w:szCs w:val="27"/>
        </w:rPr>
      </w:pPr>
    </w:p>
    <w:p>
      <w:pPr>
        <w:pStyle w:val="Heading2"/>
        <w:spacing w:line="272" w:lineRule="exact"/>
        <w:ind w:left="638" w:right="124"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十二、报告期内公司及其控股股东、实际控制人诚信状况的说明</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15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218" w:right="2731"/>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line="290" w:lineRule="auto" w:before="0"/>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left="218" w:right="2731"/>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218" w:right="2731"/>
        <w:jc w:val="left"/>
      </w:pPr>
      <w:r>
        <w:rPr/>
        <w:t>其他说明</w:t>
      </w:r>
    </w:p>
    <w:p>
      <w:pPr>
        <w:pStyle w:val="BodyText"/>
        <w:spacing w:line="274" w:lineRule="exact"/>
        <w:ind w:left="218" w:right="273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2731"/>
        <w:jc w:val="left"/>
      </w:pPr>
      <w:r>
        <w:rPr/>
        <w:t>员工持股计划情况</w:t>
      </w:r>
    </w:p>
    <w:p>
      <w:pPr>
        <w:pStyle w:val="BodyText"/>
        <w:spacing w:line="273" w:lineRule="exact"/>
        <w:ind w:left="218" w:right="273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2731"/>
        <w:jc w:val="left"/>
      </w:pPr>
      <w:r>
        <w:rPr/>
        <w:t>其他激励措施</w:t>
      </w:r>
    </w:p>
    <w:p>
      <w:pPr>
        <w:pStyle w:val="BodyText"/>
        <w:spacing w:line="274"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十四、重大关联交易</w:t>
      </w:r>
      <w:r>
        <w:rPr>
          <w:b w:val="0"/>
          <w:bCs w:val="0"/>
        </w:rPr>
      </w:r>
    </w:p>
    <w:p>
      <w:pPr>
        <w:pStyle w:val="Heading2"/>
        <w:spacing w:line="240" w:lineRule="auto" w:before="57"/>
        <w:ind w:right="27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9"/>
        <w:ind w:right="2731"/>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46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经公</w:t>
            </w:r>
            <w:r>
              <w:rPr>
                <w:rFonts w:ascii="宋体" w:hAnsi="宋体" w:cs="宋体" w:eastAsia="宋体" w:hint="default"/>
                <w:spacing w:val="-3"/>
                <w:w w:val="100"/>
                <w:sz w:val="21"/>
                <w:szCs w:val="21"/>
              </w:rPr>
              <w:t>司</w:t>
            </w:r>
            <w:r>
              <w:rPr>
                <w:rFonts w:ascii="宋体" w:hAnsi="宋体" w:cs="宋体" w:eastAsia="宋体" w:hint="default"/>
                <w:spacing w:val="-1"/>
                <w:w w:val="100"/>
                <w:sz w:val="21"/>
                <w:szCs w:val="21"/>
              </w:rPr>
              <w:t>第</w:t>
            </w:r>
            <w:r>
              <w:rPr>
                <w:rFonts w:ascii="宋体" w:hAnsi="宋体" w:cs="宋体" w:eastAsia="宋体" w:hint="default"/>
                <w:spacing w:val="-3"/>
                <w:w w:val="100"/>
                <w:sz w:val="21"/>
                <w:szCs w:val="21"/>
              </w:rPr>
              <w:t>三</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五</w:t>
            </w:r>
            <w:r>
              <w:rPr>
                <w:rFonts w:ascii="宋体" w:hAnsi="宋体" w:cs="宋体" w:eastAsia="宋体" w:hint="default"/>
                <w:w w:val="100"/>
                <w:sz w:val="21"/>
                <w:szCs w:val="21"/>
              </w:rPr>
              <w:t>次会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批准</w:t>
            </w:r>
            <w:r>
              <w:rPr>
                <w:rFonts w:ascii="宋体" w:hAnsi="宋体" w:cs="宋体" w:eastAsia="宋体" w:hint="default"/>
                <w:spacing w:val="-106"/>
                <w:w w:val="100"/>
                <w:sz w:val="21"/>
                <w:szCs w:val="21"/>
              </w:rPr>
              <w:t>，</w:t>
            </w:r>
            <w:r>
              <w:rPr>
                <w:rFonts w:ascii="宋体" w:hAnsi="宋体" w:cs="宋体" w:eastAsia="宋体" w:hint="default"/>
                <w:w w:val="100"/>
                <w:sz w:val="21"/>
                <w:szCs w:val="21"/>
              </w:rPr>
              <w:t>公司</w:t>
            </w:r>
          </w:p>
          <w:p>
            <w:pPr>
              <w:pStyle w:val="TableParagraph"/>
              <w:spacing w:line="232" w:lineRule="auto" w:before="6"/>
              <w:ind w:left="103" w:right="92"/>
              <w:jc w:val="both"/>
              <w:rPr>
                <w:rFonts w:ascii="宋体" w:hAnsi="宋体" w:cs="宋体" w:eastAsia="宋体" w:hint="default"/>
                <w:sz w:val="21"/>
                <w:szCs w:val="21"/>
              </w:rPr>
            </w:pPr>
            <w:r>
              <w:rPr>
                <w:rFonts w:ascii="宋体" w:hAnsi="宋体" w:cs="宋体" w:eastAsia="宋体" w:hint="default"/>
                <w:spacing w:val="2"/>
                <w:sz w:val="21"/>
                <w:szCs w:val="21"/>
              </w:rPr>
              <w:t>与控股股东人民日报社签订了一系列与日常经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营相关的关联交易协议。同时，公司对</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6"/>
                <w:w w:val="100"/>
                <w:sz w:val="21"/>
                <w:szCs w:val="21"/>
              </w:rPr>
              <w:t>度日常关联交易情况进行了预计，预计交易类别</w:t>
            </w:r>
            <w:r>
              <w:rPr>
                <w:rFonts w:ascii="宋体" w:hAnsi="宋体" w:cs="宋体" w:eastAsia="宋体" w:hint="default"/>
                <w:w w:val="100"/>
                <w:sz w:val="21"/>
                <w:szCs w:val="21"/>
              </w:rPr>
              <w:t> </w:t>
            </w:r>
            <w:r>
              <w:rPr>
                <w:rFonts w:ascii="宋体" w:hAnsi="宋体" w:cs="宋体" w:eastAsia="宋体" w:hint="default"/>
                <w:sz w:val="21"/>
                <w:szCs w:val="21"/>
              </w:rPr>
              <w:t>主要为与日常经营相关的采购商品</w:t>
            </w:r>
            <w:r>
              <w:rPr>
                <w:rFonts w:ascii="Calibri" w:hAnsi="Calibri" w:cs="Calibri" w:eastAsia="Calibri" w:hint="default"/>
                <w:sz w:val="21"/>
                <w:szCs w:val="21"/>
              </w:rPr>
              <w:t>/</w:t>
            </w:r>
            <w:r>
              <w:rPr>
                <w:rFonts w:ascii="宋体" w:hAnsi="宋体" w:cs="宋体" w:eastAsia="宋体" w:hint="default"/>
                <w:sz w:val="21"/>
                <w:szCs w:val="21"/>
              </w:rPr>
              <w:t>接受劳务、</w:t>
            </w:r>
            <w:r>
              <w:rPr>
                <w:rFonts w:ascii="宋体" w:hAnsi="宋体" w:cs="宋体" w:eastAsia="宋体" w:hint="default"/>
                <w:spacing w:val="-76"/>
                <w:sz w:val="21"/>
                <w:szCs w:val="21"/>
              </w:rPr>
              <w:t> </w:t>
            </w:r>
            <w:r>
              <w:rPr>
                <w:rFonts w:ascii="宋体" w:hAnsi="宋体" w:cs="宋体" w:eastAsia="宋体" w:hint="default"/>
                <w:sz w:val="21"/>
                <w:szCs w:val="21"/>
              </w:rPr>
              <w:t>出售商品</w:t>
            </w:r>
            <w:r>
              <w:rPr>
                <w:rFonts w:ascii="Calibri" w:hAnsi="Calibri" w:cs="Calibri" w:eastAsia="Calibri" w:hint="default"/>
                <w:sz w:val="21"/>
                <w:szCs w:val="21"/>
              </w:rPr>
              <w:t>/</w:t>
            </w:r>
            <w:r>
              <w:rPr>
                <w:rFonts w:ascii="宋体" w:hAnsi="宋体" w:cs="宋体" w:eastAsia="宋体" w:hint="default"/>
                <w:sz w:val="21"/>
                <w:szCs w:val="21"/>
              </w:rPr>
              <w:t>提供劳务以及房屋租赁等，所有交易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w w:val="100"/>
                <w:sz w:val="21"/>
                <w:szCs w:val="21"/>
              </w:rPr>
              <w:t>均与相应的交易方签订书面协议，交易价格按公</w:t>
            </w:r>
            <w:r>
              <w:rPr>
                <w:rFonts w:ascii="宋体" w:hAnsi="宋体" w:cs="宋体" w:eastAsia="宋体" w:hint="default"/>
                <w:w w:val="100"/>
                <w:sz w:val="21"/>
                <w:szCs w:val="21"/>
              </w:rPr>
              <w:t> </w:t>
            </w:r>
            <w:r>
              <w:rPr>
                <w:rFonts w:ascii="宋体" w:hAnsi="宋体" w:cs="宋体" w:eastAsia="宋体" w:hint="default"/>
                <w:spacing w:val="-7"/>
                <w:sz w:val="21"/>
                <w:szCs w:val="21"/>
              </w:rPr>
              <w:t>开、公平、公正的原则，以市场价格为基础，遵</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循公平合理的定价原则。</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月登载于上海证券交易所</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网站的《人民网股份有限公司关于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年度日</w:t>
            </w:r>
            <w:r>
              <w:rPr>
                <w:rFonts w:ascii="宋体" w:hAnsi="宋体" w:cs="宋体" w:eastAsia="宋体" w:hint="default"/>
                <w:w w:val="100"/>
                <w:sz w:val="21"/>
                <w:szCs w:val="21"/>
              </w:rPr>
              <w:t> </w:t>
            </w:r>
            <w:r>
              <w:rPr>
                <w:rFonts w:ascii="宋体" w:hAnsi="宋体" w:cs="宋体" w:eastAsia="宋体" w:hint="default"/>
                <w:sz w:val="21"/>
                <w:szCs w:val="21"/>
              </w:rPr>
              <w:t>常关联交易预计及协议签署的公告》。</w:t>
            </w:r>
          </w:p>
        </w:tc>
      </w:tr>
    </w:tbl>
    <w:p>
      <w:pPr>
        <w:spacing w:after="0" w:line="272"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left="138" w:right="2543"/>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138" w:right="2543"/>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8"/>
        <w:ind w:left="138" w:right="2543"/>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543"/>
        <w:jc w:val="left"/>
      </w:pPr>
      <w:r>
        <w:rPr/>
        <w:t>□适用</w:t>
      </w:r>
      <w:r>
        <w:rPr>
          <w:spacing w:val="-1"/>
        </w:rPr>
        <w:t> </w:t>
      </w:r>
      <w:r>
        <w:rPr/>
        <w:t>√不适用</w:t>
      </w:r>
    </w:p>
    <w:p>
      <w:pPr>
        <w:pStyle w:val="Heading2"/>
        <w:spacing w:line="240" w:lineRule="auto" w:before="58"/>
        <w:ind w:left="138" w:right="2543"/>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7"/>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left="138" w:right="2543"/>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9"/>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74" w:lineRule="exact" w:before="56"/>
        <w:ind w:right="2543"/>
        <w:jc w:val="left"/>
      </w:pPr>
      <w:r>
        <w:rPr/>
        <w:t>√适用</w:t>
      </w:r>
      <w:r>
        <w:rPr>
          <w:spacing w:val="-1"/>
        </w:rPr>
        <w:t> </w:t>
      </w:r>
      <w:r>
        <w:rPr/>
        <w:t>□不适用</w:t>
      </w:r>
    </w:p>
    <w:p>
      <w:pPr>
        <w:pStyle w:val="BodyText"/>
        <w:spacing w:line="357" w:lineRule="auto"/>
        <w:ind w:right="0" w:firstLine="419"/>
        <w:jc w:val="left"/>
      </w:pPr>
      <w:r>
        <w:rPr>
          <w:spacing w:val="-1"/>
          <w:w w:val="100"/>
        </w:rPr>
        <w:t>公司于</w:t>
      </w:r>
      <w:r>
        <w:rPr>
          <w:spacing w:val="-48"/>
          <w:w w:val="100"/>
        </w:rPr>
        <w:t> </w:t>
      </w:r>
      <w:r>
        <w:rPr>
          <w:rFonts w:ascii="宋体" w:hAnsi="宋体" w:cs="宋体" w:eastAsia="宋体" w:hint="default"/>
          <w:spacing w:val="-1"/>
          <w:w w:val="100"/>
        </w:rPr>
        <w:t>2017</w:t>
      </w:r>
      <w:r>
        <w:rPr>
          <w:rFonts w:ascii="宋体" w:hAnsi="宋体" w:cs="宋体" w:eastAsia="宋体" w:hint="default"/>
          <w:spacing w:val="-48"/>
          <w:w w:val="100"/>
        </w:rPr>
        <w:t> </w:t>
      </w:r>
      <w:r>
        <w:rPr>
          <w:w w:val="100"/>
        </w:rPr>
        <w:t>年</w:t>
      </w:r>
      <w:r>
        <w:rPr>
          <w:spacing w:val="-50"/>
          <w:w w:val="100"/>
        </w:rPr>
        <w:t> </w:t>
      </w:r>
      <w:r>
        <w:rPr>
          <w:rFonts w:ascii="宋体" w:hAnsi="宋体" w:cs="宋体" w:eastAsia="宋体" w:hint="default"/>
          <w:w w:val="100"/>
        </w:rPr>
        <w:t>4</w:t>
      </w:r>
      <w:r>
        <w:rPr>
          <w:rFonts w:ascii="宋体" w:hAnsi="宋体" w:cs="宋体" w:eastAsia="宋体" w:hint="default"/>
          <w:spacing w:val="-48"/>
          <w:w w:val="100"/>
        </w:rPr>
        <w:t> </w:t>
      </w:r>
      <w:r>
        <w:rPr>
          <w:spacing w:val="-5"/>
          <w:w w:val="100"/>
        </w:rPr>
        <w:t>月在上海证券交易所网站登载了《关于下属全资子公司金台创业投资有限公</w:t>
      </w:r>
      <w:r>
        <w:rPr>
          <w:w w:val="100"/>
        </w:rPr>
        <w:t> </w:t>
      </w:r>
      <w:r>
        <w:rPr/>
        <w:t>司参与投资设立宁波梅山保税港区人民网壹号文化产业股权投资基金合伙企业暨关联交易的公</w:t>
      </w:r>
      <w:r>
        <w:rPr>
          <w:w w:val="100"/>
        </w:rPr>
        <w:t> </w:t>
      </w:r>
      <w:r>
        <w:rPr>
          <w:spacing w:val="-3"/>
        </w:rPr>
        <w:t>告》，因基金合伙人中包含公司持股 </w:t>
      </w:r>
      <w:r>
        <w:rPr>
          <w:rFonts w:ascii="宋体" w:hAnsi="宋体" w:cs="宋体" w:eastAsia="宋体" w:hint="default"/>
          <w:spacing w:val="-3"/>
        </w:rPr>
        <w:t>5%</w:t>
      </w:r>
      <w:r>
        <w:rPr>
          <w:spacing w:val="-3"/>
        </w:rPr>
        <w:t>以上的股东《环球时报》社及其子公司金色环球传媒股份</w:t>
      </w:r>
      <w:r>
        <w:rPr>
          <w:spacing w:val="-79"/>
        </w:rPr>
        <w:t> </w:t>
      </w:r>
      <w:r>
        <w:rPr>
          <w:spacing w:val="-79"/>
        </w:rPr>
      </w:r>
      <w:r>
        <w:rPr>
          <w:spacing w:val="-2"/>
        </w:rPr>
        <w:t>有限公司，属于共同对外投资的关联交易。截至报告期末，该基金已完成登记备案等相关手续，</w:t>
      </w:r>
      <w:r>
        <w:rPr>
          <w:spacing w:val="-25"/>
        </w:rPr>
        <w:t> </w:t>
      </w:r>
      <w:r>
        <w:rPr>
          <w:spacing w:val="-25"/>
        </w:rPr>
      </w:r>
      <w:r>
        <w:rPr>
          <w:spacing w:val="-2"/>
        </w:rPr>
        <w:t>核准名称为：宁波梅山保税港区人民网壹号文化产业股权投资合伙企业（有限合伙），基金认缴</w:t>
      </w:r>
      <w:r>
        <w:rPr>
          <w:spacing w:val="-26"/>
        </w:rPr>
        <w:t> </w:t>
      </w:r>
      <w:r>
        <w:rPr>
          <w:spacing w:val="-26"/>
        </w:rPr>
      </w:r>
      <w:r>
        <w:rPr/>
        <w:t>出资总额为人民币</w:t>
      </w:r>
      <w:r>
        <w:rPr>
          <w:spacing w:val="-54"/>
        </w:rPr>
        <w:t> </w:t>
      </w:r>
      <w:r>
        <w:rPr>
          <w:rFonts w:ascii="宋体" w:hAnsi="宋体" w:cs="宋体" w:eastAsia="宋体" w:hint="default"/>
        </w:rPr>
        <w:t>2</w:t>
      </w:r>
      <w:r>
        <w:rPr>
          <w:rFonts w:ascii="宋体" w:hAnsi="宋体" w:cs="宋体" w:eastAsia="宋体" w:hint="default"/>
          <w:spacing w:val="-56"/>
        </w:rPr>
        <w:t> </w:t>
      </w:r>
      <w:r>
        <w:rPr/>
        <w:t>亿元，公司下属子公司金台创业投资有限公司认缴出资人民币</w:t>
      </w:r>
      <w:r>
        <w:rPr>
          <w:spacing w:val="-53"/>
        </w:rPr>
        <w:t> </w:t>
      </w:r>
      <w:r>
        <w:rPr>
          <w:rFonts w:ascii="宋体" w:hAnsi="宋体" w:cs="宋体" w:eastAsia="宋体" w:hint="default"/>
        </w:rPr>
        <w:t>3,000</w:t>
      </w:r>
      <w:r>
        <w:rPr>
          <w:rFonts w:ascii="宋体" w:hAnsi="宋体" w:cs="宋体" w:eastAsia="宋体" w:hint="default"/>
          <w:spacing w:val="-54"/>
        </w:rPr>
        <w:t> </w:t>
      </w:r>
      <w:r>
        <w:rPr/>
        <w:t>万元，</w:t>
      </w:r>
    </w:p>
    <w:p>
      <w:pPr>
        <w:pStyle w:val="BodyText"/>
        <w:spacing w:line="240" w:lineRule="auto" w:before="30"/>
        <w:ind w:right="0"/>
        <w:jc w:val="left"/>
      </w:pPr>
      <w:r>
        <w:rPr>
          <w:w w:val="100"/>
        </w:rPr>
        <w:t>《环</w:t>
      </w:r>
      <w:r>
        <w:rPr>
          <w:spacing w:val="-3"/>
          <w:w w:val="100"/>
        </w:rPr>
        <w:t>球</w:t>
      </w:r>
      <w:r>
        <w:rPr>
          <w:w w:val="100"/>
        </w:rPr>
        <w:t>时</w:t>
      </w:r>
      <w:r>
        <w:rPr>
          <w:spacing w:val="-3"/>
          <w:w w:val="100"/>
        </w:rPr>
        <w:t>报</w:t>
      </w:r>
      <w:r>
        <w:rPr>
          <w:spacing w:val="-99"/>
          <w:w w:val="100"/>
        </w:rPr>
        <w:t>》</w:t>
      </w:r>
      <w:r>
        <w:rPr>
          <w:spacing w:val="-3"/>
          <w:w w:val="100"/>
        </w:rPr>
        <w:t>社</w:t>
      </w:r>
      <w:r>
        <w:rPr>
          <w:spacing w:val="-1"/>
          <w:w w:val="100"/>
        </w:rPr>
        <w:t>及</w:t>
      </w:r>
      <w:r>
        <w:rPr>
          <w:spacing w:val="-3"/>
          <w:w w:val="100"/>
        </w:rPr>
        <w:t>金</w:t>
      </w:r>
      <w:r>
        <w:rPr>
          <w:w w:val="100"/>
        </w:rPr>
        <w:t>色</w:t>
      </w:r>
      <w:r>
        <w:rPr>
          <w:spacing w:val="-3"/>
          <w:w w:val="100"/>
        </w:rPr>
        <w:t>环球</w:t>
      </w:r>
      <w:r>
        <w:rPr>
          <w:w w:val="100"/>
        </w:rPr>
        <w:t>传媒</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分</w:t>
      </w:r>
      <w:r>
        <w:rPr>
          <w:w w:val="100"/>
        </w:rPr>
        <w:t>别</w:t>
      </w:r>
      <w:r>
        <w:rPr>
          <w:spacing w:val="-3"/>
          <w:w w:val="100"/>
        </w:rPr>
        <w:t>认</w:t>
      </w:r>
      <w:r>
        <w:rPr>
          <w:w w:val="100"/>
        </w:rPr>
        <w:t>缴出</w:t>
      </w:r>
      <w:r>
        <w:rPr>
          <w:spacing w:val="-3"/>
          <w:w w:val="100"/>
        </w:rPr>
        <w:t>资</w:t>
      </w:r>
      <w:r>
        <w:rPr>
          <w:w w:val="100"/>
        </w:rPr>
        <w:t>人</w:t>
      </w:r>
      <w:r>
        <w:rPr>
          <w:spacing w:val="-3"/>
          <w:w w:val="100"/>
        </w:rPr>
        <w:t>民</w:t>
      </w:r>
      <w:r>
        <w:rPr>
          <w:w w:val="100"/>
        </w:rPr>
        <w:t>币</w:t>
      </w:r>
      <w:r>
        <w:rPr>
          <w:spacing w:val="-53"/>
        </w:rPr>
        <w:t> </w:t>
      </w:r>
      <w:r>
        <w:rPr>
          <w:rFonts w:ascii="宋体" w:hAnsi="宋体" w:cs="宋体" w:eastAsia="宋体" w:hint="default"/>
          <w:spacing w:val="-3"/>
          <w:w w:val="100"/>
        </w:rPr>
        <w:t>1</w:t>
      </w:r>
      <w:r>
        <w:rPr>
          <w:rFonts w:ascii="宋体" w:hAnsi="宋体" w:cs="宋体" w:eastAsia="宋体" w:hint="default"/>
          <w:w w:val="100"/>
        </w:rPr>
        <w:t>,500</w:t>
      </w:r>
      <w:r>
        <w:rPr>
          <w:rFonts w:ascii="宋体" w:hAnsi="宋体" w:cs="宋体" w:eastAsia="宋体" w:hint="default"/>
          <w:spacing w:val="-55"/>
        </w:rPr>
        <w:t> </w:t>
      </w:r>
      <w:r>
        <w:rPr>
          <w:w w:val="100"/>
        </w:rPr>
        <w:t>万</w:t>
      </w:r>
      <w:r>
        <w:rPr>
          <w:spacing w:val="-3"/>
          <w:w w:val="100"/>
        </w:rPr>
        <w:t>元</w:t>
      </w:r>
      <w:r>
        <w:rPr>
          <w:spacing w:val="-101"/>
          <w:w w:val="100"/>
        </w:rPr>
        <w:t>，</w:t>
      </w:r>
      <w:r>
        <w:rPr>
          <w:w w:val="100"/>
        </w:rPr>
        <w:t>与公</w:t>
      </w:r>
      <w:r>
        <w:rPr>
          <w:spacing w:val="-3"/>
          <w:w w:val="100"/>
        </w:rPr>
        <w:t>告</w:t>
      </w:r>
      <w:r>
        <w:rPr>
          <w:w w:val="100"/>
        </w:rPr>
        <w:t>内</w:t>
      </w:r>
      <w:r>
        <w:rPr>
          <w:spacing w:val="-3"/>
          <w:w w:val="100"/>
        </w:rPr>
        <w:t>容一致</w:t>
      </w:r>
      <w:r>
        <w:rPr>
          <w:w w:val="100"/>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138" w:right="2543"/>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11"/>
        <w:rPr>
          <w:rFonts w:ascii="宋体" w:hAnsi="宋体" w:cs="宋体" w:eastAsia="宋体" w:hint="default"/>
          <w:sz w:val="27"/>
          <w:szCs w:val="27"/>
        </w:rPr>
      </w:pPr>
    </w:p>
    <w:p>
      <w:pPr>
        <w:pStyle w:val="Heading2"/>
        <w:spacing w:line="240" w:lineRule="auto"/>
        <w:ind w:left="138" w:right="2543"/>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left="138" w:right="254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32"/>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before="17"/>
        <w:ind w:left="6473" w:right="6409"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25"/>
          <w:footerReference w:type="default" r:id="rId26"/>
          <w:pgSz w:w="16840" w:h="11910" w:orient="landscape"/>
          <w:pgMar w:header="0" w:footer="0" w:top="800" w:bottom="280" w:left="1300" w:right="1300"/>
        </w:sectPr>
      </w:pPr>
    </w:p>
    <w:p>
      <w:pPr>
        <w:pStyle w:val="Heading2"/>
        <w:spacing w:line="240" w:lineRule="auto" w:before="36"/>
        <w:ind w:left="49" w:right="0"/>
        <w:jc w:val="center"/>
        <w:rPr>
          <w:b w:val="0"/>
          <w:bCs w:val="0"/>
        </w:rPr>
      </w:pPr>
      <w:r>
        <w:rPr>
          <w:rFonts w:ascii="宋体" w:hAnsi="宋体" w:cs="宋体" w:eastAsia="宋体" w:hint="default"/>
        </w:rPr>
        <w:t>3</w:t>
      </w:r>
      <w:r>
        <w:rPr/>
        <w:t>、租赁情况</w:t>
      </w:r>
      <w:r>
        <w:rPr>
          <w:b w:val="0"/>
          <w:bCs w:val="0"/>
        </w:rPr>
      </w:r>
    </w:p>
    <w:p>
      <w:pPr>
        <w:pStyle w:val="BodyText"/>
        <w:spacing w:line="240" w:lineRule="auto" w:before="56"/>
        <w:ind w:left="224" w:right="0"/>
        <w:jc w:val="center"/>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9" w:val="left" w:leader="none"/>
        </w:tabs>
        <w:spacing w:line="240" w:lineRule="auto"/>
        <w:ind w:left="2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300"/>
          <w:cols w:num="2" w:equalWidth="0">
            <w:col w:w="1802" w:space="9972"/>
            <w:col w:w="2466"/>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21"/>
        <w:gridCol w:w="821"/>
        <w:gridCol w:w="1728"/>
        <w:gridCol w:w="1275"/>
        <w:gridCol w:w="1277"/>
        <w:gridCol w:w="1275"/>
        <w:gridCol w:w="1418"/>
        <w:gridCol w:w="850"/>
        <w:gridCol w:w="2127"/>
        <w:gridCol w:w="1702"/>
        <w:gridCol w:w="708"/>
      </w:tblGrid>
      <w:tr>
        <w:trPr>
          <w:trHeight w:val="1315"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94" w:right="192"/>
              <w:jc w:val="both"/>
              <w:rPr>
                <w:rFonts w:ascii="宋体" w:hAnsi="宋体" w:cs="宋体" w:eastAsia="宋体" w:hint="default"/>
                <w:sz w:val="21"/>
                <w:szCs w:val="21"/>
              </w:rPr>
            </w:pPr>
            <w:r>
              <w:rPr>
                <w:rFonts w:ascii="宋体" w:hAnsi="宋体" w:cs="宋体" w:eastAsia="宋体" w:hint="default"/>
                <w:sz w:val="21"/>
                <w:szCs w:val="21"/>
              </w:rPr>
              <w:t>出租</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94" w:right="192"/>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租赁资产情况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317" w:right="103" w:hanging="212"/>
              <w:jc w:val="left"/>
              <w:rPr>
                <w:rFonts w:ascii="宋体" w:hAnsi="宋体" w:cs="宋体" w:eastAsia="宋体" w:hint="default"/>
                <w:sz w:val="21"/>
                <w:szCs w:val="21"/>
              </w:rPr>
            </w:pPr>
            <w:r>
              <w:rPr>
                <w:rFonts w:ascii="宋体" w:hAnsi="宋体" w:cs="宋体" w:eastAsia="宋体" w:hint="default"/>
                <w:sz w:val="21"/>
                <w:szCs w:val="21"/>
              </w:rPr>
              <w:t>租赁资产涉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租赁收益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05" w:right="98"/>
              <w:jc w:val="both"/>
              <w:rPr>
                <w:rFonts w:ascii="宋体" w:hAnsi="宋体" w:cs="宋体" w:eastAsia="宋体" w:hint="default"/>
                <w:sz w:val="21"/>
                <w:szCs w:val="21"/>
              </w:rPr>
            </w:pPr>
            <w:r>
              <w:rPr>
                <w:rFonts w:ascii="宋体" w:hAnsi="宋体" w:cs="宋体" w:eastAsia="宋体" w:hint="default"/>
                <w:sz w:val="21"/>
                <w:szCs w:val="21"/>
              </w:rPr>
              <w:t>租赁收</w:t>
            </w:r>
            <w:r>
              <w:rPr>
                <w:rFonts w:ascii="宋体" w:hAnsi="宋体" w:cs="宋体" w:eastAsia="宋体" w:hint="default"/>
                <w:spacing w:val="-102"/>
                <w:sz w:val="21"/>
                <w:szCs w:val="21"/>
              </w:rPr>
              <w:t> </w:t>
            </w:r>
            <w:r>
              <w:rPr>
                <w:rFonts w:ascii="宋体" w:hAnsi="宋体" w:cs="宋体" w:eastAsia="宋体" w:hint="default"/>
                <w:sz w:val="21"/>
                <w:szCs w:val="21"/>
              </w:rPr>
              <w:t>益确定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租赁收益对公司影响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是否关联交易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37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81"/>
                <w:sz w:val="21"/>
                <w:szCs w:val="21"/>
              </w:rPr>
              <w:t> </w:t>
            </w:r>
            <w:r>
              <w:rPr>
                <w:rFonts w:ascii="宋体" w:hAnsi="宋体" w:cs="宋体" w:eastAsia="宋体" w:hint="default"/>
                <w:sz w:val="21"/>
                <w:szCs w:val="21"/>
              </w:rPr>
              <w:t>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1"/>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81"/>
                <w:sz w:val="21"/>
                <w:szCs w:val="21"/>
              </w:rPr>
              <w:t> </w:t>
            </w:r>
            <w:r>
              <w:rPr>
                <w:rFonts w:ascii="宋体" w:hAnsi="宋体" w:cs="宋体" w:eastAsia="宋体" w:hint="default"/>
                <w:sz w:val="21"/>
                <w:szCs w:val="21"/>
              </w:rPr>
              <w:t>民</w:t>
            </w:r>
          </w:p>
          <w:p>
            <w:pPr>
              <w:pStyle w:val="TableParagraph"/>
              <w:spacing w:line="240" w:lineRule="auto"/>
              <w:ind w:left="103" w:right="74"/>
              <w:jc w:val="left"/>
              <w:rPr>
                <w:rFonts w:ascii="宋体" w:hAnsi="宋体" w:cs="宋体" w:eastAsia="宋体" w:hint="default"/>
                <w:sz w:val="21"/>
                <w:szCs w:val="21"/>
              </w:rPr>
            </w:pPr>
            <w:r>
              <w:rPr>
                <w:rFonts w:ascii="宋体" w:hAnsi="宋体" w:cs="宋体" w:eastAsia="宋体" w:hint="default"/>
                <w:spacing w:val="-10"/>
                <w:sz w:val="21"/>
                <w:szCs w:val="21"/>
              </w:rPr>
              <w:t>网（母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建 筑 面 积</w:t>
            </w:r>
            <w:r>
              <w:rPr>
                <w:rFonts w:ascii="宋体" w:hAnsi="宋体" w:cs="宋体" w:eastAsia="宋体" w:hint="default"/>
                <w:spacing w:val="39"/>
                <w:sz w:val="21"/>
                <w:szCs w:val="21"/>
              </w:rPr>
              <w:t> </w:t>
            </w:r>
            <w:r>
              <w:rPr>
                <w:rFonts w:ascii="宋体" w:hAnsi="宋体" w:cs="宋体" w:eastAsia="宋体" w:hint="default"/>
                <w:sz w:val="21"/>
                <w:szCs w:val="21"/>
              </w:rPr>
              <w:t>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20,680.44</w:t>
            </w:r>
            <w:r>
              <w:rPr>
                <w:rFonts w:ascii="宋体" w:hAnsi="宋体" w:cs="宋体" w:eastAsia="宋体" w:hint="default"/>
                <w:spacing w:val="22"/>
                <w:sz w:val="21"/>
                <w:szCs w:val="21"/>
              </w:rPr>
              <w:t> </w:t>
            </w:r>
            <w:r>
              <w:rPr>
                <w:rFonts w:ascii="宋体" w:hAnsi="宋体" w:cs="宋体" w:eastAsia="宋体" w:hint="default"/>
                <w:spacing w:val="10"/>
                <w:sz w:val="21"/>
                <w:szCs w:val="21"/>
              </w:rPr>
              <w:t>平方</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米的办公场所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sz w:val="21"/>
              </w:rPr>
              <w:t>64,161,065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2017-12-31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center"/>
              <w:rPr>
                <w:rFonts w:ascii="宋体" w:hAnsi="宋体" w:cs="宋体" w:eastAsia="宋体" w:hint="default"/>
                <w:sz w:val="21"/>
                <w:szCs w:val="21"/>
              </w:rPr>
            </w:pPr>
            <w:r>
              <w:rPr>
                <w:rFonts w:ascii="宋体"/>
                <w:sz w:val="21"/>
              </w:rPr>
              <w:t>-64,161,065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市场化</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原则</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租赁可有效缓解公司</w:t>
            </w:r>
          </w:p>
          <w:p>
            <w:pPr>
              <w:pStyle w:val="TableParagraph"/>
              <w:spacing w:line="237" w:lineRule="auto" w:before="1"/>
              <w:ind w:left="105" w:right="98"/>
              <w:jc w:val="both"/>
              <w:rPr>
                <w:rFonts w:ascii="宋体" w:hAnsi="宋体" w:cs="宋体" w:eastAsia="宋体" w:hint="default"/>
                <w:sz w:val="21"/>
                <w:szCs w:val="21"/>
              </w:rPr>
            </w:pPr>
            <w:r>
              <w:rPr>
                <w:rFonts w:ascii="宋体" w:hAnsi="宋体" w:cs="宋体" w:eastAsia="宋体" w:hint="default"/>
                <w:sz w:val="21"/>
                <w:szCs w:val="21"/>
              </w:rPr>
              <w:t>办公场所紧张局面，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可有效减少业务外包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支出，有利于公司经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营业务拓展。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控股</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w:t>
            </w:r>
          </w:p>
        </w:tc>
      </w:tr>
      <w:tr>
        <w:trPr>
          <w:trHeight w:val="137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81"/>
                <w:sz w:val="21"/>
                <w:szCs w:val="21"/>
              </w:rPr>
              <w:t> </w:t>
            </w:r>
            <w:r>
              <w:rPr>
                <w:rFonts w:ascii="宋体" w:hAnsi="宋体" w:cs="宋体" w:eastAsia="宋体" w:hint="default"/>
                <w:sz w:val="21"/>
                <w:szCs w:val="21"/>
              </w:rPr>
              <w:t>民</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1"/>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81"/>
                <w:sz w:val="21"/>
                <w:szCs w:val="21"/>
              </w:rPr>
              <w:t> </w:t>
            </w:r>
            <w:r>
              <w:rPr>
                <w:rFonts w:ascii="宋体" w:hAnsi="宋体" w:cs="宋体" w:eastAsia="宋体" w:hint="default"/>
                <w:sz w:val="21"/>
                <w:szCs w:val="21"/>
              </w:rPr>
              <w:t>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在线</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建 筑 面 积</w:t>
            </w:r>
            <w:r>
              <w:rPr>
                <w:rFonts w:ascii="宋体" w:hAnsi="宋体" w:cs="宋体" w:eastAsia="宋体" w:hint="default"/>
                <w:spacing w:val="39"/>
                <w:sz w:val="21"/>
                <w:szCs w:val="21"/>
              </w:rPr>
              <w:t> </w:t>
            </w:r>
            <w:r>
              <w:rPr>
                <w:rFonts w:ascii="宋体" w:hAnsi="宋体" w:cs="宋体" w:eastAsia="宋体" w:hint="default"/>
                <w:sz w:val="21"/>
                <w:szCs w:val="21"/>
              </w:rPr>
              <w:t>为</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3,381.83</w:t>
            </w:r>
            <w:r>
              <w:rPr>
                <w:rFonts w:ascii="宋体" w:hAnsi="宋体" w:cs="宋体" w:eastAsia="宋体" w:hint="default"/>
                <w:spacing w:val="-63"/>
                <w:sz w:val="21"/>
                <w:szCs w:val="21"/>
              </w:rPr>
              <w:t> </w:t>
            </w:r>
            <w:r>
              <w:rPr>
                <w:rFonts w:ascii="宋体" w:hAnsi="宋体" w:cs="宋体" w:eastAsia="宋体" w:hint="default"/>
                <w:sz w:val="21"/>
                <w:szCs w:val="21"/>
              </w:rPr>
              <w:t>平方米</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的办公场所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10,492,128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-10,492,128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市场化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原则</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租赁可有效缓解公司</w:t>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办公场所紧张局面，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可有效减少业务外包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支出，有利于公司经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营业务拓展。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控股</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w:t>
            </w:r>
          </w:p>
        </w:tc>
      </w:tr>
    </w:tbl>
    <w:p>
      <w:pPr>
        <w:pStyle w:val="BodyText"/>
        <w:spacing w:line="239" w:lineRule="exact"/>
        <w:ind w:left="224" w:right="0"/>
        <w:jc w:val="left"/>
      </w:pPr>
      <w:r>
        <w:rPr/>
        <w:t>租赁情况说明</w:t>
      </w:r>
    </w:p>
    <w:p>
      <w:pPr>
        <w:pStyle w:val="BodyText"/>
        <w:spacing w:line="273" w:lineRule="exact"/>
        <w:ind w:left="644" w:right="0"/>
        <w:jc w:val="left"/>
      </w:pPr>
      <w:r>
        <w:rPr/>
        <w:t>上述租赁费用为不含增值税的年租金情况，相关租赁事项已经公司第三届董事会第五次会议审议批准。</w:t>
      </w:r>
    </w:p>
    <w:p>
      <w:pPr>
        <w:spacing w:line="240" w:lineRule="auto" w:before="10"/>
        <w:rPr>
          <w:rFonts w:ascii="宋体" w:hAnsi="宋体" w:cs="宋体" w:eastAsia="宋体" w:hint="default"/>
          <w:sz w:val="14"/>
          <w:szCs w:val="14"/>
        </w:rPr>
      </w:pPr>
    </w:p>
    <w:p>
      <w:pPr>
        <w:pStyle w:val="Heading2"/>
        <w:tabs>
          <w:tab w:pos="1064" w:val="left" w:leader="none"/>
        </w:tabs>
        <w:spacing w:line="240" w:lineRule="auto"/>
        <w:ind w:left="224"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8"/>
        <w:ind w:left="22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63"/>
        <w:ind w:left="6473" w:right="6391" w:firstLine="0"/>
        <w:jc w:val="center"/>
        <w:rPr>
          <w:rFonts w:ascii="Calibri" w:hAnsi="Calibri" w:cs="Calibri" w:eastAsia="Calibri" w:hint="default"/>
          <w:sz w:val="18"/>
          <w:szCs w:val="18"/>
        </w:rPr>
      </w:pPr>
      <w:r>
        <w:rPr>
          <w:rFonts w:ascii="Calibri"/>
          <w:b/>
          <w:sz w:val="18"/>
        </w:rPr>
        <w:t>35 </w:t>
      </w:r>
      <w:r>
        <w:rPr>
          <w:rFonts w:ascii="Calibri"/>
          <w:sz w:val="18"/>
        </w:rPr>
        <w:t>/</w:t>
      </w:r>
      <w:r>
        <w:rPr>
          <w:rFonts w:ascii="Calibri"/>
          <w:spacing w:val="-4"/>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977" w:val="left" w:leader="none"/>
        </w:tabs>
        <w:spacing w:line="290" w:lineRule="auto"/>
        <w:ind w:left="138" w:right="49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74" w:lineRule="exact" w:before="12"/>
        <w:ind w:left="138" w:right="2543"/>
        <w:jc w:val="left"/>
        <w:rPr>
          <w:b w:val="0"/>
          <w:bCs w:val="0"/>
        </w:rPr>
      </w:pPr>
      <w:r>
        <w:rPr>
          <w:rFonts w:ascii="宋体" w:hAnsi="宋体" w:cs="宋体" w:eastAsia="宋体" w:hint="default"/>
        </w:rPr>
        <w:t>(1).</w:t>
      </w:r>
      <w:r>
        <w:rPr/>
        <w:t>委托理财总体情况</w:t>
      </w:r>
      <w:r>
        <w:rPr>
          <w:b w:val="0"/>
          <w:bCs w:val="0"/>
        </w:rPr>
      </w:r>
    </w:p>
    <w:p>
      <w:pPr>
        <w:spacing w:line="272" w:lineRule="exact" w:before="27"/>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right="254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3" w:lineRule="exact"/>
        <w:ind w:left="138" w:right="2543"/>
        <w:jc w:val="left"/>
        <w:rPr>
          <w:b w:val="0"/>
          <w:bCs w:val="0"/>
        </w:rPr>
      </w:pPr>
      <w:r>
        <w:rPr>
          <w:rFonts w:ascii="宋体" w:hAnsi="宋体" w:cs="宋体" w:eastAsia="宋体" w:hint="default"/>
        </w:rPr>
        <w:t>(2).</w:t>
      </w:r>
      <w:r>
        <w:rPr/>
        <w:t>单项委托理财情况</w:t>
      </w:r>
      <w:r>
        <w:rPr>
          <w:b w:val="0"/>
          <w:bCs w:val="0"/>
        </w:rPr>
      </w:r>
    </w:p>
    <w:p>
      <w:pPr>
        <w:spacing w:before="0"/>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right="2543"/>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Heading2"/>
        <w:spacing w:line="274" w:lineRule="exact"/>
        <w:ind w:left="138" w:right="2543"/>
        <w:jc w:val="left"/>
        <w:rPr>
          <w:b w:val="0"/>
          <w:bCs w:val="0"/>
        </w:rPr>
      </w:pPr>
      <w:r>
        <w:rPr>
          <w:rFonts w:ascii="宋体" w:hAnsi="宋体" w:cs="宋体" w:eastAsia="宋体" w:hint="default"/>
        </w:rPr>
        <w:t>(3).</w:t>
      </w:r>
      <w:r>
        <w:rPr/>
        <w:t>委托理财减值准备</w:t>
      </w:r>
      <w:r>
        <w:rPr>
          <w:b w:val="0"/>
          <w:bCs w:val="0"/>
        </w:rPr>
      </w:r>
    </w:p>
    <w:p>
      <w:pPr>
        <w:pStyle w:val="BodyText"/>
        <w:spacing w:line="274" w:lineRule="exact"/>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28" w:lineRule="exact"/>
        <w:ind w:right="2543"/>
        <w:jc w:val="left"/>
      </w:pPr>
      <w:r>
        <w:rPr/>
        <w:t>□适用</w:t>
      </w:r>
      <w:r>
        <w:rPr>
          <w:spacing w:val="-1"/>
        </w:rPr>
        <w:t> </w:t>
      </w:r>
      <w:r>
        <w:rPr/>
        <w:t>√不适用</w:t>
      </w:r>
    </w:p>
    <w:p>
      <w:pPr>
        <w:pStyle w:val="Heading2"/>
        <w:spacing w:line="271" w:lineRule="exact"/>
        <w:ind w:left="138" w:right="2543"/>
        <w:jc w:val="left"/>
        <w:rPr>
          <w:b w:val="0"/>
          <w:bCs w:val="0"/>
        </w:rPr>
      </w:pPr>
      <w:r>
        <w:rPr/>
        <w:t>其他情况</w:t>
      </w:r>
      <w:r>
        <w:rPr>
          <w:b w:val="0"/>
          <w:bCs w:val="0"/>
        </w:rPr>
      </w:r>
    </w:p>
    <w:p>
      <w:pPr>
        <w:pStyle w:val="BodyText"/>
        <w:spacing w:line="273" w:lineRule="exact"/>
        <w:ind w:right="254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4" w:lineRule="exact"/>
        <w:ind w:left="138" w:right="2543"/>
        <w:jc w:val="left"/>
        <w:rPr>
          <w:b w:val="0"/>
          <w:bCs w:val="0"/>
        </w:rPr>
      </w:pPr>
      <w:r>
        <w:rPr>
          <w:rFonts w:ascii="宋体" w:hAnsi="宋体" w:cs="宋体" w:eastAsia="宋体" w:hint="default"/>
        </w:rPr>
        <w:t>(2).</w:t>
      </w:r>
      <w:r>
        <w:rPr/>
        <w:t>单项委托贷款情况</w:t>
      </w:r>
      <w:r>
        <w:rPr>
          <w:b w:val="0"/>
          <w:bCs w:val="0"/>
        </w:rPr>
      </w:r>
    </w:p>
    <w:p>
      <w:pPr>
        <w:spacing w:line="272" w:lineRule="exact" w:before="27"/>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right="254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3" w:lineRule="exact"/>
        <w:ind w:left="138" w:right="2543"/>
        <w:jc w:val="left"/>
        <w:rPr>
          <w:b w:val="0"/>
          <w:bCs w:val="0"/>
        </w:rPr>
      </w:pPr>
      <w:r>
        <w:rPr>
          <w:rFonts w:ascii="宋体" w:hAnsi="宋体" w:cs="宋体" w:eastAsia="宋体" w:hint="default"/>
        </w:rPr>
        <w:t>(3).</w:t>
      </w:r>
      <w:r>
        <w:rPr/>
        <w:t>委托贷款减值准备</w:t>
      </w:r>
      <w:r>
        <w:rPr>
          <w:b w:val="0"/>
          <w:bCs w:val="0"/>
        </w:rPr>
      </w:r>
    </w:p>
    <w:p>
      <w:pPr>
        <w:pStyle w:val="BodyText"/>
        <w:spacing w:line="273" w:lineRule="exact"/>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254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t>十六、其他重大事项的说明</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290" w:lineRule="auto" w:before="12"/>
        <w:ind w:left="138" w:right="72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357" w:lineRule="auto" w:before="149"/>
        <w:ind w:right="0" w:firstLine="419"/>
        <w:jc w:val="left"/>
      </w:pPr>
      <w:r>
        <w:rPr>
          <w:spacing w:val="-2"/>
        </w:rPr>
        <w:t>人民网长期关注并落实“精准扶贫、精准脱贫”的基本方略。报告期内，人民网加强扶贫频</w:t>
      </w:r>
      <w:r>
        <w:rPr>
          <w:w w:val="100"/>
        </w:rPr>
        <w:t> </w:t>
      </w:r>
      <w:r>
        <w:rPr>
          <w:spacing w:val="-2"/>
        </w:rPr>
        <w:t>道建设，开展扶贫专题报道，为精准扶贫提供信息支持。公司积极开展党建扶贫，为乡村小学解</w:t>
      </w:r>
    </w:p>
    <w:p>
      <w:pPr>
        <w:spacing w:after="0" w:line="357" w:lineRule="auto"/>
        <w:jc w:val="left"/>
        <w:sectPr>
          <w:footerReference w:type="default" r:id="rId27"/>
          <w:pgSz w:w="11910" w:h="16840"/>
          <w:pgMar w:footer="1195" w:header="0" w:top="1120" w:bottom="1380" w:left="1660" w:right="1140"/>
          <w:pgNumType w:start="36"/>
        </w:sectPr>
      </w:pPr>
    </w:p>
    <w:p>
      <w:pPr>
        <w:spacing w:line="240" w:lineRule="auto" w:before="4"/>
        <w:rPr>
          <w:rFonts w:ascii="宋体" w:hAnsi="宋体" w:cs="宋体" w:eastAsia="宋体" w:hint="default"/>
          <w:sz w:val="25"/>
          <w:szCs w:val="25"/>
        </w:rPr>
      </w:pPr>
    </w:p>
    <w:p>
      <w:pPr>
        <w:pStyle w:val="BodyText"/>
        <w:spacing w:line="357" w:lineRule="auto" w:before="36"/>
        <w:ind w:right="148"/>
        <w:jc w:val="left"/>
      </w:pPr>
      <w:r>
        <w:rPr>
          <w:spacing w:val="-4"/>
        </w:rPr>
        <w:t>决实际困难。人民健康网深入践行“互联网</w:t>
      </w:r>
      <w:r>
        <w:rPr>
          <w:rFonts w:ascii="宋体" w:hAnsi="宋体" w:cs="宋体" w:eastAsia="宋体" w:hint="default"/>
          <w:spacing w:val="-4"/>
        </w:rPr>
        <w:t>+</w:t>
      </w:r>
      <w:r>
        <w:rPr>
          <w:spacing w:val="-4"/>
        </w:rPr>
        <w:t>健康扶贫”公益行动，广泛开展“人民健康公益行动</w:t>
      </w:r>
      <w:r>
        <w:rPr>
          <w:spacing w:val="-35"/>
        </w:rPr>
        <w:t> </w:t>
      </w:r>
      <w:r>
        <w:rPr>
          <w:spacing w:val="-35"/>
        </w:rPr>
      </w:r>
      <w:r>
        <w:rPr/>
        <w:t>计划”，构建人民健康公益援助信息平台。</w:t>
      </w:r>
    </w:p>
    <w:p>
      <w:pPr>
        <w:pStyle w:val="Heading2"/>
        <w:tabs>
          <w:tab w:pos="562" w:val="left" w:leader="none"/>
        </w:tabs>
        <w:spacing w:line="240" w:lineRule="auto" w:before="90"/>
        <w:ind w:left="138" w:right="148"/>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357" w:lineRule="auto" w:before="56"/>
        <w:ind w:left="558" w:right="3888"/>
        <w:jc w:val="left"/>
      </w:pP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年度扶贫工作情况主要包括以下几方面：</w:t>
      </w:r>
      <w:r>
        <w:rPr>
          <w:w w:val="100"/>
        </w:rPr>
        <w:t> </w:t>
      </w:r>
      <w:r>
        <w:rPr>
          <w:rFonts w:ascii="宋体" w:hAnsi="宋体" w:cs="宋体" w:eastAsia="宋体" w:hint="default"/>
        </w:rPr>
        <w:t>1</w:t>
      </w:r>
      <w:r>
        <w:rPr/>
        <w:t>、人民网扶贫频道建设</w:t>
      </w:r>
    </w:p>
    <w:p>
      <w:pPr>
        <w:pStyle w:val="BodyText"/>
        <w:spacing w:line="357" w:lineRule="auto" w:before="30"/>
        <w:ind w:right="148" w:firstLine="419"/>
        <w:jc w:val="left"/>
      </w:pPr>
      <w:r>
        <w:rPr>
          <w:spacing w:val="-2"/>
        </w:rPr>
        <w:t>报告期内，人民网依托主流媒体采编优势，打造扶贫频道，宣传扶贫工作，为精准扶贫提供</w:t>
      </w:r>
      <w:r>
        <w:rPr>
          <w:w w:val="100"/>
        </w:rPr>
        <w:t> </w:t>
      </w:r>
      <w:r>
        <w:rPr>
          <w:spacing w:val="-5"/>
        </w:rPr>
        <w:t>信息支持。扶贫频道于</w:t>
      </w:r>
      <w:r>
        <w:rPr>
          <w:spacing w:val="-23"/>
        </w:rPr>
        <w:t> </w:t>
      </w:r>
      <w:r>
        <w:rPr>
          <w:rFonts w:ascii="宋体" w:hAnsi="宋体" w:cs="宋体" w:eastAsia="宋体" w:hint="default"/>
        </w:rPr>
        <w:t>2017</w:t>
      </w:r>
      <w:r>
        <w:rPr>
          <w:rFonts w:ascii="宋体" w:hAnsi="宋体" w:cs="宋体" w:eastAsia="宋体" w:hint="default"/>
          <w:spacing w:val="-25"/>
        </w:rPr>
        <w:t> </w:t>
      </w:r>
      <w:r>
        <w:rPr>
          <w:spacing w:val="-4"/>
        </w:rPr>
        <w:t>年策划多个大型专题活动，发布原创报道，在上市公司参与扶贫方面</w:t>
      </w:r>
      <w:r>
        <w:rPr>
          <w:spacing w:val="-94"/>
        </w:rPr>
        <w:t> </w:t>
      </w:r>
      <w:r>
        <w:rPr>
          <w:spacing w:val="-94"/>
        </w:rPr>
      </w:r>
      <w:r>
        <w:rPr>
          <w:spacing w:val="-3"/>
        </w:rPr>
        <w:t>发挥了积极的社会效果。其中，主题报道《</w:t>
      </w:r>
      <w:r>
        <w:rPr>
          <w:rFonts w:ascii="宋体" w:hAnsi="宋体" w:cs="宋体" w:eastAsia="宋体" w:hint="default"/>
          <w:spacing w:val="-3"/>
        </w:rPr>
        <w:t>2017</w:t>
      </w:r>
      <w:r>
        <w:rPr>
          <w:rFonts w:ascii="宋体" w:hAnsi="宋体" w:cs="宋体" w:eastAsia="宋体" w:hint="default"/>
          <w:spacing w:val="-37"/>
        </w:rPr>
        <w:t> </w:t>
      </w:r>
      <w:r>
        <w:rPr>
          <w:spacing w:val="-3"/>
        </w:rPr>
        <w:t>年省区市脱贫攻坚责任状》通过</w:t>
      </w:r>
      <w:r>
        <w:rPr>
          <w:spacing w:val="-33"/>
        </w:rPr>
        <w:t> </w:t>
      </w:r>
      <w:r>
        <w:rPr>
          <w:rFonts w:ascii="宋体" w:hAnsi="宋体" w:cs="宋体" w:eastAsia="宋体" w:hint="default"/>
        </w:rPr>
        <w:t>Flash</w:t>
      </w:r>
      <w:r>
        <w:rPr>
          <w:rFonts w:ascii="宋体" w:hAnsi="宋体" w:cs="宋体" w:eastAsia="宋体" w:hint="default"/>
          <w:spacing w:val="-37"/>
        </w:rPr>
        <w:t> </w:t>
      </w:r>
      <w:r>
        <w:rPr/>
        <w:t>动画的形</w:t>
      </w:r>
      <w:r>
        <w:rPr>
          <w:spacing w:val="-97"/>
        </w:rPr>
        <w:t> </w:t>
      </w:r>
      <w:r>
        <w:rPr>
          <w:spacing w:val="-97"/>
        </w:rPr>
      </w:r>
      <w:r>
        <w:rPr>
          <w:spacing w:val="-2"/>
        </w:rPr>
        <w:t>式直观展示了各地脱贫工作最新动态，被多家互联网门户网站转载于首页头条位置突出显现，报</w:t>
      </w:r>
      <w:r>
        <w:rPr>
          <w:spacing w:val="-25"/>
        </w:rPr>
        <w:t> </w:t>
      </w:r>
      <w:r>
        <w:rPr>
          <w:spacing w:val="-25"/>
        </w:rPr>
      </w:r>
      <w:r>
        <w:rPr/>
        <w:t>道内容获近百家媒体转载；主题报道《为各地脱贫摘帽点赞</w:t>
      </w:r>
      <w:r>
        <w:rPr>
          <w:spacing w:val="-5"/>
        </w:rPr>
        <w:t> </w:t>
      </w:r>
      <w:r>
        <w:rPr/>
        <w:t>一个也别落下》通过互动性更强的</w:t>
      </w:r>
      <w:r>
        <w:rPr>
          <w:w w:val="100"/>
        </w:rPr>
        <w:t> </w:t>
      </w:r>
      <w:r>
        <w:rPr>
          <w:rFonts w:ascii="宋体" w:hAnsi="宋体" w:cs="宋体" w:eastAsia="宋体" w:hint="default"/>
        </w:rPr>
        <w:t>H5</w:t>
      </w:r>
      <w:r>
        <w:rPr>
          <w:rFonts w:ascii="宋体" w:hAnsi="宋体" w:cs="宋体" w:eastAsia="宋体" w:hint="default"/>
          <w:spacing w:val="-55"/>
        </w:rPr>
        <w:t> </w:t>
      </w:r>
      <w:r>
        <w:rPr/>
        <w:t>页面的形式，为广大网友了解各地脱贫的最新状况提供了便利，在手机端和</w:t>
      </w:r>
      <w:r>
        <w:rPr>
          <w:spacing w:val="-54"/>
        </w:rPr>
        <w:t> </w:t>
      </w:r>
      <w:r>
        <w:rPr>
          <w:rFonts w:ascii="宋体" w:hAnsi="宋体" w:cs="宋体" w:eastAsia="宋体" w:hint="default"/>
        </w:rPr>
        <w:t>PC</w:t>
      </w:r>
      <w:r>
        <w:rPr>
          <w:rFonts w:ascii="宋体" w:hAnsi="宋体" w:cs="宋体" w:eastAsia="宋体" w:hint="default"/>
          <w:spacing w:val="-57"/>
        </w:rPr>
        <w:t> </w:t>
      </w:r>
      <w:r>
        <w:rPr/>
        <w:t>端得到广泛传</w:t>
      </w:r>
      <w:r>
        <w:rPr>
          <w:w w:val="100"/>
        </w:rPr>
        <w:t> </w:t>
      </w:r>
      <w:r>
        <w:rPr/>
        <w:t>播；专题活动《砥砺奋进的五年•精准扶贫驻村调研》集纳了</w:t>
      </w:r>
      <w:r>
        <w:rPr>
          <w:spacing w:val="-54"/>
        </w:rPr>
        <w:t> </w:t>
      </w:r>
      <w:r>
        <w:rPr>
          <w:rFonts w:ascii="宋体" w:hAnsi="宋体" w:cs="宋体" w:eastAsia="宋体" w:hint="default"/>
        </w:rPr>
        <w:t>22</w:t>
      </w:r>
      <w:r>
        <w:rPr>
          <w:rFonts w:ascii="宋体" w:hAnsi="宋体" w:cs="宋体" w:eastAsia="宋体" w:hint="default"/>
          <w:spacing w:val="-55"/>
        </w:rPr>
        <w:t> </w:t>
      </w:r>
      <w:r>
        <w:rPr/>
        <w:t>个省区市</w:t>
      </w:r>
      <w:r>
        <w:rPr>
          <w:spacing w:val="-55"/>
        </w:rPr>
        <w:t> </w:t>
      </w:r>
      <w:r>
        <w:rPr>
          <w:rFonts w:ascii="宋体" w:hAnsi="宋体" w:cs="宋体" w:eastAsia="宋体" w:hint="default"/>
        </w:rPr>
        <w:t>109</w:t>
      </w:r>
      <w:r>
        <w:rPr>
          <w:rFonts w:ascii="宋体" w:hAnsi="宋体" w:cs="宋体" w:eastAsia="宋体" w:hint="default"/>
          <w:spacing w:val="-57"/>
        </w:rPr>
        <w:t> </w:t>
      </w:r>
      <w:r>
        <w:rPr/>
        <w:t>个村</w:t>
      </w:r>
      <w:r>
        <w:rPr>
          <w:spacing w:val="-55"/>
        </w:rPr>
        <w:t> </w:t>
      </w:r>
      <w:r>
        <w:rPr>
          <w:rFonts w:ascii="宋体" w:hAnsi="宋体" w:cs="宋体" w:eastAsia="宋体" w:hint="default"/>
        </w:rPr>
        <w:t>120</w:t>
      </w:r>
      <w:r>
        <w:rPr>
          <w:rFonts w:ascii="宋体" w:hAnsi="宋体" w:cs="宋体" w:eastAsia="宋体" w:hint="default"/>
          <w:spacing w:val="-55"/>
        </w:rPr>
        <w:t> </w:t>
      </w:r>
      <w:r>
        <w:rPr/>
        <w:t>名记者蹲</w:t>
      </w:r>
      <w:r>
        <w:rPr>
          <w:w w:val="100"/>
        </w:rPr>
        <w:t> </w:t>
      </w:r>
      <w:r>
        <w:rPr>
          <w:spacing w:val="-2"/>
        </w:rPr>
        <w:t>点调研采访的稿件，通过图解、</w:t>
      </w:r>
      <w:r>
        <w:rPr>
          <w:rFonts w:ascii="宋体" w:hAnsi="宋体" w:cs="宋体" w:eastAsia="宋体" w:hint="default"/>
          <w:spacing w:val="-2"/>
        </w:rPr>
        <w:t>H5</w:t>
      </w:r>
      <w:r>
        <w:rPr>
          <w:spacing w:val="-2"/>
        </w:rPr>
        <w:t>、游戏等互动方式增强与网友的互动性，提高传播效率，增强</w:t>
      </w:r>
      <w:r>
        <w:rPr>
          <w:spacing w:val="-24"/>
        </w:rPr>
        <w:t> </w:t>
      </w:r>
      <w:r>
        <w:rPr>
          <w:spacing w:val="-24"/>
        </w:rPr>
      </w:r>
      <w:r>
        <w:rPr/>
        <w:t>了扶贫新闻报道的影响力。</w:t>
      </w:r>
    </w:p>
    <w:p>
      <w:pPr>
        <w:pStyle w:val="BodyText"/>
        <w:spacing w:line="240" w:lineRule="auto" w:before="32"/>
        <w:ind w:left="558" w:right="148"/>
        <w:jc w:val="left"/>
      </w:pPr>
      <w:r>
        <w:rPr>
          <w:rFonts w:ascii="宋体" w:hAnsi="宋体" w:cs="宋体" w:eastAsia="宋体" w:hint="default"/>
        </w:rPr>
        <w:t>2</w:t>
      </w:r>
      <w:r>
        <w:rPr/>
        <w:t>、党建扶贫</w:t>
      </w:r>
    </w:p>
    <w:p>
      <w:pPr>
        <w:pStyle w:val="BodyText"/>
        <w:spacing w:line="240" w:lineRule="auto" w:before="133"/>
        <w:ind w:left="558" w:right="148"/>
        <w:jc w:val="left"/>
      </w:pPr>
      <w:r>
        <w:rPr/>
        <w:t>党建扶贫是 </w:t>
      </w:r>
      <w:r>
        <w:rPr>
          <w:rFonts w:ascii="宋体" w:hAnsi="宋体" w:cs="宋体" w:eastAsia="宋体" w:hint="default"/>
        </w:rPr>
        <w:t>2017</w:t>
      </w:r>
      <w:r>
        <w:rPr>
          <w:rFonts w:ascii="宋体" w:hAnsi="宋体" w:cs="宋体" w:eastAsia="宋体" w:hint="default"/>
          <w:spacing w:val="-43"/>
        </w:rPr>
        <w:t> </w:t>
      </w:r>
      <w:r>
        <w:rPr>
          <w:spacing w:val="-5"/>
        </w:rPr>
        <w:t>年公司精准扶贫的一项重要内容。根据人民日报社编委会要求，报社机关党</w:t>
      </w:r>
    </w:p>
    <w:p>
      <w:pPr>
        <w:pStyle w:val="BodyText"/>
        <w:spacing w:line="357" w:lineRule="auto" w:before="133"/>
        <w:ind w:right="208"/>
        <w:jc w:val="both"/>
      </w:pPr>
      <w:r>
        <w:rPr/>
        <w:t>委和报社团委组织基层党团组织推荐选派了</w:t>
      </w:r>
      <w:r>
        <w:rPr>
          <w:spacing w:val="-55"/>
        </w:rPr>
        <w:t> </w:t>
      </w:r>
      <w:r>
        <w:rPr>
          <w:rFonts w:ascii="宋体" w:hAnsi="宋体" w:cs="宋体" w:eastAsia="宋体" w:hint="default"/>
        </w:rPr>
        <w:t>13</w:t>
      </w:r>
      <w:r>
        <w:rPr>
          <w:rFonts w:ascii="宋体" w:hAnsi="宋体" w:cs="宋体" w:eastAsia="宋体" w:hint="default"/>
          <w:spacing w:val="-55"/>
        </w:rPr>
        <w:t> </w:t>
      </w:r>
      <w:r>
        <w:rPr/>
        <w:t>名“名誉校长”，到河北滦平</w:t>
      </w:r>
      <w:r>
        <w:rPr>
          <w:spacing w:val="-57"/>
        </w:rPr>
        <w:t> </w:t>
      </w:r>
      <w:r>
        <w:rPr>
          <w:rFonts w:ascii="宋体" w:hAnsi="宋体" w:cs="宋体" w:eastAsia="宋体" w:hint="default"/>
        </w:rPr>
        <w:t>11</w:t>
      </w:r>
      <w:r>
        <w:rPr>
          <w:rFonts w:ascii="宋体" w:hAnsi="宋体" w:cs="宋体" w:eastAsia="宋体" w:hint="default"/>
          <w:spacing w:val="-55"/>
        </w:rPr>
        <w:t> </w:t>
      </w:r>
      <w:r>
        <w:rPr/>
        <w:t>所乡村小学开展</w:t>
      </w:r>
      <w:r>
        <w:rPr>
          <w:w w:val="100"/>
        </w:rPr>
        <w:t> </w:t>
      </w:r>
      <w:r>
        <w:rPr>
          <w:spacing w:val="-2"/>
        </w:rPr>
        <w:t>教育精准扶贫。人民网选派的公司党委组织委员、健康部主任万世成同志受聘为长山峪中心校二</w:t>
      </w:r>
      <w:r>
        <w:rPr>
          <w:spacing w:val="-25"/>
        </w:rPr>
        <w:t> </w:t>
      </w:r>
      <w:r>
        <w:rPr>
          <w:spacing w:val="-25"/>
        </w:rPr>
      </w:r>
      <w:r>
        <w:rPr>
          <w:spacing w:val="-2"/>
        </w:rPr>
        <w:t>道营子小学“名誉校长”。人民网党委在详细了解了学校建设发展面临的主要困难和师生的具体</w:t>
      </w:r>
      <w:r>
        <w:rPr>
          <w:spacing w:val="-26"/>
        </w:rPr>
        <w:t> </w:t>
      </w:r>
      <w:r>
        <w:rPr>
          <w:spacing w:val="-26"/>
        </w:rPr>
      </w:r>
      <w:r>
        <w:rPr>
          <w:spacing w:val="-6"/>
        </w:rPr>
        <w:t>需求后，于</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6</w:t>
      </w:r>
      <w:r>
        <w:rPr>
          <w:rFonts w:ascii="宋体" w:hAnsi="宋体" w:cs="宋体" w:eastAsia="宋体" w:hint="default"/>
          <w:spacing w:val="-47"/>
        </w:rPr>
        <w:t> </w:t>
      </w:r>
      <w:r>
        <w:rPr/>
        <w:t>月</w:t>
      </w:r>
      <w:r>
        <w:rPr>
          <w:spacing w:val="-44"/>
        </w:rPr>
        <w:t> </w:t>
      </w:r>
      <w:r>
        <w:rPr>
          <w:rFonts w:ascii="宋体" w:hAnsi="宋体" w:cs="宋体" w:eastAsia="宋体" w:hint="default"/>
        </w:rPr>
        <w:t>27</w:t>
      </w:r>
      <w:r>
        <w:rPr>
          <w:rFonts w:ascii="宋体" w:hAnsi="宋体" w:cs="宋体" w:eastAsia="宋体" w:hint="default"/>
          <w:spacing w:val="-45"/>
        </w:rPr>
        <w:t> </w:t>
      </w:r>
      <w:r>
        <w:rPr>
          <w:spacing w:val="-7"/>
        </w:rPr>
        <w:t>日，组织了</w:t>
      </w:r>
      <w:r>
        <w:rPr>
          <w:spacing w:val="-45"/>
        </w:rPr>
        <w:t> </w:t>
      </w:r>
      <w:r>
        <w:rPr>
          <w:rFonts w:ascii="宋体" w:hAnsi="宋体" w:cs="宋体" w:eastAsia="宋体" w:hint="default"/>
        </w:rPr>
        <w:t>13</w:t>
      </w:r>
      <w:r>
        <w:rPr>
          <w:rFonts w:ascii="宋体" w:hAnsi="宋体" w:cs="宋体" w:eastAsia="宋体" w:hint="default"/>
          <w:spacing w:val="-47"/>
        </w:rPr>
        <w:t> </w:t>
      </w:r>
      <w:r>
        <w:rPr>
          <w:spacing w:val="-4"/>
        </w:rPr>
        <w:t>个支部的党员代表前往该小学，为学校捐赠物资，共捐</w:t>
      </w:r>
    </w:p>
    <w:p>
      <w:pPr>
        <w:pStyle w:val="BodyText"/>
        <w:spacing w:line="355" w:lineRule="auto" w:before="30"/>
        <w:ind w:left="558" w:right="148" w:hanging="420"/>
        <w:jc w:val="left"/>
      </w:pPr>
      <w:r>
        <w:rPr/>
        <w:t>赠了饮水机、电风扇、体育用品、文具等价值</w:t>
      </w:r>
      <w:r>
        <w:rPr>
          <w:spacing w:val="-54"/>
        </w:rPr>
        <w:t> </w:t>
      </w:r>
      <w:r>
        <w:rPr>
          <w:rFonts w:ascii="宋体" w:hAnsi="宋体" w:cs="宋体" w:eastAsia="宋体" w:hint="default"/>
        </w:rPr>
        <w:t>4000</w:t>
      </w:r>
      <w:r>
        <w:rPr>
          <w:rFonts w:ascii="宋体" w:hAnsi="宋体" w:cs="宋体" w:eastAsia="宋体" w:hint="default"/>
          <w:spacing w:val="-56"/>
        </w:rPr>
        <w:t> </w:t>
      </w:r>
      <w:r>
        <w:rPr/>
        <w:t>余元的各类物资，帮助学校解决实际困难。</w:t>
      </w:r>
      <w:r>
        <w:rPr>
          <w:w w:val="100"/>
        </w:rPr>
        <w:t> </w:t>
      </w:r>
      <w:r>
        <w:rPr>
          <w:rFonts w:ascii="宋体" w:hAnsi="宋体" w:cs="宋体" w:eastAsia="宋体" w:hint="default"/>
        </w:rPr>
        <w:t>3</w:t>
      </w:r>
      <w:r>
        <w:rPr/>
        <w:t>、人民健康公益平台建设</w:t>
      </w:r>
      <w:r>
        <w:rPr>
          <w:w w:val="100"/>
        </w:rPr>
        <w:t> </w:t>
      </w:r>
      <w:r>
        <w:rPr>
          <w:spacing w:val="-4"/>
        </w:rPr>
        <w:t>人民网旗下子网站——人民健康网深入开展“互联网</w:t>
      </w:r>
      <w:r>
        <w:rPr>
          <w:rFonts w:ascii="宋体" w:hAnsi="宋体" w:cs="宋体" w:eastAsia="宋体" w:hint="default"/>
          <w:spacing w:val="-4"/>
        </w:rPr>
        <w:t>+</w:t>
      </w:r>
      <w:r>
        <w:rPr>
          <w:spacing w:val="-4"/>
        </w:rPr>
        <w:t>健康扶贫”公益行动，联合国家部委相</w:t>
      </w:r>
    </w:p>
    <w:p>
      <w:pPr>
        <w:pStyle w:val="BodyText"/>
        <w:spacing w:line="357" w:lineRule="auto" w:before="34"/>
        <w:ind w:right="0"/>
        <w:jc w:val="left"/>
      </w:pPr>
      <w:r>
        <w:rPr>
          <w:spacing w:val="-13"/>
          <w:w w:val="100"/>
        </w:rPr>
        <w:t>关部门，面向全国贫困地区和贫困群众，于</w:t>
      </w:r>
      <w:r>
        <w:rPr>
          <w:spacing w:val="-73"/>
          <w:w w:val="100"/>
        </w:rPr>
        <w:t> </w:t>
      </w:r>
      <w:r>
        <w:rPr>
          <w:rFonts w:ascii="宋体" w:hAnsi="宋体" w:cs="宋体" w:eastAsia="宋体" w:hint="default"/>
          <w:spacing w:val="-1"/>
          <w:w w:val="100"/>
        </w:rPr>
        <w:t>2017</w:t>
      </w:r>
      <w:r>
        <w:rPr>
          <w:rFonts w:ascii="宋体" w:hAnsi="宋体" w:cs="宋体" w:eastAsia="宋体" w:hint="default"/>
          <w:spacing w:val="-73"/>
          <w:w w:val="100"/>
        </w:rPr>
        <w:t> </w:t>
      </w:r>
      <w:r>
        <w:rPr>
          <w:w w:val="100"/>
        </w:rPr>
        <w:t>年</w:t>
      </w:r>
      <w:r>
        <w:rPr>
          <w:spacing w:val="-73"/>
          <w:w w:val="100"/>
        </w:rPr>
        <w:t> </w:t>
      </w:r>
      <w:r>
        <w:rPr>
          <w:rFonts w:ascii="宋体" w:hAnsi="宋体" w:cs="宋体" w:eastAsia="宋体" w:hint="default"/>
          <w:w w:val="100"/>
        </w:rPr>
        <w:t>7</w:t>
      </w:r>
      <w:r>
        <w:rPr>
          <w:rFonts w:ascii="宋体" w:hAnsi="宋体" w:cs="宋体" w:eastAsia="宋体" w:hint="default"/>
          <w:spacing w:val="-72"/>
          <w:w w:val="100"/>
        </w:rPr>
        <w:t> </w:t>
      </w:r>
      <w:r>
        <w:rPr>
          <w:spacing w:val="-7"/>
          <w:w w:val="100"/>
        </w:rPr>
        <w:t>月开始，广泛开展“人民健康公益行动计划”，</w:t>
      </w:r>
      <w:r>
        <w:rPr>
          <w:spacing w:val="-102"/>
          <w:w w:val="100"/>
        </w:rPr>
        <w:t> </w:t>
      </w:r>
      <w:r>
        <w:rPr>
          <w:spacing w:val="-102"/>
          <w:w w:val="100"/>
        </w:rPr>
      </w:r>
      <w:r>
        <w:rPr/>
        <w:t>构建人民健康公益援助信息平台。人民健康公益援助信息平台将细分为四大功能板块：一是汇集</w:t>
      </w:r>
      <w:r>
        <w:rPr>
          <w:w w:val="100"/>
        </w:rPr>
        <w:t> </w:t>
      </w:r>
      <w:r>
        <w:rPr/>
        <w:t>提供大健康领域的救助入口；二是弘扬宣传救助公益事迹；三是发布贫困地区的救助援助动态信</w:t>
      </w:r>
      <w:r>
        <w:rPr>
          <w:w w:val="100"/>
        </w:rPr>
        <w:t> </w:t>
      </w:r>
      <w:r>
        <w:rPr/>
        <w:t>息；四是引导开展援助方和受助方的互动交流。人民网期望通过这一平台，给乐于公益的机构和</w:t>
      </w:r>
      <w:r>
        <w:rPr>
          <w:w w:val="100"/>
        </w:rPr>
        <w:t> </w:t>
      </w:r>
      <w:r>
        <w:rPr/>
        <w:t>人群提供渠道，让需要帮助的贫困地区及当地百姓更顺畅地获得帮助。</w:t>
      </w:r>
    </w:p>
    <w:p>
      <w:pPr>
        <w:pStyle w:val="BodyText"/>
        <w:spacing w:line="240" w:lineRule="auto" w:before="32"/>
        <w:ind w:left="558" w:right="148"/>
        <w:jc w:val="left"/>
      </w:pPr>
      <w:r>
        <w:rPr>
          <w:rFonts w:ascii="宋体" w:hAnsi="宋体" w:cs="宋体" w:eastAsia="宋体" w:hint="default"/>
        </w:rPr>
        <w:t>4</w:t>
      </w:r>
      <w:r>
        <w:rPr/>
        <w:t>、人民网工会扶贫项目开展情况</w:t>
      </w:r>
    </w:p>
    <w:p>
      <w:pPr>
        <w:pStyle w:val="BodyText"/>
        <w:spacing w:line="355" w:lineRule="auto" w:before="133"/>
        <w:ind w:right="148" w:firstLine="419"/>
        <w:jc w:val="left"/>
      </w:pPr>
      <w:r>
        <w:rPr>
          <w:rFonts w:ascii="宋体" w:hAnsi="宋体" w:cs="宋体" w:eastAsia="宋体" w:hint="default"/>
        </w:rPr>
        <w:t>2017</w:t>
      </w:r>
      <w:r>
        <w:rPr>
          <w:rFonts w:ascii="宋体" w:hAnsi="宋体" w:cs="宋体" w:eastAsia="宋体" w:hint="default"/>
          <w:spacing w:val="-9"/>
        </w:rPr>
        <w:t> </w:t>
      </w:r>
      <w:r>
        <w:rPr>
          <w:spacing w:val="-3"/>
        </w:rPr>
        <w:t>年，公司响应中央号召，利用工会经费中的员工福利费，从贫困地区滦平县购买农副产</w:t>
      </w:r>
      <w:r>
        <w:rPr>
          <w:w w:val="100"/>
        </w:rPr>
        <w:t> </w:t>
      </w:r>
      <w:r>
        <w:rPr/>
        <w:t>品发放员工，</w:t>
      </w:r>
      <w:r>
        <w:rPr>
          <w:rFonts w:ascii="宋体" w:hAnsi="宋体" w:cs="宋体" w:eastAsia="宋体" w:hint="default"/>
        </w:rPr>
        <w:t>2017</w:t>
      </w:r>
      <w:r>
        <w:rPr>
          <w:rFonts w:ascii="宋体" w:hAnsi="宋体" w:cs="宋体" w:eastAsia="宋体" w:hint="default"/>
          <w:spacing w:val="-56"/>
        </w:rPr>
        <w:t> </w:t>
      </w:r>
      <w:r>
        <w:rPr/>
        <w:t>年共采购蔬菜、杂粮、鸡蛋等农副产品人民币</w:t>
      </w:r>
      <w:r>
        <w:rPr>
          <w:spacing w:val="-54"/>
        </w:rPr>
        <w:t> </w:t>
      </w:r>
      <w:r>
        <w:rPr>
          <w:rFonts w:ascii="宋体" w:hAnsi="宋体" w:cs="宋体" w:eastAsia="宋体" w:hint="default"/>
        </w:rPr>
        <w:t>37.12</w:t>
      </w:r>
      <w:r>
        <w:rPr>
          <w:rFonts w:ascii="宋体" w:hAnsi="宋体" w:cs="宋体" w:eastAsia="宋体" w:hint="default"/>
          <w:spacing w:val="-56"/>
        </w:rPr>
        <w:t> </w:t>
      </w:r>
      <w:r>
        <w:rPr/>
        <w:t>万余元。</w:t>
      </w:r>
    </w:p>
    <w:p>
      <w:pPr>
        <w:spacing w:line="240" w:lineRule="auto" w:before="13"/>
        <w:rPr>
          <w:rFonts w:ascii="宋体" w:hAnsi="宋体" w:cs="宋体" w:eastAsia="宋体" w:hint="default"/>
          <w:sz w:val="27"/>
          <w:szCs w:val="27"/>
        </w:rPr>
      </w:pPr>
    </w:p>
    <w:p>
      <w:pPr>
        <w:pStyle w:val="Heading2"/>
        <w:tabs>
          <w:tab w:pos="562" w:val="left" w:leader="none"/>
        </w:tabs>
        <w:spacing w:line="240" w:lineRule="auto"/>
        <w:ind w:left="138" w:right="148"/>
        <w:jc w:val="left"/>
        <w:rPr>
          <w:b w:val="0"/>
          <w:bCs w:val="0"/>
        </w:rPr>
      </w:pPr>
      <w:r>
        <w:rPr>
          <w:rFonts w:ascii="宋体" w:hAnsi="宋体" w:cs="宋体" w:eastAsia="宋体" w:hint="default"/>
          <w:w w:val="95"/>
        </w:rPr>
        <w:t>3.</w:t>
        <w:tab/>
      </w:r>
      <w:r>
        <w:rPr/>
        <w:t>精准扶贫成效</w:t>
      </w:r>
      <w:r>
        <w:rPr>
          <w:b w:val="0"/>
          <w:bCs w:val="0"/>
        </w:rPr>
      </w:r>
    </w:p>
    <w:p>
      <w:pPr>
        <w:spacing w:after="0" w:line="240" w:lineRule="auto"/>
        <w:jc w:val="left"/>
        <w:sectPr>
          <w:pgSz w:w="11910" w:h="16840"/>
          <w:pgMar w:header="0" w:footer="1195" w:top="1120" w:bottom="1380" w:left="1660" w:right="1060"/>
        </w:sectPr>
      </w:pPr>
    </w:p>
    <w:p>
      <w:pPr>
        <w:spacing w:line="240" w:lineRule="auto" w:before="4"/>
        <w:rPr>
          <w:rFonts w:ascii="宋体" w:hAnsi="宋体" w:cs="宋体" w:eastAsia="宋体" w:hint="default"/>
          <w:b/>
          <w:bCs/>
          <w:sz w:val="25"/>
          <w:szCs w:val="25"/>
        </w:rPr>
      </w:pPr>
    </w:p>
    <w:p>
      <w:pPr>
        <w:pStyle w:val="BodyText"/>
        <w:tabs>
          <w:tab w:pos="1262" w:val="left" w:leader="none"/>
        </w:tabs>
        <w:spacing w:line="240" w:lineRule="auto" w:before="3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37.52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42" w:val="left" w:leader="none"/>
        </w:tabs>
        <w:spacing w:line="240" w:lineRule="auto" w:before="36"/>
        <w:ind w:right="2731"/>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357" w:lineRule="auto" w:before="116"/>
        <w:ind w:left="218" w:right="124" w:firstLine="419"/>
        <w:jc w:val="left"/>
      </w:pPr>
      <w:r>
        <w:rPr>
          <w:rFonts w:ascii="宋体" w:hAnsi="宋体" w:cs="宋体" w:eastAsia="宋体" w:hint="default"/>
        </w:rPr>
        <w:t>2018</w:t>
      </w:r>
      <w:r>
        <w:rPr>
          <w:rFonts w:ascii="宋体" w:hAnsi="宋体" w:cs="宋体" w:eastAsia="宋体" w:hint="default"/>
          <w:spacing w:val="-8"/>
        </w:rPr>
        <w:t> </w:t>
      </w:r>
      <w:r>
        <w:rPr>
          <w:spacing w:val="-3"/>
        </w:rPr>
        <w:t>年，公司拟继续加强各大扶贫平台建设，扩大新闻报道的传播力与影响力，促进网络化</w:t>
      </w:r>
      <w:r>
        <w:rPr>
          <w:w w:val="100"/>
        </w:rPr>
        <w:t> </w:t>
      </w:r>
      <w:r>
        <w:rPr/>
        <w:t>扶贫内容在线下产生社会效益。具体计划包括：</w:t>
      </w:r>
    </w:p>
    <w:p>
      <w:pPr>
        <w:pStyle w:val="BodyText"/>
        <w:spacing w:line="240" w:lineRule="auto" w:before="30"/>
        <w:ind w:left="638" w:right="227"/>
        <w:jc w:val="left"/>
      </w:pPr>
      <w:r>
        <w:rPr>
          <w:rFonts w:ascii="宋体" w:hAnsi="宋体" w:cs="宋体" w:eastAsia="宋体" w:hint="default"/>
        </w:rPr>
        <w:t>1</w:t>
      </w:r>
      <w:r>
        <w:rPr/>
        <w:t>、与更多扶贫机构开展合作，发布并解读扶贫信息，为各地扶贫工作提供信息支持；</w:t>
      </w:r>
    </w:p>
    <w:p>
      <w:pPr>
        <w:pStyle w:val="BodyText"/>
        <w:spacing w:line="240" w:lineRule="auto" w:before="133"/>
        <w:ind w:left="638" w:right="2731"/>
        <w:jc w:val="left"/>
      </w:pPr>
      <w:r>
        <w:rPr>
          <w:rFonts w:ascii="宋体" w:hAnsi="宋体" w:cs="宋体" w:eastAsia="宋体" w:hint="default"/>
        </w:rPr>
        <w:t>2</w:t>
      </w:r>
      <w:r>
        <w:rPr/>
        <w:t>、联合地方扶贫机构，推出主题栏目，推进扶贫资源匹配；</w:t>
      </w:r>
    </w:p>
    <w:p>
      <w:pPr>
        <w:pStyle w:val="BodyText"/>
        <w:spacing w:line="355" w:lineRule="auto" w:before="133"/>
        <w:ind w:left="218" w:right="227" w:firstLine="419"/>
        <w:jc w:val="left"/>
      </w:pPr>
      <w:r>
        <w:rPr>
          <w:rFonts w:ascii="宋体" w:hAnsi="宋体" w:cs="宋体" w:eastAsia="宋体" w:hint="default"/>
          <w:spacing w:val="-4"/>
        </w:rPr>
        <w:t>3</w:t>
      </w:r>
      <w:r>
        <w:rPr>
          <w:spacing w:val="-4"/>
        </w:rPr>
        <w:t>、推进“人民健康公益行动计划”，给更多乐于奉献的机构和人群提供渠道，让需要帮助的</w:t>
      </w:r>
      <w:r>
        <w:rPr>
          <w:w w:val="100"/>
        </w:rPr>
        <w:t> </w:t>
      </w:r>
      <w:r>
        <w:rPr/>
        <w:t>地方和人群更顺畅地获得机会。</w:t>
      </w:r>
    </w:p>
    <w:p>
      <w:pPr>
        <w:spacing w:line="240" w:lineRule="auto" w:before="13"/>
        <w:rPr>
          <w:rFonts w:ascii="宋体" w:hAnsi="宋体" w:cs="宋体" w:eastAsia="宋体" w:hint="default"/>
          <w:sz w:val="27"/>
          <w:szCs w:val="27"/>
        </w:rPr>
      </w:pPr>
    </w:p>
    <w:p>
      <w:pPr>
        <w:pStyle w:val="Heading2"/>
        <w:tabs>
          <w:tab w:pos="861" w:val="left" w:leader="none"/>
        </w:tabs>
        <w:spacing w:line="240" w:lineRule="auto"/>
        <w:ind w:right="273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355" w:lineRule="auto" w:before="58"/>
        <w:ind w:left="638" w:right="227" w:hanging="420"/>
        <w:jc w:val="left"/>
      </w:pPr>
      <w:r>
        <w:rPr/>
        <w:t>√适用</w:t>
      </w:r>
      <w:r>
        <w:rPr>
          <w:spacing w:val="-2"/>
        </w:rPr>
        <w:t> </w:t>
      </w:r>
      <w:r>
        <w:rPr/>
        <w:t>□不适用</w:t>
      </w:r>
      <w:r>
        <w:rPr>
          <w:w w:val="100"/>
        </w:rPr>
        <w:t> </w:t>
      </w:r>
      <w:r>
        <w:rPr>
          <w:spacing w:val="-2"/>
        </w:rPr>
        <w:t>公司报告期内履行社会责任的工作情况，请详见与本报告同时在上海证券交易所网站</w:t>
      </w:r>
    </w:p>
    <w:p>
      <w:pPr>
        <w:pStyle w:val="BodyText"/>
        <w:spacing w:line="240" w:lineRule="auto" w:before="32"/>
        <w:ind w:left="218" w:right="227"/>
        <w:jc w:val="left"/>
      </w:pPr>
      <w:hyperlink r:id="rId10">
        <w:r>
          <w:rPr>
            <w:rFonts w:ascii="宋体" w:hAnsi="宋体" w:cs="宋体" w:eastAsia="宋体" w:hint="default"/>
          </w:rPr>
          <w:t>(www.sse.com.cn</w:t>
        </w:r>
      </w:hyperlink>
      <w:r>
        <w:rPr>
          <w:rFonts w:ascii="宋体" w:hAnsi="宋体" w:cs="宋体" w:eastAsia="宋体" w:hint="default"/>
        </w:rPr>
        <w:t>)</w:t>
      </w:r>
      <w:r>
        <w:rPr/>
        <w:t>上披露的《人民网股份有限公司</w:t>
      </w:r>
      <w:r>
        <w:rPr>
          <w:spacing w:val="-58"/>
        </w:rPr>
        <w:t> </w:t>
      </w:r>
      <w:r>
        <w:rPr>
          <w:rFonts w:ascii="宋体" w:hAnsi="宋体" w:cs="宋体" w:eastAsia="宋体" w:hint="default"/>
        </w:rPr>
        <w:t>2017</w:t>
      </w:r>
      <w:r>
        <w:rPr>
          <w:rFonts w:ascii="宋体" w:hAnsi="宋体" w:cs="宋体" w:eastAsia="宋体" w:hint="default"/>
          <w:spacing w:val="-58"/>
        </w:rPr>
        <w:t> </w:t>
      </w:r>
      <w:r>
        <w:rPr/>
        <w:t>年度社会责任报告》。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861" w:val="left" w:leader="none"/>
        </w:tabs>
        <w:spacing w:line="240" w:lineRule="auto"/>
        <w:ind w:right="2731"/>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642" w:val="left" w:leader="none"/>
        </w:tabs>
        <w:spacing w:line="240" w:lineRule="auto" w:before="56"/>
        <w:ind w:right="227"/>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731"/>
        <w:jc w:val="left"/>
        <w:rPr>
          <w:b w:val="0"/>
          <w:bCs w:val="0"/>
        </w:rPr>
      </w:pPr>
      <w:r>
        <w:rPr>
          <w:rFonts w:ascii="宋体" w:hAnsi="宋体" w:cs="宋体" w:eastAsia="宋体" w:hint="default"/>
          <w:w w:val="95"/>
        </w:rPr>
        <w:t>2.</w:t>
        <w:tab/>
      </w:r>
      <w:r>
        <w:rPr/>
        <w:t>重点排污单位之外的公司</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731"/>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right="2731"/>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十八、可转换公司债券情况</w:t>
      </w:r>
      <w:r>
        <w:rPr>
          <w:b w:val="0"/>
          <w:bCs w:val="0"/>
        </w:rPr>
      </w:r>
    </w:p>
    <w:p>
      <w:pPr>
        <w:pStyle w:val="Heading2"/>
        <w:spacing w:line="240" w:lineRule="auto" w:before="56"/>
        <w:ind w:right="27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32"/>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left="218" w:right="2731"/>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2"/>
        <w:spacing w:line="240" w:lineRule="auto"/>
        <w:ind w:right="27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left="218" w:right="2731"/>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right="2543"/>
        <w:jc w:val="left"/>
      </w:pPr>
      <w:r>
        <w:rPr/>
        <w:t>报告期转债累计转股情况</w:t>
      </w:r>
    </w:p>
    <w:p>
      <w:pPr>
        <w:pStyle w:val="BodyText"/>
        <w:spacing w:line="274" w:lineRule="exact"/>
        <w:ind w:right="254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left="138" w:right="254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254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left="138" w:right="254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29"/>
        <w:ind w:right="2543"/>
        <w:jc w:val="left"/>
      </w:pPr>
      <w:r>
        <w:rPr/>
        <w:t>□适用</w:t>
      </w:r>
      <w:r>
        <w:rPr>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left="138" w:right="2543"/>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0"/>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784" w:val="left" w:leader="none"/>
        </w:tabs>
        <w:spacing w:line="278" w:lineRule="auto"/>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5"/>
        <w:ind w:left="218" w:right="2731"/>
        <w:jc w:val="left"/>
      </w:pPr>
      <w:r>
        <w:rPr/>
        <w:t>报告期内，公司普通股股份总数及股本结构未发生变化。</w:t>
      </w:r>
    </w:p>
    <w:p>
      <w:pPr>
        <w:spacing w:line="240" w:lineRule="auto" w:before="10"/>
        <w:rPr>
          <w:rFonts w:ascii="宋体" w:hAnsi="宋体" w:cs="宋体" w:eastAsia="宋体" w:hint="default"/>
          <w:sz w:val="27"/>
          <w:szCs w:val="27"/>
        </w:rPr>
      </w:pPr>
    </w:p>
    <w:p>
      <w:pPr>
        <w:pStyle w:val="Heading2"/>
        <w:spacing w:line="240" w:lineRule="auto"/>
        <w:ind w:right="2731"/>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11"/>
        <w:rPr>
          <w:rFonts w:ascii="宋体" w:hAnsi="宋体" w:cs="宋体" w:eastAsia="宋体" w:hint="default"/>
          <w:sz w:val="27"/>
          <w:szCs w:val="27"/>
        </w:rPr>
      </w:pPr>
    </w:p>
    <w:p>
      <w:pPr>
        <w:pStyle w:val="Heading2"/>
        <w:spacing w:line="240" w:lineRule="auto"/>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10"/>
        <w:rPr>
          <w:rFonts w:ascii="宋体" w:hAnsi="宋体" w:cs="宋体" w:eastAsia="宋体" w:hint="default"/>
          <w:sz w:val="27"/>
          <w:szCs w:val="27"/>
        </w:rPr>
      </w:pPr>
    </w:p>
    <w:p>
      <w:pPr>
        <w:pStyle w:val="Heading2"/>
        <w:spacing w:line="240" w:lineRule="auto"/>
        <w:ind w:right="2731"/>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9"/>
        <w:rPr>
          <w:rFonts w:ascii="宋体" w:hAnsi="宋体" w:cs="宋体" w:eastAsia="宋体" w:hint="default"/>
          <w:sz w:val="28"/>
          <w:szCs w:val="28"/>
        </w:rPr>
      </w:pPr>
    </w:p>
    <w:p>
      <w:pPr>
        <w:pStyle w:val="Heading2"/>
        <w:tabs>
          <w:tab w:pos="784" w:val="left" w:leader="none"/>
        </w:tabs>
        <w:spacing w:line="240" w:lineRule="auto"/>
        <w:ind w:right="2731"/>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2" w:lineRule="auto"/>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0"/>
        <w:ind w:left="218" w:right="236"/>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6"/>
        <w:rPr>
          <w:rFonts w:ascii="宋体" w:hAnsi="宋体" w:cs="宋体" w:eastAsia="宋体" w:hint="default"/>
          <w:sz w:val="27"/>
          <w:szCs w:val="27"/>
        </w:rPr>
      </w:pPr>
    </w:p>
    <w:p>
      <w:pPr>
        <w:pStyle w:val="Heading2"/>
        <w:spacing w:line="240" w:lineRule="auto"/>
        <w:ind w:right="2731"/>
        <w:jc w:val="left"/>
        <w:rPr>
          <w:b w:val="0"/>
          <w:bCs w:val="0"/>
        </w:rPr>
      </w:pPr>
      <w:r>
        <w:rPr/>
        <w:t>三、</w:t>
      </w:r>
      <w:r>
        <w:rPr>
          <w:spacing w:val="-80"/>
        </w:rPr>
        <w:t> </w:t>
      </w:r>
      <w:r>
        <w:rPr/>
        <w:t>股东和实际控制人情况</w:t>
      </w:r>
      <w:r>
        <w:rPr>
          <w:b w:val="0"/>
          <w:bCs w:val="0"/>
        </w:rPr>
      </w:r>
    </w:p>
    <w:p>
      <w:pPr>
        <w:pStyle w:val="Heading2"/>
        <w:spacing w:line="240" w:lineRule="auto" w:before="56"/>
        <w:ind w:right="27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072"/>
        <w:gridCol w:w="3977"/>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65,918</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66,288</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28"/>
          <w:pgSz w:w="11910" w:h="16840"/>
          <w:pgMar w:footer="1195" w:header="0" w:top="1120" w:bottom="1380" w:left="1580" w:right="1040"/>
        </w:sectPr>
      </w:pPr>
    </w:p>
    <w:p>
      <w:pPr>
        <w:pStyle w:val="Heading2"/>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7"/>
        <w:gridCol w:w="1272"/>
        <w:gridCol w:w="1416"/>
        <w:gridCol w:w="742"/>
        <w:gridCol w:w="890"/>
        <w:gridCol w:w="730"/>
        <w:gridCol w:w="636"/>
        <w:gridCol w:w="1056"/>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7" w:hRule="exact"/>
        </w:trPr>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4" w:lineRule="exact"/>
              <w:ind w:left="72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72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5" w:right="101"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90" w:type="dxa"/>
            <w:vMerge w:val="restart"/>
            <w:tcBorders>
              <w:top w:val="single" w:sz="4" w:space="0" w:color="000000"/>
              <w:left w:val="single" w:sz="4" w:space="0" w:color="000000"/>
              <w:right w:val="single" w:sz="4" w:space="0" w:color="000000"/>
            </w:tcBorders>
          </w:tcPr>
          <w:p>
            <w:pPr>
              <w:pStyle w:val="TableParagraph"/>
              <w:spacing w:line="272" w:lineRule="exact" w:before="1"/>
              <w:ind w:left="124" w:right="120"/>
              <w:jc w:val="center"/>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w w:val="100"/>
                <w:sz w:val="21"/>
                <w:szCs w:val="21"/>
              </w:rPr>
              <w:t> </w:t>
            </w:r>
            <w:r>
              <w:rPr>
                <w:rFonts w:ascii="宋体" w:hAnsi="宋体" w:cs="宋体" w:eastAsia="宋体" w:hint="default"/>
                <w:sz w:val="21"/>
                <w:szCs w:val="21"/>
              </w:rPr>
              <w:t>限售条</w:t>
            </w:r>
          </w:p>
          <w:p>
            <w:pPr>
              <w:pStyle w:val="TableParagraph"/>
              <w:spacing w:line="272" w:lineRule="exact" w:before="1"/>
              <w:ind w:left="124" w:right="120"/>
              <w:jc w:val="center"/>
              <w:rPr>
                <w:rFonts w:ascii="宋体" w:hAnsi="宋体" w:cs="宋体" w:eastAsia="宋体" w:hint="default"/>
                <w:sz w:val="21"/>
                <w:szCs w:val="21"/>
              </w:rPr>
            </w:pPr>
            <w:r>
              <w:rPr>
                <w:rFonts w:ascii="宋体" w:hAnsi="宋体" w:cs="宋体" w:eastAsia="宋体" w:hint="default"/>
                <w:sz w:val="21"/>
                <w:szCs w:val="21"/>
              </w:rPr>
              <w:t>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1" w:right="31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5" w:hRule="exact"/>
        </w:trPr>
        <w:tc>
          <w:tcPr>
            <w:tcW w:w="230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数量</w:t>
            </w:r>
          </w:p>
        </w:tc>
        <w:tc>
          <w:tcPr>
            <w:tcW w:w="1056" w:type="dxa"/>
            <w:vMerge/>
            <w:tcBorders>
              <w:left w:val="single" w:sz="4" w:space="0" w:color="000000"/>
              <w:bottom w:val="single" w:sz="4" w:space="0" w:color="000000"/>
              <w:right w:val="single" w:sz="4" w:space="0" w:color="000000"/>
            </w:tcBorders>
          </w:tcPr>
          <w:p>
            <w:pP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535,540,064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48.43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7"/>
        <w:gridCol w:w="1272"/>
        <w:gridCol w:w="1416"/>
        <w:gridCol w:w="742"/>
        <w:gridCol w:w="890"/>
        <w:gridCol w:w="730"/>
        <w:gridCol w:w="636"/>
        <w:gridCol w:w="1056"/>
      </w:tblGrid>
      <w:tr>
        <w:trPr>
          <w:trHeight w:val="28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72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72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25" w:right="101"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97" w:right="17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90" w:type="dxa"/>
            <w:vMerge w:val="restart"/>
            <w:tcBorders>
              <w:top w:val="single" w:sz="4" w:space="0" w:color="000000"/>
              <w:left w:val="single" w:sz="4" w:space="0" w:color="000000"/>
              <w:right w:val="single" w:sz="4" w:space="0" w:color="000000"/>
            </w:tcBorders>
          </w:tcPr>
          <w:p>
            <w:pPr>
              <w:pStyle w:val="TableParagraph"/>
              <w:spacing w:line="245" w:lineRule="exact"/>
              <w:ind w:left="124"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124" w:right="120"/>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11" w:right="31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230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数量</w:t>
            </w:r>
          </w:p>
        </w:tc>
        <w:tc>
          <w:tcPr>
            <w:tcW w:w="1056" w:type="dxa"/>
            <w:vMerge/>
            <w:tcBorders>
              <w:left w:val="single" w:sz="4" w:space="0" w:color="000000"/>
              <w:bottom w:val="single" w:sz="4" w:space="0" w:color="000000"/>
              <w:right w:val="single" w:sz="4" w:space="0" w:color="000000"/>
            </w:tcBorders>
          </w:tcPr>
          <w:p>
            <w:pP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94,910,136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24,040,404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16,026,936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15,040,302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13,831,018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8,013,468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7,075,400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5,113,171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7,021,975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6,571,044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579"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58" w:type="dxa"/>
            <w:gridSpan w:val="2"/>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33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579" w:type="dxa"/>
            <w:gridSpan w:val="2"/>
            <w:vMerge/>
            <w:tcBorders>
              <w:left w:val="single" w:sz="4" w:space="0" w:color="000000"/>
              <w:bottom w:val="single" w:sz="4" w:space="0" w:color="000000"/>
              <w:right w:val="single" w:sz="4" w:space="0" w:color="000000"/>
            </w:tcBorders>
          </w:tcPr>
          <w:p>
            <w:pPr/>
          </w:p>
        </w:tc>
        <w:tc>
          <w:tcPr>
            <w:tcW w:w="2158" w:type="dxa"/>
            <w:gridSpan w:val="2"/>
            <w:vMerge/>
            <w:tcBorders>
              <w:left w:val="single" w:sz="4" w:space="0" w:color="000000"/>
              <w:bottom w:val="single" w:sz="4" w:space="0" w:color="000000"/>
              <w:right w:val="single" w:sz="4" w:space="0" w:color="000000"/>
            </w:tcBorders>
          </w:tcPr>
          <w:p>
            <w:pP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4"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sz w:val="21"/>
              </w:rPr>
              <w:t>535,540,064</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535,540,064</w:t>
            </w:r>
          </w:p>
        </w:tc>
      </w:tr>
      <w:tr>
        <w:trPr>
          <w:trHeight w:val="281"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sz w:val="21"/>
              </w:rPr>
              <w:t>94,910,136</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sz w:val="21"/>
              </w:rPr>
              <w:t>94,910,136</w:t>
            </w:r>
          </w:p>
        </w:tc>
      </w:tr>
      <w:tr>
        <w:trPr>
          <w:trHeight w:val="283"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sz w:val="21"/>
              </w:rPr>
              <w:t>24,040,404</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sz w:val="21"/>
              </w:rPr>
              <w:t>24,040,404</w:t>
            </w:r>
          </w:p>
        </w:tc>
      </w:tr>
      <w:tr>
        <w:trPr>
          <w:trHeight w:val="281"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sz w:val="21"/>
              </w:rPr>
              <w:t>16,026,936</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sz w:val="21"/>
              </w:rPr>
              <w:t>16,026,936</w:t>
            </w:r>
          </w:p>
        </w:tc>
      </w:tr>
      <w:tr>
        <w:trPr>
          <w:trHeight w:val="283"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英大传媒投资集团有限公司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3" w:right="0"/>
              <w:jc w:val="left"/>
              <w:rPr>
                <w:rFonts w:ascii="宋体" w:hAnsi="宋体" w:cs="宋体" w:eastAsia="宋体" w:hint="default"/>
                <w:sz w:val="21"/>
                <w:szCs w:val="21"/>
              </w:rPr>
            </w:pPr>
            <w:r>
              <w:rPr>
                <w:rFonts w:ascii="宋体"/>
                <w:sz w:val="21"/>
              </w:rPr>
              <w:t>15,040,302</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sz w:val="21"/>
              </w:rPr>
              <w:t>15,040,302</w:t>
            </w:r>
          </w:p>
        </w:tc>
      </w:tr>
      <w:tr>
        <w:trPr>
          <w:trHeight w:val="283"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sz w:val="21"/>
              </w:rPr>
              <w:t>13,831,018</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sz w:val="21"/>
              </w:rPr>
              <w:t>13,831,018</w:t>
            </w:r>
          </w:p>
        </w:tc>
      </w:tr>
      <w:tr>
        <w:trPr>
          <w:trHeight w:val="281"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sz w:val="21"/>
              </w:rPr>
              <w:t>8,013,468</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sz w:val="21"/>
              </w:rPr>
              <w:t>8,013,468</w:t>
            </w:r>
          </w:p>
        </w:tc>
      </w:tr>
      <w:tr>
        <w:trPr>
          <w:trHeight w:val="283"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9" w:right="0"/>
              <w:jc w:val="left"/>
              <w:rPr>
                <w:rFonts w:ascii="宋体" w:hAnsi="宋体" w:cs="宋体" w:eastAsia="宋体" w:hint="default"/>
                <w:sz w:val="21"/>
                <w:szCs w:val="21"/>
              </w:rPr>
            </w:pPr>
            <w:r>
              <w:rPr>
                <w:rFonts w:ascii="宋体"/>
                <w:sz w:val="21"/>
              </w:rPr>
              <w:t>7,075,400</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sz w:val="21"/>
              </w:rPr>
              <w:t>7,075,400</w:t>
            </w:r>
          </w:p>
        </w:tc>
      </w:tr>
      <w:tr>
        <w:trPr>
          <w:trHeight w:val="283"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sz w:val="21"/>
              </w:rPr>
              <w:t>7,021,975</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sz w:val="21"/>
              </w:rPr>
              <w:t>7,021,975</w:t>
            </w:r>
          </w:p>
        </w:tc>
      </w:tr>
      <w:tr>
        <w:trPr>
          <w:trHeight w:val="281"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sz w:val="21"/>
              </w:rPr>
              <w:t>6,571,044</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sz w:val="21"/>
              </w:rPr>
              <w:t>6,571,044</w:t>
            </w:r>
          </w:p>
        </w:tc>
      </w:tr>
      <w:tr>
        <w:trPr>
          <w:trHeight w:val="1100"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上述股东中，《环球时报》社为控股股东人民日报社的下</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属企业。公司未知上述其他股东是否存在关联关系，也未</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知上述其他股东是否属于《上市公司股东持股变动信息披</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露管理办法》规定的一致行动人。</w:t>
            </w:r>
          </w:p>
        </w:tc>
      </w:tr>
      <w:tr>
        <w:trPr>
          <w:trHeight w:val="557" w:hRule="exact"/>
        </w:trPr>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pStyle w:val="BodyText"/>
        <w:spacing w:line="274" w:lineRule="exact" w:before="36"/>
        <w:ind w:left="218" w:right="2731"/>
        <w:jc w:val="left"/>
      </w:pPr>
      <w:r>
        <w:rPr/>
        <w:t>前十名有限售条件股东持股数量及限售条件</w:t>
      </w:r>
    </w:p>
    <w:p>
      <w:pPr>
        <w:pStyle w:val="BodyText"/>
        <w:spacing w:line="274" w:lineRule="exact"/>
        <w:ind w:left="218" w:right="2731"/>
        <w:jc w:val="left"/>
      </w:pPr>
      <w:r>
        <w:rPr/>
        <w:t>□适用</w:t>
      </w:r>
      <w:r>
        <w:rPr>
          <w:spacing w:val="-1"/>
        </w:rPr>
        <w:t> </w:t>
      </w:r>
      <w:r>
        <w:rPr/>
        <w:t>√不适用</w:t>
      </w:r>
    </w:p>
    <w:p>
      <w:pPr>
        <w:pStyle w:val="Heading2"/>
        <w:tabs>
          <w:tab w:pos="784" w:val="left" w:leader="none"/>
        </w:tabs>
        <w:spacing w:line="240" w:lineRule="auto" w:before="56"/>
        <w:ind w:right="2731"/>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left="218" w:right="2731"/>
        <w:jc w:val="left"/>
      </w:pPr>
      <w:r>
        <w:rPr/>
        <w:t>□适用</w:t>
      </w:r>
      <w:r>
        <w:rPr>
          <w:spacing w:val="-1"/>
        </w:rPr>
        <w:t> </w:t>
      </w:r>
      <w:r>
        <w:rPr/>
        <w:t>√不适用</w:t>
      </w:r>
    </w:p>
    <w:p>
      <w:pPr>
        <w:spacing w:after="0" w:line="240" w:lineRule="auto"/>
        <w:jc w:val="left"/>
        <w:sectPr>
          <w:footerReference w:type="default" r:id="rId29"/>
          <w:pgSz w:w="11910" w:h="16840"/>
          <w:pgMar w:footer="1195" w:header="0" w:top="1120" w:bottom="1380" w:left="1580" w:right="1040"/>
          <w:pgNumType w:start="41"/>
        </w:sectPr>
      </w:pPr>
    </w:p>
    <w:p>
      <w:pPr>
        <w:spacing w:line="240" w:lineRule="auto" w:before="4"/>
        <w:rPr>
          <w:rFonts w:ascii="宋体" w:hAnsi="宋体" w:cs="宋体" w:eastAsia="宋体" w:hint="default"/>
          <w:sz w:val="25"/>
          <w:szCs w:val="25"/>
        </w:rPr>
      </w:pPr>
    </w:p>
    <w:p>
      <w:pPr>
        <w:pStyle w:val="Heading2"/>
        <w:spacing w:line="240" w:lineRule="auto" w:before="36"/>
        <w:ind w:right="2731"/>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273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杨振武</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18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人民日报社系中共中央举办的国有事业单位，承担党中央机</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6"/>
                <w:w w:val="100"/>
                <w:sz w:val="21"/>
                <w:szCs w:val="21"/>
              </w:rPr>
              <w:t>关报职能，其宗旨是宣传中国共产党的理论和路线方针政策，</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弘扬社会正气，通达社情民意，引导社会热点，疏导公众情</w:t>
            </w:r>
            <w:r>
              <w:rPr>
                <w:rFonts w:ascii="宋体" w:hAnsi="宋体" w:cs="宋体" w:eastAsia="宋体" w:hint="default"/>
                <w:w w:val="100"/>
                <w:sz w:val="21"/>
                <w:szCs w:val="21"/>
              </w:rPr>
              <w:t> </w:t>
            </w:r>
            <w:r>
              <w:rPr>
                <w:rFonts w:ascii="宋体" w:hAnsi="宋体" w:cs="宋体" w:eastAsia="宋体" w:hint="default"/>
                <w:sz w:val="21"/>
                <w:szCs w:val="21"/>
              </w:rPr>
              <w:t>绪，搞好舆论监督，及时传播国内外各领域的信息，报道世</w:t>
            </w:r>
            <w:r>
              <w:rPr>
                <w:rFonts w:ascii="宋体" w:hAnsi="宋体" w:cs="宋体" w:eastAsia="宋体" w:hint="default"/>
                <w:w w:val="100"/>
                <w:sz w:val="21"/>
                <w:szCs w:val="21"/>
              </w:rPr>
              <w:t> </w:t>
            </w:r>
            <w:r>
              <w:rPr>
                <w:rFonts w:ascii="宋体" w:hAnsi="宋体" w:cs="宋体" w:eastAsia="宋体" w:hint="default"/>
                <w:sz w:val="21"/>
                <w:szCs w:val="21"/>
              </w:rPr>
              <w:t>界上发生的重大事件并发表评论，发挥好党治国理政的重要</w:t>
            </w:r>
            <w:r>
              <w:rPr>
                <w:rFonts w:ascii="宋体" w:hAnsi="宋体" w:cs="宋体" w:eastAsia="宋体" w:hint="default"/>
                <w:w w:val="100"/>
                <w:sz w:val="21"/>
                <w:szCs w:val="21"/>
              </w:rPr>
              <w:t> </w:t>
            </w:r>
            <w:r>
              <w:rPr>
                <w:rFonts w:ascii="宋体" w:hAnsi="宋体" w:cs="宋体" w:eastAsia="宋体" w:hint="default"/>
                <w:sz w:val="21"/>
                <w:szCs w:val="21"/>
              </w:rPr>
              <w:t>资源和重要手段作用；业务范围主要是《人民日报》、《人</w:t>
            </w:r>
            <w:r>
              <w:rPr>
                <w:rFonts w:ascii="宋体" w:hAnsi="宋体" w:cs="宋体" w:eastAsia="宋体" w:hint="default"/>
                <w:w w:val="100"/>
                <w:sz w:val="21"/>
                <w:szCs w:val="21"/>
              </w:rPr>
              <w:t> </w:t>
            </w:r>
            <w:r>
              <w:rPr>
                <w:rFonts w:ascii="宋体" w:hAnsi="宋体" w:cs="宋体" w:eastAsia="宋体" w:hint="default"/>
                <w:sz w:val="21"/>
                <w:szCs w:val="21"/>
              </w:rPr>
              <w:t>民日报海外版》等报纸的出版、网络新闻宣传、信息传播技</w:t>
            </w:r>
            <w:r>
              <w:rPr>
                <w:rFonts w:ascii="宋体" w:hAnsi="宋体" w:cs="宋体" w:eastAsia="宋体" w:hint="default"/>
                <w:w w:val="100"/>
                <w:sz w:val="21"/>
                <w:szCs w:val="21"/>
              </w:rPr>
              <w:t> </w:t>
            </w:r>
            <w:r>
              <w:rPr>
                <w:rFonts w:ascii="宋体" w:hAnsi="宋体" w:cs="宋体" w:eastAsia="宋体" w:hint="default"/>
                <w:sz w:val="21"/>
                <w:szCs w:val="21"/>
              </w:rPr>
              <w:t>术开发、印刷发行、新闻研究与业务培训等。</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637" w:val="left" w:leader="none"/>
        </w:tabs>
        <w:spacing w:line="240" w:lineRule="auto" w:before="36"/>
        <w:ind w:right="2731"/>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11"/>
        <w:rPr>
          <w:rFonts w:ascii="宋体" w:hAnsi="宋体" w:cs="宋体" w:eastAsia="宋体" w:hint="default"/>
          <w:sz w:val="27"/>
          <w:szCs w:val="27"/>
        </w:rPr>
      </w:pPr>
    </w:p>
    <w:p>
      <w:pPr>
        <w:pStyle w:val="Heading2"/>
        <w:tabs>
          <w:tab w:pos="637" w:val="left" w:leader="none"/>
        </w:tabs>
        <w:spacing w:line="240" w:lineRule="auto"/>
        <w:ind w:right="2731"/>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ind w:right="2731"/>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10"/>
        <w:rPr>
          <w:rFonts w:ascii="宋体" w:hAnsi="宋体" w:cs="宋体" w:eastAsia="宋体" w:hint="default"/>
          <w:sz w:val="27"/>
          <w:szCs w:val="27"/>
        </w:rPr>
      </w:pPr>
    </w:p>
    <w:p>
      <w:pPr>
        <w:pStyle w:val="Heading2"/>
        <w:tabs>
          <w:tab w:pos="637" w:val="left" w:leader="none"/>
        </w:tabs>
        <w:spacing w:line="240" w:lineRule="auto"/>
        <w:ind w:right="2731"/>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
          <w:szCs w:val="2"/>
        </w:rPr>
      </w:pPr>
    </w:p>
    <w:p>
      <w:pPr>
        <w:spacing w:line="3341" w:lineRule="exact"/>
        <w:ind w:left="1632"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826787" cy="212169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3826787" cy="2121693"/>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3"/>
        <w:rPr>
          <w:rFonts w:ascii="宋体" w:hAnsi="宋体" w:cs="宋体" w:eastAsia="宋体" w:hint="default"/>
          <w:sz w:val="23"/>
          <w:szCs w:val="23"/>
        </w:rPr>
      </w:pPr>
    </w:p>
    <w:p>
      <w:pPr>
        <w:pStyle w:val="Heading2"/>
        <w:tabs>
          <w:tab w:pos="642" w:val="left" w:leader="none"/>
        </w:tabs>
        <w:spacing w:line="266"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218" w:right="2731"/>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杨振武</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18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人民日报社系中共中央举办的国有事业单位，承担党中央机</w:t>
            </w:r>
          </w:p>
          <w:p>
            <w:pPr>
              <w:pStyle w:val="TableParagraph"/>
              <w:spacing w:line="237" w:lineRule="auto"/>
              <w:ind w:left="103" w:right="65"/>
              <w:jc w:val="both"/>
              <w:rPr>
                <w:rFonts w:ascii="宋体" w:hAnsi="宋体" w:cs="宋体" w:eastAsia="宋体" w:hint="default"/>
                <w:sz w:val="21"/>
                <w:szCs w:val="21"/>
              </w:rPr>
            </w:pPr>
            <w:r>
              <w:rPr>
                <w:rFonts w:ascii="宋体" w:hAnsi="宋体" w:cs="宋体" w:eastAsia="宋体" w:hint="default"/>
                <w:spacing w:val="4"/>
                <w:sz w:val="21"/>
                <w:szCs w:val="21"/>
              </w:rPr>
              <w:t>关报职能，其宗旨是宣传中国共产党的理论和路线方针政</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策，弘扬社会正气，通达社情民意，引导社会热点，疏导公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众情绪，搞好舆论监督，及时传播国内外各领域的信息，报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道世界上发生的重大事件并发表评论，发挥好党治国理政的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重要资源和重要手段作用；业务范围主要是《人民日报》、</w:t>
            </w:r>
          </w:p>
          <w:p>
            <w:pPr>
              <w:pStyle w:val="TableParagraph"/>
              <w:spacing w:line="274" w:lineRule="exact" w:before="22"/>
              <w:ind w:left="103" w:right="98"/>
              <w:jc w:val="both"/>
              <w:rPr>
                <w:rFonts w:ascii="宋体" w:hAnsi="宋体" w:cs="宋体" w:eastAsia="宋体" w:hint="default"/>
                <w:sz w:val="21"/>
                <w:szCs w:val="21"/>
              </w:rPr>
            </w:pPr>
            <w:r>
              <w:rPr>
                <w:rFonts w:ascii="宋体" w:hAnsi="宋体" w:cs="宋体" w:eastAsia="宋体" w:hint="default"/>
                <w:spacing w:val="-3"/>
                <w:sz w:val="21"/>
                <w:szCs w:val="21"/>
              </w:rPr>
              <w:t>《人民日报海外版》等报纸的出版、网络新闻宣传、信息传</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播技术开发、印刷发行、新闻研究与业务培训等。</w:t>
            </w:r>
          </w:p>
        </w:tc>
      </w:tr>
      <w:tr>
        <w:trPr>
          <w:trHeight w:val="55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642" w:val="left" w:leader="none"/>
        </w:tabs>
        <w:spacing w:line="240" w:lineRule="auto" w:before="36"/>
        <w:ind w:right="2731"/>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10"/>
        <w:rPr>
          <w:rFonts w:ascii="宋体" w:hAnsi="宋体" w:cs="宋体" w:eastAsia="宋体" w:hint="default"/>
          <w:sz w:val="27"/>
          <w:szCs w:val="27"/>
        </w:rPr>
      </w:pPr>
    </w:p>
    <w:p>
      <w:pPr>
        <w:pStyle w:val="Heading2"/>
        <w:tabs>
          <w:tab w:pos="642" w:val="left" w:leader="none"/>
        </w:tabs>
        <w:spacing w:line="240" w:lineRule="auto"/>
        <w:ind w:right="2731"/>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731"/>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731"/>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163" w:val="left" w:leader="none"/>
        </w:tabs>
        <w:spacing w:line="240" w:lineRule="auto" w:before="58"/>
        <w:ind w:left="218" w:right="2731"/>
        <w:jc w:val="left"/>
      </w:pPr>
      <w:r>
        <w:rPr>
          <w:spacing w:val="-1"/>
        </w:rPr>
        <w:t>√适用</w:t>
        <w:tab/>
        <w:t>□不适用</w:t>
      </w:r>
    </w:p>
    <w:p>
      <w:pPr>
        <w:spacing w:line="240" w:lineRule="auto" w:before="3"/>
        <w:rPr>
          <w:rFonts w:ascii="宋体" w:hAnsi="宋体" w:cs="宋体" w:eastAsia="宋体" w:hint="default"/>
          <w:sz w:val="2"/>
          <w:szCs w:val="2"/>
        </w:rPr>
      </w:pPr>
    </w:p>
    <w:p>
      <w:pPr>
        <w:spacing w:line="3506" w:lineRule="exact"/>
        <w:ind w:left="1496"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018501" cy="2226468"/>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30" cstate="print"/>
                    <a:stretch>
                      <a:fillRect/>
                    </a:stretch>
                  </pic:blipFill>
                  <pic:spPr>
                    <a:xfrm>
                      <a:off x="0" y="0"/>
                      <a:ext cx="4018501" cy="2226468"/>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tabs>
          <w:tab w:pos="642" w:val="left" w:leader="none"/>
        </w:tabs>
        <w:spacing w:line="240" w:lineRule="auto"/>
        <w:ind w:right="2731"/>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30"/>
        <w:ind w:left="218" w:right="2731"/>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left="138" w:right="2543"/>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right="2543"/>
        <w:jc w:val="left"/>
      </w:pPr>
      <w:r>
        <w:rPr/>
        <w:t>□适用</w:t>
      </w:r>
      <w:r>
        <w:rPr>
          <w:spacing w:val="-1"/>
        </w:rPr>
        <w:t> </w:t>
      </w:r>
      <w:r>
        <w:rPr/>
        <w:t>√不适用</w:t>
      </w:r>
    </w:p>
    <w:p>
      <w:pPr>
        <w:pStyle w:val="Heading2"/>
        <w:spacing w:line="240" w:lineRule="auto" w:before="56"/>
        <w:ind w:left="138" w:right="2543"/>
        <w:jc w:val="left"/>
        <w:rPr>
          <w:b w:val="0"/>
          <w:bCs w:val="0"/>
        </w:rPr>
      </w:pPr>
      <w:r>
        <w:rPr/>
        <w:t>六、</w:t>
      </w:r>
      <w:r>
        <w:rPr>
          <w:spacing w:val="-77"/>
        </w:rPr>
        <w:t> </w:t>
      </w:r>
      <w:r>
        <w:rPr/>
        <w:t>股份限制减持情况说明</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199" w:val="left" w:leader="none"/>
        </w:tabs>
        <w:spacing w:line="240" w:lineRule="auto" w:before="0"/>
        <w:ind w:left="2939" w:right="2543"/>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ind w:left="224" w:right="-4"/>
        <w:jc w:val="left"/>
        <w:rPr>
          <w:b w:val="0"/>
          <w:bCs w:val="0"/>
        </w:rPr>
      </w:pPr>
      <w:r>
        <w:rPr>
          <w:spacing w:val="-1"/>
        </w:rPr>
        <w:t>一、持股变动情况及报酬情况</w:t>
      </w:r>
      <w:r>
        <w:rPr>
          <w:b w:val="0"/>
          <w:bCs w:val="0"/>
          <w:spacing w:val="-1"/>
        </w:rPr>
      </w:r>
    </w:p>
    <w:p>
      <w:pPr>
        <w:pStyle w:val="Heading1"/>
        <w:tabs>
          <w:tab w:pos="1483" w:val="left" w:leader="none"/>
        </w:tabs>
        <w:spacing w:line="240" w:lineRule="auto" w:before="107"/>
        <w:ind w:left="223" w:right="0"/>
        <w:jc w:val="left"/>
        <w:rPr>
          <w:b w:val="0"/>
          <w:bCs w:val="0"/>
        </w:rPr>
      </w:pPr>
      <w:bookmarkStart w:name="_TOC_250004" w:id="8"/>
      <w:r>
        <w:rPr>
          <w:b w:val="0"/>
          <w:bCs w:val="0"/>
          <w:w w:val="95"/>
        </w:rPr>
        <w:br w:type="column"/>
      </w:r>
      <w:r>
        <w:rPr>
          <w:w w:val="95"/>
        </w:rPr>
        <w:t>第八节</w:t>
        <w:tab/>
      </w:r>
      <w:r>
        <w:rPr/>
        <w:t>董事、监事、高级管理人员和员工情况</w:t>
      </w:r>
      <w:bookmarkEnd w:id="8"/>
      <w:r>
        <w:rPr>
          <w:b w:val="0"/>
          <w:bCs w:val="0"/>
        </w:rPr>
      </w:r>
    </w:p>
    <w:p>
      <w:pPr>
        <w:spacing w:after="0" w:line="240" w:lineRule="auto"/>
        <w:jc w:val="left"/>
        <w:sectPr>
          <w:headerReference w:type="default" r:id="rId31"/>
          <w:footerReference w:type="default" r:id="rId32"/>
          <w:pgSz w:w="16840" w:h="11910" w:orient="landscape"/>
          <w:pgMar w:header="880" w:footer="1195" w:top="1120" w:bottom="1380" w:left="1300" w:right="1200"/>
          <w:pgNumType w:start="45"/>
          <w:cols w:num="2" w:equalWidth="0">
            <w:col w:w="2968" w:space="950"/>
            <w:col w:w="10422"/>
          </w:cols>
        </w:sectPr>
      </w:pP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6"/>
        <w:gridCol w:w="3022"/>
        <w:gridCol w:w="708"/>
        <w:gridCol w:w="710"/>
        <w:gridCol w:w="1558"/>
        <w:gridCol w:w="1560"/>
        <w:gridCol w:w="708"/>
        <w:gridCol w:w="711"/>
        <w:gridCol w:w="850"/>
        <w:gridCol w:w="850"/>
        <w:gridCol w:w="1418"/>
        <w:gridCol w:w="946"/>
      </w:tblGrid>
      <w:tr>
        <w:trPr>
          <w:trHeight w:val="110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5"/>
              <w:jc w:val="both"/>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before="2"/>
              <w:ind w:left="103" w:right="101"/>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before="2"/>
              <w:ind w:left="153" w:right="146"/>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王一彪</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2016-01-28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叶蓁蓁</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2017-12-25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2020-12-24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余清楚</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董事、总编辑、副总裁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2015-04-13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75.82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2010-06-20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张忠</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2016-12-14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罗华</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董事、副总编辑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2010-06-20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60.66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唐维红</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2010-06-20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60.66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宋丽云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2016-11-17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60.66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施丹丹</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刘凯湘</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2016-12-14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涂子沛</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2016-12-14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曹伟</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2017-12-27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唐宁</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2016-01-28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宋光茂</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赵岍</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2016-12-14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任建民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副总编辑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2017-7-20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2020-7-20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董事会秘书（原兼任财务总监）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75.73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魏榕芳</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2020-4-18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牛一兵</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原副董事长、原总裁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2017-12-22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75.82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李响</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2012-12-17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2017-12-27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pStyle w:val="BodyText"/>
        <w:spacing w:line="240" w:lineRule="auto" w:before="120"/>
        <w:ind w:left="644" w:right="77"/>
        <w:jc w:val="left"/>
      </w:pPr>
      <w:r>
        <w:rPr/>
        <w:t>备注：其中税前报酬总额因存在延期支付情况，实际支付税前报酬总额为人民币</w:t>
      </w:r>
      <w:r>
        <w:rPr>
          <w:spacing w:val="-56"/>
        </w:rPr>
        <w:t> </w:t>
      </w:r>
      <w:r>
        <w:rPr>
          <w:rFonts w:ascii="宋体" w:hAnsi="宋体" w:cs="宋体" w:eastAsia="宋体" w:hint="default"/>
        </w:rPr>
        <w:t>601.88</w:t>
      </w:r>
      <w:r>
        <w:rPr>
          <w:rFonts w:ascii="宋体" w:hAnsi="宋体" w:cs="宋体" w:eastAsia="宋体" w:hint="default"/>
          <w:spacing w:val="-56"/>
        </w:rPr>
        <w:t> </w:t>
      </w:r>
      <w:r>
        <w:rPr/>
        <w:t>万元。</w:t>
      </w:r>
    </w:p>
    <w:p>
      <w:pPr>
        <w:spacing w:line="240" w:lineRule="auto" w:before="3"/>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王一彪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月任中宣部政策法规研究室巡视员、副主任；</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3"/>
                <w:sz w:val="21"/>
                <w:szCs w:val="21"/>
              </w:rPr>
              <w:t>月任人民日报社秘书长；</w:t>
            </w:r>
            <w:r>
              <w:rPr>
                <w:rFonts w:ascii="宋体" w:hAnsi="宋体" w:cs="宋体" w:eastAsia="宋体" w:hint="default"/>
                <w:spacing w:val="-3"/>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月任人民日报社编委委员、秘书长；</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月任人民日报社编委委员、副总编辑、秘书长；</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w w:val="100"/>
                <w:sz w:val="21"/>
                <w:szCs w:val="21"/>
              </w:rPr>
              <w:t> </w:t>
            </w:r>
            <w:r>
              <w:rPr>
                <w:rFonts w:ascii="宋体" w:hAnsi="宋体" w:cs="宋体" w:eastAsia="宋体" w:hint="default"/>
                <w:sz w:val="21"/>
                <w:szCs w:val="21"/>
              </w:rPr>
              <w:t>今任人民日报社编委委员、副总编辑；</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月至今任公司董事长。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叶蓁蓁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月，先后任光明日报国际部助理编辑、新闻版主编（正处级）；</w:t>
            </w: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月，先后任人民日报社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总编室编辑、视点新闻版编辑组组长；</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月，任人民日报社总编室副主任；</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月，任人民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日报媒体技术股份有限公司总经理；</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月任公司总裁；</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月至今任公司副董事长、总裁。</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余清楚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月任人民日报社报刊管理部主任；</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月任中国报业协会秘书长；</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103" w:right="-8"/>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pacing w:val="-3"/>
                <w:sz w:val="21"/>
                <w:szCs w:val="21"/>
              </w:rPr>
              <w:t>月任人民日报社福建分社社长；</w:t>
            </w:r>
            <w:r>
              <w:rPr>
                <w:rFonts w:ascii="宋体" w:hAnsi="宋体" w:cs="宋体" w:eastAsia="宋体" w:hint="default"/>
                <w:spacing w:val="-3"/>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5"/>
                <w:sz w:val="21"/>
                <w:szCs w:val="21"/>
              </w:rPr>
              <w:t>月，任公司总编辑兼副总裁，</w:t>
            </w:r>
            <w:r>
              <w:rPr>
                <w:rFonts w:ascii="宋体" w:hAnsi="宋体" w:cs="宋体" w:eastAsia="宋体" w:hint="default"/>
                <w:spacing w:val="-5"/>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7"/>
                <w:sz w:val="21"/>
                <w:szCs w:val="21"/>
              </w:rPr>
              <w:t>月至今，任公司董事、总编辑、副总裁。</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月至今担任环球时报总编辑；</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月先后任人民日报记者部副主任、人民日报社地方部副主任；</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月任人民日报社四川分社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社长；</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月至今，任人民日报社地方部主任；</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罗华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3"/>
                <w:sz w:val="21"/>
                <w:szCs w:val="21"/>
              </w:rPr>
              <w:t>月担任人民网发展有限公司副总裁；</w:t>
            </w:r>
            <w:r>
              <w:rPr>
                <w:rFonts w:ascii="宋体" w:hAnsi="宋体" w:cs="宋体" w:eastAsia="宋体" w:hint="default"/>
                <w:spacing w:val="-3"/>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4"/>
                <w:sz w:val="21"/>
                <w:szCs w:val="21"/>
              </w:rPr>
              <w:t>月任公司董事、副总裁，</w:t>
            </w:r>
            <w:r>
              <w:rPr>
                <w:rFonts w:ascii="宋体" w:hAnsi="宋体" w:cs="宋体" w:eastAsia="宋体" w:hint="default"/>
                <w:spacing w:val="-4"/>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月至今任公司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董事、副总编辑。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唐维红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月任人民网发展有限公司总裁助理兼要闻部主任、高级编辑；</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月至今任公司董事、副总裁。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宋丽云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4"/>
                <w:sz w:val="21"/>
                <w:szCs w:val="21"/>
              </w:rPr>
              <w:t>月任公司办公室主任，</w:t>
            </w:r>
            <w:r>
              <w:rPr>
                <w:rFonts w:ascii="宋体" w:hAnsi="宋体" w:cs="宋体" w:eastAsia="宋体" w:hint="default"/>
                <w:spacing w:val="-4"/>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月任公司副总编辑兼办公室主任，</w:t>
            </w:r>
            <w:r>
              <w:rPr>
                <w:rFonts w:ascii="宋体" w:hAnsi="宋体" w:cs="宋体" w:eastAsia="宋体" w:hint="default"/>
                <w:spacing w:val="-3"/>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月至今任公司总裁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助理、副总编辑兼办公室主任，</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月任公司副总裁兼办公室主任，</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月至今任公司董事、副总裁。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施丹丹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3"/>
                <w:sz w:val="21"/>
                <w:szCs w:val="21"/>
              </w:rPr>
              <w:t>月就职于瑞华会计师事务所，任至总经理助理；</w:t>
            </w:r>
            <w:r>
              <w:rPr>
                <w:rFonts w:ascii="宋体" w:hAnsi="宋体" w:cs="宋体" w:eastAsia="宋体" w:hint="default"/>
                <w:spacing w:val="-3"/>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pacing w:val="-3"/>
                <w:sz w:val="21"/>
                <w:szCs w:val="21"/>
              </w:rPr>
              <w:t>月至今任大华会计师事务所合伙人；</w:t>
            </w:r>
            <w:r>
              <w:rPr>
                <w:rFonts w:ascii="宋体" w:hAnsi="宋体" w:cs="宋体" w:eastAsia="宋体" w:hint="default"/>
                <w:spacing w:val="-3"/>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月至今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刘凯湘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月至今任职于北京大学法学院；</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涂子沛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月美国匹兹堡</w:t>
            </w:r>
            <w:r>
              <w:rPr>
                <w:rFonts w:ascii="宋体" w:hAnsi="宋体" w:cs="宋体" w:eastAsia="宋体" w:hint="default"/>
                <w:spacing w:val="-50"/>
                <w:sz w:val="21"/>
                <w:szCs w:val="21"/>
              </w:rPr>
              <w:t> </w:t>
            </w:r>
            <w:r>
              <w:rPr>
                <w:rFonts w:ascii="宋体" w:hAnsi="宋体" w:cs="宋体" w:eastAsia="宋体" w:hint="default"/>
                <w:sz w:val="21"/>
                <w:szCs w:val="21"/>
              </w:rPr>
              <w:t>KITSolutions,Inc.</w:t>
            </w:r>
            <w:r>
              <w:rPr>
                <w:rFonts w:ascii="宋体" w:hAnsi="宋体" w:cs="宋体" w:eastAsia="宋体" w:hint="default"/>
                <w:sz w:val="21"/>
                <w:szCs w:val="21"/>
              </w:rPr>
              <w:t>数据库经理、数据中心主任、亚太事务总监；</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月任</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美国圣荷西</w:t>
            </w:r>
            <w:r>
              <w:rPr>
                <w:rFonts w:ascii="宋体" w:hAnsi="宋体" w:cs="宋体" w:eastAsia="宋体" w:hint="default"/>
                <w:spacing w:val="-47"/>
                <w:sz w:val="21"/>
                <w:szCs w:val="21"/>
              </w:rPr>
              <w:t> </w:t>
            </w:r>
            <w:r>
              <w:rPr>
                <w:rFonts w:ascii="宋体" w:hAnsi="宋体" w:cs="宋体" w:eastAsia="宋体" w:hint="default"/>
                <w:sz w:val="21"/>
                <w:szCs w:val="21"/>
              </w:rPr>
              <w:t>Datayes,Inc</w:t>
            </w:r>
            <w:r>
              <w:rPr>
                <w:rFonts w:ascii="宋体" w:hAnsi="宋体" w:cs="宋体" w:eastAsia="宋体" w:hint="default"/>
                <w:spacing w:val="-49"/>
                <w:sz w:val="21"/>
                <w:szCs w:val="21"/>
              </w:rPr>
              <w:t> </w:t>
            </w:r>
            <w:r>
              <w:rPr>
                <w:rFonts w:ascii="宋体" w:hAnsi="宋体" w:cs="宋体" w:eastAsia="宋体" w:hint="default"/>
                <w:sz w:val="21"/>
                <w:szCs w:val="21"/>
              </w:rPr>
              <w:t>首席研究员；</w:t>
            </w: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月任阿里巴巴集团副总裁；</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月任杭州涂子沛</w:t>
            </w:r>
            <w:r>
              <w:rPr>
                <w:rFonts w:ascii="宋体" w:hAnsi="宋体" w:cs="宋体" w:eastAsia="宋体" w:hint="default"/>
                <w:w w:val="100"/>
                <w:sz w:val="21"/>
                <w:szCs w:val="21"/>
              </w:rPr>
              <w:t> </w:t>
            </w:r>
            <w:r>
              <w:rPr>
                <w:rFonts w:ascii="宋体" w:hAnsi="宋体" w:cs="宋体" w:eastAsia="宋体" w:hint="default"/>
                <w:sz w:val="21"/>
                <w:szCs w:val="21"/>
              </w:rPr>
              <w:t>数据科技咨询有限公司董事长，</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月至今任杭州涂子沛数据科技咨询有限公司</w:t>
            </w:r>
            <w:r>
              <w:rPr>
                <w:rFonts w:ascii="宋体" w:hAnsi="宋体" w:cs="宋体" w:eastAsia="宋体" w:hint="default"/>
                <w:spacing w:val="-54"/>
                <w:sz w:val="21"/>
                <w:szCs w:val="21"/>
              </w:rPr>
              <w:t> </w:t>
            </w:r>
            <w:r>
              <w:rPr>
                <w:rFonts w:ascii="宋体" w:hAnsi="宋体" w:cs="宋体" w:eastAsia="宋体" w:hint="default"/>
                <w:sz w:val="21"/>
                <w:szCs w:val="21"/>
              </w:rPr>
              <w:t>CEO</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月至今任公司独立董事。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月任波士顿咨询公司咨询师，</w:t>
            </w:r>
            <w:r>
              <w:rPr>
                <w:rFonts w:ascii="宋体" w:hAnsi="宋体" w:cs="宋体" w:eastAsia="宋体" w:hint="default"/>
                <w:spacing w:val="-3"/>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月任美国华平投资集团执行董事，</w:t>
            </w:r>
            <w:r>
              <w:rPr>
                <w:rFonts w:ascii="宋体" w:hAnsi="宋体" w:cs="宋体" w:eastAsia="宋体" w:hint="default"/>
                <w:spacing w:val="-3"/>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月至今任高瓴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资本集团合伙人；</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唐宁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月任人民日报社内参部主任；</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年至今任中央纪委监察部特约监察员；</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月至今任公司监事会主席。</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宋光茂</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月任人民日报社上海分社社长；</w:t>
            </w:r>
            <w:r>
              <w:rPr>
                <w:rFonts w:ascii="宋体" w:hAnsi="宋体" w:cs="宋体" w:eastAsia="宋体" w:hint="default"/>
                <w:spacing w:val="-3"/>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月任人民日报社计划财务部副主任；</w:t>
            </w:r>
            <w:r>
              <w:rPr>
                <w:rFonts w:ascii="宋体" w:hAnsi="宋体" w:cs="宋体" w:eastAsia="宋体" w:hint="default"/>
                <w:spacing w:val="-3"/>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月至今任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人民日报社计划财务部主任；</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月至今任公司监事。</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月任公司人力资源部主管，</w:t>
            </w:r>
            <w:r>
              <w:rPr>
                <w:rFonts w:ascii="宋体" w:hAnsi="宋体" w:cs="宋体" w:eastAsia="宋体" w:hint="default"/>
                <w:spacing w:val="-3"/>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4"/>
                <w:sz w:val="21"/>
                <w:szCs w:val="21"/>
              </w:rPr>
              <w:t>月任公司品牌部主管，</w:t>
            </w:r>
            <w:r>
              <w:rPr>
                <w:rFonts w:ascii="宋体" w:hAnsi="宋体" w:cs="宋体" w:eastAsia="宋体" w:hint="default"/>
                <w:spacing w:val="-4"/>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月任公司品牌部副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月至今任公司品牌部主任，</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年至今任公司团委书记，</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月至今任公司职工监事。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任建民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3"/>
                <w:sz w:val="21"/>
                <w:szCs w:val="21"/>
              </w:rPr>
              <w:t>月任人民日报社国际部主任编辑；</w:t>
            </w:r>
            <w:r>
              <w:rPr>
                <w:rFonts w:ascii="宋体" w:hAnsi="宋体" w:cs="宋体" w:eastAsia="宋体" w:hint="default"/>
                <w:spacing w:val="-3"/>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3"/>
                <w:sz w:val="21"/>
                <w:szCs w:val="21"/>
              </w:rPr>
              <w:t>月任人民日报社驻泰国记者站首席记者；</w:t>
            </w:r>
            <w:r>
              <w:rPr>
                <w:rFonts w:ascii="宋体" w:hAnsi="宋体" w:cs="宋体" w:eastAsia="宋体" w:hint="default"/>
                <w:spacing w:val="-3"/>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月任人民日报社国际部主任编辑；</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月任人民网美国公司筹备组负责人；</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任人民网美国公司总经理，</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月至今任公司副总编辑兼人民网美国公司总经理。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月任人民日报社计划财务部资产管理处副处长、处长；</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月任人民日报社计划财务部计</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3"/>
                <w:sz w:val="21"/>
                <w:szCs w:val="21"/>
              </w:rPr>
              <w:t>划处处长；</w:t>
            </w:r>
            <w:r>
              <w:rPr>
                <w:rFonts w:ascii="宋体" w:hAnsi="宋体" w:cs="宋体" w:eastAsia="宋体" w:hint="default"/>
                <w:spacing w:val="-3"/>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pacing w:val="-3"/>
                <w:sz w:val="21"/>
                <w:szCs w:val="21"/>
              </w:rPr>
              <w:t>月任公司财务总监，</w:t>
            </w:r>
            <w:r>
              <w:rPr>
                <w:rFonts w:ascii="宋体" w:hAnsi="宋体" w:cs="宋体" w:eastAsia="宋体" w:hint="default"/>
                <w:spacing w:val="-3"/>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pacing w:val="-3"/>
                <w:sz w:val="21"/>
                <w:szCs w:val="21"/>
              </w:rPr>
              <w:t>月，任公司董事会秘书兼财务总监；</w:t>
            </w:r>
            <w:r>
              <w:rPr>
                <w:rFonts w:ascii="宋体" w:hAnsi="宋体" w:cs="宋体" w:eastAsia="宋体" w:hint="default"/>
                <w:spacing w:val="-3"/>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月至今，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任公司董事会秘书。</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魏榕芳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月任人民日报社广东分社财务处副处长；</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月任中闻印务投资集团有限公司财务负责人；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pacing w:val="-3"/>
                <w:sz w:val="21"/>
                <w:szCs w:val="21"/>
              </w:rPr>
              <w:t>月先后任中闻印务投资集团有限公司、健康时报社、中国经济周刊杂志社、民生周刊杂志社财务总监；</w:t>
            </w:r>
            <w:r>
              <w:rPr>
                <w:rFonts w:ascii="宋体" w:hAnsi="宋体" w:cs="宋体" w:eastAsia="宋体" w:hint="default"/>
                <w:spacing w:val="-3"/>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pacing w:val="-3"/>
                <w:sz w:val="21"/>
                <w:szCs w:val="21"/>
              </w:rPr>
              <w:t>月任中国华闻事业发展总公司财务总监、人民日报社企业监管部企业清理办公室财务负责人；</w:t>
            </w:r>
            <w:r>
              <w:rPr>
                <w:rFonts w:ascii="宋体" w:hAnsi="宋体" w:cs="宋体" w:eastAsia="宋体" w:hint="default"/>
                <w:spacing w:val="-3"/>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月至今任公司财务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总监。</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牛一兵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月任天津日报社（天津日报报业集团）党委书记、社长；</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月，任人民日报社地方部主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月起任公司总裁，</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月，任公司副董事长、总裁。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w:t>
            </w:r>
            <w:r>
              <w:rPr>
                <w:rFonts w:ascii="宋体" w:hAnsi="宋体" w:cs="宋体" w:eastAsia="宋体" w:hint="default"/>
                <w:spacing w:val="-54"/>
                <w:sz w:val="21"/>
                <w:szCs w:val="21"/>
              </w:rPr>
              <w:t> </w:t>
            </w:r>
            <w:r>
              <w:rPr>
                <w:rFonts w:ascii="宋体" w:hAnsi="宋体" w:cs="宋体" w:eastAsia="宋体" w:hint="default"/>
                <w:sz w:val="21"/>
                <w:szCs w:val="21"/>
              </w:rPr>
              <w:t>KKR</w:t>
            </w:r>
            <w:r>
              <w:rPr>
                <w:rFonts w:ascii="宋体" w:hAnsi="宋体" w:cs="宋体" w:eastAsia="宋体" w:hint="default"/>
                <w:spacing w:val="-54"/>
                <w:sz w:val="21"/>
                <w:szCs w:val="21"/>
              </w:rPr>
              <w:t> </w:t>
            </w:r>
            <w:r>
              <w:rPr>
                <w:rFonts w:ascii="宋体" w:hAnsi="宋体" w:cs="宋体" w:eastAsia="宋体" w:hint="default"/>
                <w:sz w:val="21"/>
                <w:szCs w:val="21"/>
              </w:rPr>
              <w:t>亚洲有限公司顾问，华致酒行连锁管理股份有限公司董事；</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月任公司独立董事。</w:t>
            </w:r>
          </w:p>
        </w:tc>
      </w:tr>
    </w:tbl>
    <w:p>
      <w:pPr>
        <w:spacing w:line="240" w:lineRule="auto" w:before="5"/>
        <w:rPr>
          <w:rFonts w:ascii="宋体" w:hAnsi="宋体" w:cs="宋体" w:eastAsia="宋体" w:hint="default"/>
          <w:sz w:val="15"/>
          <w:szCs w:val="15"/>
        </w:rPr>
      </w:pPr>
    </w:p>
    <w:p>
      <w:pPr>
        <w:pStyle w:val="BodyText"/>
        <w:spacing w:line="274" w:lineRule="exact" w:before="36"/>
        <w:ind w:left="224" w:right="77"/>
        <w:jc w:val="left"/>
      </w:pPr>
      <w:r>
        <w:rPr/>
        <w:t>其它情况说明</w:t>
      </w:r>
    </w:p>
    <w:p>
      <w:pPr>
        <w:pStyle w:val="BodyText"/>
        <w:spacing w:line="273" w:lineRule="exact"/>
        <w:ind w:left="224" w:right="77"/>
        <w:jc w:val="left"/>
      </w:pPr>
      <w:r>
        <w:rPr/>
        <w:t>√适用 □不适用</w:t>
      </w:r>
    </w:p>
    <w:p>
      <w:pPr>
        <w:pStyle w:val="BodyText"/>
        <w:spacing w:line="273" w:lineRule="exact"/>
        <w:ind w:left="644" w:right="77"/>
        <w:jc w:val="left"/>
      </w:pPr>
      <w:r>
        <w:rPr>
          <w:rFonts w:ascii="宋体" w:hAnsi="宋体" w:cs="宋体" w:eastAsia="宋体" w:hint="default"/>
        </w:rPr>
        <w:t>2017</w:t>
      </w:r>
      <w:r>
        <w:rPr>
          <w:rFonts w:ascii="宋体" w:hAnsi="宋体" w:cs="宋体" w:eastAsia="宋体" w:hint="default"/>
          <w:spacing w:val="-32"/>
        </w:rPr>
        <w:t> </w:t>
      </w:r>
      <w:r>
        <w:rPr/>
        <w:t>年</w:t>
      </w:r>
      <w:r>
        <w:rPr>
          <w:spacing w:val="-29"/>
        </w:rPr>
        <w:t> </w:t>
      </w:r>
      <w:r>
        <w:rPr>
          <w:rFonts w:ascii="宋体" w:hAnsi="宋体" w:cs="宋体" w:eastAsia="宋体" w:hint="default"/>
        </w:rPr>
        <w:t>12</w:t>
      </w:r>
      <w:r>
        <w:rPr>
          <w:rFonts w:ascii="宋体" w:hAnsi="宋体" w:cs="宋体" w:eastAsia="宋体" w:hint="default"/>
          <w:spacing w:val="-32"/>
        </w:rPr>
        <w:t> </w:t>
      </w:r>
      <w:r>
        <w:rPr/>
        <w:t>月</w:t>
      </w:r>
      <w:r>
        <w:rPr>
          <w:spacing w:val="-29"/>
        </w:rPr>
        <w:t> </w:t>
      </w:r>
      <w:r>
        <w:rPr>
          <w:rFonts w:ascii="宋体" w:hAnsi="宋体" w:cs="宋体" w:eastAsia="宋体" w:hint="default"/>
        </w:rPr>
        <w:t>25</w:t>
      </w:r>
      <w:r>
        <w:rPr>
          <w:rFonts w:ascii="宋体" w:hAnsi="宋体" w:cs="宋体" w:eastAsia="宋体" w:hint="default"/>
          <w:spacing w:val="-29"/>
        </w:rPr>
        <w:t> </w:t>
      </w:r>
      <w:r>
        <w:rPr>
          <w:spacing w:val="-3"/>
        </w:rPr>
        <w:t>日，公司第三届董事会第十次会议审议通过《关于提名增补公司第三届董事会董事候选人的议案》，同意提名增补叶蓁蓁先生为公</w:t>
      </w:r>
    </w:p>
    <w:p>
      <w:pPr>
        <w:pStyle w:val="BodyText"/>
        <w:spacing w:line="240" w:lineRule="auto" w:before="133"/>
        <w:ind w:left="224" w:right="77"/>
        <w:jc w:val="left"/>
      </w:pPr>
      <w:r>
        <w:rPr/>
        <w:t>司第三届董事会董事；</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61"/>
        </w:rPr>
        <w:t> </w:t>
      </w:r>
      <w:r>
        <w:rPr/>
        <w:t>月</w:t>
      </w:r>
      <w:r>
        <w:rPr>
          <w:spacing w:val="-59"/>
        </w:rPr>
        <w:t> </w:t>
      </w:r>
      <w:r>
        <w:rPr>
          <w:rFonts w:ascii="宋体" w:hAnsi="宋体" w:cs="宋体" w:eastAsia="宋体" w:hint="default"/>
        </w:rPr>
        <w:t>11</w:t>
      </w:r>
      <w:r>
        <w:rPr>
          <w:rFonts w:ascii="宋体" w:hAnsi="宋体" w:cs="宋体" w:eastAsia="宋体" w:hint="default"/>
          <w:spacing w:val="-58"/>
        </w:rPr>
        <w:t> </w:t>
      </w:r>
      <w:r>
        <w:rPr>
          <w:spacing w:val="-4"/>
        </w:rPr>
        <w:t>日，公司</w:t>
      </w:r>
      <w:r>
        <w:rPr>
          <w:spacing w:val="-59"/>
        </w:rPr>
        <w:t> </w:t>
      </w:r>
      <w:r>
        <w:rPr>
          <w:rFonts w:ascii="宋体" w:hAnsi="宋体" w:cs="宋体" w:eastAsia="宋体" w:hint="default"/>
        </w:rPr>
        <w:t>2018</w:t>
      </w:r>
      <w:r>
        <w:rPr>
          <w:rFonts w:ascii="宋体" w:hAnsi="宋体" w:cs="宋体" w:eastAsia="宋体" w:hint="default"/>
          <w:spacing w:val="-59"/>
        </w:rPr>
        <w:t> </w:t>
      </w:r>
      <w:r>
        <w:rPr/>
        <w:t>年第一次临时股东大会审议通过《关于选举叶蓁蓁先生担任公司第三届董事会董事的议案》，选举</w:t>
      </w:r>
    </w:p>
    <w:p>
      <w:pPr>
        <w:pStyle w:val="BodyText"/>
        <w:spacing w:line="240" w:lineRule="auto" w:before="133"/>
        <w:ind w:left="224" w:right="77"/>
        <w:jc w:val="left"/>
      </w:pPr>
      <w:r>
        <w:rPr/>
        <w:t>叶蓁蓁先生为第三届董事会董事；</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日，公司召开第三届董事会第十一次会议，同意选举叶蓁蓁先生担任公司副董事长。</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224" w:right="7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77"/>
        <w:jc w:val="left"/>
      </w:pPr>
      <w:r>
        <w:rPr/>
        <w:t>□适用 √不适用</w:t>
      </w:r>
    </w:p>
    <w:p>
      <w:pPr>
        <w:spacing w:line="240" w:lineRule="auto" w:before="6"/>
        <w:rPr>
          <w:rFonts w:ascii="宋体" w:hAnsi="宋体" w:cs="宋体" w:eastAsia="宋体" w:hint="default"/>
          <w:sz w:val="27"/>
          <w:szCs w:val="27"/>
        </w:rPr>
      </w:pPr>
    </w:p>
    <w:p>
      <w:pPr>
        <w:pStyle w:val="Heading2"/>
        <w:spacing w:line="240" w:lineRule="auto"/>
        <w:ind w:left="224" w:right="77"/>
        <w:jc w:val="left"/>
        <w:rPr>
          <w:b w:val="0"/>
          <w:bCs w:val="0"/>
        </w:rPr>
      </w:pPr>
      <w:r>
        <w:rPr/>
        <w:t>二、现任及报告期内离任董事、监事和高级管理人员的任职情况</w:t>
      </w:r>
      <w:r>
        <w:rPr>
          <w:b w:val="0"/>
          <w:bCs w:val="0"/>
        </w:rPr>
      </w:r>
    </w:p>
    <w:p>
      <w:pPr>
        <w:pStyle w:val="Heading2"/>
        <w:spacing w:line="240" w:lineRule="auto" w:before="56"/>
        <w:ind w:left="224" w:right="7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77"/>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084"/>
        <w:gridCol w:w="3829"/>
        <w:gridCol w:w="2410"/>
        <w:gridCol w:w="2391"/>
        <w:gridCol w:w="2376"/>
      </w:tblGrid>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王一彪</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编委委员、副总编辑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《环球时报》社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总编辑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张忠</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地方部主任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宋光茂</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计划财务部主任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0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以上为公司董事、监事在股东单位任职的情况。</w:t>
            </w:r>
          </w:p>
        </w:tc>
      </w:tr>
    </w:tbl>
    <w:p>
      <w:pPr>
        <w:spacing w:line="240" w:lineRule="auto" w:before="12"/>
        <w:rPr>
          <w:rFonts w:ascii="宋体" w:hAnsi="宋体" w:cs="宋体" w:eastAsia="宋体" w:hint="default"/>
          <w:sz w:val="19"/>
          <w:szCs w:val="19"/>
        </w:rPr>
      </w:pPr>
    </w:p>
    <w:p>
      <w:pPr>
        <w:pStyle w:val="Heading2"/>
        <w:spacing w:line="240" w:lineRule="auto" w:before="36"/>
        <w:ind w:left="224" w:right="7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84"/>
        <w:gridCol w:w="3829"/>
        <w:gridCol w:w="2410"/>
        <w:gridCol w:w="2377"/>
        <w:gridCol w:w="2391"/>
      </w:tblGrid>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施丹丹</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大华会计师事务所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刘凯湘</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北京大学法学院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涂子沛</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杭州涂子沛数据科技咨询有限公司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CEO</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高瓴资本集团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李响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KKR</w:t>
            </w:r>
            <w:r>
              <w:rPr>
                <w:rFonts w:ascii="宋体" w:hAnsi="宋体" w:cs="宋体" w:eastAsia="宋体" w:hint="default"/>
                <w:spacing w:val="-53"/>
                <w:sz w:val="21"/>
                <w:szCs w:val="21"/>
              </w:rPr>
              <w:t> </w:t>
            </w:r>
            <w:r>
              <w:rPr>
                <w:rFonts w:ascii="宋体" w:hAnsi="宋体" w:cs="宋体" w:eastAsia="宋体" w:hint="default"/>
                <w:sz w:val="21"/>
                <w:szCs w:val="21"/>
              </w:rPr>
              <w:t>亚洲有限公司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顾问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以上为公司独立董事在其他单位任职的情况。</w:t>
            </w:r>
          </w:p>
        </w:tc>
      </w:tr>
    </w:tbl>
    <w:p>
      <w:pPr>
        <w:spacing w:line="240" w:lineRule="auto" w:before="13"/>
        <w:rPr>
          <w:rFonts w:ascii="宋体" w:hAnsi="宋体" w:cs="宋体" w:eastAsia="宋体" w:hint="default"/>
          <w:sz w:val="19"/>
          <w:szCs w:val="19"/>
        </w:rPr>
      </w:pPr>
    </w:p>
    <w:p>
      <w:pPr>
        <w:pStyle w:val="Heading2"/>
        <w:spacing w:line="240" w:lineRule="auto" w:before="36"/>
        <w:ind w:left="224" w:right="77"/>
        <w:jc w:val="left"/>
        <w:rPr>
          <w:b w:val="0"/>
          <w:bCs w:val="0"/>
        </w:rPr>
      </w:pPr>
      <w:r>
        <w:rPr/>
        <w:t>三、董事、监事、高级管理人员报酬情况</w:t>
      </w:r>
      <w:r>
        <w:rPr>
          <w:b w:val="0"/>
          <w:bCs w:val="0"/>
        </w:rPr>
      </w:r>
    </w:p>
    <w:p>
      <w:pPr>
        <w:pStyle w:val="BodyText"/>
        <w:spacing w:line="240" w:lineRule="auto" w:before="58"/>
        <w:ind w:left="224" w:right="7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84"/>
        <w:gridCol w:w="11006"/>
      </w:tblGrid>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的决策程序</w:t>
            </w:r>
          </w:p>
        </w:tc>
        <w:tc>
          <w:tcPr>
            <w:tcW w:w="1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10"/>
              <w:jc w:val="left"/>
              <w:rPr>
                <w:rFonts w:ascii="宋体" w:hAnsi="宋体" w:cs="宋体" w:eastAsia="宋体" w:hint="default"/>
                <w:sz w:val="21"/>
                <w:szCs w:val="21"/>
              </w:rPr>
            </w:pPr>
            <w:r>
              <w:rPr>
                <w:rFonts w:ascii="宋体" w:hAnsi="宋体" w:cs="宋体" w:eastAsia="宋体" w:hint="default"/>
                <w:spacing w:val="-2"/>
                <w:sz w:val="21"/>
                <w:szCs w:val="21"/>
              </w:rPr>
              <w:t>董事的薪酬由公司董事会薪酬与考核委员会拟定，董事会、股东大会审议通过后实施；监事的薪酬由公司监事会提出、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股东大会审议通过后实施；高级管理人员的薪酬由董事会薪酬与考核委员会拟定，董事会审议通过后实施。</w:t>
            </w: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确定依据</w:t>
            </w:r>
          </w:p>
        </w:tc>
        <w:tc>
          <w:tcPr>
            <w:tcW w:w="1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公司董事、监事的薪酬方案参照公司相同行业或相当规模并结合公司经营绩效确定，具体标准参照《公司章程》、《公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司董事、监事及高级管理人员薪酬制度》等相关规定。</w:t>
            </w:r>
          </w:p>
        </w:tc>
      </w:tr>
      <w:tr>
        <w:trPr>
          <w:trHeight w:val="55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的实际支付情况</w:t>
            </w:r>
          </w:p>
        </w:tc>
        <w:tc>
          <w:tcPr>
            <w:tcW w:w="1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报告期内，因存在延期支付情况，董事、监事和高级管理人员报酬的实际支付总金额为人民币</w:t>
            </w:r>
            <w:r>
              <w:rPr>
                <w:rFonts w:ascii="宋体" w:hAnsi="宋体" w:cs="宋体" w:eastAsia="宋体" w:hint="default"/>
                <w:spacing w:val="-57"/>
                <w:sz w:val="21"/>
                <w:szCs w:val="21"/>
              </w:rPr>
              <w:t> </w:t>
            </w:r>
            <w:r>
              <w:rPr>
                <w:rFonts w:ascii="宋体" w:hAnsi="宋体" w:cs="宋体" w:eastAsia="宋体" w:hint="default"/>
                <w:sz w:val="21"/>
                <w:szCs w:val="21"/>
              </w:rPr>
              <w:t>601.88</w:t>
            </w:r>
            <w:r>
              <w:rPr>
                <w:rFonts w:ascii="宋体" w:hAnsi="宋体" w:cs="宋体" w:eastAsia="宋体" w:hint="default"/>
                <w:spacing w:val="-59"/>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w:t>
            </w:r>
          </w:p>
        </w:tc>
      </w:tr>
      <w:tr>
        <w:trPr>
          <w:trHeight w:val="55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报告期末全体董事、监事和高级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管理人员实际获得的报酬合计</w:t>
            </w:r>
          </w:p>
        </w:tc>
        <w:tc>
          <w:tcPr>
            <w:tcW w:w="1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报告期内，董事、监事和高级管理人员实际应获得的报酬金额合计为人民币</w:t>
            </w:r>
            <w:r>
              <w:rPr>
                <w:rFonts w:ascii="宋体" w:hAnsi="宋体" w:cs="宋体" w:eastAsia="宋体" w:hint="default"/>
                <w:spacing w:val="-58"/>
                <w:sz w:val="21"/>
                <w:szCs w:val="21"/>
              </w:rPr>
              <w:t> </w:t>
            </w:r>
            <w:r>
              <w:rPr>
                <w:rFonts w:ascii="宋体" w:hAnsi="宋体" w:cs="宋体" w:eastAsia="宋体" w:hint="default"/>
                <w:sz w:val="21"/>
                <w:szCs w:val="21"/>
              </w:rPr>
              <w:t>661.95</w:t>
            </w:r>
            <w:r>
              <w:rPr>
                <w:rFonts w:ascii="宋体" w:hAnsi="宋体" w:cs="宋体" w:eastAsia="宋体" w:hint="default"/>
                <w:spacing w:val="-56"/>
                <w:sz w:val="21"/>
                <w:szCs w:val="21"/>
              </w:rPr>
              <w:t> </w:t>
            </w:r>
            <w:r>
              <w:rPr>
                <w:rFonts w:ascii="宋体" w:hAnsi="宋体" w:cs="宋体" w:eastAsia="宋体" w:hint="default"/>
                <w:sz w:val="21"/>
                <w:szCs w:val="21"/>
              </w:rPr>
              <w:t>万元（含税）。</w:t>
            </w:r>
          </w:p>
        </w:tc>
      </w:tr>
    </w:tbl>
    <w:p>
      <w:pPr>
        <w:spacing w:line="240" w:lineRule="auto" w:before="12"/>
        <w:rPr>
          <w:rFonts w:ascii="宋体" w:hAnsi="宋体" w:cs="宋体" w:eastAsia="宋体" w:hint="default"/>
          <w:sz w:val="19"/>
          <w:szCs w:val="19"/>
        </w:rPr>
      </w:pPr>
    </w:p>
    <w:p>
      <w:pPr>
        <w:pStyle w:val="Heading2"/>
        <w:spacing w:line="240" w:lineRule="auto" w:before="36"/>
        <w:ind w:left="224" w:right="77"/>
        <w:jc w:val="left"/>
        <w:rPr>
          <w:b w:val="0"/>
          <w:bCs w:val="0"/>
        </w:rPr>
      </w:pPr>
      <w:r>
        <w:rPr/>
        <w:t>四、公司董事、监事、高级管理人员变动情况</w:t>
      </w:r>
      <w:r>
        <w:rPr>
          <w:b w:val="0"/>
          <w:bCs w:val="0"/>
        </w:rPr>
      </w:r>
    </w:p>
    <w:p>
      <w:pPr>
        <w:pStyle w:val="BodyText"/>
        <w:spacing w:line="240" w:lineRule="auto" w:before="58"/>
        <w:ind w:left="224" w:right="77"/>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084"/>
        <w:gridCol w:w="3961"/>
        <w:gridCol w:w="3524"/>
        <w:gridCol w:w="3521"/>
      </w:tblGrid>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叶蓁蓁</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曹伟</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任建民</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副总编辑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魏榕芳</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牛一兵</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原副董事长、原总裁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因工作原因辞职</w:t>
            </w: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李响</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因工作原因辞职</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原财务总监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因工作原因辞去财务总监职务</w:t>
            </w:r>
          </w:p>
        </w:tc>
      </w:tr>
    </w:tbl>
    <w:p>
      <w:pPr>
        <w:spacing w:line="240" w:lineRule="auto" w:before="13"/>
        <w:rPr>
          <w:rFonts w:ascii="宋体" w:hAnsi="宋体" w:cs="宋体" w:eastAsia="宋体" w:hint="default"/>
          <w:sz w:val="19"/>
          <w:szCs w:val="19"/>
        </w:rPr>
      </w:pPr>
    </w:p>
    <w:p>
      <w:pPr>
        <w:pStyle w:val="Heading2"/>
        <w:spacing w:line="240" w:lineRule="auto" w:before="36"/>
        <w:ind w:left="224" w:right="77"/>
        <w:jc w:val="left"/>
        <w:rPr>
          <w:b w:val="0"/>
          <w:bCs w:val="0"/>
        </w:rPr>
      </w:pPr>
      <w:r>
        <w:rPr/>
        <w:t>五、近三年受证券监管机构处罚的情况说明</w:t>
      </w:r>
      <w:r>
        <w:rPr>
          <w:b w:val="0"/>
          <w:bCs w:val="0"/>
        </w:rPr>
      </w:r>
    </w:p>
    <w:p>
      <w:pPr>
        <w:pStyle w:val="BodyText"/>
        <w:spacing w:line="240" w:lineRule="auto" w:before="58"/>
        <w:ind w:left="224" w:right="77"/>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2731"/>
        <w:jc w:val="left"/>
        <w:rPr>
          <w:b w:val="0"/>
          <w:bCs w:val="0"/>
        </w:rPr>
      </w:pPr>
      <w:r>
        <w:rPr/>
        <w:t>六、母公司和主要子公司的员工情况</w:t>
      </w:r>
      <w:r>
        <w:rPr>
          <w:b w:val="0"/>
          <w:bCs w:val="0"/>
        </w:rPr>
      </w:r>
    </w:p>
    <w:p>
      <w:pPr>
        <w:pStyle w:val="Heading2"/>
        <w:spacing w:line="240" w:lineRule="auto" w:before="56"/>
        <w:ind w:right="27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1,535</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1,031</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2,566</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1,371</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546</w:t>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342</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238</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2,566</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1,676</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263</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2,566</w:t>
            </w:r>
          </w:p>
        </w:tc>
      </w:tr>
    </w:tbl>
    <w:p>
      <w:pPr>
        <w:spacing w:line="240" w:lineRule="auto" w:before="2"/>
        <w:rPr>
          <w:rFonts w:ascii="宋体" w:hAnsi="宋体" w:cs="宋体" w:eastAsia="宋体" w:hint="default"/>
          <w:b/>
          <w:bCs/>
          <w:sz w:val="20"/>
          <w:szCs w:val="20"/>
        </w:rPr>
      </w:pPr>
    </w:p>
    <w:p>
      <w:pPr>
        <w:pStyle w:val="Heading2"/>
        <w:spacing w:line="240" w:lineRule="auto" w:before="36"/>
        <w:ind w:right="27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55" w:lineRule="auto" w:before="29"/>
        <w:ind w:left="638" w:right="227" w:hanging="420"/>
        <w:jc w:val="left"/>
      </w:pPr>
      <w:r>
        <w:rPr/>
        <w:t>√适用</w:t>
      </w:r>
      <w:r>
        <w:rPr>
          <w:spacing w:val="-2"/>
        </w:rPr>
        <w:t> </w:t>
      </w:r>
      <w:r>
        <w:rPr/>
        <w:t>□不适用</w:t>
      </w:r>
      <w:r>
        <w:rPr>
          <w:w w:val="100"/>
        </w:rPr>
        <w:t> </w:t>
      </w:r>
      <w:r>
        <w:rPr>
          <w:spacing w:val="-2"/>
        </w:rPr>
        <w:t>建立合理且富有竞争力的薪酬福利体系是公司不断努力的方向。公司自成立以来，逐步建立</w:t>
      </w:r>
    </w:p>
    <w:p>
      <w:pPr>
        <w:pStyle w:val="BodyText"/>
        <w:spacing w:line="355" w:lineRule="auto" w:before="34"/>
        <w:ind w:left="218" w:right="227"/>
        <w:jc w:val="left"/>
      </w:pPr>
      <w:r>
        <w:rPr>
          <w:spacing w:val="-2"/>
        </w:rPr>
        <w:t>了与行业接轨的薪酬福利体系，保持了内部公平与外部竞争力，体现了让员工与公司共同发展，</w:t>
      </w:r>
      <w:r>
        <w:rPr>
          <w:spacing w:val="-25"/>
        </w:rPr>
        <w:t> </w:t>
      </w:r>
      <w:r>
        <w:rPr>
          <w:spacing w:val="-25"/>
        </w:rPr>
      </w:r>
      <w:r>
        <w:rPr/>
        <w:t>共享发展成果的付薪理念。</w:t>
      </w:r>
    </w:p>
    <w:p>
      <w:pPr>
        <w:pStyle w:val="BodyText"/>
        <w:spacing w:line="355" w:lineRule="auto" w:before="32"/>
        <w:ind w:left="218" w:right="237" w:firstLine="419"/>
        <w:jc w:val="both"/>
      </w:pPr>
      <w:r>
        <w:rPr>
          <w:spacing w:val="-2"/>
        </w:rPr>
        <w:t>为保证各岗位的合理性，公司依据岗位类别分为高层管理系列、管理系列、采编系列、技术</w:t>
      </w:r>
      <w:r>
        <w:rPr>
          <w:w w:val="100"/>
        </w:rPr>
        <w:t> </w:t>
      </w:r>
      <w:r>
        <w:rPr/>
        <w:t>系列、运营</w:t>
      </w:r>
      <w:r>
        <w:rPr>
          <w:rFonts w:ascii="宋体" w:hAnsi="宋体" w:cs="宋体" w:eastAsia="宋体" w:hint="default"/>
        </w:rPr>
        <w:t>/</w:t>
      </w:r>
      <w:r>
        <w:rPr/>
        <w:t>经营系列及通用支持系列。每个系列有独立的工资级别与标准。</w:t>
      </w:r>
    </w:p>
    <w:p>
      <w:pPr>
        <w:pStyle w:val="BodyText"/>
        <w:spacing w:line="360" w:lineRule="auto" w:before="32"/>
        <w:ind w:left="218" w:right="237" w:firstLine="419"/>
        <w:jc w:val="both"/>
      </w:pPr>
      <w:r>
        <w:rPr>
          <w:spacing w:val="-2"/>
        </w:rPr>
        <w:t>除此之外，薪酬结构也细分为固定部分及浮动部分，既保障了员工的基本生活也加强了对员</w:t>
      </w:r>
      <w:r>
        <w:rPr>
          <w:w w:val="100"/>
        </w:rPr>
        <w:t> </w:t>
      </w:r>
      <w:r>
        <w:rPr/>
        <w:t>工的激励作用。</w:t>
      </w:r>
    </w:p>
    <w:p>
      <w:pPr>
        <w:spacing w:line="240" w:lineRule="auto" w:before="6"/>
        <w:rPr>
          <w:rFonts w:ascii="宋体" w:hAnsi="宋体" w:cs="宋体" w:eastAsia="宋体" w:hint="default"/>
          <w:sz w:val="27"/>
          <w:szCs w:val="27"/>
        </w:rPr>
      </w:pPr>
    </w:p>
    <w:p>
      <w:pPr>
        <w:pStyle w:val="Heading2"/>
        <w:spacing w:line="240" w:lineRule="auto"/>
        <w:ind w:right="27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32"/>
        <w:ind w:left="218" w:right="2731"/>
        <w:jc w:val="left"/>
      </w:pPr>
      <w:r>
        <w:rPr/>
        <w:t>√适用</w:t>
      </w:r>
      <w:r>
        <w:rPr>
          <w:spacing w:val="-1"/>
        </w:rPr>
        <w:t> </w:t>
      </w:r>
      <w:r>
        <w:rPr/>
        <w:t>□不适用</w:t>
      </w:r>
    </w:p>
    <w:p>
      <w:pPr>
        <w:pStyle w:val="BodyText"/>
        <w:spacing w:line="357" w:lineRule="auto" w:before="133"/>
        <w:ind w:left="218" w:right="228" w:firstLine="419"/>
        <w:jc w:val="both"/>
      </w:pPr>
      <w:r>
        <w:rPr>
          <w:rFonts w:ascii="宋体" w:hAnsi="宋体" w:cs="宋体" w:eastAsia="宋体" w:hint="default"/>
        </w:rPr>
        <w:t>2017</w:t>
      </w:r>
      <w:r>
        <w:rPr>
          <w:rFonts w:ascii="宋体" w:hAnsi="宋体" w:cs="宋体" w:eastAsia="宋体" w:hint="default"/>
          <w:spacing w:val="-6"/>
        </w:rPr>
        <w:t> </w:t>
      </w:r>
      <w:r>
        <w:rPr>
          <w:spacing w:val="-3"/>
        </w:rPr>
        <w:t>年人民网员工培训工作总的要求是：以学习宣传思想文化工作方针政策和业务知识为重</w:t>
      </w:r>
      <w:r>
        <w:rPr>
          <w:w w:val="100"/>
        </w:rPr>
        <w:t> </w:t>
      </w:r>
      <w:r>
        <w:rPr>
          <w:spacing w:val="-2"/>
        </w:rPr>
        <w:t>点，继续开展各类专业培训。突出重点，不断增强培训的针对性和实效性，切实加强员工素质能</w:t>
      </w:r>
      <w:r>
        <w:rPr>
          <w:spacing w:val="-25"/>
        </w:rPr>
        <w:t> </w:t>
      </w:r>
      <w:r>
        <w:rPr>
          <w:spacing w:val="-25"/>
        </w:rPr>
      </w:r>
      <w:r>
        <w:rPr/>
        <w:t>力建设，着力培养造就高素质人才队伍，为人民网高速发展提供有力的人才支撑。</w:t>
      </w:r>
    </w:p>
    <w:p>
      <w:pPr>
        <w:pStyle w:val="BodyText"/>
        <w:spacing w:line="357" w:lineRule="auto" w:before="30"/>
        <w:ind w:left="218" w:right="230" w:firstLine="419"/>
        <w:jc w:val="both"/>
      </w:pPr>
      <w:r>
        <w:rPr>
          <w:rFonts w:ascii="宋体" w:hAnsi="宋体" w:cs="宋体" w:eastAsia="宋体" w:hint="default"/>
        </w:rPr>
        <w:t>2018</w:t>
      </w:r>
      <w:r>
        <w:rPr>
          <w:rFonts w:ascii="宋体" w:hAnsi="宋体" w:cs="宋体" w:eastAsia="宋体" w:hint="default"/>
          <w:spacing w:val="-7"/>
        </w:rPr>
        <w:t> </w:t>
      </w:r>
      <w:r>
        <w:rPr>
          <w:spacing w:val="-3"/>
        </w:rPr>
        <w:t>年培训工作将继续坚持推动学习型组织建设。通过培训提升员工专业能力，促进各岗位</w:t>
      </w:r>
      <w:r>
        <w:rPr>
          <w:w w:val="100"/>
        </w:rPr>
        <w:t> </w:t>
      </w:r>
      <w:r>
        <w:rPr>
          <w:spacing w:val="-2"/>
        </w:rPr>
        <w:t>工作顺利进行；促进员工个人成长及人民网综合竞争力的提升，辅助各岗位员工更好的完成本职</w:t>
      </w:r>
      <w:r>
        <w:rPr>
          <w:spacing w:val="-26"/>
        </w:rPr>
        <w:t> </w:t>
      </w:r>
      <w:r>
        <w:rPr>
          <w:spacing w:val="-26"/>
        </w:rPr>
      </w:r>
      <w:r>
        <w:rPr>
          <w:spacing w:val="-2"/>
        </w:rPr>
        <w:t>工作并取得良好的绩效成果。继续推进人民网向学习型组织发展，通过培训激发员工创新精神。</w:t>
      </w:r>
    </w:p>
    <w:p>
      <w:pPr>
        <w:spacing w:after="0" w:line="357" w:lineRule="auto"/>
        <w:jc w:val="both"/>
        <w:sectPr>
          <w:headerReference w:type="default" r:id="rId33"/>
          <w:footerReference w:type="default" r:id="rId34"/>
          <w:pgSz w:w="11910" w:h="16840"/>
          <w:pgMar w:header="877" w:footer="1195" w:top="1100" w:bottom="1380" w:left="1580" w:right="104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left="138" w:right="254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2543"/>
        <w:jc w:val="left"/>
      </w:pPr>
      <w:r>
        <w:rPr/>
        <w:t>□适用</w:t>
      </w:r>
      <w:r>
        <w:rPr>
          <w:spacing w:val="-1"/>
        </w:rPr>
        <w:t> </w:t>
      </w:r>
      <w:r>
        <w:rPr/>
        <w:t>√不适用</w:t>
      </w:r>
    </w:p>
    <w:p>
      <w:pPr>
        <w:spacing w:line="240" w:lineRule="auto" w:before="5"/>
        <w:rPr>
          <w:rFonts w:ascii="宋体" w:hAnsi="宋体" w:cs="宋体" w:eastAsia="宋体" w:hint="default"/>
          <w:sz w:val="27"/>
          <w:szCs w:val="27"/>
        </w:rPr>
      </w:pPr>
    </w:p>
    <w:p>
      <w:pPr>
        <w:pStyle w:val="Heading2"/>
        <w:spacing w:line="240" w:lineRule="auto"/>
        <w:ind w:left="138" w:right="2543"/>
        <w:jc w:val="left"/>
        <w:rPr>
          <w:b w:val="0"/>
          <w:bCs w:val="0"/>
        </w:rPr>
      </w:pPr>
      <w:r>
        <w:rPr/>
        <w:t>七、其他</w:t>
      </w:r>
      <w:r>
        <w:rPr>
          <w:b w:val="0"/>
          <w:bCs w:val="0"/>
        </w:rPr>
      </w:r>
    </w:p>
    <w:p>
      <w:pPr>
        <w:pStyle w:val="BodyText"/>
        <w:spacing w:line="240" w:lineRule="auto" w:before="58"/>
        <w:ind w:right="2543"/>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t>一、公司治理相关情况说明</w:t>
      </w:r>
      <w:r>
        <w:rPr>
          <w:b w:val="0"/>
          <w:bCs w:val="0"/>
        </w:rPr>
      </w:r>
    </w:p>
    <w:p>
      <w:pPr>
        <w:pStyle w:val="BodyText"/>
        <w:spacing w:line="272" w:lineRule="exact" w:before="86"/>
        <w:ind w:left="638" w:right="227" w:hanging="420"/>
        <w:jc w:val="left"/>
      </w:pPr>
      <w:r>
        <w:rPr/>
        <w:t>√适用</w:t>
      </w:r>
      <w:r>
        <w:rPr>
          <w:spacing w:val="-2"/>
        </w:rPr>
        <w:t> </w:t>
      </w:r>
      <w:r>
        <w:rPr/>
        <w:t>□不适用</w:t>
      </w:r>
      <w:r>
        <w:rPr>
          <w:w w:val="100"/>
        </w:rPr>
        <w:t> </w:t>
      </w:r>
      <w:r>
        <w:rPr>
          <w:spacing w:val="-2"/>
        </w:rPr>
        <w:t>报告期内，公司严格按照《公司法》、《证券法》、《上市公司治理准则》和中国证监会、</w:t>
      </w:r>
    </w:p>
    <w:p>
      <w:pPr>
        <w:pStyle w:val="BodyText"/>
        <w:spacing w:line="357" w:lineRule="auto" w:before="110"/>
        <w:ind w:left="218" w:right="237"/>
        <w:jc w:val="both"/>
      </w:pPr>
      <w:r>
        <w:rPr>
          <w:spacing w:val="-2"/>
        </w:rPr>
        <w:t>上海证券交易所有关要求，规范公司运作，完善公司法人治理结构，健全内控制度，加强信息披</w:t>
      </w:r>
      <w:r>
        <w:rPr>
          <w:spacing w:val="-25"/>
        </w:rPr>
        <w:t> </w:t>
      </w:r>
      <w:r>
        <w:rPr>
          <w:spacing w:val="-25"/>
        </w:rPr>
      </w:r>
      <w:r>
        <w:rPr>
          <w:spacing w:val="-2"/>
        </w:rPr>
        <w:t>露工作。公司股东大会、董事会、监事会及经理层之间权责明确，各司其职、各尽其责、相互制</w:t>
      </w:r>
      <w:r>
        <w:rPr>
          <w:spacing w:val="-25"/>
        </w:rPr>
        <w:t> </w:t>
      </w:r>
      <w:r>
        <w:rPr>
          <w:spacing w:val="-25"/>
        </w:rPr>
      </w:r>
      <w:r>
        <w:rPr>
          <w:spacing w:val="-2"/>
        </w:rPr>
        <w:t>衡、相互协调。公司在股东与股东大会、控股股东与上市公司、董事与董事会、监事与监事会、</w:t>
      </w:r>
      <w:r>
        <w:rPr>
          <w:spacing w:val="-25"/>
        </w:rPr>
        <w:t> </w:t>
      </w:r>
      <w:r>
        <w:rPr>
          <w:spacing w:val="-25"/>
        </w:rPr>
      </w:r>
      <w:r>
        <w:rPr>
          <w:spacing w:val="-2"/>
        </w:rPr>
        <w:t>绩效评价与激励约束机制、利益相关者、信息披露与透明度等主要治理方面均符合监管部门有关</w:t>
      </w:r>
      <w:r>
        <w:rPr>
          <w:spacing w:val="-25"/>
        </w:rPr>
        <w:t> </w:t>
      </w:r>
      <w:r>
        <w:rPr>
          <w:spacing w:val="-25"/>
        </w:rPr>
      </w:r>
      <w:r>
        <w:rPr>
          <w:spacing w:val="-2"/>
        </w:rPr>
        <w:t>文件的要求。公司董事会及各专业委员会以及董、监事，高级管理人员都能够在日常经营中，严</w:t>
      </w:r>
      <w:r>
        <w:rPr>
          <w:spacing w:val="-25"/>
        </w:rPr>
        <w:t> </w:t>
      </w:r>
      <w:r>
        <w:rPr>
          <w:spacing w:val="-25"/>
        </w:rPr>
      </w:r>
      <w:r>
        <w:rPr>
          <w:spacing w:val="-2"/>
        </w:rPr>
        <w:t>格按照公司现有各项制度规范运作。公司治理的实际状况符合《公司法》和中国证监会相关规定</w:t>
      </w:r>
      <w:r>
        <w:rPr>
          <w:spacing w:val="-26"/>
        </w:rPr>
        <w:t> </w:t>
      </w:r>
      <w:r>
        <w:rPr>
          <w:spacing w:val="-26"/>
        </w:rPr>
      </w:r>
      <w:r>
        <w:rPr/>
        <w:t>要求。</w:t>
      </w:r>
    </w:p>
    <w:p>
      <w:pPr>
        <w:spacing w:line="240" w:lineRule="auto" w:before="3"/>
        <w:rPr>
          <w:rFonts w:ascii="宋体" w:hAnsi="宋体" w:cs="宋体" w:eastAsia="宋体" w:hint="default"/>
          <w:sz w:val="23"/>
          <w:szCs w:val="23"/>
        </w:rPr>
      </w:pPr>
    </w:p>
    <w:p>
      <w:pPr>
        <w:pStyle w:val="BodyText"/>
        <w:spacing w:line="273" w:lineRule="exact"/>
        <w:ind w:left="218" w:right="0"/>
        <w:jc w:val="both"/>
      </w:pPr>
      <w:r>
        <w:rPr/>
        <w:t>公司治理与中国证监会相关规定的要求是否存在重大差异；如有重大差异，应当说明原因</w:t>
      </w:r>
    </w:p>
    <w:p>
      <w:pPr>
        <w:pStyle w:val="BodyText"/>
        <w:spacing w:line="273" w:lineRule="exact"/>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2"/>
        <w:spacing w:line="240" w:lineRule="auto"/>
        <w:ind w:right="0"/>
        <w:jc w:val="both"/>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87"/>
        <w:gridCol w:w="1985"/>
        <w:gridCol w:w="1841"/>
        <w:gridCol w:w="2137"/>
      </w:tblGrid>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hyperlink r:id="rId10">
              <w:r>
                <w:rPr>
                  <w:rFonts w:ascii="宋体"/>
                  <w:sz w:val="21"/>
                </w:rPr>
                <w:t>www.sse.com.cn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hyperlink r:id="rId10">
              <w:r>
                <w:rPr>
                  <w:rFonts w:ascii="宋体"/>
                  <w:sz w:val="21"/>
                </w:rPr>
                <w:t>www.sse.com.cn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731"/>
        <w:jc w:val="left"/>
      </w:pPr>
      <w:r>
        <w:rPr/>
        <w:t>股东大会情况说明</w:t>
      </w:r>
    </w:p>
    <w:p>
      <w:pPr>
        <w:pStyle w:val="BodyText"/>
        <w:spacing w:line="274"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三、董事履行职责情况</w:t>
      </w:r>
      <w:r>
        <w:rPr>
          <w:b w:val="0"/>
          <w:bCs w:val="0"/>
        </w:rPr>
      </w:r>
    </w:p>
    <w:p>
      <w:pPr>
        <w:pStyle w:val="Heading2"/>
        <w:spacing w:line="240" w:lineRule="auto" w:before="56"/>
        <w:ind w:right="27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王一彪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牛一兵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余清楚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宋丽云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施丹丹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刘凯湘</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9"/>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0</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涂子沛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0</w:t>
            </w:r>
          </w:p>
        </w:tc>
      </w:tr>
    </w:tbl>
    <w:p>
      <w:pPr>
        <w:spacing w:line="240" w:lineRule="auto" w:before="11"/>
        <w:rPr>
          <w:rFonts w:ascii="宋体" w:hAnsi="宋体" w:cs="宋体" w:eastAsia="宋体" w:hint="default"/>
          <w:b/>
          <w:bCs/>
          <w:sz w:val="25"/>
          <w:szCs w:val="25"/>
        </w:rPr>
      </w:pPr>
    </w:p>
    <w:p>
      <w:pPr>
        <w:pStyle w:val="BodyText"/>
        <w:spacing w:line="240" w:lineRule="auto" w:before="36"/>
        <w:ind w:left="218" w:right="2731"/>
        <w:jc w:val="left"/>
        <w:rPr>
          <w:rFonts w:ascii="宋体" w:hAnsi="宋体" w:cs="宋体" w:eastAsia="宋体" w:hint="default"/>
        </w:rPr>
      </w:pPr>
      <w:r>
        <w:rPr/>
        <w:t>备注</w:t>
      </w:r>
      <w:r>
        <w:rPr>
          <w:rFonts w:ascii="宋体" w:hAnsi="宋体" w:cs="宋体" w:eastAsia="宋体" w:hint="default"/>
        </w:rPr>
        <w:t>:</w:t>
      </w:r>
    </w:p>
    <w:p>
      <w:pPr>
        <w:pStyle w:val="BodyText"/>
        <w:spacing w:line="355" w:lineRule="auto" w:before="135"/>
        <w:ind w:left="218" w:right="227" w:firstLine="419"/>
        <w:jc w:val="left"/>
      </w:pPr>
      <w:r>
        <w:rPr>
          <w:rFonts w:ascii="宋体" w:hAnsi="宋体" w:cs="宋体" w:eastAsia="宋体" w:hint="default"/>
        </w:rPr>
        <w:t>1</w:t>
      </w:r>
      <w:r>
        <w:rPr/>
        <w:t>、牛一兵先生于</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日因工作原因辞去人民网股份有限公司副董事长、董事会</w:t>
      </w:r>
      <w:r>
        <w:rPr>
          <w:w w:val="100"/>
        </w:rPr>
        <w:t> </w:t>
      </w:r>
      <w:r>
        <w:rPr/>
        <w:t>战略委员会委员及总裁（法定代表人）等在公司及下属公司担任的所有职务。</w:t>
      </w:r>
    </w:p>
    <w:p>
      <w:pPr>
        <w:pStyle w:val="BodyText"/>
        <w:spacing w:line="355" w:lineRule="auto" w:before="32"/>
        <w:ind w:left="218" w:right="239" w:firstLine="419"/>
        <w:jc w:val="left"/>
      </w:pPr>
      <w:r>
        <w:rPr>
          <w:rFonts w:ascii="宋体" w:hAnsi="宋体" w:cs="宋体" w:eastAsia="宋体" w:hint="default"/>
        </w:rPr>
        <w:t>2</w:t>
      </w:r>
      <w:r>
        <w:rPr/>
        <w:t>、李响先生于</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日因工作原因辞去独立董事职务以及董事会薪酬与考核委员</w:t>
      </w:r>
      <w:r>
        <w:rPr>
          <w:w w:val="100"/>
        </w:rPr>
        <w:t> </w:t>
      </w:r>
      <w:r>
        <w:rPr/>
        <w:t>会主席、董事会审计委员会委员及董事会战略委员会委员等职务。</w:t>
      </w:r>
    </w:p>
    <w:p>
      <w:pPr>
        <w:spacing w:line="240" w:lineRule="auto" w:before="5"/>
        <w:rPr>
          <w:rFonts w:ascii="宋体" w:hAnsi="宋体" w:cs="宋体" w:eastAsia="宋体" w:hint="default"/>
          <w:sz w:val="23"/>
          <w:szCs w:val="23"/>
        </w:rPr>
      </w:pPr>
    </w:p>
    <w:p>
      <w:pPr>
        <w:pStyle w:val="BodyText"/>
        <w:spacing w:line="273" w:lineRule="exact"/>
        <w:ind w:left="218" w:right="2731"/>
        <w:jc w:val="left"/>
      </w:pPr>
      <w:r>
        <w:rPr/>
        <w:t>连续两次未亲自出席董事会会议的说明</w:t>
      </w:r>
    </w:p>
    <w:p>
      <w:pPr>
        <w:pStyle w:val="BodyText"/>
        <w:spacing w:line="273"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sz w:val="20"/>
          <w:szCs w:val="20"/>
        </w:rPr>
      </w:pPr>
    </w:p>
    <w:p>
      <w:pPr>
        <w:pStyle w:val="Heading2"/>
        <w:spacing w:line="240" w:lineRule="auto" w:before="36"/>
        <w:ind w:right="27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left="218" w:right="2731"/>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642" w:right="124"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t>五、监事会发现公司存在风险的说明</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34"/>
        <w:ind w:left="218" w:right="273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2731"/>
        <w:jc w:val="left"/>
      </w:pPr>
      <w:r>
        <w:rPr/>
        <w:t>存在同业竞争的，公司相应的解决措施、工作进度及后续工作计划</w:t>
      </w:r>
    </w:p>
    <w:p>
      <w:pPr>
        <w:pStyle w:val="BodyText"/>
        <w:spacing w:line="273"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七、报告期内对高级管理人员的考评机制，以及激励机制的建立、实施情况</w:t>
      </w:r>
      <w:r>
        <w:rPr>
          <w:b w:val="0"/>
          <w:bCs w:val="0"/>
        </w:rPr>
      </w:r>
    </w:p>
    <w:p>
      <w:pPr>
        <w:pStyle w:val="BodyText"/>
        <w:spacing w:line="355" w:lineRule="auto" w:before="58"/>
        <w:ind w:left="638" w:right="227" w:hanging="420"/>
        <w:jc w:val="left"/>
      </w:pPr>
      <w:r>
        <w:rPr/>
        <w:t>√适用</w:t>
      </w:r>
      <w:r>
        <w:rPr>
          <w:spacing w:val="-2"/>
        </w:rPr>
        <w:t> </w:t>
      </w:r>
      <w:r>
        <w:rPr/>
        <w:t>□不适用</w:t>
      </w:r>
      <w:r>
        <w:rPr>
          <w:w w:val="100"/>
        </w:rPr>
        <w:t> </w:t>
      </w:r>
      <w:r>
        <w:rPr>
          <w:spacing w:val="-2"/>
        </w:rPr>
        <w:t>公司高级管理人员薪酬按照《董事、监事及高级管理人员制度》制定执行，公司根据目标完</w:t>
      </w:r>
    </w:p>
    <w:p>
      <w:pPr>
        <w:pStyle w:val="BodyText"/>
        <w:spacing w:line="357" w:lineRule="auto" w:before="32"/>
        <w:ind w:left="218" w:right="228"/>
        <w:jc w:val="both"/>
      </w:pPr>
      <w:r>
        <w:rPr>
          <w:spacing w:val="-6"/>
          <w:w w:val="100"/>
        </w:rPr>
        <w:t>成情况对高级管理人员进行业绩考核，考核结果作为年度奖励、确定报酬和是否续聘的重要依据。</w:t>
      </w:r>
      <w:r>
        <w:rPr>
          <w:w w:val="100"/>
        </w:rPr>
        <w:t> </w:t>
      </w:r>
      <w:r>
        <w:rPr>
          <w:spacing w:val="-2"/>
        </w:rPr>
        <w:t>公司将在不断的实践过程中，不断完善符合公司情况的高级管理人员的绩效考核、激励与约束机</w:t>
      </w:r>
      <w:r>
        <w:rPr>
          <w:spacing w:val="-25"/>
        </w:rPr>
        <w:t> </w:t>
      </w:r>
      <w:r>
        <w:rPr>
          <w:spacing w:val="-25"/>
        </w:rPr>
      </w:r>
      <w:r>
        <w:rPr/>
        <w:t>制。</w:t>
      </w:r>
    </w:p>
    <w:p>
      <w:pPr>
        <w:spacing w:after="0" w:line="357" w:lineRule="auto"/>
        <w:jc w:val="both"/>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left="138" w:right="2543"/>
        <w:jc w:val="left"/>
        <w:rPr>
          <w:b w:val="0"/>
          <w:bCs w:val="0"/>
        </w:rPr>
      </w:pPr>
      <w:r>
        <w:rPr/>
        <w:t>八、是否披露内部控制自我评价报告</w:t>
      </w:r>
      <w:r>
        <w:rPr>
          <w:b w:val="0"/>
          <w:bCs w:val="0"/>
        </w:rPr>
      </w:r>
    </w:p>
    <w:p>
      <w:pPr>
        <w:pStyle w:val="BodyText"/>
        <w:spacing w:line="240" w:lineRule="auto" w:before="56"/>
        <w:ind w:right="2543"/>
        <w:jc w:val="left"/>
      </w:pPr>
      <w:r>
        <w:rPr/>
        <w:t>√适用</w:t>
      </w:r>
      <w:r>
        <w:rPr>
          <w:spacing w:val="-1"/>
        </w:rPr>
        <w:t> </w:t>
      </w:r>
      <w:r>
        <w:rPr/>
        <w:t>□不适用</w:t>
      </w:r>
    </w:p>
    <w:p>
      <w:pPr>
        <w:pStyle w:val="BodyText"/>
        <w:spacing w:line="355" w:lineRule="auto" w:before="135"/>
        <w:ind w:right="0" w:firstLine="419"/>
        <w:jc w:val="left"/>
      </w:pPr>
      <w:r>
        <w:rPr>
          <w:spacing w:val="-3"/>
        </w:rPr>
        <w:t>详见与本报告同时披露于上海证券交易所网站（</w:t>
      </w:r>
      <w:hyperlink r:id="rId10">
        <w:r>
          <w:rPr>
            <w:rFonts w:ascii="宋体" w:hAnsi="宋体" w:cs="宋体" w:eastAsia="宋体" w:hint="default"/>
            <w:spacing w:val="-3"/>
          </w:rPr>
          <w:t>www.sse.com.cn</w:t>
        </w:r>
      </w:hyperlink>
      <w:r>
        <w:rPr>
          <w:spacing w:val="-3"/>
        </w:rPr>
        <w:t>）的《</w:t>
      </w:r>
      <w:r>
        <w:rPr>
          <w:rFonts w:ascii="宋体" w:hAnsi="宋体" w:cs="宋体" w:eastAsia="宋体" w:hint="default"/>
          <w:spacing w:val="-3"/>
        </w:rPr>
        <w:t>2017</w:t>
      </w:r>
      <w:r>
        <w:rPr>
          <w:rFonts w:ascii="宋体" w:hAnsi="宋体" w:cs="宋体" w:eastAsia="宋体" w:hint="default"/>
        </w:rPr>
        <w:t> </w:t>
      </w:r>
      <w:r>
        <w:rPr/>
        <w:t>年度内部控制自</w:t>
      </w:r>
      <w:r>
        <w:rPr>
          <w:w w:val="100"/>
        </w:rPr>
        <w:t> </w:t>
      </w:r>
      <w:r>
        <w:rPr/>
        <w:t>我评价报告》。</w:t>
      </w:r>
    </w:p>
    <w:p>
      <w:pPr>
        <w:spacing w:line="240" w:lineRule="auto" w:before="3"/>
        <w:rPr>
          <w:rFonts w:ascii="宋体" w:hAnsi="宋体" w:cs="宋体" w:eastAsia="宋体" w:hint="default"/>
          <w:sz w:val="23"/>
          <w:szCs w:val="23"/>
        </w:rPr>
      </w:pPr>
    </w:p>
    <w:p>
      <w:pPr>
        <w:pStyle w:val="BodyText"/>
        <w:spacing w:line="274" w:lineRule="exact"/>
        <w:ind w:right="2543"/>
        <w:jc w:val="left"/>
      </w:pPr>
      <w:r>
        <w:rPr/>
        <w:t>报告期内部控制存在重大缺陷情况的说明</w:t>
      </w:r>
    </w:p>
    <w:p>
      <w:pPr>
        <w:pStyle w:val="BodyText"/>
        <w:spacing w:line="274" w:lineRule="exact"/>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t>九、内部控制审计报告的相关情况说明</w:t>
      </w:r>
      <w:r>
        <w:rPr>
          <w:b w:val="0"/>
          <w:bCs w:val="0"/>
        </w:rPr>
      </w:r>
    </w:p>
    <w:p>
      <w:pPr>
        <w:pStyle w:val="BodyText"/>
        <w:spacing w:line="240" w:lineRule="auto" w:before="57"/>
        <w:ind w:right="2543"/>
        <w:jc w:val="left"/>
      </w:pPr>
      <w:r>
        <w:rPr/>
        <w:t>√适用</w:t>
      </w:r>
      <w:r>
        <w:rPr>
          <w:spacing w:val="-1"/>
        </w:rPr>
        <w:t> </w:t>
      </w:r>
      <w:r>
        <w:rPr/>
        <w:t>□不适用</w:t>
      </w:r>
    </w:p>
    <w:p>
      <w:pPr>
        <w:pStyle w:val="BodyText"/>
        <w:spacing w:line="355" w:lineRule="auto" w:before="135"/>
        <w:ind w:left="558" w:right="2181"/>
        <w:jc w:val="left"/>
      </w:pPr>
      <w:r>
        <w:rPr/>
        <w:t>报告全文与本报告同时披露于上海证券交易所网站</w:t>
      </w:r>
      <w:r>
        <w:rPr>
          <w:spacing w:val="-58"/>
        </w:rPr>
        <w:t> </w:t>
      </w:r>
      <w:hyperlink r:id="rId10">
        <w:r>
          <w:rPr>
            <w:rFonts w:ascii="宋体" w:hAnsi="宋体" w:cs="宋体" w:eastAsia="宋体" w:hint="default"/>
          </w:rPr>
          <w:t>www.sse.com.cn</w:t>
        </w:r>
      </w:hyperlink>
      <w:r>
        <w:rPr/>
        <w:t>。</w:t>
      </w:r>
      <w:r>
        <w:rPr>
          <w:w w:val="100"/>
        </w:rPr>
        <w:t> </w:t>
      </w:r>
      <w:r>
        <w:rPr/>
        <w:t>是否披露内部控制审计报告：是</w:t>
      </w:r>
    </w:p>
    <w:p>
      <w:pPr>
        <w:spacing w:line="240" w:lineRule="auto" w:before="7"/>
        <w:rPr>
          <w:rFonts w:ascii="宋体" w:hAnsi="宋体" w:cs="宋体" w:eastAsia="宋体" w:hint="default"/>
          <w:sz w:val="17"/>
          <w:szCs w:val="17"/>
        </w:rPr>
      </w:pPr>
    </w:p>
    <w:p>
      <w:pPr>
        <w:pStyle w:val="Heading2"/>
        <w:spacing w:line="240" w:lineRule="auto"/>
        <w:ind w:left="138" w:right="2543"/>
        <w:jc w:val="left"/>
        <w:rPr>
          <w:b w:val="0"/>
          <w:bCs w:val="0"/>
        </w:rPr>
      </w:pPr>
      <w:r>
        <w:rPr/>
        <w:t>十、其他</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before="0"/>
        <w:ind w:left="2800" w:right="2543"/>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2543"/>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1"/>
        <w:spacing w:line="240" w:lineRule="auto"/>
        <w:ind w:left="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1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877" w:footer="1195" w:top="1100" w:bottom="1380" w:left="1660" w:right="1140"/>
        </w:sectPr>
      </w:pPr>
    </w:p>
    <w:p>
      <w:pPr>
        <w:pStyle w:val="Heading2"/>
        <w:spacing w:line="240" w:lineRule="auto" w:before="36"/>
        <w:ind w:left="138" w:right="-18"/>
        <w:jc w:val="left"/>
        <w:rPr>
          <w:b w:val="0"/>
          <w:bCs w:val="0"/>
        </w:rPr>
      </w:pPr>
      <w:r>
        <w:rPr/>
        <w:t>一、审计报告</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2"/>
        <w:spacing w:line="240" w:lineRule="auto"/>
        <w:ind w:left="138" w:right="0"/>
        <w:jc w:val="left"/>
        <w:rPr>
          <w:b w:val="0"/>
          <w:bCs w:val="0"/>
        </w:rPr>
      </w:pPr>
      <w:r>
        <w:rPr/>
        <w:t>审 计 报</w:t>
      </w:r>
      <w:r>
        <w:rPr>
          <w:spacing w:val="-1"/>
        </w:rPr>
        <w:t> </w:t>
      </w:r>
      <w:r>
        <w:rPr/>
        <w:t>告</w:t>
      </w:r>
      <w:r>
        <w:rPr>
          <w:b w:val="0"/>
          <w:bCs w:val="0"/>
        </w:rPr>
      </w:r>
    </w:p>
    <w:p>
      <w:pPr>
        <w:spacing w:after="0" w:line="240" w:lineRule="auto"/>
        <w:jc w:val="left"/>
        <w:sectPr>
          <w:type w:val="continuous"/>
          <w:pgSz w:w="11910" w:h="16840"/>
          <w:pgMar w:top="1120" w:bottom="1380" w:left="1660" w:right="1140"/>
          <w:cols w:num="2" w:equalWidth="0">
            <w:col w:w="1715" w:space="2120"/>
            <w:col w:w="5275"/>
          </w:cols>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2"/>
        <w:spacing w:line="240" w:lineRule="auto"/>
        <w:ind w:left="138" w:right="-6"/>
        <w:jc w:val="left"/>
        <w:rPr>
          <w:b w:val="0"/>
          <w:bCs w:val="0"/>
        </w:rPr>
      </w:pPr>
      <w:r>
        <w:rPr>
          <w:spacing w:val="-1"/>
        </w:rPr>
        <w:t>人民网股份有限公司全体股东：</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38"/>
        <w:ind w:left="560" w:right="-6"/>
        <w:jc w:val="left"/>
        <w:rPr>
          <w:b w:val="0"/>
          <w:bCs w:val="0"/>
        </w:rPr>
      </w:pPr>
      <w:r>
        <w:rPr/>
        <w:t>一、审计意见</w:t>
      </w:r>
      <w:r>
        <w:rPr>
          <w:b w:val="0"/>
          <w:bCs w:val="0"/>
        </w:rPr>
      </w:r>
    </w:p>
    <w:p>
      <w:pPr>
        <w:spacing w:line="240" w:lineRule="auto" w:before="0"/>
        <w:rPr>
          <w:rFonts w:ascii="宋体" w:hAnsi="宋体" w:cs="宋体" w:eastAsia="宋体" w:hint="default"/>
          <w:b/>
          <w:bCs/>
          <w:sz w:val="14"/>
          <w:szCs w:val="14"/>
        </w:rPr>
      </w:pPr>
      <w:r>
        <w:rPr/>
        <w:br w:type="column"/>
      </w:r>
      <w:r>
        <w:rPr>
          <w:rFonts w:ascii="宋体"/>
          <w:b/>
          <w:sz w:val="14"/>
        </w:rPr>
      </w:r>
    </w:p>
    <w:p>
      <w:pPr>
        <w:pStyle w:val="BodyText"/>
        <w:spacing w:line="240" w:lineRule="auto"/>
        <w:ind w:right="0"/>
        <w:jc w:val="left"/>
      </w:pPr>
      <w:r>
        <w:rPr/>
        <w:t>瑞华字</w:t>
      </w:r>
      <w:r>
        <w:rPr>
          <w:rFonts w:ascii="宋体" w:hAnsi="宋体" w:cs="宋体" w:eastAsia="宋体" w:hint="default"/>
        </w:rPr>
        <w:t>[2018]02140001</w:t>
      </w:r>
      <w:r>
        <w:rPr>
          <w:rFonts w:ascii="宋体" w:hAnsi="宋体" w:cs="宋体" w:eastAsia="宋体" w:hint="default"/>
          <w:spacing w:val="-53"/>
        </w:rPr>
        <w:t> </w:t>
      </w:r>
      <w:r>
        <w:rPr/>
        <w:t>号</w:t>
      </w:r>
    </w:p>
    <w:p>
      <w:pPr>
        <w:spacing w:after="0" w:line="240" w:lineRule="auto"/>
        <w:jc w:val="left"/>
        <w:sectPr>
          <w:type w:val="continuous"/>
          <w:pgSz w:w="11910" w:h="16840"/>
          <w:pgMar w:top="1120" w:bottom="1380" w:left="1660" w:right="1140"/>
          <w:cols w:num="2" w:equalWidth="0">
            <w:col w:w="3091" w:space="3357"/>
            <w:col w:w="2662"/>
          </w:cols>
        </w:sectPr>
      </w:pPr>
    </w:p>
    <w:p>
      <w:pPr>
        <w:spacing w:line="240" w:lineRule="auto" w:before="13"/>
        <w:rPr>
          <w:rFonts w:ascii="宋体" w:hAnsi="宋体" w:cs="宋体" w:eastAsia="宋体" w:hint="default"/>
          <w:sz w:val="11"/>
          <w:szCs w:val="11"/>
        </w:rPr>
      </w:pPr>
    </w:p>
    <w:p>
      <w:pPr>
        <w:pStyle w:val="BodyText"/>
        <w:spacing w:line="408" w:lineRule="auto" w:before="36"/>
        <w:ind w:right="0" w:firstLine="419"/>
        <w:jc w:val="left"/>
      </w:pPr>
      <w:r>
        <w:rPr/>
        <w:t>我们审计了人民网股份有限公司（以下简称“人民网”）财务报表，包括</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w w:val="100"/>
        </w:rPr>
        <w:t> </w:t>
      </w:r>
      <w:r>
        <w:rPr/>
        <w:t>日的合并及公司资产负债表，</w:t>
      </w:r>
      <w:r>
        <w:rPr>
          <w:rFonts w:ascii="宋体" w:hAnsi="宋体" w:cs="宋体" w:eastAsia="宋体" w:hint="default"/>
        </w:rPr>
        <w:t>2017</w:t>
      </w:r>
      <w:r>
        <w:rPr>
          <w:rFonts w:ascii="宋体" w:hAnsi="宋体" w:cs="宋体" w:eastAsia="宋体" w:hint="default"/>
          <w:spacing w:val="-32"/>
        </w:rPr>
        <w:t> </w:t>
      </w:r>
      <w:r>
        <w:rPr>
          <w:spacing w:val="-3"/>
        </w:rPr>
        <w:t>年度的合并及公司利润表、合并及公司现金流量表、合并及公</w:t>
      </w:r>
      <w:r>
        <w:rPr>
          <w:spacing w:val="-96"/>
        </w:rPr>
        <w:t> </w:t>
      </w:r>
      <w:r>
        <w:rPr>
          <w:spacing w:val="-96"/>
        </w:rPr>
      </w:r>
      <w:r>
        <w:rPr/>
        <w:t>司股东权益变动表以及相关财务报表附注。</w:t>
      </w:r>
    </w:p>
    <w:p>
      <w:pPr>
        <w:pStyle w:val="BodyText"/>
        <w:spacing w:line="408" w:lineRule="auto" w:before="46"/>
        <w:ind w:right="133" w:firstLine="419"/>
        <w:jc w:val="left"/>
      </w:pPr>
      <w:r>
        <w:rPr>
          <w:spacing w:val="-2"/>
        </w:rPr>
        <w:t>我们认为，后附的财务报表在所有重大方面按照企业会计准则的规定编制，公允反映了人民</w:t>
      </w:r>
      <w:r>
        <w:rPr>
          <w:w w:val="100"/>
        </w:rPr>
        <w:t> </w:t>
      </w:r>
      <w:r>
        <w:rPr/>
        <w:t>网</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日合并及公司的财务状况以及</w:t>
      </w:r>
      <w:r>
        <w:rPr>
          <w:spacing w:val="-53"/>
        </w:rPr>
        <w:t> </w:t>
      </w:r>
      <w:r>
        <w:rPr>
          <w:rFonts w:ascii="宋体" w:hAnsi="宋体" w:cs="宋体" w:eastAsia="宋体" w:hint="default"/>
        </w:rPr>
        <w:t>2017</w:t>
      </w:r>
      <w:r>
        <w:rPr>
          <w:rFonts w:ascii="宋体" w:hAnsi="宋体" w:cs="宋体" w:eastAsia="宋体" w:hint="default"/>
          <w:spacing w:val="-54"/>
        </w:rPr>
        <w:t> </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408" w:lineRule="auto" w:before="46"/>
        <w:ind w:right="13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则，我们独立于人民网，并履行了职业道德方面的其他责任。我们相信，我们获取的审计证据是</w:t>
      </w:r>
      <w:r>
        <w:rPr>
          <w:spacing w:val="-25"/>
        </w:rPr>
        <w:t> </w:t>
      </w:r>
      <w:r>
        <w:rPr>
          <w:spacing w:val="-25"/>
        </w:rPr>
      </w:r>
      <w:r>
        <w:rPr/>
        <w:t>充分、适当的，为发表审计意见提供了基础。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408" w:lineRule="auto" w:before="46"/>
        <w:ind w:right="137"/>
        <w:jc w:val="both"/>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pStyle w:val="Heading2"/>
        <w:spacing w:line="408" w:lineRule="auto" w:before="46"/>
        <w:ind w:left="560" w:right="3839"/>
        <w:jc w:val="left"/>
        <w:rPr>
          <w:b w:val="0"/>
          <w:bCs w:val="0"/>
        </w:rPr>
      </w:pPr>
      <w:r>
        <w:rPr>
          <w:spacing w:val="-1"/>
        </w:rPr>
        <w:t>（一）长期股权投资减值（涉及商誉）</w:t>
      </w:r>
      <w:r>
        <w:rPr>
          <w:spacing w:val="-89"/>
        </w:rPr>
        <w:t> </w:t>
      </w:r>
      <w:r>
        <w:rPr>
          <w:spacing w:val="-89"/>
        </w:rPr>
      </w:r>
      <w:r>
        <w:rPr>
          <w:rFonts w:ascii="宋体" w:hAnsi="宋体" w:cs="宋体" w:eastAsia="宋体" w:hint="default"/>
        </w:rPr>
        <w:t>1</w:t>
      </w:r>
      <w:r>
        <w:rPr/>
        <w:t>、事项描述</w:t>
      </w:r>
      <w:r>
        <w:rPr>
          <w:b w:val="0"/>
          <w:bCs w:val="0"/>
        </w:rPr>
      </w:r>
    </w:p>
    <w:p>
      <w:pPr>
        <w:pStyle w:val="BodyText"/>
        <w:spacing w:line="240" w:lineRule="auto" w:before="46"/>
        <w:ind w:left="558" w:right="0"/>
        <w:jc w:val="left"/>
      </w:pPr>
      <w:r>
        <w:rPr>
          <w:spacing w:val="-7"/>
        </w:rPr>
        <w:t>如合并财务报表附注七、</w:t>
      </w:r>
      <w:r>
        <w:rPr>
          <w:rFonts w:ascii="宋体" w:hAnsi="宋体" w:cs="宋体" w:eastAsia="宋体" w:hint="default"/>
          <w:spacing w:val="-7"/>
        </w:rPr>
        <w:t>17</w:t>
      </w:r>
      <w:r>
        <w:rPr>
          <w:rFonts w:ascii="宋体" w:hAnsi="宋体" w:cs="宋体" w:eastAsia="宋体" w:hint="default"/>
          <w:spacing w:val="-46"/>
        </w:rPr>
        <w:t> </w:t>
      </w:r>
      <w:r>
        <w:rPr>
          <w:spacing w:val="-7"/>
        </w:rPr>
        <w:t>长期股权投资与附注六、</w:t>
      </w:r>
      <w:r>
        <w:rPr>
          <w:rFonts w:ascii="宋体" w:hAnsi="宋体" w:cs="宋体" w:eastAsia="宋体" w:hint="default"/>
          <w:spacing w:val="-7"/>
        </w:rPr>
        <w:t>27</w:t>
      </w:r>
      <w:r>
        <w:rPr>
          <w:rFonts w:ascii="宋体" w:hAnsi="宋体" w:cs="宋体" w:eastAsia="宋体" w:hint="default"/>
          <w:spacing w:val="-46"/>
        </w:rPr>
        <w:t> </w:t>
      </w:r>
      <w:r>
        <w:rPr>
          <w:spacing w:val="-11"/>
        </w:rPr>
        <w:t>商誉所述，截至</w:t>
      </w:r>
      <w:r>
        <w:rPr>
          <w:spacing w:val="-46"/>
        </w:rPr>
        <w:t> </w:t>
      </w:r>
      <w:r>
        <w:rPr>
          <w:rFonts w:ascii="宋体" w:hAnsi="宋体" w:cs="宋体" w:eastAsia="宋体" w:hint="default"/>
        </w:rPr>
        <w:t>2017</w:t>
      </w:r>
      <w:r>
        <w:rPr>
          <w:rFonts w:ascii="宋体" w:hAnsi="宋体" w:cs="宋体" w:eastAsia="宋体" w:hint="default"/>
          <w:spacing w:val="-45"/>
        </w:rPr>
        <w:t> </w:t>
      </w:r>
      <w:r>
        <w:rPr/>
        <w:t>年</w:t>
      </w:r>
      <w:r>
        <w:rPr>
          <w:spacing w:val="-49"/>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3"/>
        </w:rPr>
        <w:t>日，</w:t>
      </w:r>
      <w:r>
        <w:rPr/>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人民网合并财务报表长期股权投资账面价值为</w:t>
      </w:r>
      <w:r>
        <w:rPr>
          <w:spacing w:val="-57"/>
        </w:rPr>
        <w:t> </w:t>
      </w:r>
      <w:r>
        <w:rPr>
          <w:rFonts w:ascii="宋体" w:hAnsi="宋体" w:cs="宋体" w:eastAsia="宋体" w:hint="default"/>
        </w:rPr>
        <w:t>454,740,263.38</w:t>
      </w:r>
      <w:r>
        <w:rPr>
          <w:rFonts w:ascii="宋体" w:hAnsi="宋体" w:cs="宋体" w:eastAsia="宋体" w:hint="default"/>
          <w:spacing w:val="-57"/>
        </w:rPr>
        <w:t> </w:t>
      </w:r>
      <w:r>
        <w:rPr/>
        <w:t>元，比去年增加</w:t>
      </w:r>
      <w:r>
        <w:rPr>
          <w:spacing w:val="-56"/>
        </w:rPr>
        <w:t> </w:t>
      </w:r>
      <w:r>
        <w:rPr>
          <w:rFonts w:ascii="宋体" w:hAnsi="宋体" w:cs="宋体" w:eastAsia="宋体" w:hint="default"/>
        </w:rPr>
        <w:t>252,384,043.36</w:t>
      </w:r>
    </w:p>
    <w:p>
      <w:pPr>
        <w:spacing w:after="0" w:line="240" w:lineRule="auto"/>
        <w:jc w:val="both"/>
        <w:rPr>
          <w:rFonts w:ascii="宋体" w:hAnsi="宋体" w:cs="宋体" w:eastAsia="宋体" w:hint="default"/>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08" w:lineRule="auto"/>
        <w:ind w:right="208"/>
        <w:jc w:val="both"/>
      </w:pPr>
      <w:r>
        <w:rPr>
          <w:spacing w:val="-3"/>
        </w:rPr>
        <w:t>元，主要系以原子公司成都古羌科技有限公司全部股权账面价值</w:t>
      </w:r>
      <w:r>
        <w:rPr>
          <w:spacing w:val="-37"/>
        </w:rPr>
        <w:t> </w:t>
      </w:r>
      <w:r>
        <w:rPr>
          <w:rFonts w:ascii="宋体" w:hAnsi="宋体" w:cs="宋体" w:eastAsia="宋体" w:hint="default"/>
        </w:rPr>
        <w:t>188,604,314.00</w:t>
      </w:r>
      <w:r>
        <w:rPr>
          <w:rFonts w:ascii="宋体" w:hAnsi="宋体" w:cs="宋体" w:eastAsia="宋体" w:hint="default"/>
          <w:spacing w:val="-40"/>
        </w:rPr>
        <w:t> </w:t>
      </w:r>
      <w:r>
        <w:rPr>
          <w:spacing w:val="-8"/>
        </w:rPr>
        <w:t>元（对应合并财</w:t>
      </w:r>
      <w:r>
        <w:rPr>
          <w:spacing w:val="-98"/>
        </w:rPr>
        <w:t> </w:t>
      </w:r>
      <w:r>
        <w:rPr>
          <w:spacing w:val="-98"/>
        </w:rPr>
      </w:r>
      <w:r>
        <w:rPr/>
        <w:t>务报表中商誉</w:t>
      </w:r>
      <w:r>
        <w:rPr>
          <w:spacing w:val="-45"/>
        </w:rPr>
        <w:t> </w:t>
      </w:r>
      <w:r>
        <w:rPr>
          <w:rFonts w:ascii="宋体" w:hAnsi="宋体" w:cs="宋体" w:eastAsia="宋体" w:hint="default"/>
        </w:rPr>
        <w:t>197,516,318.36</w:t>
      </w:r>
      <w:r>
        <w:rPr>
          <w:rFonts w:ascii="宋体" w:hAnsi="宋体" w:cs="宋体" w:eastAsia="宋体" w:hint="default"/>
          <w:spacing w:val="-47"/>
        </w:rPr>
        <w:t> </w:t>
      </w:r>
      <w:r>
        <w:rPr>
          <w:spacing w:val="-7"/>
        </w:rPr>
        <w:t>元、减值准备</w:t>
      </w:r>
      <w:r>
        <w:rPr>
          <w:spacing w:val="-45"/>
        </w:rPr>
        <w:t> </w:t>
      </w:r>
      <w:r>
        <w:rPr>
          <w:rFonts w:ascii="宋体" w:hAnsi="宋体" w:cs="宋体" w:eastAsia="宋体" w:hint="default"/>
        </w:rPr>
        <w:t>72,425,303.17</w:t>
      </w:r>
      <w:r>
        <w:rPr>
          <w:rFonts w:ascii="宋体" w:hAnsi="宋体" w:cs="宋体" w:eastAsia="宋体" w:hint="default"/>
          <w:spacing w:val="-45"/>
        </w:rPr>
        <w:t> </w:t>
      </w:r>
      <w:r>
        <w:rPr>
          <w:spacing w:val="-6"/>
        </w:rPr>
        <w:t>元），认购阿尔山市金辉文化传媒股</w:t>
      </w:r>
      <w:r>
        <w:rPr>
          <w:spacing w:val="-102"/>
        </w:rPr>
        <w:t> </w:t>
      </w:r>
      <w:r>
        <w:rPr>
          <w:spacing w:val="-102"/>
        </w:rPr>
      </w:r>
      <w:r>
        <w:rPr>
          <w:spacing w:val="-7"/>
        </w:rPr>
        <w:t>份有限公司（以下简称“金辉文化”）增发股份。交易完成后，人民网对金辉文化不构成控制（股</w:t>
      </w:r>
      <w:r>
        <w:rPr>
          <w:spacing w:val="-14"/>
        </w:rPr>
        <w:t> </w:t>
      </w:r>
      <w:r>
        <w:rPr>
          <w:spacing w:val="-14"/>
        </w:rPr>
      </w:r>
      <w:r>
        <w:rPr/>
        <w:t>权比例为 </w:t>
      </w:r>
      <w:r>
        <w:rPr>
          <w:rFonts w:ascii="宋体" w:hAnsi="宋体" w:cs="宋体" w:eastAsia="宋体" w:hint="default"/>
          <w:spacing w:val="-3"/>
        </w:rPr>
        <w:t>30.78%</w:t>
      </w:r>
      <w:r>
        <w:rPr>
          <w:spacing w:val="-3"/>
        </w:rPr>
        <w:t>）。由于上述股权交易事项包含合并范围变化引起的商誉转出，对年末金辉文化</w:t>
      </w:r>
      <w:r>
        <w:rPr>
          <w:spacing w:val="-85"/>
        </w:rPr>
        <w:t> </w:t>
      </w:r>
      <w:r>
        <w:rPr>
          <w:spacing w:val="-85"/>
        </w:rPr>
      </w:r>
      <w:r>
        <w:rPr>
          <w:spacing w:val="-2"/>
        </w:rPr>
        <w:t>长期股权投资公允价值的评估及减值准备的计提涉及到管理层的重大判断，因此，我们将长期股</w:t>
      </w:r>
      <w:r>
        <w:rPr>
          <w:spacing w:val="-25"/>
        </w:rPr>
        <w:t> </w:t>
      </w:r>
      <w:r>
        <w:rPr>
          <w:spacing w:val="-25"/>
        </w:rPr>
      </w:r>
      <w:r>
        <w:rPr/>
        <w:t>权投资减值识别为关键审计事项。</w:t>
      </w:r>
    </w:p>
    <w:p>
      <w:pPr>
        <w:pStyle w:val="Heading2"/>
        <w:spacing w:line="240" w:lineRule="auto" w:before="46"/>
        <w:ind w:left="560" w:right="148"/>
        <w:jc w:val="left"/>
        <w:rPr>
          <w:b w:val="0"/>
          <w:bCs w:val="0"/>
        </w:rPr>
      </w:pPr>
      <w:r>
        <w:rPr>
          <w:rFonts w:ascii="宋体" w:hAnsi="宋体" w:cs="宋体" w:eastAsia="宋体" w:hint="default"/>
        </w:rPr>
        <w:t>2</w:t>
      </w:r>
      <w:r>
        <w:rPr/>
        <w:t>、审计应对</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left="558" w:right="148"/>
        <w:jc w:val="left"/>
      </w:pPr>
      <w:r>
        <w:rPr/>
        <w:t>（</w:t>
      </w:r>
      <w:r>
        <w:rPr>
          <w:rFonts w:ascii="宋体" w:hAnsi="宋体" w:cs="宋体" w:eastAsia="宋体" w:hint="default"/>
        </w:rPr>
        <w:t>1</w:t>
      </w:r>
      <w:r>
        <w:rPr/>
        <w:t>）评估及测试与长期股权投资减值相关内部控制的设计和执行有效性；</w:t>
      </w:r>
    </w:p>
    <w:p>
      <w:pPr>
        <w:spacing w:line="240" w:lineRule="auto" w:before="10"/>
        <w:rPr>
          <w:rFonts w:ascii="宋体" w:hAnsi="宋体" w:cs="宋体" w:eastAsia="宋体" w:hint="default"/>
          <w:sz w:val="14"/>
          <w:szCs w:val="14"/>
        </w:rPr>
      </w:pPr>
    </w:p>
    <w:p>
      <w:pPr>
        <w:pStyle w:val="BodyText"/>
        <w:spacing w:line="408" w:lineRule="auto"/>
        <w:ind w:right="148" w:firstLine="419"/>
        <w:jc w:val="left"/>
      </w:pPr>
      <w:r>
        <w:rPr>
          <w:spacing w:val="-4"/>
        </w:rPr>
        <w:t>（</w:t>
      </w:r>
      <w:r>
        <w:rPr>
          <w:rFonts w:ascii="宋体" w:hAnsi="宋体" w:cs="宋体" w:eastAsia="宋体" w:hint="default"/>
          <w:spacing w:val="-4"/>
        </w:rPr>
        <w:t>2</w:t>
      </w:r>
      <w:r>
        <w:rPr>
          <w:spacing w:val="-4"/>
        </w:rPr>
        <w:t>）与公司管理层及外部评估专家讨论，评估减值测试方法的适当性，复核管理层减值测试</w:t>
      </w:r>
      <w:r>
        <w:rPr>
          <w:w w:val="100"/>
        </w:rPr>
        <w:t> </w:t>
      </w:r>
      <w:r>
        <w:rPr/>
        <w:t>所依据的基础数据；</w:t>
      </w:r>
    </w:p>
    <w:p>
      <w:pPr>
        <w:pStyle w:val="BodyText"/>
        <w:spacing w:line="240" w:lineRule="auto" w:before="46"/>
        <w:ind w:left="558" w:right="148"/>
        <w:jc w:val="left"/>
      </w:pPr>
      <w:r>
        <w:rPr/>
        <w:t>（</w:t>
      </w:r>
      <w:r>
        <w:rPr>
          <w:rFonts w:ascii="宋体" w:hAnsi="宋体" w:cs="宋体" w:eastAsia="宋体" w:hint="default"/>
        </w:rPr>
        <w:t>3</w:t>
      </w:r>
      <w:r>
        <w:rPr/>
        <w:t>）评价外部评估专家的胜任能力、专业素质和客观性；</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t>（</w:t>
      </w:r>
      <w:r>
        <w:rPr>
          <w:rFonts w:ascii="宋体" w:hAnsi="宋体" w:cs="宋体" w:eastAsia="宋体" w:hint="default"/>
        </w:rPr>
        <w:t>4</w:t>
      </w:r>
      <w:r>
        <w:rPr/>
        <w:t>）利用我们的估值专家评估了管理层减值测试中所采用的关键假设及重要参数的合理性。</w:t>
      </w:r>
    </w:p>
    <w:p>
      <w:pPr>
        <w:spacing w:line="240" w:lineRule="auto" w:before="10"/>
        <w:rPr>
          <w:rFonts w:ascii="宋体" w:hAnsi="宋体" w:cs="宋体" w:eastAsia="宋体" w:hint="default"/>
          <w:sz w:val="14"/>
          <w:szCs w:val="14"/>
        </w:rPr>
      </w:pPr>
    </w:p>
    <w:p>
      <w:pPr>
        <w:pStyle w:val="Heading2"/>
        <w:spacing w:line="408" w:lineRule="auto"/>
        <w:ind w:left="560" w:right="7130"/>
        <w:jc w:val="left"/>
        <w:rPr>
          <w:b w:val="0"/>
          <w:bCs w:val="0"/>
        </w:rPr>
      </w:pPr>
      <w:r>
        <w:rPr/>
        <w:t>（二）收入确认</w:t>
      </w:r>
      <w:r>
        <w:rPr>
          <w:spacing w:val="-104"/>
        </w:rPr>
        <w:t> </w:t>
      </w:r>
      <w:r>
        <w:rPr>
          <w:rFonts w:ascii="宋体" w:hAnsi="宋体" w:cs="宋体" w:eastAsia="宋体" w:hint="default"/>
        </w:rPr>
        <w:t>1</w:t>
      </w:r>
      <w:r>
        <w:rPr/>
        <w:t>、事项描述</w:t>
      </w:r>
      <w:r>
        <w:rPr>
          <w:b w:val="0"/>
          <w:bCs w:val="0"/>
        </w:rPr>
      </w:r>
    </w:p>
    <w:p>
      <w:pPr>
        <w:pStyle w:val="BodyText"/>
        <w:spacing w:line="408" w:lineRule="auto" w:before="46"/>
        <w:ind w:right="207" w:firstLine="419"/>
        <w:jc w:val="both"/>
      </w:pPr>
      <w:r>
        <w:rPr/>
        <w:t>如合并财务报表附注六、</w:t>
      </w:r>
      <w:r>
        <w:rPr>
          <w:rFonts w:ascii="宋体" w:hAnsi="宋体" w:cs="宋体" w:eastAsia="宋体" w:hint="default"/>
        </w:rPr>
        <w:t>32</w:t>
      </w:r>
      <w:r>
        <w:rPr>
          <w:rFonts w:ascii="宋体" w:hAnsi="宋体" w:cs="宋体" w:eastAsia="宋体" w:hint="default"/>
          <w:spacing w:val="-56"/>
        </w:rPr>
        <w:t> </w:t>
      </w:r>
      <w:r>
        <w:rPr/>
        <w:t>营业收入和营业成本所示，人民网</w:t>
      </w:r>
      <w:r>
        <w:rPr>
          <w:spacing w:val="-56"/>
        </w:rPr>
        <w:t> </w:t>
      </w:r>
      <w:r>
        <w:rPr>
          <w:rFonts w:ascii="宋体" w:hAnsi="宋体" w:cs="宋体" w:eastAsia="宋体" w:hint="default"/>
        </w:rPr>
        <w:t>2017</w:t>
      </w:r>
      <w:r>
        <w:rPr>
          <w:rFonts w:ascii="宋体" w:hAnsi="宋体" w:cs="宋体" w:eastAsia="宋体" w:hint="default"/>
          <w:spacing w:val="-56"/>
        </w:rPr>
        <w:t> </w:t>
      </w:r>
      <w:r>
        <w:rPr/>
        <w:t>年合并主营业务收入为</w:t>
      </w:r>
      <w:r>
        <w:rPr>
          <w:w w:val="100"/>
        </w:rPr>
        <w:t> </w:t>
      </w:r>
      <w:r>
        <w:rPr>
          <w:rFonts w:ascii="宋体" w:hAnsi="宋体" w:cs="宋体" w:eastAsia="宋体" w:hint="default"/>
        </w:rPr>
        <w:t>1,400,225,817.58</w:t>
      </w:r>
      <w:r>
        <w:rPr>
          <w:rFonts w:ascii="宋体" w:hAnsi="宋体" w:cs="宋体" w:eastAsia="宋体" w:hint="default"/>
          <w:spacing w:val="-48"/>
        </w:rPr>
        <w:t> </w:t>
      </w:r>
      <w:r>
        <w:rPr>
          <w:spacing w:val="-25"/>
        </w:rPr>
        <w:t>元，较</w:t>
      </w:r>
      <w:r>
        <w:rPr>
          <w:spacing w:val="-45"/>
        </w:rPr>
        <w:t> </w:t>
      </w:r>
      <w:r>
        <w:rPr>
          <w:rFonts w:ascii="宋体" w:hAnsi="宋体" w:cs="宋体" w:eastAsia="宋体" w:hint="default"/>
        </w:rPr>
        <w:t>2016</w:t>
      </w:r>
      <w:r>
        <w:rPr>
          <w:rFonts w:ascii="宋体" w:hAnsi="宋体" w:cs="宋体" w:eastAsia="宋体" w:hint="default"/>
          <w:spacing w:val="-46"/>
        </w:rPr>
        <w:t> </w:t>
      </w:r>
      <w:r>
        <w:rPr/>
        <w:t>年减少</w:t>
      </w:r>
      <w:r>
        <w:rPr>
          <w:spacing w:val="-48"/>
        </w:rPr>
        <w:t> </w:t>
      </w:r>
      <w:r>
        <w:rPr>
          <w:rFonts w:ascii="宋体" w:hAnsi="宋体" w:cs="宋体" w:eastAsia="宋体" w:hint="default"/>
        </w:rPr>
        <w:t>31,566,785.92</w:t>
      </w:r>
      <w:r>
        <w:rPr>
          <w:rFonts w:ascii="宋体" w:hAnsi="宋体" w:cs="宋体" w:eastAsia="宋体" w:hint="default"/>
          <w:spacing w:val="-46"/>
        </w:rPr>
        <w:t> </w:t>
      </w:r>
      <w:r>
        <w:rPr>
          <w:spacing w:val="-6"/>
        </w:rPr>
        <w:t>元。由于收入是公司的关键业绩指标之一，</w:t>
      </w:r>
      <w:r>
        <w:rPr>
          <w:spacing w:val="-102"/>
        </w:rPr>
        <w:t> </w:t>
      </w:r>
      <w:r>
        <w:rPr>
          <w:spacing w:val="-102"/>
        </w:rPr>
      </w:r>
      <w:r>
        <w:rPr>
          <w:spacing w:val="-2"/>
        </w:rPr>
        <w:t>存在管理层为了达到特定目标或期望操纵收入的固有风险，因此我们将收入确认识别为关键审计</w:t>
      </w:r>
      <w:r>
        <w:rPr>
          <w:spacing w:val="-25"/>
        </w:rPr>
        <w:t> </w:t>
      </w:r>
      <w:r>
        <w:rPr>
          <w:spacing w:val="-25"/>
        </w:rPr>
      </w:r>
      <w:r>
        <w:rPr/>
        <w:t>事项。</w:t>
      </w:r>
    </w:p>
    <w:p>
      <w:pPr>
        <w:pStyle w:val="Heading2"/>
        <w:spacing w:line="240" w:lineRule="auto" w:before="46"/>
        <w:ind w:left="560" w:right="148"/>
        <w:jc w:val="left"/>
        <w:rPr>
          <w:b w:val="0"/>
          <w:bCs w:val="0"/>
        </w:rPr>
      </w:pPr>
      <w:r>
        <w:rPr>
          <w:rFonts w:ascii="宋体" w:hAnsi="宋体" w:cs="宋体" w:eastAsia="宋体" w:hint="default"/>
        </w:rPr>
        <w:t>2</w:t>
      </w:r>
      <w:r>
        <w:rPr/>
        <w:t>、审计应对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148"/>
        <w:jc w:val="left"/>
      </w:pPr>
      <w:r>
        <w:rPr/>
        <w:t>（</w:t>
      </w:r>
      <w:r>
        <w:rPr>
          <w:rFonts w:ascii="宋体" w:hAnsi="宋体" w:cs="宋体" w:eastAsia="宋体" w:hint="default"/>
        </w:rPr>
        <w:t>1</w:t>
      </w:r>
      <w:r>
        <w:rPr/>
        <w:t>）了解、测试与收入确认相关的内部控制制度设计和执行的有效性；</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t>（</w:t>
      </w:r>
      <w:r>
        <w:rPr>
          <w:rFonts w:ascii="宋体" w:hAnsi="宋体" w:cs="宋体" w:eastAsia="宋体" w:hint="default"/>
        </w:rPr>
        <w:t>2</w:t>
      </w:r>
      <w:r>
        <w:rPr/>
        <w:t>）结合业务类型对收入和成本执行分析程序，分析毛利率变动情况，复核收入的合理性；</w:t>
      </w:r>
    </w:p>
    <w:p>
      <w:pPr>
        <w:spacing w:line="240" w:lineRule="auto" w:before="11"/>
        <w:rPr>
          <w:rFonts w:ascii="宋体" w:hAnsi="宋体" w:cs="宋体" w:eastAsia="宋体" w:hint="default"/>
          <w:sz w:val="14"/>
          <w:szCs w:val="14"/>
        </w:rPr>
      </w:pPr>
    </w:p>
    <w:p>
      <w:pPr>
        <w:pStyle w:val="BodyText"/>
        <w:spacing w:line="408" w:lineRule="auto"/>
        <w:ind w:right="148" w:firstLine="419"/>
        <w:jc w:val="left"/>
      </w:pPr>
      <w:r>
        <w:rPr>
          <w:spacing w:val="-5"/>
        </w:rPr>
        <w:t>（</w:t>
      </w:r>
      <w:r>
        <w:rPr>
          <w:rFonts w:ascii="宋体" w:hAnsi="宋体" w:cs="宋体" w:eastAsia="宋体" w:hint="default"/>
          <w:spacing w:val="-5"/>
        </w:rPr>
        <w:t>3</w:t>
      </w:r>
      <w:r>
        <w:rPr>
          <w:spacing w:val="-5"/>
        </w:rPr>
        <w:t>）选取样本检查与收入确认相关的支持性文件，包括合同、发票、排期单、结算单等，以</w:t>
      </w:r>
      <w:r>
        <w:rPr>
          <w:spacing w:val="-15"/>
          <w:w w:val="100"/>
        </w:rPr>
        <w:t> </w:t>
      </w:r>
      <w:r>
        <w:rPr/>
        <w:t>评价收入确认是否符合企业会计准则的要求；</w:t>
      </w:r>
    </w:p>
    <w:p>
      <w:pPr>
        <w:pStyle w:val="BodyText"/>
        <w:spacing w:line="408" w:lineRule="auto" w:before="46"/>
        <w:ind w:right="148" w:firstLine="419"/>
        <w:jc w:val="left"/>
      </w:pPr>
      <w:r>
        <w:rPr>
          <w:spacing w:val="-4"/>
        </w:rPr>
        <w:t>（</w:t>
      </w:r>
      <w:r>
        <w:rPr>
          <w:rFonts w:ascii="宋体" w:hAnsi="宋体" w:cs="宋体" w:eastAsia="宋体" w:hint="default"/>
          <w:spacing w:val="-4"/>
        </w:rPr>
        <w:t>4</w:t>
      </w:r>
      <w:r>
        <w:rPr>
          <w:spacing w:val="-4"/>
        </w:rPr>
        <w:t>）函证主要客户合同金额、合同期间以及累计付款情况，对大额应收客户执行期后回款测</w:t>
      </w:r>
      <w:r>
        <w:rPr>
          <w:w w:val="100"/>
        </w:rPr>
        <w:t> </w:t>
      </w:r>
      <w:r>
        <w:rPr/>
        <w:t>试；</w:t>
      </w:r>
    </w:p>
    <w:p>
      <w:pPr>
        <w:pStyle w:val="BodyText"/>
        <w:spacing w:line="408" w:lineRule="auto" w:before="46"/>
        <w:ind w:right="148" w:firstLine="419"/>
        <w:jc w:val="left"/>
      </w:pPr>
      <w:r>
        <w:rPr>
          <w:spacing w:val="-4"/>
        </w:rPr>
        <w:t>（</w:t>
      </w:r>
      <w:r>
        <w:rPr>
          <w:rFonts w:ascii="宋体" w:hAnsi="宋体" w:cs="宋体" w:eastAsia="宋体" w:hint="default"/>
          <w:spacing w:val="-4"/>
        </w:rPr>
        <w:t>5</w:t>
      </w:r>
      <w:r>
        <w:rPr>
          <w:spacing w:val="-4"/>
        </w:rPr>
        <w:t>）就资产负债表日前后确认的收入执行截止测试，以评价收入是否被记录于恰当的会计期</w:t>
      </w:r>
      <w:r>
        <w:rPr>
          <w:w w:val="100"/>
        </w:rPr>
        <w:t> </w:t>
      </w:r>
      <w:r>
        <w:rPr/>
        <w:t>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240" w:lineRule="auto"/>
        <w:ind w:left="560" w:right="148"/>
        <w:jc w:val="left"/>
        <w:rPr>
          <w:b w:val="0"/>
          <w:bCs w:val="0"/>
        </w:rPr>
      </w:pPr>
      <w:r>
        <w:rPr/>
        <w:t>四、其他信息</w:t>
      </w:r>
      <w:r>
        <w:rPr>
          <w:b w:val="0"/>
          <w:bCs w:val="0"/>
        </w:rPr>
      </w:r>
    </w:p>
    <w:p>
      <w:pPr>
        <w:spacing w:after="0" w:line="240" w:lineRule="auto"/>
        <w:jc w:val="left"/>
        <w:sectPr>
          <w:pgSz w:w="11910" w:h="16840"/>
          <w:pgMar w:header="877" w:footer="1195" w:top="1100" w:bottom="1380" w:left="1660" w:right="106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408" w:lineRule="auto"/>
        <w:ind w:right="128" w:firstLine="419"/>
        <w:jc w:val="both"/>
      </w:pPr>
      <w:r>
        <w:rPr>
          <w:spacing w:val="-4"/>
        </w:rPr>
        <w:t>人民网管理层对其他信息负责。其他信息包括 </w:t>
      </w:r>
      <w:r>
        <w:rPr>
          <w:rFonts w:ascii="宋体" w:hAnsi="宋体" w:cs="宋体" w:eastAsia="宋体" w:hint="default"/>
        </w:rPr>
        <w:t>2017</w:t>
      </w:r>
      <w:r>
        <w:rPr>
          <w:rFonts w:ascii="宋体" w:hAnsi="宋体" w:cs="宋体" w:eastAsia="宋体" w:hint="default"/>
          <w:spacing w:val="-58"/>
        </w:rPr>
        <w:t> </w:t>
      </w:r>
      <w:r>
        <w:rPr>
          <w:spacing w:val="-4"/>
        </w:rPr>
        <w:t>年年度报告中涵盖的信息，但不包括财务</w:t>
      </w:r>
      <w:r>
        <w:rPr>
          <w:w w:val="100"/>
        </w:rPr>
        <w:t> </w:t>
      </w:r>
      <w:r>
        <w:rPr/>
        <w:t>报表和我们的审计报告。</w:t>
      </w:r>
    </w:p>
    <w:p>
      <w:pPr>
        <w:pStyle w:val="BodyText"/>
        <w:spacing w:line="408" w:lineRule="auto" w:before="46"/>
        <w:ind w:right="137"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408" w:lineRule="auto" w:before="46"/>
        <w:ind w:right="137"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410" w:lineRule="auto" w:before="46"/>
        <w:ind w:right="137"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408"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人民网管理层（以下简称管理层）负责按照企业会计准则的规定编制财务报表，使其实现公</w:t>
      </w:r>
    </w:p>
    <w:p>
      <w:pPr>
        <w:pStyle w:val="BodyText"/>
        <w:spacing w:line="408" w:lineRule="auto" w:before="46"/>
        <w:ind w:right="137"/>
        <w:jc w:val="both"/>
      </w:pPr>
      <w:r>
        <w:rPr>
          <w:spacing w:val="-2"/>
        </w:rPr>
        <w:t>允反映，并设计、执行和维护必要的内部控制，以使财务报表不存在由于舞弊或错误导致的重大</w:t>
      </w:r>
      <w:r>
        <w:rPr>
          <w:spacing w:val="-25"/>
        </w:rPr>
        <w:t> </w:t>
      </w:r>
      <w:r>
        <w:rPr>
          <w:spacing w:val="-25"/>
        </w:rPr>
      </w:r>
      <w:r>
        <w:rPr/>
        <w:t>错报。</w:t>
      </w:r>
    </w:p>
    <w:p>
      <w:pPr>
        <w:pStyle w:val="BodyText"/>
        <w:spacing w:line="408" w:lineRule="auto" w:before="46"/>
        <w:ind w:right="128" w:firstLine="419"/>
        <w:jc w:val="both"/>
      </w:pPr>
      <w:r>
        <w:rPr>
          <w:spacing w:val="-7"/>
        </w:rPr>
        <w:t>在编制财务报表时，管理层负责评估人民网的持续经营能力，披露与持续经营相关的事项（如</w:t>
      </w:r>
      <w:r>
        <w:rPr>
          <w:w w:val="100"/>
        </w:rPr>
        <w:t> </w:t>
      </w:r>
      <w:r>
        <w:rPr>
          <w:spacing w:val="-2"/>
        </w:rPr>
        <w:t>适用），并运用持续经营假设，除非管理层计划清算人民网、终止运营或别无其他现实的选择。</w:t>
      </w:r>
    </w:p>
    <w:p>
      <w:pPr>
        <w:pStyle w:val="BodyText"/>
        <w:spacing w:line="240" w:lineRule="auto" w:before="46"/>
        <w:ind w:left="558" w:right="2543"/>
        <w:jc w:val="left"/>
      </w:pPr>
      <w:r>
        <w:rPr/>
        <w:t>治理层负责监督人民网的财务报告过程。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408" w:lineRule="auto" w:before="46"/>
        <w:ind w:right="137"/>
        <w:jc w:val="both"/>
      </w:pP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408" w:lineRule="auto" w:before="46"/>
        <w:ind w:right="13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408" w:lineRule="auto" w:before="46"/>
        <w:ind w:right="12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46"/>
        <w:ind w:left="558" w:right="2543"/>
        <w:jc w:val="left"/>
      </w:pPr>
      <w:r>
        <w:rPr/>
        <w:t>（二）了解与审计相关的内部控制，以设计恰当的审计程序。</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8" w:right="0"/>
        <w:jc w:val="left"/>
      </w:pPr>
      <w:r>
        <w:rPr/>
        <w:t>（三）评价管理层选用会计政策的恰当性和作出会计估计及相关披露的合理性。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408" w:lineRule="auto"/>
        <w:ind w:right="137" w:firstLine="419"/>
        <w:jc w:val="both"/>
      </w:pPr>
      <w:r>
        <w:rPr>
          <w:spacing w:val="-2"/>
        </w:rPr>
        <w:t>（四）对管理层使用持续经营假设的恰当性得出结论。同时，根据获取的审计证据，就可能</w:t>
      </w:r>
      <w:r>
        <w:rPr>
          <w:w w:val="100"/>
        </w:rPr>
        <w:t> </w:t>
      </w:r>
      <w:r>
        <w:rPr>
          <w:spacing w:val="-2"/>
        </w:rPr>
        <w:t>导致对人民网持续经营能力产生重大疑虑的事项或情况是否存在重大不确定性得出结论。如果我</w:t>
      </w:r>
      <w:r>
        <w:rPr>
          <w:spacing w:val="-25"/>
        </w:rPr>
        <w:t> </w:t>
      </w:r>
      <w:r>
        <w:rPr>
          <w:spacing w:val="-25"/>
        </w:rPr>
      </w:r>
      <w:r>
        <w:rPr>
          <w:spacing w:val="-2"/>
        </w:rPr>
        <w:t>们得出结论认为存在重大不确定性，审计准则要求我们在审计报告中提请报表使用者注意财务报</w:t>
      </w:r>
      <w:r>
        <w:rPr>
          <w:spacing w:val="-25"/>
        </w:rPr>
        <w:t> </w:t>
      </w:r>
      <w:r>
        <w:rPr>
          <w:spacing w:val="-25"/>
        </w:rPr>
      </w:r>
      <w:r>
        <w:rPr>
          <w:spacing w:val="-2"/>
        </w:rPr>
        <w:t>表中的相关披露；如果披露不充分，我们应当发表非无保留意见。我们的结论基于截至审计报告</w:t>
      </w:r>
      <w:r>
        <w:rPr>
          <w:spacing w:val="-25"/>
        </w:rPr>
        <w:t> </w:t>
      </w:r>
      <w:r>
        <w:rPr>
          <w:spacing w:val="-25"/>
        </w:rPr>
      </w:r>
      <w:r>
        <w:rPr/>
        <w:t>日可获得的信息。然而，未来的事项或情况可能导致人民网不能持续经营。</w:t>
      </w:r>
    </w:p>
    <w:p>
      <w:pPr>
        <w:pStyle w:val="BodyText"/>
        <w:spacing w:line="410" w:lineRule="auto" w:before="46"/>
        <w:ind w:right="137" w:firstLine="419"/>
        <w:jc w:val="both"/>
      </w:pPr>
      <w:r>
        <w:rPr>
          <w:spacing w:val="-2"/>
        </w:rPr>
        <w:t>（五）评价财务报表的总体列报、结构和内容（包括披露），并评价财务报表是否公允反映</w:t>
      </w:r>
      <w:r>
        <w:rPr>
          <w:w w:val="100"/>
        </w:rPr>
        <w:t> </w:t>
      </w:r>
      <w:r>
        <w:rPr/>
        <w:t>相关交易和事项。</w:t>
      </w:r>
    </w:p>
    <w:p>
      <w:pPr>
        <w:pStyle w:val="BodyText"/>
        <w:spacing w:line="408" w:lineRule="auto" w:before="44"/>
        <w:ind w:right="137" w:firstLine="419"/>
        <w:jc w:val="both"/>
      </w:pPr>
      <w:r>
        <w:rPr>
          <w:spacing w:val="-2"/>
        </w:rPr>
        <w:t>（六）就人民网中实体或业务活动的财务信息获取充分、适当的审计证据，以对财务报表发</w:t>
      </w:r>
      <w:r>
        <w:rPr>
          <w:w w:val="100"/>
        </w:rPr>
        <w:t> </w:t>
      </w:r>
      <w:r>
        <w:rPr/>
        <w:t>表意见。我们负责指导、监督和执行集团审计。我们对审计意见承担全部责任。</w:t>
      </w:r>
    </w:p>
    <w:p>
      <w:pPr>
        <w:pStyle w:val="BodyText"/>
        <w:spacing w:line="408" w:lineRule="auto" w:before="46"/>
        <w:ind w:right="13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408" w:lineRule="auto" w:before="46"/>
        <w:ind w:right="13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408" w:lineRule="auto" w:before="46"/>
        <w:ind w:right="13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6"/>
        </w:rPr>
        <w:t> </w:t>
      </w:r>
      <w:r>
        <w:rPr>
          <w:spacing w:val="-26"/>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343" w:type="dxa"/>
        <w:tblLayout w:type="fixed"/>
        <w:tblCellMar>
          <w:top w:w="0" w:type="dxa"/>
          <w:left w:w="0" w:type="dxa"/>
          <w:bottom w:w="0" w:type="dxa"/>
          <w:right w:w="0" w:type="dxa"/>
        </w:tblCellMar>
        <w:tblLook w:val="01E0"/>
      </w:tblPr>
      <w:tblGrid>
        <w:gridCol w:w="3911"/>
        <w:gridCol w:w="2648"/>
      </w:tblGrid>
      <w:tr>
        <w:trPr>
          <w:trHeight w:val="876" w:hRule="exact"/>
        </w:trPr>
        <w:tc>
          <w:tcPr>
            <w:tcW w:w="3911" w:type="dxa"/>
            <w:tcBorders>
              <w:top w:val="nil" w:sz="6" w:space="0" w:color="auto"/>
              <w:left w:val="nil" w:sz="6" w:space="0" w:color="auto"/>
              <w:bottom w:val="nil" w:sz="6" w:space="0" w:color="auto"/>
              <w:right w:val="nil" w:sz="6" w:space="0" w:color="auto"/>
            </w:tcBorders>
          </w:tcPr>
          <w:p>
            <w:pPr>
              <w:pStyle w:val="TableParagraph"/>
              <w:spacing w:line="211" w:lineRule="exact"/>
              <w:ind w:right="143"/>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648" w:type="dxa"/>
            <w:tcBorders>
              <w:top w:val="nil" w:sz="6" w:space="0" w:color="auto"/>
              <w:left w:val="nil" w:sz="6" w:space="0" w:color="auto"/>
              <w:bottom w:val="nil" w:sz="6" w:space="0" w:color="auto"/>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中国注册会计师：黄简</w:t>
            </w:r>
          </w:p>
          <w:p>
            <w:pPr>
              <w:pStyle w:val="TableParagraph"/>
              <w:spacing w:line="240" w:lineRule="auto" w:before="85"/>
              <w:ind w:left="345"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966" w:hRule="exact"/>
        </w:trPr>
        <w:tc>
          <w:tcPr>
            <w:tcW w:w="39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5"/>
              <w:jc w:val="center"/>
              <w:rPr>
                <w:rFonts w:ascii="宋体" w:hAnsi="宋体" w:cs="宋体" w:eastAsia="宋体" w:hint="default"/>
                <w:sz w:val="21"/>
                <w:szCs w:val="21"/>
              </w:rPr>
            </w:pPr>
            <w:r>
              <w:rPr>
                <w:rFonts w:ascii="宋体" w:hAnsi="宋体" w:cs="宋体" w:eastAsia="宋体" w:hint="default"/>
                <w:sz w:val="21"/>
                <w:szCs w:val="21"/>
              </w:rPr>
              <w:t>中国·北京</w:t>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spacing w:val="-2"/>
                <w:sz w:val="21"/>
                <w:szCs w:val="21"/>
              </w:rPr>
              <w:t>中国注册会计师：罗军</w:t>
            </w:r>
            <w:r>
              <w:rPr>
                <w:rFonts w:ascii="宋体" w:hAnsi="宋体" w:cs="宋体" w:eastAsia="宋体" w:hint="default"/>
                <w:sz w:val="21"/>
                <w:szCs w:val="21"/>
              </w:rPr>
            </w:r>
          </w:p>
        </w:tc>
      </w:tr>
      <w:tr>
        <w:trPr>
          <w:trHeight w:val="661" w:hRule="exact"/>
        </w:trPr>
        <w:tc>
          <w:tcPr>
            <w:tcW w:w="3911"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二〇一八年四月十六日</w:t>
            </w:r>
          </w:p>
        </w:tc>
      </w:tr>
    </w:tbl>
    <w:p>
      <w:pPr>
        <w:spacing w:after="0" w:line="240" w:lineRule="auto"/>
        <w:jc w:val="right"/>
        <w:rPr>
          <w:rFonts w:ascii="宋体" w:hAnsi="宋体" w:cs="宋体" w:eastAsia="宋体" w:hint="default"/>
          <w:sz w:val="21"/>
          <w:szCs w:val="21"/>
        </w:rPr>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人民网股份有限公司</w:t>
      </w:r>
    </w:p>
    <w:p>
      <w:pPr>
        <w:spacing w:line="240" w:lineRule="auto" w:before="7"/>
        <w:rPr>
          <w:rFonts w:ascii="宋体" w:hAnsi="宋体" w:cs="宋体" w:eastAsia="宋体" w:hint="default"/>
          <w:sz w:val="29"/>
          <w:szCs w:val="29"/>
        </w:rPr>
      </w:pPr>
      <w:r>
        <w:rPr/>
        <w:br w:type="column"/>
      </w:r>
      <w:r>
        <w:rPr>
          <w:rFonts w:ascii="宋体"/>
          <w:sz w:val="29"/>
        </w:rPr>
      </w:r>
    </w:p>
    <w:p>
      <w:pPr>
        <w:spacing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164" w:space="387"/>
            <w:col w:w="1954" w:space="1229"/>
            <w:col w:w="2556"/>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531,417,930.28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427,244,538.71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405,470,845.93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479,164,019.00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25,425,195.02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20,370,717.40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300,821.92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6,575.34</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5,600,000.00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77,217,183.23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24,090,616.26</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14,602,046.15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7,290,403.47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1,472,814,455.34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1,628,560,158.93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2,527,398,477.87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2,592,327,029.11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124,900,000.00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88,380,000.00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56,355.53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52,251,508.33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454,740,263.38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202,356,220.02</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136,178,012.80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157,066,319.40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19,083,296.05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84,954,098.98</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135,044,985.26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39,144,428.18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36,052,570.01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2,272,640.19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5,171,150.44</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347,184,635.61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345,721,934.00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1,123,559,631.74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1,106,998,786.44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3,650,958,109.61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3,699,325,815.55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168,905,949.90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189,855,152.22</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421,428,563.87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218,877,297.41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19,408,534.54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22,432,331.65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23,729,454.34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43,433,651.15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27,637,289.94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39,549,366.10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6,103,876.18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661,109,792.59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520,251,674.71</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5"/>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33,104,008.38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35,466,163.09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33,104,008.38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35,466,163.09</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694,213,800.97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555,717,837.80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1,105,691,056.00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1,105,691,056.00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745,005,150.37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745,005,150.37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21,240,583.11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9,960,987.78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156,252,314.32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145,170,857.97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756,693,337.76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728,122,463.21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2,784,882,441.56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2,733,950,515.33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171,861,867.08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409,657,462.42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2,956,744,308.64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3,143,607,977.75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3,650,958,109.61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3,699,325,815.55</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left="218" w:right="227"/>
        <w:jc w:val="left"/>
      </w:pPr>
      <w:r>
        <w:rPr/>
        <w:t>法定代表人：叶蓁蓁主管会计工作负责人：魏榕芳会计机构负责人：张煜晓</w:t>
      </w:r>
    </w:p>
    <w:p>
      <w:pPr>
        <w:spacing w:after="0" w:line="240" w:lineRule="auto"/>
        <w:jc w:val="left"/>
        <w:sectPr>
          <w:footerReference w:type="default" r:id="rId36"/>
          <w:pgSz w:w="11910" w:h="16840"/>
          <w:pgMar w:footer="1195" w:header="877" w:top="1100" w:bottom="1380" w:left="1580" w:right="1040"/>
          <w:pgNumType w:start="61"/>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left="218" w:right="0"/>
        <w:jc w:val="left"/>
      </w:pPr>
      <w:r>
        <w:rPr>
          <w:spacing w:val="-2"/>
        </w:rPr>
        <w:t>编制单位</w:t>
      </w:r>
      <w:r>
        <w:rPr>
          <w:rFonts w:ascii="宋体" w:hAnsi="宋体" w:cs="宋体" w:eastAsia="宋体" w:hint="default"/>
          <w:spacing w:val="-2"/>
        </w:rPr>
        <w:t>:</w:t>
      </w:r>
      <w:r>
        <w:rPr>
          <w:spacing w:val="-2"/>
        </w:rPr>
        <w:t>人民网股份有限公司</w:t>
      </w:r>
    </w:p>
    <w:p>
      <w:pPr>
        <w:spacing w:line="273" w:lineRule="auto"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229"/>
            <w:col w:w="2556"/>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280,628,142.56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222,777,508.04</w:t>
            </w:r>
          </w:p>
        </w:tc>
      </w:tr>
      <w:tr>
        <w:trPr>
          <w:trHeight w:val="63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150,000.00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212,401,833.35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225,306,780.16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17,250,978.23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10,977,510.77</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5,600,000.00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92,335,010.95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37,841,270.48</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14,406,925.00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3,428,343.32</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1,195,404,387.56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1,043,413,099.32</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1,812,577,277.65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1,549,344,512.09</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94,900,000.00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83,380,000.00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22,198,400.00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786,416,050.46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695,754,874.26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112,735,317.32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128,377,880.70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14,158,874.20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22,965,789.12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36,812,145.03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32,606,121.79</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347,184,635.61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345,721,934.00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1,392,207,022.62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1,331,004,999.87</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3,204,784,300.27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2,880,349,511.96</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71,618,639.30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70,952,932.13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295,696,765.07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139,643,324.42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8,740,220.41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13,212,509.96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11,255,156.77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9,400,548.13</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17,970,228.55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23,342,295.39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405,281,010.10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256,551,610.03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19,180,236.27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14,495,257.32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19,180,236.27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14,495,257.32</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424,461,246.37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271,046,867.35</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1,105,691,056.00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1,105,691,056.00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674,830,630.19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674,830,630.19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26,370,000.00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14,850,000.00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157,164,182.40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136,238,531.72</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816,267,185.31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677,692,426.70</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2,780,323,053.90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2,609,302,644.61</w:t>
            </w:r>
          </w:p>
        </w:tc>
      </w:tr>
    </w:tbl>
    <w:p>
      <w:pPr>
        <w:spacing w:after="0" w:line="265"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98" w:right="0"/>
              <w:jc w:val="left"/>
              <w:rPr>
                <w:rFonts w:ascii="宋体" w:hAnsi="宋体" w:cs="宋体" w:eastAsia="宋体" w:hint="default"/>
                <w:sz w:val="21"/>
                <w:szCs w:val="21"/>
              </w:rPr>
            </w:pPr>
            <w:r>
              <w:rPr>
                <w:rFonts w:ascii="宋体"/>
                <w:sz w:val="21"/>
              </w:rPr>
              <w:t>3,204,784,300.27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39" w:right="0"/>
              <w:jc w:val="left"/>
              <w:rPr>
                <w:rFonts w:ascii="宋体" w:hAnsi="宋体" w:cs="宋体" w:eastAsia="宋体" w:hint="default"/>
                <w:sz w:val="21"/>
                <w:szCs w:val="21"/>
              </w:rPr>
            </w:pPr>
            <w:r>
              <w:rPr>
                <w:rFonts w:ascii="宋体"/>
                <w:sz w:val="21"/>
              </w:rPr>
              <w:t>2,880,349,511.96</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left="218" w:right="227"/>
        <w:jc w:val="left"/>
      </w:pPr>
      <w:r>
        <w:rPr/>
        <w:t>法定代表人：叶蓁蓁主管会计工作负责人：魏榕芳会计机构负责人：张煜晓</w:t>
      </w:r>
    </w:p>
    <w:p>
      <w:pPr>
        <w:spacing w:after="0" w:line="240" w:lineRule="auto"/>
        <w:jc w:val="left"/>
        <w:sectPr>
          <w:pgSz w:w="11910" w:h="16840"/>
          <w:pgMar w:header="877" w:footer="1195" w:top="110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73" w:lineRule="auto"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458" w:val="left" w:leader="none"/>
        </w:tabs>
        <w:spacing w:line="240" w:lineRule="auto" w:before="136"/>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1,400,642,259.77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1,431,792,603.50</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1,400,642,259.77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1,431,792,603.50</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1,390,211,929.83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1,442,894,360.84</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913,616,657.81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823,113,045.13</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22,913,271.48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19,907,299.85</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258,288,485.02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309,688,674.33</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189,578,391.54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207,868,553.21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-874,418.37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-3,819,383.94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6,689,542.35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86,136,172.26</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88,959,623.01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211,633,360.25</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118,050.42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1,187.64</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15,220,342.01</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114,728,345.38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200,532,790.55</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1,214,573.63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33,367,912.07</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937,365.59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576,843.38</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115,005,553.42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233,323,859.24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7,338,924.05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29,932,466.42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107,666,629.37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203,391,392.82</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107,666,629.37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203,391,392.82</w:t>
            </w: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18,258,200.95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97,388,477.19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89,408,428.42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106,002,915.63</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11,299,541.73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16,273,942.68</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w:t>
            </w:r>
            <w:r>
              <w:rPr>
                <w:rFonts w:ascii="宋体" w:hAnsi="宋体" w:cs="宋体" w:eastAsia="宋体" w:hint="default"/>
                <w:w w:val="100"/>
                <w:sz w:val="21"/>
                <w:szCs w:val="21"/>
              </w:rPr>
              <w:t> </w:t>
            </w: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11,279,595.33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16,230,792.91</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w:t>
            </w:r>
            <w:r>
              <w:rPr>
                <w:rFonts w:ascii="宋体" w:hAnsi="宋体" w:cs="宋体" w:eastAsia="宋体" w:hint="default"/>
                <w:w w:val="100"/>
                <w:sz w:val="21"/>
                <w:szCs w:val="21"/>
              </w:rPr>
              <w:t> </w:t>
            </w: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11,279,595.33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16,230,792.91</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w:t>
            </w:r>
            <w:r>
              <w:rPr>
                <w:rFonts w:ascii="宋体" w:hAnsi="宋体" w:cs="宋体" w:eastAsia="宋体" w:hint="default"/>
                <w:w w:val="100"/>
                <w:sz w:val="21"/>
                <w:szCs w:val="21"/>
              </w:rPr>
              <w:t> </w:t>
            </w:r>
            <w:r>
              <w:rPr>
                <w:rFonts w:ascii="宋体" w:hAnsi="宋体" w:cs="宋体" w:eastAsia="宋体" w:hint="default"/>
                <w:spacing w:val="-2"/>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11,520,000.00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14,850,000.00</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w:t>
            </w:r>
            <w:r>
              <w:rPr>
                <w:rFonts w:ascii="宋体" w:hAnsi="宋体" w:cs="宋体" w:eastAsia="宋体" w:hint="default"/>
                <w:w w:val="100"/>
                <w:sz w:val="21"/>
                <w:szCs w:val="21"/>
              </w:rPr>
              <w:t> </w:t>
            </w: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-240,404.67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1,380,792.91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19,946.40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43,149.77</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118,966,171.10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219,665,335.50</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100,688,023.75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122,233,708.54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18,278,147.35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97,431,626.96</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0.10</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5"/>
              <w:jc w:val="right"/>
              <w:rPr>
                <w:rFonts w:ascii="宋体" w:hAnsi="宋体" w:cs="宋体" w:eastAsia="宋体" w:hint="default"/>
                <w:sz w:val="21"/>
                <w:szCs w:val="21"/>
              </w:rPr>
            </w:pPr>
            <w:r>
              <w:rPr>
                <w:rFonts w:ascii="宋体"/>
                <w:sz w:val="21"/>
              </w:rPr>
              <w:t>0.10</w:t>
            </w:r>
          </w:p>
        </w:tc>
      </w:tr>
    </w:tbl>
    <w:p>
      <w:pPr>
        <w:spacing w:line="240" w:lineRule="auto" w:before="2"/>
        <w:rPr>
          <w:rFonts w:ascii="宋体" w:hAnsi="宋体" w:cs="宋体" w:eastAsia="宋体" w:hint="default"/>
          <w:sz w:val="20"/>
          <w:szCs w:val="20"/>
        </w:rPr>
      </w:pPr>
    </w:p>
    <w:p>
      <w:pPr>
        <w:pStyle w:val="BodyText"/>
        <w:spacing w:line="273" w:lineRule="auto" w:before="36"/>
        <w:ind w:left="218" w:right="22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spacing w:line="240" w:lineRule="auto" w:before="7"/>
        <w:ind w:left="218" w:right="227"/>
        <w:jc w:val="left"/>
      </w:pPr>
      <w:r>
        <w:rPr/>
        <w:t>法定代表人：叶蓁蓁主管会计工作负责人：魏榕芳会计机构负责人：张煜晓</w:t>
      </w:r>
    </w:p>
    <w:p>
      <w:pPr>
        <w:spacing w:after="0" w:line="240" w:lineRule="auto"/>
        <w:jc w:val="left"/>
        <w:sectPr>
          <w:pgSz w:w="11910" w:h="16840"/>
          <w:pgMar w:header="877" w:footer="1195" w:top="110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73" w:lineRule="auto"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751,006,620.89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731,518,477.50</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498,371,876.39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402,453,082.72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15,726,558.71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14,037,882.62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149,632,874.57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159,295,304.31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77,756,020.33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85,677,461.84</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-262,434.66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-2,725,139.20</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5,627,473.48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68,712,153.29</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200,934,447.05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57,466,072.89</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12,404.71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1,187.64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3,749,211.14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208,850,314.97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61,534,992.45</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994,183.89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19,900,503.30</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587,992.05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486,802.34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209,256,506.81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80,948,693.41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209,256,506.81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80,948,693.41</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3" w:right="96" w:firstLine="419"/>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209,256,506.81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80,948,693.41</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3" w:right="-8" w:firstLine="419"/>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11,520,000.00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14,850,000.00</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281"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11,520,000.00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14,850,000.00</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11,520,000.00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14,850,000.00</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83" w:right="0"/>
              <w:jc w:val="left"/>
              <w:rPr>
                <w:rFonts w:ascii="宋体" w:hAnsi="宋体" w:cs="宋体" w:eastAsia="宋体" w:hint="default"/>
                <w:sz w:val="21"/>
                <w:szCs w:val="21"/>
              </w:rPr>
            </w:pPr>
            <w:r>
              <w:rPr>
                <w:rFonts w:ascii="宋体"/>
                <w:sz w:val="21"/>
              </w:rPr>
              <w:t>220,776,506.81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4" w:right="0"/>
              <w:jc w:val="left"/>
              <w:rPr>
                <w:rFonts w:ascii="宋体" w:hAnsi="宋体" w:cs="宋体" w:eastAsia="宋体" w:hint="default"/>
                <w:sz w:val="21"/>
                <w:szCs w:val="21"/>
              </w:rPr>
            </w:pPr>
            <w:r>
              <w:rPr>
                <w:rFonts w:ascii="宋体"/>
                <w:sz w:val="21"/>
              </w:rPr>
              <w:t>95,798,693.41</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218" w:right="227"/>
        <w:jc w:val="left"/>
      </w:pPr>
      <w:r>
        <w:rPr/>
        <w:t>法定代表人：叶蓁蓁主管会计工作负责人：魏榕芳会计机构负责人：张煜晓</w:t>
      </w:r>
    </w:p>
    <w:p>
      <w:pPr>
        <w:spacing w:after="0" w:line="240" w:lineRule="auto"/>
        <w:jc w:val="left"/>
        <w:sectPr>
          <w:pgSz w:w="11910" w:h="16840"/>
          <w:pgMar w:header="877" w:footer="1195" w:top="110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73" w:lineRule="auto"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53" w:val="left" w:leader="none"/>
        </w:tabs>
        <w:spacing w:line="240" w:lineRule="auto" w:before="136"/>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1,719,362,838.36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1,548,656,832.37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150,426.18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2,892,430.31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49,489,134.96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68,842,830.93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1,769,002,399.50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1,620,392,093.61</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574,628,755.50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481,409,271.89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577,276,981.00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548,015,237.21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104,516,838.90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87,964,241.13</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206,244,562.42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262,822,927.71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1,462,667,137.82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1,380,211,677.94</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306,335,261.68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240,180,415.67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8,146,628,763.82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8,392,607,656.12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70,415,472.92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50,277,846.38</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386,038.00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51,021.65</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19,641,094.79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174,394,845.23</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1,493,060.03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8,238,571,369.53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8,618,824,429.41</w:t>
            </w: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48,052,616.44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57,953,353.39</w:t>
            </w:r>
          </w:p>
        </w:tc>
      </w:tr>
    </w:tbl>
    <w:p>
      <w:pPr>
        <w:spacing w:after="0" w:line="26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8,244,870,397.58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9,501,940,229.69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53,604,000.00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28,608,542.02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7,000,000.00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8,346,527,014.02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9,595,502,125.10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-107,955,644.49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-976,677,695.69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r>
              <w:rPr>
                <w:rFonts w:ascii="宋体" w:hAnsi="宋体" w:cs="宋体" w:eastAsia="宋体" w:hint="default"/>
                <w:w w:val="100"/>
                <w:sz w:val="21"/>
                <w:szCs w:val="21"/>
              </w:rPr>
              <w:t> </w:t>
            </w: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3,590,512.39</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3,590,512.39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127,319,197.52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92,726,829.20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r>
              <w:rPr>
                <w:rFonts w:ascii="宋体" w:hAnsi="宋体" w:cs="宋体" w:eastAsia="宋体" w:hint="default"/>
                <w:w w:val="100"/>
                <w:sz w:val="21"/>
                <w:szCs w:val="21"/>
              </w:rPr>
              <w:t> </w:t>
            </w: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77,563,100.00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9,800,000.00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127,319,197.52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92,726,829.20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-98,819,197.52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-89,136,316.81</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-360,665.17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1,525,499.32</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99,199,754.50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-824,108,097.51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427,244,538.71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1,251,352,636.22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526,444,293.21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427,244,538.71</w:t>
            </w:r>
          </w:p>
        </w:tc>
      </w:tr>
    </w:tbl>
    <w:p>
      <w:pPr>
        <w:spacing w:line="240" w:lineRule="auto" w:before="6"/>
        <w:rPr>
          <w:rFonts w:ascii="宋体" w:hAnsi="宋体" w:cs="宋体" w:eastAsia="宋体" w:hint="default"/>
          <w:sz w:val="18"/>
          <w:szCs w:val="18"/>
        </w:rPr>
      </w:pPr>
    </w:p>
    <w:p>
      <w:pPr>
        <w:pStyle w:val="BodyText"/>
        <w:spacing w:line="240" w:lineRule="auto" w:before="36"/>
        <w:ind w:left="218" w:right="227"/>
        <w:jc w:val="left"/>
      </w:pPr>
      <w:r>
        <w:rPr/>
        <w:t>法定代表人：叶蓁蓁主管会计工作负责人：魏榕芳会计机构负责人：张煜晓</w:t>
      </w:r>
    </w:p>
    <w:p>
      <w:pPr>
        <w:spacing w:after="0" w:line="240" w:lineRule="auto"/>
        <w:jc w:val="left"/>
        <w:sectPr>
          <w:footerReference w:type="default" r:id="rId37"/>
          <w:pgSz w:w="11910" w:h="16840"/>
          <w:pgMar w:footer="1195" w:header="877" w:top="110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38"/>
          <w:pgSz w:w="11910" w:h="16840"/>
          <w:pgMar w:footer="1195" w:header="877" w:top="1100" w:bottom="1380" w:left="1580" w:right="1040"/>
          <w:pgNumType w:start="71"/>
        </w:sectPr>
      </w:pPr>
    </w:p>
    <w:p>
      <w:pPr>
        <w:spacing w:line="273" w:lineRule="auto"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77" w:val="left" w:leader="none"/>
        </w:tabs>
        <w:spacing w:line="240" w:lineRule="auto" w:before="136"/>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961,663,914.37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829,582,149.93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522,511.96</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27,188,329.53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25,683,276.61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988,852,243.90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855,787,938.50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245,440,197.86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141,545,490.93</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342,096,938.17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328,164,396.28</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45,233,393.03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44,981,141.33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129,837,676.40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168,986,804.47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762,608,205.46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683,677,833.01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226,244,038.44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172,110,105.49</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4,709,412,983.00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5,281,318,744.41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105,110,350.34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48,853,121.21</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25,660.00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27,000.00</w:t>
            </w: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68,445,708.72</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4,882,994,702.06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5,330,198,865.62</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33,930,412.57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34,256,509.05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4,878,678,732.96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6,012,444,428.53</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93,104,000.00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28,608,542.02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5,000,000.00</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5,005,713,145.53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6,080,309,479.60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-122,718,443.47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-750,110,613.98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3,590,512.39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3,590,512.39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49,756,097.52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82,926,829.20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49,756,097.52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82,926,829.20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-49,756,097.52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-79,336,316.81</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53,769,497.45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-657,336,825.30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222,777,508.04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880,114,333.34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276,547,005.49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222,777,508.04</w:t>
            </w:r>
          </w:p>
        </w:tc>
      </w:tr>
    </w:tbl>
    <w:p>
      <w:pPr>
        <w:spacing w:line="240" w:lineRule="auto" w:before="6"/>
        <w:rPr>
          <w:rFonts w:ascii="宋体" w:hAnsi="宋体" w:cs="宋体" w:eastAsia="宋体" w:hint="default"/>
          <w:sz w:val="18"/>
          <w:szCs w:val="18"/>
        </w:rPr>
      </w:pPr>
    </w:p>
    <w:p>
      <w:pPr>
        <w:pStyle w:val="BodyText"/>
        <w:spacing w:line="240" w:lineRule="auto" w:before="36"/>
        <w:ind w:left="218" w:right="227"/>
        <w:jc w:val="left"/>
      </w:pPr>
      <w:r>
        <w:rPr/>
        <w:t>法定代表人：叶蓁蓁主管会计工作负责人：魏榕芳会计机构负责人：张煜晓</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9"/>
          <w:footerReference w:type="default" r:id="rId40"/>
          <w:pgSz w:w="16840" w:h="11910" w:orient="landscape"/>
          <w:pgMar w:header="882" w:footer="1195" w:top="1120" w:bottom="1380" w:left="140" w:right="160"/>
          <w:pgNumType w:start="73"/>
        </w:sectPr>
      </w:pPr>
    </w:p>
    <w:p>
      <w:pPr>
        <w:spacing w:before="36"/>
        <w:ind w:left="754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40" w:right="160"/>
          <w:cols w:num="2" w:equalWidth="0">
            <w:col w:w="9366" w:space="40"/>
            <w:col w:w="713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04"/>
        <w:gridCol w:w="1699"/>
        <w:gridCol w:w="569"/>
        <w:gridCol w:w="566"/>
        <w:gridCol w:w="567"/>
        <w:gridCol w:w="1560"/>
        <w:gridCol w:w="566"/>
        <w:gridCol w:w="1416"/>
        <w:gridCol w:w="569"/>
        <w:gridCol w:w="1560"/>
        <w:gridCol w:w="567"/>
        <w:gridCol w:w="1558"/>
        <w:gridCol w:w="1702"/>
        <w:gridCol w:w="1702"/>
      </w:tblGrid>
      <w:tr>
        <w:trPr>
          <w:trHeight w:val="250"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704" w:type="dxa"/>
            <w:vMerge/>
            <w:tcBorders>
              <w:left w:val="single" w:sz="4" w:space="0" w:color="000000"/>
              <w:right w:val="single" w:sz="4" w:space="0" w:color="000000"/>
            </w:tcBorders>
          </w:tcPr>
          <w:p>
            <w:pPr/>
          </w:p>
        </w:tc>
        <w:tc>
          <w:tcPr>
            <w:tcW w:w="111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1704"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87"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89"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18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1088" w:hRule="exact"/>
        </w:trPr>
        <w:tc>
          <w:tcPr>
            <w:tcW w:w="1704"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89"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4" w:lineRule="auto"/>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1,105,691,056.00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9,960,987.78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145,170,857.97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728,122,463.21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409,657,462.42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3,143,607,977.75</w:t>
            </w: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7" w:right="0"/>
              <w:jc w:val="center"/>
              <w:rPr>
                <w:rFonts w:ascii="宋体" w:hAnsi="宋体" w:cs="宋体" w:eastAsia="宋体" w:hint="default"/>
                <w:sz w:val="18"/>
                <w:szCs w:val="18"/>
              </w:rPr>
            </w:pPr>
            <w:r>
              <w:rPr>
                <w:rFonts w:ascii="宋体"/>
                <w:sz w:val="18"/>
              </w:rPr>
              <w:t>1,105,691,056.00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9,960,987.78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145,170,857.97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728,122,463.21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409,657,462.42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3,143,607,977.75</w:t>
            </w:r>
          </w:p>
        </w:tc>
      </w:tr>
      <w:tr>
        <w:trPr>
          <w:trHeight w:val="71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4"/>
              <w:ind w:left="105" w:right="327"/>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11,279,595.33</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11,081,456.35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28,570,874.55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-237,795,595.34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-186,863,669.11</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11,279,595.33</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89,408,428.42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18,278,147.35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118,966,171.10</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-178,510,642.69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-178,510,642.69</w:t>
            </w: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28,500,000.00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28,500,000.00</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-207,010,642.69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-207,010,642.69</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704"/>
        <w:gridCol w:w="1699"/>
        <w:gridCol w:w="569"/>
        <w:gridCol w:w="566"/>
        <w:gridCol w:w="567"/>
        <w:gridCol w:w="1560"/>
        <w:gridCol w:w="566"/>
        <w:gridCol w:w="1416"/>
        <w:gridCol w:w="569"/>
        <w:gridCol w:w="1560"/>
        <w:gridCol w:w="567"/>
        <w:gridCol w:w="1558"/>
        <w:gridCol w:w="1702"/>
        <w:gridCol w:w="1702"/>
      </w:tblGrid>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11,081,456.35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-60,837,553.87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-77,563,100.00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-127,319,197.52</w:t>
            </w: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11,081,456.35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-11,081,456.35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-49,756,097.52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-77,563,100.00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-127,319,197.52</w:t>
            </w: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1,105,691,056.00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21,240,583.11</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156,252,314.32</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756,693,337.76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171,861,867.08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2,956,744,308.64</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704"/>
        <w:gridCol w:w="1699"/>
        <w:gridCol w:w="569"/>
        <w:gridCol w:w="566"/>
        <w:gridCol w:w="567"/>
        <w:gridCol w:w="1560"/>
        <w:gridCol w:w="566"/>
        <w:gridCol w:w="1416"/>
        <w:gridCol w:w="569"/>
        <w:gridCol w:w="1560"/>
        <w:gridCol w:w="567"/>
        <w:gridCol w:w="1558"/>
        <w:gridCol w:w="1702"/>
        <w:gridCol w:w="1702"/>
      </w:tblGrid>
      <w:tr>
        <w:trPr>
          <w:trHeight w:val="250"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704" w:type="dxa"/>
            <w:vMerge/>
            <w:tcBorders>
              <w:left w:val="single" w:sz="4" w:space="0" w:color="000000"/>
              <w:right w:val="single" w:sz="4" w:space="0" w:color="000000"/>
            </w:tcBorders>
          </w:tcPr>
          <w:p>
            <w:pPr/>
          </w:p>
        </w:tc>
        <w:tc>
          <w:tcPr>
            <w:tcW w:w="111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1704"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4" w:lineRule="auto"/>
              <w:ind w:left="187"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4" w:lineRule="auto"/>
              <w:ind w:left="189"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18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1059" w:hRule="exact"/>
        </w:trPr>
        <w:tc>
          <w:tcPr>
            <w:tcW w:w="1704"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32" w:lineRule="exact"/>
              <w:ind w:left="189"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32" w:lineRule="exact"/>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2" w:lineRule="exact"/>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1,105,691,056.00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-6,269,805.13</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127,231,794.30</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722,985,440.45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sz w:val="18"/>
              </w:rPr>
              <w:t>421,368,588.94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3,116,012,224.93</w:t>
            </w: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704"/>
        <w:gridCol w:w="1699"/>
        <w:gridCol w:w="569"/>
        <w:gridCol w:w="566"/>
        <w:gridCol w:w="567"/>
        <w:gridCol w:w="1560"/>
        <w:gridCol w:w="566"/>
        <w:gridCol w:w="1416"/>
        <w:gridCol w:w="569"/>
        <w:gridCol w:w="1560"/>
        <w:gridCol w:w="567"/>
        <w:gridCol w:w="1558"/>
        <w:gridCol w:w="1702"/>
        <w:gridCol w:w="1702"/>
      </w:tblGrid>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1,105,691,056.00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-6,269,805.13</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127,231,794.30</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722,985,440.45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421,368,588.94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3,116,012,224.93</w:t>
            </w:r>
          </w:p>
        </w:tc>
      </w:tr>
      <w:tr>
        <w:trPr>
          <w:trHeight w:val="71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4"/>
              <w:ind w:left="105" w:right="327"/>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16,230,792.91</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17,939,063.67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5,137,022.76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-11,711,126.52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27,595,752.82</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16,230,792.91</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106,002,915.63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97,431,626.96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219,665,335.50</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-99,342,753.48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-99,342,753.48</w:t>
            </w: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-99,342,753.48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-99,342,753.48</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17,939,063.67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-100,865,892.8</w:t>
            </w:r>
          </w:p>
          <w:p>
            <w:pPr>
              <w:pStyle w:val="TableParagraph"/>
              <w:spacing w:line="240" w:lineRule="auto"/>
              <w:ind w:right="101"/>
              <w:jc w:val="right"/>
              <w:rPr>
                <w:rFonts w:ascii="宋体" w:hAnsi="宋体" w:cs="宋体" w:eastAsia="宋体" w:hint="default"/>
                <w:sz w:val="18"/>
                <w:szCs w:val="18"/>
              </w:rPr>
            </w:pPr>
            <w:r>
              <w:rPr>
                <w:rFonts w:ascii="宋体"/>
                <w:sz w:val="18"/>
              </w:rPr>
              <w:t>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-92,726,829.20</w:t>
            </w: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17,939,063.67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-17,939,063.67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-82,926,829.20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-92,726,829.20</w:t>
            </w: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704"/>
        <w:gridCol w:w="1699"/>
        <w:gridCol w:w="569"/>
        <w:gridCol w:w="566"/>
        <w:gridCol w:w="567"/>
        <w:gridCol w:w="1560"/>
        <w:gridCol w:w="566"/>
        <w:gridCol w:w="1416"/>
        <w:gridCol w:w="569"/>
        <w:gridCol w:w="1560"/>
        <w:gridCol w:w="567"/>
        <w:gridCol w:w="1558"/>
        <w:gridCol w:w="1702"/>
        <w:gridCol w:w="1702"/>
      </w:tblGrid>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1,105,691,056.00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sz w:val="18"/>
              </w:rPr>
              <w:t>9,960,987.78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145,170,857.97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728,122,463.21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sz w:val="18"/>
              </w:rPr>
              <w:t>409,657,462.42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3,143,607,977.75</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384" w:right="0"/>
        <w:jc w:val="left"/>
      </w:pPr>
      <w:r>
        <w:rPr/>
        <w:t>法定代表人：叶蓁蓁主管会计工作负责人：魏榕芳会计机构负责人：张煜晓</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40" w:right="160"/>
        </w:sectPr>
      </w:pPr>
    </w:p>
    <w:p>
      <w:pPr>
        <w:spacing w:before="36"/>
        <w:ind w:left="75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40" w:right="160"/>
          <w:cols w:num="2" w:equalWidth="0">
            <w:col w:w="9471" w:space="40"/>
            <w:col w:w="702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1"/>
        <w:gridCol w:w="1702"/>
        <w:gridCol w:w="709"/>
        <w:gridCol w:w="708"/>
        <w:gridCol w:w="708"/>
        <w:gridCol w:w="1656"/>
        <w:gridCol w:w="852"/>
        <w:gridCol w:w="1560"/>
        <w:gridCol w:w="857"/>
        <w:gridCol w:w="1700"/>
        <w:gridCol w:w="1882"/>
        <w:gridCol w:w="1702"/>
      </w:tblGrid>
      <w:tr>
        <w:trPr>
          <w:trHeight w:val="247" w:hRule="exact"/>
        </w:trPr>
        <w:tc>
          <w:tcPr>
            <w:tcW w:w="22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3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271" w:type="dxa"/>
            <w:vMerge/>
            <w:tcBorders>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12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135"/>
              <w:ind w:left="331" w:right="96" w:hanging="229"/>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7" w:type="dxa"/>
            <w:vMerge w:val="restart"/>
            <w:tcBorders>
              <w:top w:val="single" w:sz="6" w:space="0" w:color="000000"/>
              <w:left w:val="single" w:sz="6" w:space="0" w:color="000000"/>
              <w:right w:val="single" w:sz="6" w:space="0" w:color="000000"/>
            </w:tcBorders>
          </w:tcPr>
          <w:p>
            <w:pPr>
              <w:pStyle w:val="TableParagraph"/>
              <w:spacing w:line="240" w:lineRule="auto" w:before="135"/>
              <w:ind w:left="331"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8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27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c>
          <w:tcPr>
            <w:tcW w:w="1882"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674,830,630.19</w:t>
            </w: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14,850,000.00</w:t>
            </w: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136,238,531.72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677,692,426.70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2,609,302,644.61</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43" w:right="0"/>
              <w:jc w:val="center"/>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674,830,630.19</w:t>
            </w: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14,850,000.00</w:t>
            </w: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136,238,531.72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677,692,426.70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2,609,302,644.61</w:t>
            </w: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11,520,000.00</w:t>
            </w: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20,925,650.68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138,574,758.61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171,020,409.29</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11,520,000.00</w:t>
            </w: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209,256,506.81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220,776,506.81</w:t>
            </w:r>
          </w:p>
        </w:tc>
      </w:tr>
      <w:tr>
        <w:trPr>
          <w:trHeight w:val="48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20,925,650.68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-70,681,748.20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-49,756,097.52</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20,925,650.68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-20,925,650.68</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-49,756,097.52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-49,756,097.52</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271"/>
        <w:gridCol w:w="1702"/>
        <w:gridCol w:w="709"/>
        <w:gridCol w:w="708"/>
        <w:gridCol w:w="708"/>
        <w:gridCol w:w="1656"/>
        <w:gridCol w:w="852"/>
        <w:gridCol w:w="1560"/>
        <w:gridCol w:w="857"/>
        <w:gridCol w:w="1700"/>
        <w:gridCol w:w="1882"/>
        <w:gridCol w:w="1702"/>
      </w:tblGrid>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sz w:val="18"/>
              </w:rPr>
              <w:t>674,830,630.19</w:t>
            </w:r>
          </w:p>
        </w:tc>
        <w:tc>
          <w:tcPr>
            <w:tcW w:w="8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sz w:val="18"/>
              </w:rPr>
              <w:t>26,370,000.00</w:t>
            </w:r>
          </w:p>
        </w:tc>
        <w:tc>
          <w:tcPr>
            <w:tcW w:w="85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sz w:val="18"/>
              </w:rPr>
              <w:t>157,164,182.40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sz w:val="18"/>
              </w:rPr>
              <w:t>816,267,185.31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2,780,323,053.90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271"/>
        <w:gridCol w:w="1702"/>
        <w:gridCol w:w="709"/>
        <w:gridCol w:w="708"/>
        <w:gridCol w:w="708"/>
        <w:gridCol w:w="1702"/>
        <w:gridCol w:w="850"/>
        <w:gridCol w:w="1560"/>
        <w:gridCol w:w="850"/>
        <w:gridCol w:w="1702"/>
        <w:gridCol w:w="1844"/>
        <w:gridCol w:w="1702"/>
      </w:tblGrid>
      <w:tr>
        <w:trPr>
          <w:trHeight w:val="247" w:hRule="exact"/>
        </w:trPr>
        <w:tc>
          <w:tcPr>
            <w:tcW w:w="22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3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271" w:type="dxa"/>
            <w:vMerge/>
            <w:tcBorders>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12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135"/>
              <w:ind w:left="329" w:right="96"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135"/>
              <w:ind w:left="328" w:right="14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27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674,830,630.19</w:t>
            </w: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127,689,360.91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683,676,718.60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2,591,887,765.70</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454,301.47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4,088,713.23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4,543,014.70</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674,830,630.19</w:t>
            </w: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128,143,662.38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687,765,431.83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2,596,430,780.40</w:t>
            </w: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14,850,000.00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8,094,869.34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-10,073,005.13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12,871,864.21</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14,850,000.00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80,948,693.41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95,798,693.41</w:t>
            </w:r>
          </w:p>
        </w:tc>
      </w:tr>
      <w:tr>
        <w:trPr>
          <w:trHeight w:val="481"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271"/>
        <w:gridCol w:w="1702"/>
        <w:gridCol w:w="709"/>
        <w:gridCol w:w="708"/>
        <w:gridCol w:w="708"/>
        <w:gridCol w:w="1702"/>
        <w:gridCol w:w="850"/>
        <w:gridCol w:w="1560"/>
        <w:gridCol w:w="850"/>
        <w:gridCol w:w="1702"/>
        <w:gridCol w:w="1844"/>
        <w:gridCol w:w="1702"/>
      </w:tblGrid>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8,094,869.34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-91,021,698.54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-82,926,829.20</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8,094,869.34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-8,094,869.34</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-82,926,829.20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-82,926,829.20</w:t>
            </w: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28" w:right="0"/>
              <w:jc w:val="left"/>
              <w:rPr>
                <w:rFonts w:ascii="宋体" w:hAnsi="宋体" w:cs="宋体" w:eastAsia="宋体" w:hint="default"/>
                <w:sz w:val="18"/>
                <w:szCs w:val="18"/>
              </w:rPr>
            </w:pPr>
            <w:r>
              <w:rPr>
                <w:rFonts w:ascii="宋体"/>
                <w:sz w:val="18"/>
              </w:rPr>
              <w:t>674,830,630.19</w:t>
            </w: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sz w:val="18"/>
              </w:rPr>
              <w:t>14,850,000.00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136,238,531.72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677,692,426.70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2,609,302,644.61</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1384" w:right="0"/>
        <w:jc w:val="left"/>
      </w:pPr>
      <w:r>
        <w:rPr/>
        <w:t>法定代表人：叶蓁蓁主管会计工作负责人：魏榕芳会计机构负责人：张煜晓</w:t>
      </w:r>
    </w:p>
    <w:p>
      <w:pPr>
        <w:spacing w:after="0" w:line="240" w:lineRule="auto"/>
        <w:jc w:val="left"/>
        <w:sectPr>
          <w:pgSz w:w="16840" w:h="11910" w:orient="landscape"/>
          <w:pgMar w:header="882" w:footer="1195" w:top="1120" w:bottom="1380" w:left="14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57" w:val="left" w:leader="none"/>
        </w:tabs>
        <w:spacing w:line="290" w:lineRule="auto" w:before="175"/>
        <w:ind w:left="138" w:right="74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72" w:lineRule="exact" w:before="42"/>
        <w:ind w:left="558" w:right="317" w:hanging="420"/>
        <w:jc w:val="left"/>
      </w:pPr>
      <w:r>
        <w:rPr>
          <w:spacing w:val="-1"/>
        </w:rPr>
        <w:t>√适用</w:t>
        <w:tab/>
      </w:r>
      <w:r>
        <w:rPr>
          <w:spacing w:val="-2"/>
        </w:rPr>
        <w:t>□不适用</w:t>
      </w:r>
      <w:r>
        <w:rPr>
          <w:spacing w:val="-99"/>
        </w:rPr>
        <w:t> </w:t>
      </w:r>
      <w:r>
        <w:rPr>
          <w:spacing w:val="-99"/>
        </w:rPr>
      </w:r>
      <w:r>
        <w:rPr>
          <w:spacing w:val="-2"/>
        </w:rPr>
        <w:t>人民网股份有限公司（以下简称“本公司”或“公司”）是经财政部同意并经中国共产党中</w:t>
      </w:r>
    </w:p>
    <w:p>
      <w:pPr>
        <w:pStyle w:val="BodyText"/>
        <w:spacing w:line="355" w:lineRule="auto" w:before="110"/>
        <w:ind w:right="308"/>
        <w:jc w:val="both"/>
        <w:rPr>
          <w:rFonts w:ascii="宋体" w:hAnsi="宋体" w:cs="宋体" w:eastAsia="宋体" w:hint="default"/>
        </w:rPr>
      </w:pPr>
      <w:r>
        <w:rPr>
          <w:spacing w:val="-3"/>
        </w:rPr>
        <w:t>央委员会对外宣传办公室（以下简称“外宣办”）以中外宣发函</w:t>
      </w:r>
      <w:r>
        <w:rPr>
          <w:rFonts w:ascii="宋体" w:hAnsi="宋体" w:cs="宋体" w:eastAsia="宋体" w:hint="default"/>
          <w:spacing w:val="-3"/>
        </w:rPr>
        <w:t>[2010]99 </w:t>
      </w:r>
      <w:r>
        <w:rPr/>
        <w:t>号文件批准的由人民日</w:t>
      </w:r>
      <w:r>
        <w:rPr>
          <w:spacing w:val="-96"/>
        </w:rPr>
        <w:t> </w:t>
      </w:r>
      <w:r>
        <w:rPr>
          <w:spacing w:val="-96"/>
        </w:rPr>
      </w:r>
      <w:r>
        <w:rPr>
          <w:spacing w:val="-2"/>
        </w:rPr>
        <w:t>报社、《环球时报》社、京华时报社、《中国汽车报》社有限公司、中国电影集团公司（以下简</w:t>
      </w:r>
      <w:r>
        <w:rPr>
          <w:spacing w:val="-25"/>
        </w:rPr>
        <w:t> </w:t>
      </w:r>
      <w:r>
        <w:rPr>
          <w:spacing w:val="-25"/>
        </w:rPr>
      </w:r>
      <w:r>
        <w:rPr>
          <w:spacing w:val="-2"/>
        </w:rPr>
        <w:t>称“中国电影”）、上海东方传媒集团有限公司（以下简称“东方传媒”）以及中国出版集团公</w:t>
      </w:r>
      <w:r>
        <w:rPr>
          <w:spacing w:val="-27"/>
        </w:rPr>
        <w:t> </w:t>
      </w:r>
      <w:r>
        <w:rPr>
          <w:spacing w:val="-27"/>
        </w:rPr>
      </w:r>
      <w:r>
        <w:rPr/>
        <w:t>司（以下简称“中国出版”）于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4"/>
        </w:rPr>
        <w:t> </w:t>
      </w:r>
      <w:r>
        <w:rPr/>
        <w:t>日共同变更设立的股份有限公司，公司于</w:t>
      </w:r>
      <w:r>
        <w:rPr>
          <w:spacing w:val="-53"/>
        </w:rPr>
        <w:t> </w:t>
      </w:r>
      <w:r>
        <w:rPr>
          <w:rFonts w:ascii="宋体" w:hAnsi="宋体" w:cs="宋体" w:eastAsia="宋体" w:hint="default"/>
        </w:rPr>
        <w:t>2010</w:t>
      </w:r>
    </w:p>
    <w:p>
      <w:pPr>
        <w:pStyle w:val="BodyText"/>
        <w:spacing w:line="357" w:lineRule="auto" w:before="33"/>
        <w:ind w:right="476"/>
        <w:jc w:val="left"/>
      </w:pP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日在国家工商行政管理总局核准登记。本公司办公地址位于北京市朝阳区金台西路</w:t>
      </w:r>
      <w:r>
        <w:rPr>
          <w:spacing w:val="-53"/>
        </w:rPr>
        <w:t> </w:t>
      </w:r>
      <w:r>
        <w:rPr>
          <w:rFonts w:ascii="宋体" w:hAnsi="宋体" w:cs="宋体" w:eastAsia="宋体" w:hint="default"/>
        </w:rPr>
        <w:t>2</w:t>
      </w:r>
      <w:r>
        <w:rPr>
          <w:rFonts w:ascii="宋体" w:hAnsi="宋体" w:cs="宋体" w:eastAsia="宋体" w:hint="default"/>
          <w:w w:val="100"/>
        </w:rPr>
        <w:t> </w:t>
      </w:r>
      <w:r>
        <w:rPr/>
        <w:t>号。</w:t>
      </w:r>
    </w:p>
    <w:p>
      <w:pPr>
        <w:pStyle w:val="BodyText"/>
        <w:spacing w:line="357" w:lineRule="auto" w:before="30"/>
        <w:ind w:left="558" w:right="2731"/>
        <w:jc w:val="left"/>
      </w:pPr>
      <w:r>
        <w:rPr/>
        <w:t>营业执照注册号：</w:t>
      </w:r>
      <w:r>
        <w:rPr>
          <w:rFonts w:ascii="宋体" w:hAnsi="宋体" w:cs="宋体" w:eastAsia="宋体" w:hint="default"/>
        </w:rPr>
        <w:t>91110000710933198U</w:t>
      </w:r>
      <w:r>
        <w:rPr>
          <w:rFonts w:ascii="宋体" w:hAnsi="宋体" w:cs="宋体" w:eastAsia="宋体" w:hint="default"/>
          <w:w w:val="100"/>
        </w:rPr>
        <w:t> </w:t>
      </w:r>
      <w:r>
        <w:rPr/>
        <w:t>公司住所为：北京市西城区新街口外大街</w:t>
      </w:r>
      <w:r>
        <w:rPr>
          <w:spacing w:val="-53"/>
        </w:rPr>
        <w:t> </w:t>
      </w:r>
      <w:r>
        <w:rPr>
          <w:rFonts w:ascii="宋体" w:hAnsi="宋体" w:cs="宋体" w:eastAsia="宋体" w:hint="default"/>
        </w:rPr>
        <w:t>28</w:t>
      </w:r>
      <w:r>
        <w:rPr>
          <w:rFonts w:ascii="宋体" w:hAnsi="宋体" w:cs="宋体" w:eastAsia="宋体" w:hint="default"/>
          <w:spacing w:val="-55"/>
        </w:rPr>
        <w:t> </w:t>
      </w:r>
      <w:r>
        <w:rPr/>
        <w:t>号</w:t>
      </w:r>
      <w:r>
        <w:rPr>
          <w:spacing w:val="-52"/>
        </w:rPr>
        <w:t> </w:t>
      </w:r>
      <w:r>
        <w:rPr>
          <w:rFonts w:ascii="宋体" w:hAnsi="宋体" w:cs="宋体" w:eastAsia="宋体" w:hint="default"/>
        </w:rPr>
        <w:t>B</w:t>
      </w:r>
      <w:r>
        <w:rPr>
          <w:rFonts w:ascii="宋体" w:hAnsi="宋体" w:cs="宋体" w:eastAsia="宋体" w:hint="default"/>
          <w:spacing w:val="-55"/>
        </w:rPr>
        <w:t> </w:t>
      </w:r>
      <w:r>
        <w:rPr/>
        <w:t>座</w:t>
      </w:r>
      <w:r>
        <w:rPr>
          <w:spacing w:val="-53"/>
        </w:rPr>
        <w:t> </w:t>
      </w:r>
      <w:r>
        <w:rPr>
          <w:rFonts w:ascii="宋体" w:hAnsi="宋体" w:cs="宋体" w:eastAsia="宋体" w:hint="default"/>
        </w:rPr>
        <w:t>234</w:t>
      </w:r>
      <w:r>
        <w:rPr>
          <w:rFonts w:ascii="宋体" w:hAnsi="宋体" w:cs="宋体" w:eastAsia="宋体" w:hint="default"/>
          <w:spacing w:val="-55"/>
        </w:rPr>
        <w:t> </w:t>
      </w:r>
      <w:r>
        <w:rPr/>
        <w:t>号</w:t>
      </w:r>
      <w:r>
        <w:rPr>
          <w:spacing w:val="-103"/>
        </w:rPr>
        <w:t> </w:t>
      </w:r>
      <w:r>
        <w:rPr/>
        <w:t>法定代表人：叶蓁蓁</w:t>
      </w:r>
      <w:r>
        <w:rPr>
          <w:w w:val="100"/>
        </w:rPr>
        <w:t> </w:t>
      </w:r>
      <w:r>
        <w:rPr>
          <w:spacing w:val="-2"/>
        </w:rPr>
        <w:t>注册资本：人民币壹拾壹亿零伍佰陆拾玖万壹仟零伍拾陆元整</w:t>
      </w:r>
      <w:r>
        <w:rPr>
          <w:spacing w:val="-52"/>
        </w:rPr>
        <w:t> </w:t>
      </w:r>
      <w:r>
        <w:rPr>
          <w:spacing w:val="-52"/>
        </w:rPr>
      </w:r>
      <w:r>
        <w:rPr/>
        <w:t>公司所属行业性质：互联网信息服务业</w:t>
      </w:r>
    </w:p>
    <w:p>
      <w:pPr>
        <w:pStyle w:val="BodyText"/>
        <w:spacing w:line="357" w:lineRule="auto" w:before="30"/>
        <w:ind w:right="317" w:firstLine="419"/>
        <w:jc w:val="both"/>
      </w:pPr>
      <w:r>
        <w:rPr>
          <w:spacing w:val="-2"/>
        </w:rPr>
        <w:t>经营范围：从事互联网文化活动；第二类增值电信业务中的信息服务业务（不含固定网电话</w:t>
      </w:r>
      <w:r>
        <w:rPr>
          <w:w w:val="100"/>
        </w:rPr>
        <w:t> </w:t>
      </w:r>
      <w:r>
        <w:rPr/>
        <w:t>信息服务和互联网信息服务，有效期至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12</w:t>
      </w:r>
      <w:r>
        <w:rPr>
          <w:rFonts w:ascii="宋体" w:hAnsi="宋体" w:cs="宋体" w:eastAsia="宋体" w:hint="default"/>
          <w:spacing w:val="-55"/>
        </w:rPr>
        <w:t> </w:t>
      </w:r>
      <w:r>
        <w:rPr/>
        <w:t>日）；第二类增值电信业务中的信息服务</w:t>
      </w:r>
      <w:r>
        <w:rPr>
          <w:w w:val="100"/>
        </w:rPr>
        <w:t> </w:t>
      </w:r>
      <w:r>
        <w:rPr>
          <w:spacing w:val="-2"/>
        </w:rPr>
        <w:t>业务（仅限互联网信息服务）（互联网信息服务业务不包含出版、教育、医疗保健、药品和医疗</w:t>
      </w:r>
      <w:r>
        <w:rPr>
          <w:spacing w:val="-25"/>
        </w:rPr>
        <w:t> </w:t>
      </w:r>
      <w:r>
        <w:rPr>
          <w:spacing w:val="-25"/>
        </w:rPr>
      </w:r>
      <w:r>
        <w:rPr>
          <w:spacing w:val="-2"/>
        </w:rPr>
        <w:t>器械，含新闻、电子公告服务）；一般经营项目：广告设计制作、发布、代理；计算机软件及外</w:t>
      </w:r>
      <w:r>
        <w:rPr>
          <w:spacing w:val="-25"/>
        </w:rPr>
        <w:t> </w:t>
      </w:r>
      <w:r>
        <w:rPr>
          <w:spacing w:val="-25"/>
        </w:rPr>
      </w:r>
      <w:r>
        <w:rPr>
          <w:spacing w:val="-2"/>
        </w:rPr>
        <w:t>部设备开发、销售；计算机网络技术开发、咨询、服务；技术开发、技术转让、技术咨询、技术</w:t>
      </w:r>
      <w:r>
        <w:rPr>
          <w:spacing w:val="-25"/>
        </w:rPr>
        <w:t> </w:t>
      </w:r>
      <w:r>
        <w:rPr>
          <w:spacing w:val="-25"/>
        </w:rPr>
      </w:r>
      <w:r>
        <w:rPr>
          <w:spacing w:val="-2"/>
        </w:rPr>
        <w:t>服务；组织展览展示及文化交流活动、会议服务；公关策划及咨询；翻译服务；物流服务；文娱</w:t>
      </w:r>
      <w:r>
        <w:rPr>
          <w:spacing w:val="-25"/>
        </w:rPr>
        <w:t> </w:t>
      </w:r>
      <w:r>
        <w:rPr>
          <w:spacing w:val="-25"/>
        </w:rPr>
      </w:r>
      <w:r>
        <w:rPr>
          <w:spacing w:val="-2"/>
        </w:rPr>
        <w:t>演出票务的销售代理；日用百货销售；物业管理；舆情监测；影视器材设备、舞台灯光音响设备</w:t>
      </w:r>
      <w:r>
        <w:rPr>
          <w:spacing w:val="-25"/>
        </w:rPr>
        <w:t> </w:t>
      </w:r>
      <w:r>
        <w:rPr>
          <w:spacing w:val="-25"/>
        </w:rPr>
      </w:r>
      <w:r>
        <w:rPr>
          <w:spacing w:val="-2"/>
        </w:rPr>
        <w:t>租赁。（企业依法自主选择经营项目，开展经营活动；依法须经批准的项目，经相关部门批准后</w:t>
      </w:r>
      <w:r>
        <w:rPr>
          <w:spacing w:val="-25"/>
        </w:rPr>
        <w:t> </w:t>
      </w:r>
      <w:r>
        <w:rPr>
          <w:spacing w:val="-25"/>
        </w:rPr>
      </w:r>
      <w:r>
        <w:rPr/>
        <w:t>依批准的内容开展经营活动；不得从事本市产业政策禁止和限制类项目的经营活动。）</w:t>
      </w:r>
    </w:p>
    <w:p>
      <w:pPr>
        <w:pStyle w:val="BodyText"/>
        <w:spacing w:line="355" w:lineRule="auto" w:before="31"/>
        <w:ind w:left="558" w:right="2625"/>
        <w:jc w:val="left"/>
      </w:pPr>
      <w:r>
        <w:rPr/>
        <w:t>本公司的母公司和最终母公司为人民日报社。</w:t>
      </w:r>
      <w:r>
        <w:rPr>
          <w:w w:val="100"/>
        </w:rPr>
        <w:t> </w:t>
      </w:r>
      <w:r>
        <w:rPr/>
        <w:t>本财务报表业经本公司董事会于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日决议批准报出。</w:t>
      </w:r>
    </w:p>
    <w:p>
      <w:pPr>
        <w:pStyle w:val="BodyText"/>
        <w:spacing w:line="355" w:lineRule="auto" w:before="32"/>
        <w:ind w:right="317" w:firstLine="419"/>
        <w:jc w:val="both"/>
      </w:pPr>
      <w:r>
        <w:rPr>
          <w:spacing w:val="-2"/>
        </w:rPr>
        <w:t>本公司及各子公司主要从事新闻资讯服务、互联网广告服务、移动增值服务、为政府提供宣</w:t>
      </w:r>
      <w:r>
        <w:rPr>
          <w:w w:val="100"/>
        </w:rPr>
        <w:t> </w:t>
      </w:r>
      <w:r>
        <w:rPr/>
        <w:t>传服务。</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3" w:lineRule="exact"/>
        <w:ind w:left="558" w:right="0"/>
        <w:jc w:val="left"/>
      </w:pPr>
      <w:r>
        <w:rPr>
          <w:w w:val="100"/>
        </w:rPr>
        <w:t>本公</w:t>
      </w:r>
      <w:r>
        <w:rPr>
          <w:spacing w:val="-3"/>
          <w:w w:val="100"/>
        </w:rPr>
        <w:t>司</w:t>
      </w:r>
      <w:r>
        <w:rPr>
          <w:w w:val="100"/>
        </w:rPr>
        <w:t>本</w:t>
      </w:r>
      <w:r>
        <w:rPr>
          <w:spacing w:val="-3"/>
          <w:w w:val="100"/>
        </w:rPr>
        <w:t>期</w:t>
      </w:r>
      <w:r>
        <w:rPr>
          <w:w w:val="100"/>
        </w:rPr>
        <w:t>纳</w:t>
      </w:r>
      <w:r>
        <w:rPr>
          <w:spacing w:val="-3"/>
          <w:w w:val="100"/>
        </w:rPr>
        <w:t>入</w:t>
      </w:r>
      <w:r>
        <w:rPr>
          <w:w w:val="100"/>
        </w:rPr>
        <w:t>合</w:t>
      </w:r>
      <w:r>
        <w:rPr>
          <w:spacing w:val="-3"/>
          <w:w w:val="100"/>
        </w:rPr>
        <w:t>并</w:t>
      </w:r>
      <w:r>
        <w:rPr>
          <w:w w:val="100"/>
        </w:rPr>
        <w:t>范</w:t>
      </w:r>
      <w:r>
        <w:rPr>
          <w:spacing w:val="-3"/>
          <w:w w:val="100"/>
        </w:rPr>
        <w:t>围</w:t>
      </w:r>
      <w:r>
        <w:rPr>
          <w:w w:val="100"/>
        </w:rPr>
        <w:t>的子</w:t>
      </w:r>
      <w:r>
        <w:rPr>
          <w:spacing w:val="-3"/>
          <w:w w:val="100"/>
        </w:rPr>
        <w:t>公</w:t>
      </w:r>
      <w:r>
        <w:rPr>
          <w:w w:val="100"/>
        </w:rPr>
        <w:t>司</w:t>
      </w:r>
      <w:r>
        <w:rPr>
          <w:spacing w:val="-3"/>
          <w:w w:val="100"/>
        </w:rPr>
        <w:t>及</w:t>
      </w:r>
      <w:r>
        <w:rPr>
          <w:w w:val="100"/>
        </w:rPr>
        <w:t>孙</w:t>
      </w:r>
      <w:r>
        <w:rPr>
          <w:spacing w:val="-3"/>
          <w:w w:val="100"/>
        </w:rPr>
        <w:t>公司</w:t>
      </w:r>
      <w:r>
        <w:rPr>
          <w:w w:val="100"/>
        </w:rPr>
        <w:t>共</w:t>
      </w:r>
      <w:r>
        <w:rPr>
          <w:spacing w:val="-52"/>
        </w:rPr>
        <w:t> </w:t>
      </w:r>
      <w:r>
        <w:rPr>
          <w:rFonts w:ascii="宋体" w:hAnsi="宋体" w:cs="宋体" w:eastAsia="宋体" w:hint="default"/>
          <w:w w:val="100"/>
        </w:rPr>
        <w:t>31</w:t>
      </w:r>
      <w:r>
        <w:rPr>
          <w:rFonts w:ascii="宋体" w:hAnsi="宋体" w:cs="宋体" w:eastAsia="宋体" w:hint="default"/>
          <w:spacing w:val="-55"/>
        </w:rPr>
        <w:t> </w:t>
      </w:r>
      <w:r>
        <w:rPr>
          <w:spacing w:val="-3"/>
          <w:w w:val="100"/>
        </w:rPr>
        <w:t>户</w:t>
      </w:r>
      <w:r>
        <w:rPr>
          <w:spacing w:val="-92"/>
          <w:w w:val="100"/>
        </w:rPr>
        <w:t>，</w:t>
      </w:r>
      <w:r>
        <w:rPr>
          <w:spacing w:val="-3"/>
          <w:w w:val="100"/>
        </w:rPr>
        <w:t>详</w:t>
      </w:r>
      <w:r>
        <w:rPr>
          <w:w w:val="100"/>
        </w:rPr>
        <w:t>见</w:t>
      </w:r>
      <w:r>
        <w:rPr>
          <w:spacing w:val="-3"/>
          <w:w w:val="100"/>
        </w:rPr>
        <w:t>本</w:t>
      </w:r>
      <w:r>
        <w:rPr>
          <w:w w:val="100"/>
        </w:rPr>
        <w:t>附</w:t>
      </w:r>
      <w:r>
        <w:rPr>
          <w:spacing w:val="-3"/>
          <w:w w:val="100"/>
        </w:rPr>
        <w:t>注</w:t>
      </w:r>
      <w:r>
        <w:rPr>
          <w:spacing w:val="-1"/>
          <w:w w:val="100"/>
        </w:rPr>
        <w:t>九</w:t>
      </w:r>
      <w:r>
        <w:rPr>
          <w:spacing w:val="-3"/>
          <w:w w:val="100"/>
        </w:rPr>
        <w:t>“</w:t>
      </w:r>
      <w:r>
        <w:rPr>
          <w:w w:val="100"/>
        </w:rPr>
        <w:t>在</w:t>
      </w:r>
      <w:r>
        <w:rPr>
          <w:spacing w:val="-3"/>
          <w:w w:val="100"/>
        </w:rPr>
        <w:t>其</w:t>
      </w:r>
      <w:r>
        <w:rPr>
          <w:w w:val="100"/>
        </w:rPr>
        <w:t>他</w:t>
      </w:r>
      <w:r>
        <w:rPr>
          <w:spacing w:val="-3"/>
          <w:w w:val="100"/>
        </w:rPr>
        <w:t>主</w:t>
      </w:r>
      <w:r>
        <w:rPr>
          <w:w w:val="100"/>
        </w:rPr>
        <w:t>体中</w:t>
      </w:r>
      <w:r>
        <w:rPr>
          <w:spacing w:val="-3"/>
          <w:w w:val="100"/>
        </w:rPr>
        <w:t>的</w:t>
      </w:r>
      <w:r>
        <w:rPr>
          <w:w w:val="100"/>
        </w:rPr>
        <w:t>权</w:t>
      </w:r>
      <w:r>
        <w:rPr>
          <w:spacing w:val="-3"/>
          <w:w w:val="100"/>
        </w:rPr>
        <w:t>益”</w:t>
      </w:r>
      <w:r>
        <w:rPr>
          <w:w w:val="100"/>
        </w:rPr>
        <w:t>。</w:t>
      </w:r>
    </w:p>
    <w:p>
      <w:pPr>
        <w:pStyle w:val="BodyText"/>
        <w:spacing w:line="240" w:lineRule="auto" w:before="133"/>
        <w:ind w:right="0"/>
        <w:jc w:val="both"/>
      </w:pPr>
      <w:r>
        <w:rPr/>
        <w:t>本公司本期合并范围比上年度增加</w:t>
      </w:r>
      <w:r>
        <w:rPr>
          <w:spacing w:val="-54"/>
        </w:rPr>
        <w:t> </w:t>
      </w:r>
      <w:r>
        <w:rPr>
          <w:rFonts w:ascii="宋体" w:hAnsi="宋体" w:cs="宋体" w:eastAsia="宋体" w:hint="default"/>
        </w:rPr>
        <w:t>5</w:t>
      </w:r>
      <w:r>
        <w:rPr>
          <w:rFonts w:ascii="宋体" w:hAnsi="宋体" w:cs="宋体" w:eastAsia="宋体" w:hint="default"/>
          <w:spacing w:val="-56"/>
        </w:rPr>
        <w:t> </w:t>
      </w:r>
      <w:r>
        <w:rPr/>
        <w:t>户减少</w:t>
      </w:r>
      <w:r>
        <w:rPr>
          <w:spacing w:val="-54"/>
        </w:rPr>
        <w:t> </w:t>
      </w:r>
      <w:r>
        <w:rPr>
          <w:rFonts w:ascii="宋体" w:hAnsi="宋体" w:cs="宋体" w:eastAsia="宋体" w:hint="default"/>
        </w:rPr>
        <w:t>10</w:t>
      </w:r>
      <w:r>
        <w:rPr>
          <w:rFonts w:ascii="宋体" w:hAnsi="宋体" w:cs="宋体" w:eastAsia="宋体" w:hint="default"/>
          <w:spacing w:val="-54"/>
        </w:rPr>
        <w:t> </w:t>
      </w:r>
      <w:r>
        <w:rPr/>
        <w:t>户，详见本附注八“合并范围的变更”。</w:t>
      </w:r>
    </w:p>
    <w:p>
      <w:pPr>
        <w:spacing w:after="0" w:line="240" w:lineRule="auto"/>
        <w:jc w:val="both"/>
        <w:sectPr>
          <w:headerReference w:type="default" r:id="rId41"/>
          <w:footerReference w:type="default" r:id="rId42"/>
          <w:pgSz w:w="11910" w:h="16840"/>
          <w:pgMar w:header="882" w:footer="1195" w:top="1120" w:bottom="1380" w:left="1660" w:right="960"/>
          <w:pgNumType w:start="7"/>
        </w:sectPr>
      </w:pPr>
    </w:p>
    <w:p>
      <w:pPr>
        <w:spacing w:line="240" w:lineRule="auto" w:before="1"/>
        <w:rPr>
          <w:rFonts w:ascii="宋体" w:hAnsi="宋体" w:cs="宋体" w:eastAsia="宋体" w:hint="default"/>
          <w:sz w:val="25"/>
          <w:szCs w:val="25"/>
        </w:rPr>
      </w:pPr>
    </w:p>
    <w:p>
      <w:pPr>
        <w:pStyle w:val="Heading2"/>
        <w:tabs>
          <w:tab w:pos="562" w:val="left" w:leader="none"/>
        </w:tabs>
        <w:spacing w:line="290" w:lineRule="auto" w:before="36"/>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7" w:lineRule="auto" w:before="12"/>
        <w:ind w:right="128" w:firstLine="419"/>
        <w:jc w:val="both"/>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355" w:lineRule="auto" w:before="30"/>
        <w:ind w:right="137"/>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7"/>
        </w:rPr>
        <w:t> </w:t>
      </w:r>
      <w:r>
        <w:rPr>
          <w:rFonts w:ascii="宋体" w:hAnsi="宋体" w:cs="宋体" w:eastAsia="宋体" w:hint="default"/>
        </w:rPr>
        <w:t>41</w:t>
      </w:r>
      <w:r>
        <w:rPr>
          <w:rFonts w:ascii="宋体" w:hAnsi="宋体" w:cs="宋体" w:eastAsia="宋体" w:hint="default"/>
          <w:spacing w:val="-55"/>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6"/>
        </w:rPr>
        <w:t> </w:t>
      </w:r>
      <w:r>
        <w:rPr>
          <w:spacing w:val="-26"/>
        </w:rPr>
      </w:r>
      <w:r>
        <w:rPr/>
        <w:t>司信息披露编报规则第</w:t>
      </w:r>
      <w:r>
        <w:rPr>
          <w:spacing w:val="-55"/>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357" w:lineRule="auto" w:before="32"/>
        <w:ind w:right="130" w:firstLine="419"/>
        <w:jc w:val="both"/>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spacing w:line="240" w:lineRule="auto" w:before="9"/>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3" w:lineRule="exact"/>
        <w:ind w:left="558" w:right="0"/>
        <w:jc w:val="left"/>
      </w:pPr>
      <w:r>
        <w:rPr/>
        <w:t>公司自本报告期末至少</w:t>
      </w:r>
      <w:r>
        <w:rPr>
          <w:spacing w:val="-54"/>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right="0"/>
        <w:jc w:val="both"/>
      </w:pPr>
      <w:r>
        <w:rPr/>
        <w:t>√适用</w:t>
      </w:r>
      <w:r>
        <w:rPr>
          <w:spacing w:val="-1"/>
        </w:rPr>
        <w:t> </w:t>
      </w:r>
      <w:r>
        <w:rPr/>
        <w:t>□不适用</w:t>
      </w:r>
    </w:p>
    <w:p>
      <w:pPr>
        <w:pStyle w:val="BodyText"/>
        <w:spacing w:line="357" w:lineRule="auto"/>
        <w:ind w:right="137" w:firstLine="419"/>
        <w:jc w:val="both"/>
      </w:pPr>
      <w:r>
        <w:rPr>
          <w:spacing w:val="-2"/>
        </w:rPr>
        <w:t>本公司及各子公司从事互联网服务经营。本公司及各子公司根据实际生产经营特点，依据相</w:t>
      </w:r>
      <w:r>
        <w:rPr>
          <w:w w:val="100"/>
        </w:rPr>
        <w:t> </w:t>
      </w:r>
      <w:r>
        <w:rPr>
          <w:spacing w:val="-2"/>
        </w:rPr>
        <w:t>关企业会计准则的规定，对收入确认、研究开发支出等交易和事项制定了若干项具体会计政策和</w:t>
      </w:r>
      <w:r>
        <w:rPr>
          <w:spacing w:val="-25"/>
        </w:rPr>
        <w:t> </w:t>
      </w:r>
      <w:r>
        <w:rPr>
          <w:spacing w:val="-25"/>
        </w:rPr>
      </w:r>
      <w:r>
        <w:rPr>
          <w:spacing w:val="-2"/>
        </w:rPr>
        <w:t>会计估计，详见本附注五、28“收入”、21“无形资产”等各项描述。关于管理层所作出的重大</w:t>
      </w:r>
      <w:r>
        <w:rPr>
          <w:spacing w:val="-21"/>
        </w:rPr>
        <w:t> </w:t>
      </w:r>
      <w:r>
        <w:rPr>
          <w:spacing w:val="-21"/>
        </w:rPr>
      </w:r>
      <w:r>
        <w:rPr/>
        <w:t>会计判断和估计的说明，请参阅附注五、32“其他重要的会计政策和会计估计”。</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40" w:lineRule="auto" w:before="56"/>
        <w:ind w:left="558" w:right="0"/>
        <w:jc w:val="left"/>
      </w:pPr>
      <w:r>
        <w:rPr/>
        <w:t>本公司编制的财务报表符合企业会计准则的要求，真实、完整地反映了本公司</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40" w:lineRule="auto" w:before="133"/>
        <w:ind w:right="0"/>
        <w:jc w:val="both"/>
      </w:pPr>
      <w:r>
        <w:rPr>
          <w:rFonts w:ascii="宋体" w:hAnsi="宋体" w:cs="宋体" w:eastAsia="宋体" w:hint="default"/>
        </w:rPr>
        <w:t>31</w:t>
      </w:r>
      <w:r>
        <w:rPr>
          <w:rFonts w:ascii="宋体" w:hAnsi="宋体" w:cs="宋体" w:eastAsia="宋体" w:hint="default"/>
          <w:spacing w:val="-54"/>
        </w:rPr>
        <w:t> </w:t>
      </w:r>
      <w:r>
        <w:rPr/>
        <w:t>日的财务状况及</w:t>
      </w:r>
      <w:r>
        <w:rPr>
          <w:spacing w:val="-54"/>
        </w:rPr>
        <w:t> </w:t>
      </w:r>
      <w:r>
        <w:rPr>
          <w:rFonts w:ascii="宋体" w:hAnsi="宋体" w:cs="宋体" w:eastAsia="宋体" w:hint="default"/>
        </w:rPr>
        <w:t>2017</w:t>
      </w:r>
      <w:r>
        <w:rPr>
          <w:rFonts w:ascii="宋体" w:hAnsi="宋体" w:cs="宋体" w:eastAsia="宋体" w:hint="default"/>
          <w:spacing w:val="-56"/>
        </w:rPr>
        <w:t> </w:t>
      </w:r>
      <w:r>
        <w:rPr/>
        <w:t>年度的经营成果和现金流量等有关信息。此外，本公司的财务报表在所</w:t>
      </w:r>
    </w:p>
    <w:p>
      <w:pPr>
        <w:pStyle w:val="BodyText"/>
        <w:spacing w:line="240" w:lineRule="auto" w:before="135"/>
        <w:ind w:right="0"/>
        <w:jc w:val="both"/>
      </w:pPr>
      <w:r>
        <w:rPr>
          <w:w w:val="100"/>
        </w:rPr>
        <w:t>有重</w:t>
      </w:r>
      <w:r>
        <w:rPr>
          <w:spacing w:val="-3"/>
          <w:w w:val="100"/>
        </w:rPr>
        <w:t>大</w:t>
      </w:r>
      <w:r>
        <w:rPr>
          <w:w w:val="100"/>
        </w:rPr>
        <w:t>方</w:t>
      </w:r>
      <w:r>
        <w:rPr>
          <w:spacing w:val="-3"/>
          <w:w w:val="100"/>
        </w:rPr>
        <w:t>面</w:t>
      </w:r>
      <w:r>
        <w:rPr>
          <w:w w:val="100"/>
        </w:rPr>
        <w:t>符</w:t>
      </w:r>
      <w:r>
        <w:rPr>
          <w:spacing w:val="-3"/>
          <w:w w:val="100"/>
        </w:rPr>
        <w:t>合</w:t>
      </w:r>
      <w:r>
        <w:rPr>
          <w:w w:val="100"/>
        </w:rPr>
        <w:t>中</w:t>
      </w:r>
      <w:r>
        <w:rPr>
          <w:spacing w:val="-3"/>
          <w:w w:val="100"/>
        </w:rPr>
        <w:t>国</w:t>
      </w:r>
      <w:r>
        <w:rPr>
          <w:w w:val="100"/>
        </w:rPr>
        <w:t>证</w:t>
      </w:r>
      <w:r>
        <w:rPr>
          <w:spacing w:val="-3"/>
          <w:w w:val="100"/>
        </w:rPr>
        <w:t>券</w:t>
      </w:r>
      <w:r>
        <w:rPr>
          <w:w w:val="100"/>
        </w:rPr>
        <w:t>监督</w:t>
      </w:r>
      <w:r>
        <w:rPr>
          <w:spacing w:val="-3"/>
          <w:w w:val="100"/>
        </w:rPr>
        <w:t>管</w:t>
      </w:r>
      <w:r>
        <w:rPr>
          <w:w w:val="100"/>
        </w:rPr>
        <w:t>理</w:t>
      </w:r>
      <w:r>
        <w:rPr>
          <w:spacing w:val="-3"/>
          <w:w w:val="100"/>
        </w:rPr>
        <w:t>委员</w:t>
      </w:r>
      <w:r>
        <w:rPr>
          <w:w w:val="100"/>
        </w:rPr>
        <w:t>会</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spacing w:val="-3"/>
          <w:w w:val="100"/>
        </w:rPr>
        <w:t>年修</w:t>
      </w:r>
      <w:r>
        <w:rPr>
          <w:w w:val="100"/>
        </w:rPr>
        <w:t>订</w:t>
      </w:r>
      <w:r>
        <w:rPr>
          <w:spacing w:val="-94"/>
          <w:w w:val="100"/>
        </w:rPr>
        <w:t>的</w:t>
      </w:r>
      <w:r>
        <w:rPr>
          <w:w w:val="100"/>
        </w:rPr>
        <w:t>《</w:t>
      </w:r>
      <w:r>
        <w:rPr>
          <w:spacing w:val="-3"/>
          <w:w w:val="100"/>
        </w:rPr>
        <w:t>公</w:t>
      </w:r>
      <w:r>
        <w:rPr>
          <w:w w:val="100"/>
        </w:rPr>
        <w:t>开</w:t>
      </w:r>
      <w:r>
        <w:rPr>
          <w:spacing w:val="-3"/>
          <w:w w:val="100"/>
        </w:rPr>
        <w:t>发</w:t>
      </w:r>
      <w:r>
        <w:rPr>
          <w:w w:val="100"/>
        </w:rPr>
        <w:t>行</w:t>
      </w:r>
      <w:r>
        <w:rPr>
          <w:spacing w:val="-3"/>
          <w:w w:val="100"/>
        </w:rPr>
        <w:t>证</w:t>
      </w:r>
      <w:r>
        <w:rPr>
          <w:w w:val="100"/>
        </w:rPr>
        <w:t>券</w:t>
      </w:r>
      <w:r>
        <w:rPr>
          <w:spacing w:val="-3"/>
          <w:w w:val="100"/>
        </w:rPr>
        <w:t>的</w:t>
      </w:r>
      <w:r>
        <w:rPr>
          <w:w w:val="100"/>
        </w:rPr>
        <w:t>公</w:t>
      </w:r>
      <w:r>
        <w:rPr>
          <w:spacing w:val="-3"/>
          <w:w w:val="100"/>
        </w:rPr>
        <w:t>司</w:t>
      </w:r>
      <w:r>
        <w:rPr>
          <w:w w:val="100"/>
        </w:rPr>
        <w:t>信息</w:t>
      </w:r>
      <w:r>
        <w:rPr>
          <w:spacing w:val="-3"/>
          <w:w w:val="100"/>
        </w:rPr>
        <w:t>披</w:t>
      </w:r>
      <w:r>
        <w:rPr>
          <w:w w:val="100"/>
        </w:rPr>
        <w:t>露</w:t>
      </w:r>
      <w:r>
        <w:rPr>
          <w:spacing w:val="-3"/>
          <w:w w:val="100"/>
        </w:rPr>
        <w:t>编</w:t>
      </w:r>
      <w:r>
        <w:rPr>
          <w:w w:val="100"/>
        </w:rPr>
        <w:t>报</w:t>
      </w:r>
      <w:r>
        <w:rPr>
          <w:spacing w:val="-3"/>
          <w:w w:val="100"/>
        </w:rPr>
        <w:t>规</w:t>
      </w:r>
      <w:r>
        <w:rPr>
          <w:w w:val="100"/>
        </w:rPr>
        <w:t>则</w:t>
      </w:r>
    </w:p>
    <w:p>
      <w:pPr>
        <w:pStyle w:val="BodyText"/>
        <w:spacing w:line="240" w:lineRule="auto" w:before="133"/>
        <w:ind w:right="0"/>
        <w:jc w:val="both"/>
      </w:pPr>
      <w:r>
        <w:rPr/>
        <w:t>第</w:t>
      </w:r>
      <w:r>
        <w:rPr>
          <w:spacing w:val="-55"/>
        </w:rPr>
        <w:t> </w:t>
      </w:r>
      <w:r>
        <w:rPr>
          <w:rFonts w:ascii="宋体" w:hAnsi="宋体" w:cs="宋体" w:eastAsia="宋体" w:hint="default"/>
        </w:rPr>
        <w:t>15</w:t>
      </w:r>
      <w:r>
        <w:rPr>
          <w:rFonts w:ascii="宋体" w:hAnsi="宋体" w:cs="宋体" w:eastAsia="宋体" w:hint="default"/>
          <w:spacing w:val="-57"/>
        </w:rPr>
        <w:t> </w:t>
      </w:r>
      <w:r>
        <w:rPr/>
        <w:t>号－财务报告的一般规定》有关财务报表及其附注的披露要求。</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355" w:lineRule="auto" w:before="56"/>
        <w:ind w:right="137" w:firstLine="419"/>
        <w:jc w:val="both"/>
      </w:pPr>
      <w:r>
        <w:rPr>
          <w:spacing w:val="-2"/>
        </w:rPr>
        <w:t>本公司的会计期间分为年度和中期，会计中期指短于一个完整的会计年度的报告期间。本公</w:t>
      </w:r>
      <w:r>
        <w:rPr>
          <w:w w:val="100"/>
        </w:rPr>
        <w:t> </w:t>
      </w:r>
      <w:r>
        <w:rPr/>
        <w:t>司会计年度采用公历年度，即每年自</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正常营业周期是指本公司从购买用于加工的资产起至实现现金或现金等价物的期间。本公司</w:t>
      </w:r>
    </w:p>
    <w:p>
      <w:pPr>
        <w:pStyle w:val="BodyText"/>
        <w:spacing w:line="240" w:lineRule="auto" w:before="133"/>
        <w:ind w:right="0"/>
        <w:jc w:val="both"/>
      </w:pPr>
      <w:r>
        <w:rPr/>
        <w:t>以</w:t>
      </w:r>
      <w:r>
        <w:rPr>
          <w:spacing w:val="-55"/>
        </w:rPr>
        <w:t> </w:t>
      </w:r>
      <w:r>
        <w:rPr>
          <w:rFonts w:ascii="宋体" w:hAnsi="宋体" w:cs="宋体" w:eastAsia="宋体" w:hint="default"/>
        </w:rPr>
        <w:t>12</w:t>
      </w:r>
      <w:r>
        <w:rPr>
          <w:rFonts w:ascii="宋体" w:hAnsi="宋体" w:cs="宋体" w:eastAsia="宋体" w:hint="default"/>
          <w:spacing w:val="-57"/>
        </w:rPr>
        <w:t> </w:t>
      </w:r>
      <w:r>
        <w:rPr/>
        <w:t>个月作为一个营业周期，并以其作为资产和负债的流动性划分标准。</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tabs>
          <w:tab w:pos="562" w:val="left" w:leader="none"/>
        </w:tabs>
        <w:spacing w:line="290" w:lineRule="auto" w:before="36"/>
        <w:ind w:left="558" w:right="137"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357" w:lineRule="auto" w:before="89"/>
        <w:ind w:right="137"/>
        <w:jc w:val="both"/>
      </w:pPr>
      <w:r>
        <w:rPr>
          <w:spacing w:val="-2"/>
        </w:rPr>
        <w:t>民币为记账本位币。本公司之境外子公司人民网日本株式会社、人民网美国有限责任公司、人民</w:t>
      </w:r>
      <w:r>
        <w:rPr>
          <w:spacing w:val="-25"/>
        </w:rPr>
        <w:t> </w:t>
      </w:r>
      <w:r>
        <w:rPr>
          <w:spacing w:val="-25"/>
        </w:rPr>
      </w:r>
      <w:r>
        <w:rPr>
          <w:spacing w:val="-2"/>
        </w:rPr>
        <w:t>网美西有限责任公司、人民网英国有限责任公司、人民网股份有限公司俄罗斯代表处、人民网南</w:t>
      </w:r>
      <w:r>
        <w:rPr>
          <w:spacing w:val="-25"/>
        </w:rPr>
        <w:t> </w:t>
      </w:r>
      <w:r>
        <w:rPr>
          <w:spacing w:val="-25"/>
        </w:rPr>
      </w:r>
      <w:r>
        <w:rPr>
          <w:spacing w:val="-2"/>
        </w:rPr>
        <w:t>非有限责任公司、人民网韩国股份有限公司、人民网香港有限责任公司、人民网澳大利亚有限责</w:t>
      </w:r>
      <w:r>
        <w:rPr>
          <w:spacing w:val="-25"/>
        </w:rPr>
        <w:t> </w:t>
      </w:r>
      <w:r>
        <w:rPr>
          <w:spacing w:val="-25"/>
        </w:rPr>
      </w:r>
      <w:r>
        <w:rPr>
          <w:spacing w:val="-2"/>
        </w:rPr>
        <w:t>任公司、人民网法国有限公司及人民网北欧有限公司根据其经营所处的主要经济环境中的货币分</w:t>
      </w:r>
      <w:r>
        <w:rPr>
          <w:spacing w:val="-25"/>
        </w:rPr>
        <w:t> </w:t>
      </w:r>
      <w:r>
        <w:rPr>
          <w:spacing w:val="-25"/>
        </w:rPr>
      </w:r>
      <w:r>
        <w:rPr>
          <w:spacing w:val="-2"/>
        </w:rPr>
        <w:t>别确定日元、美元、英镑、卢布、兰特、韩元、港币、澳大利亚元、欧元及瑞典克朗为其记账本</w:t>
      </w:r>
      <w:r>
        <w:rPr>
          <w:spacing w:val="-25"/>
        </w:rPr>
        <w:t> </w:t>
      </w:r>
      <w:r>
        <w:rPr>
          <w:spacing w:val="-25"/>
        </w:rPr>
      </w:r>
      <w:r>
        <w:rPr/>
        <w:t>位币。本集团编制本财务报表时所采用的货币为人民币。</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企业合并，是指将两个或两个以上单独的企业合并形成一个报告主体的交易或事项。企业合</w:t>
      </w:r>
    </w:p>
    <w:p>
      <w:pPr>
        <w:pStyle w:val="BodyText"/>
        <w:spacing w:line="240" w:lineRule="auto" w:before="133"/>
        <w:ind w:right="0"/>
        <w:jc w:val="both"/>
      </w:pPr>
      <w:r>
        <w:rPr/>
        <w:t>并分为同一控制下企业合并和非同一控制下企业合并。</w:t>
      </w:r>
    </w:p>
    <w:p>
      <w:pPr>
        <w:pStyle w:val="BodyText"/>
        <w:spacing w:line="355" w:lineRule="auto" w:before="133"/>
        <w:ind w:left="558" w:right="0"/>
        <w:jc w:val="left"/>
      </w:pPr>
      <w:r>
        <w:rPr/>
        <w:t>（</w:t>
      </w:r>
      <w:r>
        <w:rPr>
          <w:rFonts w:ascii="宋体" w:hAnsi="宋体" w:cs="宋体" w:eastAsia="宋体"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357" w:lineRule="auto" w:before="34"/>
        <w:ind w:right="137"/>
        <w:jc w:val="both"/>
      </w:pPr>
      <w:r>
        <w:rPr>
          <w:spacing w:val="-2"/>
        </w:rPr>
        <w:t>同一控制下的企业合并。同一控制下的企业合并，在合并日取得对其他参与合并企业控制权的一</w:t>
      </w:r>
      <w:r>
        <w:rPr>
          <w:spacing w:val="-26"/>
        </w:rPr>
        <w:t> </w:t>
      </w:r>
      <w:r>
        <w:rPr>
          <w:spacing w:val="-26"/>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357" w:lineRule="auto" w:before="30"/>
        <w:ind w:right="137" w:firstLine="419"/>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30"/>
        <w:ind w:left="558" w:right="0"/>
        <w:jc w:val="left"/>
      </w:pPr>
      <w:r>
        <w:rPr/>
        <w:t>合并方为进行企业合并发生的各项直接费用，于发生时计入当期损益。</w:t>
      </w:r>
    </w:p>
    <w:p>
      <w:pPr>
        <w:pStyle w:val="BodyText"/>
        <w:spacing w:line="355" w:lineRule="auto" w:before="133"/>
        <w:ind w:left="558" w:right="0"/>
        <w:jc w:val="left"/>
      </w:pPr>
      <w:r>
        <w:rPr/>
        <w:t>（</w:t>
      </w:r>
      <w:r>
        <w:rPr>
          <w:rFonts w:ascii="宋体" w:hAnsi="宋体" w:cs="宋体" w:eastAsia="宋体"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357" w:lineRule="auto" w:before="34"/>
        <w:ind w:right="137"/>
        <w:jc w:val="both"/>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357" w:lineRule="auto" w:before="30"/>
        <w:ind w:right="128"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r>
        <w:rPr>
          <w:spacing w:val="-25"/>
        </w:rPr>
        <w:t> </w:t>
      </w:r>
      <w:r>
        <w:rPr>
          <w:spacing w:val="-25"/>
        </w:rPr>
      </w: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p>
    <w:p>
      <w:pPr>
        <w:spacing w:after="0" w:line="357" w:lineRule="auto"/>
        <w:jc w:val="both"/>
        <w:sectPr>
          <w:footerReference w:type="default" r:id="rId43"/>
          <w:pgSz w:w="11910" w:h="16840"/>
          <w:pgMar w:footer="1195" w:header="882" w:top="1120" w:bottom="1380" w:left="1660" w:right="1140"/>
          <w:pgNumType w:start="81"/>
        </w:sectPr>
      </w:pPr>
    </w:p>
    <w:p>
      <w:pPr>
        <w:spacing w:line="240" w:lineRule="auto" w:before="1"/>
        <w:rPr>
          <w:rFonts w:ascii="宋体" w:hAnsi="宋体" w:cs="宋体" w:eastAsia="宋体" w:hint="default"/>
          <w:sz w:val="25"/>
          <w:szCs w:val="25"/>
        </w:rPr>
      </w:pPr>
    </w:p>
    <w:p>
      <w:pPr>
        <w:pStyle w:val="BodyText"/>
        <w:spacing w:line="357" w:lineRule="auto" w:before="36"/>
        <w:ind w:right="217"/>
        <w:jc w:val="both"/>
      </w:pP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p>
    <w:p>
      <w:pPr>
        <w:pStyle w:val="BodyText"/>
        <w:spacing w:line="357" w:lineRule="auto" w:before="30"/>
        <w:ind w:right="103" w:firstLine="419"/>
        <w:jc w:val="left"/>
      </w:pPr>
      <w:r>
        <w:rPr/>
        <w:t>购买方取得被购买方的可抵扣暂时性差异，在购买日因不符合递延所得税资产确认条件而未</w:t>
      </w:r>
      <w:r>
        <w:rPr>
          <w:w w:val="100"/>
        </w:rPr>
        <w:t> </w:t>
      </w:r>
      <w:r>
        <w:rPr/>
        <w:t>予确认的，在购买日后</w:t>
      </w:r>
      <w:r>
        <w:rPr>
          <w:spacing w:val="-51"/>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r>
        <w:rPr>
          <w:w w:val="100"/>
        </w:rPr>
        <w:t> </w:t>
      </w:r>
      <w:r>
        <w:rPr/>
        <w:t>资产，同时减少商誉，商誉不足冲减的，差额部分确认为当期损益；除上述情况以外，确认与企</w:t>
      </w:r>
      <w:r>
        <w:rPr>
          <w:w w:val="100"/>
        </w:rPr>
        <w:t> </w:t>
      </w:r>
      <w:r>
        <w:rPr/>
        <w:t>业合并相关的递延所得税资产的，计入当期损益。</w:t>
      </w:r>
    </w:p>
    <w:p>
      <w:pPr>
        <w:pStyle w:val="BodyText"/>
        <w:spacing w:line="357" w:lineRule="auto" w:before="30"/>
        <w:ind w:right="208" w:firstLine="419"/>
        <w:jc w:val="right"/>
      </w:pPr>
      <w:r>
        <w:rPr>
          <w:spacing w:val="-2"/>
        </w:rPr>
        <w:t>通过多次交易分步实现的非同一控制下企业合并，根据《财政部关于印发企业会计准则解释</w:t>
      </w:r>
      <w:r>
        <w:rPr>
          <w:w w:val="100"/>
        </w:rPr>
        <w:t> </w:t>
      </w:r>
      <w:r>
        <w:rPr/>
        <w:t>第</w:t>
      </w:r>
      <w:r>
        <w:rPr>
          <w:spacing w:val="-56"/>
        </w:rPr>
        <w:t> </w:t>
      </w:r>
      <w:r>
        <w:rPr>
          <w:rFonts w:ascii="宋体" w:hAnsi="宋体" w:cs="宋体" w:eastAsia="宋体" w:hint="default"/>
        </w:rPr>
        <w:t>5</w:t>
      </w:r>
      <w:r>
        <w:rPr>
          <w:rFonts w:ascii="宋体" w:hAnsi="宋体" w:cs="宋体" w:eastAsia="宋体" w:hint="default"/>
          <w:spacing w:val="-56"/>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6"/>
        </w:rPr>
        <w:t> </w:t>
      </w:r>
      <w:r>
        <w:rPr/>
        <w:t>号）和《企业会计准则第</w:t>
      </w:r>
      <w:r>
        <w:rPr>
          <w:spacing w:val="-56"/>
        </w:rPr>
        <w:t> </w:t>
      </w:r>
      <w:r>
        <w:rPr>
          <w:rFonts w:ascii="宋体" w:hAnsi="宋体" w:cs="宋体" w:eastAsia="宋体" w:hint="default"/>
        </w:rPr>
        <w:t>33</w:t>
      </w:r>
      <w:r>
        <w:rPr>
          <w:rFonts w:ascii="宋体" w:hAnsi="宋体" w:cs="宋体" w:eastAsia="宋体" w:hint="default"/>
          <w:spacing w:val="-56"/>
        </w:rPr>
        <w:t> </w:t>
      </w:r>
      <w:r>
        <w:rPr/>
        <w:t>号——合并财务报表》第五十一</w:t>
      </w:r>
      <w:r>
        <w:rPr>
          <w:w w:val="100"/>
        </w:rPr>
        <w:t> </w:t>
      </w:r>
      <w:r>
        <w:rPr>
          <w:spacing w:val="-2"/>
        </w:rPr>
        <w:t>条关于“一揽子交易”的判断标准（参见本附注五、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）），判断该多次交易是否属于“一揽</w:t>
      </w:r>
      <w:r>
        <w:rPr>
          <w:spacing w:val="-52"/>
        </w:rPr>
        <w:t> </w:t>
      </w:r>
      <w:r>
        <w:rPr>
          <w:spacing w:val="-52"/>
        </w:rPr>
      </w:r>
      <w:r>
        <w:rPr>
          <w:spacing w:val="-2"/>
        </w:rPr>
        <w:t>子交易”。属于“一揽子交易”的，参考本部分前面各段描述及本附注五、14“长期股权投资”</w:t>
      </w:r>
      <w:r>
        <w:rPr>
          <w:spacing w:val="-58"/>
        </w:rPr>
        <w:t> </w:t>
      </w:r>
      <w:r>
        <w:rPr>
          <w:spacing w:val="-58"/>
        </w:rPr>
      </w:r>
      <w:r>
        <w:rPr>
          <w:w w:val="100"/>
        </w:rPr>
        <w:t>进行</w:t>
      </w:r>
      <w:r>
        <w:rPr>
          <w:spacing w:val="-3"/>
          <w:w w:val="100"/>
        </w:rPr>
        <w:t>会</w:t>
      </w:r>
      <w:r>
        <w:rPr>
          <w:w w:val="100"/>
        </w:rPr>
        <w:t>计</w:t>
      </w:r>
      <w:r>
        <w:rPr>
          <w:spacing w:val="-3"/>
          <w:w w:val="100"/>
        </w:rPr>
        <w:t>处</w:t>
      </w:r>
      <w:r>
        <w:rPr>
          <w:w w:val="100"/>
        </w:rPr>
        <w:t>理</w:t>
      </w:r>
      <w:r>
        <w:rPr>
          <w:spacing w:val="-101"/>
          <w:w w:val="100"/>
        </w:rPr>
        <w:t>；</w:t>
      </w:r>
      <w:r>
        <w:rPr>
          <w:w w:val="100"/>
        </w:rPr>
        <w:t>不</w:t>
      </w:r>
      <w:r>
        <w:rPr>
          <w:spacing w:val="-3"/>
          <w:w w:val="100"/>
        </w:rPr>
        <w:t>属</w:t>
      </w:r>
      <w:r>
        <w:rPr>
          <w:spacing w:val="-1"/>
          <w:w w:val="100"/>
        </w:rPr>
        <w:t>于</w:t>
      </w:r>
      <w:r>
        <w:rPr>
          <w:spacing w:val="-2"/>
          <w:w w:val="100"/>
        </w:rPr>
        <w:t>“</w:t>
      </w:r>
      <w:r>
        <w:rPr>
          <w:spacing w:val="-3"/>
          <w:w w:val="100"/>
        </w:rPr>
        <w:t>一</w:t>
      </w:r>
      <w:r>
        <w:rPr>
          <w:w w:val="100"/>
        </w:rPr>
        <w:t>揽子</w:t>
      </w:r>
      <w:r>
        <w:rPr>
          <w:spacing w:val="-3"/>
          <w:w w:val="100"/>
        </w:rPr>
        <w:t>交</w:t>
      </w:r>
      <w:r>
        <w:rPr>
          <w:spacing w:val="-1"/>
          <w:w w:val="100"/>
        </w:rPr>
        <w:t>易</w:t>
      </w:r>
      <w:r>
        <w:rPr>
          <w:spacing w:val="-3"/>
          <w:w w:val="100"/>
        </w:rPr>
        <w:t>”</w:t>
      </w:r>
      <w:r>
        <w:rPr>
          <w:w w:val="100"/>
        </w:rPr>
        <w:t>的</w:t>
      </w:r>
      <w:r>
        <w:rPr>
          <w:spacing w:val="-101"/>
          <w:w w:val="100"/>
        </w:rPr>
        <w:t>，</w:t>
      </w:r>
      <w:r>
        <w:rPr>
          <w:w w:val="100"/>
        </w:rPr>
        <w:t>区</w:t>
      </w:r>
      <w:r>
        <w:rPr>
          <w:spacing w:val="-3"/>
          <w:w w:val="100"/>
        </w:rPr>
        <w:t>分</w:t>
      </w:r>
      <w:r>
        <w:rPr>
          <w:w w:val="100"/>
        </w:rPr>
        <w:t>个</w:t>
      </w:r>
      <w:r>
        <w:rPr>
          <w:spacing w:val="-3"/>
          <w:w w:val="100"/>
        </w:rPr>
        <w:t>别财</w:t>
      </w:r>
      <w:r>
        <w:rPr>
          <w:w w:val="100"/>
        </w:rPr>
        <w:t>务报</w:t>
      </w:r>
      <w:r>
        <w:rPr>
          <w:spacing w:val="-3"/>
          <w:w w:val="100"/>
        </w:rPr>
        <w:t>表</w:t>
      </w:r>
      <w:r>
        <w:rPr>
          <w:w w:val="100"/>
        </w:rPr>
        <w:t>和</w:t>
      </w:r>
      <w:r>
        <w:rPr>
          <w:spacing w:val="-3"/>
          <w:w w:val="100"/>
        </w:rPr>
        <w:t>合</w:t>
      </w:r>
      <w:r>
        <w:rPr>
          <w:w w:val="100"/>
        </w:rPr>
        <w:t>并</w:t>
      </w:r>
      <w:r>
        <w:rPr>
          <w:spacing w:val="-3"/>
          <w:w w:val="100"/>
        </w:rPr>
        <w:t>财</w:t>
      </w:r>
      <w:r>
        <w:rPr>
          <w:w w:val="100"/>
        </w:rPr>
        <w:t>务</w:t>
      </w:r>
      <w:r>
        <w:rPr>
          <w:spacing w:val="-3"/>
          <w:w w:val="100"/>
        </w:rPr>
        <w:t>报</w:t>
      </w:r>
      <w:r>
        <w:rPr>
          <w:w w:val="100"/>
        </w:rPr>
        <w:t>表</w:t>
      </w:r>
      <w:r>
        <w:rPr>
          <w:spacing w:val="-3"/>
          <w:w w:val="100"/>
        </w:rPr>
        <w:t>进</w:t>
      </w:r>
      <w:r>
        <w:rPr>
          <w:w w:val="100"/>
        </w:rPr>
        <w:t>行相</w:t>
      </w:r>
      <w:r>
        <w:rPr>
          <w:spacing w:val="-3"/>
          <w:w w:val="100"/>
        </w:rPr>
        <w:t>关</w:t>
      </w:r>
      <w:r>
        <w:rPr>
          <w:w w:val="100"/>
        </w:rPr>
        <w:t>会</w:t>
      </w:r>
      <w:r>
        <w:rPr>
          <w:spacing w:val="-3"/>
          <w:w w:val="100"/>
        </w:rPr>
        <w:t>计处理</w:t>
      </w:r>
      <w:r>
        <w:rPr>
          <w:w w:val="100"/>
        </w:rPr>
        <w:t>：</w:t>
      </w:r>
      <w:r>
        <w:rPr>
          <w:w w:val="100"/>
        </w:rPr>
        <w:t> </w:t>
      </w: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52"/>
        </w:rPr>
        <w:t> </w:t>
      </w:r>
      <w:r>
        <w:rPr>
          <w:spacing w:val="-52"/>
        </w:rPr>
      </w:r>
      <w:r>
        <w:rPr>
          <w:spacing w:val="-2"/>
        </w:rPr>
        <w:t>础进行会计处理（即，除了按照权益法核算的在被购买方重新计量设定受益计划净负债或净资产</w:t>
      </w:r>
    </w:p>
    <w:p>
      <w:pPr>
        <w:pStyle w:val="BodyText"/>
        <w:spacing w:line="355" w:lineRule="auto" w:before="30"/>
        <w:ind w:left="558" w:right="148" w:hanging="420"/>
        <w:jc w:val="left"/>
      </w:pPr>
      <w:r>
        <w:rPr/>
        <w:t>导致的变动中的相应份额以外，其余转入当期投资收益）。</w:t>
      </w:r>
      <w:r>
        <w:rPr>
          <w:w w:val="100"/>
        </w:rPr>
        <w:t> </w:t>
      </w:r>
      <w:r>
        <w:rPr>
          <w:spacing w:val="-2"/>
        </w:rPr>
        <w:t>在合并财务报表中，对于购买日之前持有的被购买方的股权，按照该股权在购买日的公允价</w:t>
      </w:r>
    </w:p>
    <w:p>
      <w:pPr>
        <w:pStyle w:val="BodyText"/>
        <w:spacing w:line="357" w:lineRule="auto" w:before="32"/>
        <w:ind w:right="217"/>
        <w:jc w:val="both"/>
      </w:pP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6"/>
        </w:rPr>
        <w:t> </w:t>
      </w:r>
      <w:r>
        <w:rPr>
          <w:spacing w:val="-26"/>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5" w:lineRule="exact" w:before="56"/>
        <w:ind w:right="0"/>
        <w:jc w:val="both"/>
      </w:pPr>
      <w:r>
        <w:rPr/>
        <w:t>√适用</w:t>
      </w:r>
      <w:r>
        <w:rPr>
          <w:spacing w:val="104"/>
        </w:rPr>
        <w:t> </w:t>
      </w:r>
      <w:r>
        <w:rPr/>
        <w:t>□不适用</w:t>
      </w:r>
    </w:p>
    <w:p>
      <w:pPr>
        <w:pStyle w:val="BodyText"/>
        <w:spacing w:line="355" w:lineRule="auto"/>
        <w:ind w:left="558" w:right="148"/>
        <w:jc w:val="left"/>
      </w:pPr>
      <w:r>
        <w:rPr/>
        <w:t>（</w:t>
      </w:r>
      <w:r>
        <w:rPr>
          <w:rFonts w:ascii="宋体" w:hAnsi="宋体" w:cs="宋体" w:eastAsia="宋体"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355" w:lineRule="auto" w:before="32"/>
        <w:ind w:right="217"/>
        <w:jc w:val="both"/>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p>
    <w:p>
      <w:pPr>
        <w:pStyle w:val="BodyText"/>
        <w:spacing w:line="357" w:lineRule="auto" w:before="32"/>
        <w:ind w:right="148" w:firstLine="419"/>
        <w:jc w:val="left"/>
      </w:pPr>
      <w:r>
        <w:rPr>
          <w:spacing w:val="-2"/>
        </w:rPr>
        <w:t>一旦相关事实和情况的变化导致上述控制定义涉及的相关要素发生了变化，本公司将进行重</w:t>
      </w:r>
      <w:r>
        <w:rPr>
          <w:w w:val="100"/>
        </w:rPr>
        <w:t> </w:t>
      </w:r>
      <w:r>
        <w:rPr/>
        <w:t>新评估。</w:t>
      </w:r>
    </w:p>
    <w:p>
      <w:pPr>
        <w:pStyle w:val="BodyText"/>
        <w:spacing w:line="355" w:lineRule="auto" w:before="30"/>
        <w:ind w:left="558" w:right="0"/>
        <w:jc w:val="left"/>
      </w:pPr>
      <w:r>
        <w:rPr/>
        <w:t>（</w:t>
      </w:r>
      <w:r>
        <w:rPr>
          <w:rFonts w:ascii="宋体" w:hAnsi="宋体" w:cs="宋体" w:eastAsia="宋体"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240" w:lineRule="auto" w:before="32"/>
        <w:ind w:right="0"/>
        <w:jc w:val="both"/>
      </w:pPr>
      <w:r>
        <w:rPr/>
        <w:t>从丧失实际控制权之日起停止纳入合并范围。对于处置的子公司，处置日前的经营成果和现金流</w:t>
      </w:r>
    </w:p>
    <w:p>
      <w:pPr>
        <w:spacing w:after="0" w:line="240"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17"/>
        <w:jc w:val="both"/>
      </w:pPr>
      <w:r>
        <w:rPr>
          <w:spacing w:val="-2"/>
        </w:rPr>
        <w:t>量已经适当地包括在合并利润表和合并现金流量表中；当期处置的子公司，不调整合并资产负债</w:t>
      </w:r>
      <w:r>
        <w:rPr>
          <w:spacing w:val="-25"/>
        </w:rPr>
        <w:t> </w:t>
      </w:r>
      <w:r>
        <w:rPr>
          <w:spacing w:val="-25"/>
        </w:rPr>
      </w:r>
      <w:r>
        <w:rPr>
          <w:spacing w:val="-2"/>
        </w:rPr>
        <w:t>表的期初数。非同一控制下企业合并增加的子公司，其购买日后的经营成果及现金流量已经适当</w:t>
      </w:r>
      <w:r>
        <w:rPr>
          <w:spacing w:val="-25"/>
        </w:rPr>
        <w:t> </w:t>
      </w:r>
      <w:r>
        <w:rPr>
          <w:spacing w:val="-25"/>
        </w:rPr>
      </w:r>
      <w:r>
        <w:rPr>
          <w:spacing w:val="-2"/>
        </w:rPr>
        <w:t>地包括在合并利润表和合并现金流量表中，且不调整合并财务报表的期初数和对比数。同一控制</w:t>
      </w:r>
      <w:r>
        <w:rPr>
          <w:spacing w:val="-25"/>
        </w:rPr>
        <w:t> </w:t>
      </w:r>
      <w:r>
        <w:rPr>
          <w:spacing w:val="-25"/>
        </w:rPr>
      </w:r>
      <w:r>
        <w:rPr>
          <w:spacing w:val="-2"/>
        </w:rPr>
        <w:t>下企业合并增加的子公司，其自合并当期期初至合并日的经营成果和现金流量已经适当地包括在</w:t>
      </w:r>
      <w:r>
        <w:rPr>
          <w:spacing w:val="-25"/>
        </w:rPr>
        <w:t> </w:t>
      </w:r>
      <w:r>
        <w:rPr>
          <w:spacing w:val="-25"/>
        </w:rPr>
      </w:r>
      <w:r>
        <w:rPr/>
        <w:t>合并利润表和合并现金流量表中，并且同时调整合并财务报表的对比数。</w:t>
      </w:r>
    </w:p>
    <w:p>
      <w:pPr>
        <w:pStyle w:val="BodyText"/>
        <w:spacing w:line="357" w:lineRule="auto" w:before="30"/>
        <w:ind w:right="217" w:firstLine="419"/>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p>
    <w:p>
      <w:pPr>
        <w:pStyle w:val="BodyText"/>
        <w:spacing w:line="355" w:lineRule="auto" w:before="31"/>
        <w:ind w:left="558" w:right="148"/>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355" w:lineRule="auto" w:before="34"/>
        <w:ind w:right="217"/>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pStyle w:val="BodyText"/>
        <w:spacing w:line="357" w:lineRule="auto" w:before="32"/>
        <w:ind w:right="207" w:firstLine="419"/>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spacing w:val="-4"/>
        </w:rPr>
        <w:t>剩余股权按照《企业会计准则第</w:t>
      </w:r>
      <w:r>
        <w:rPr>
          <w:spacing w:val="-42"/>
        </w:rPr>
        <w:t> </w:t>
      </w:r>
      <w:r>
        <w:rPr>
          <w:rFonts w:ascii="宋体" w:hAnsi="宋体" w:cs="宋体" w:eastAsia="宋体" w:hint="default"/>
        </w:rPr>
        <w:t>2</w:t>
      </w:r>
      <w:r>
        <w:rPr>
          <w:rFonts w:ascii="宋体" w:hAnsi="宋体" w:cs="宋体" w:eastAsia="宋体" w:hint="default"/>
          <w:spacing w:val="-42"/>
        </w:rPr>
        <w:t> </w:t>
      </w:r>
      <w:r>
        <w:rPr>
          <w:spacing w:val="-5"/>
        </w:rPr>
        <w:t>号——长期股权投资》或《企业会计准则第</w:t>
      </w:r>
      <w:r>
        <w:rPr>
          <w:spacing w:val="-40"/>
        </w:rPr>
        <w:t> </w:t>
      </w:r>
      <w:r>
        <w:rPr>
          <w:rFonts w:ascii="宋体" w:hAnsi="宋体" w:cs="宋体" w:eastAsia="宋体" w:hint="default"/>
        </w:rPr>
        <w:t>22</w:t>
      </w:r>
      <w:r>
        <w:rPr>
          <w:rFonts w:ascii="宋体" w:hAnsi="宋体" w:cs="宋体" w:eastAsia="宋体" w:hint="default"/>
          <w:spacing w:val="-44"/>
        </w:rPr>
        <w:t> </w:t>
      </w:r>
      <w:r>
        <w:rPr/>
        <w:t>号——金融工具</w:t>
      </w:r>
      <w:r>
        <w:rPr>
          <w:spacing w:val="-100"/>
        </w:rPr>
        <w:t> </w:t>
      </w:r>
      <w:r>
        <w:rPr>
          <w:spacing w:val="-100"/>
        </w:rPr>
      </w:r>
      <w:r>
        <w:rPr>
          <w:spacing w:val="-6"/>
        </w:rPr>
        <w:t>确认和计量》等相关规定进行后续计量，详见本附注五、14“长期股权投资”或本附注五、10“金</w:t>
      </w:r>
      <w:r>
        <w:rPr>
          <w:spacing w:val="-42"/>
        </w:rPr>
        <w:t> </w:t>
      </w:r>
      <w:r>
        <w:rPr>
          <w:spacing w:val="-42"/>
        </w:rPr>
      </w:r>
      <w:r>
        <w:rPr/>
        <w:t>融工具”。</w:t>
      </w:r>
    </w:p>
    <w:p>
      <w:pPr>
        <w:pStyle w:val="BodyText"/>
        <w:spacing w:line="357" w:lineRule="auto" w:before="30"/>
        <w:ind w:right="0" w:firstLine="419"/>
        <w:jc w:val="left"/>
      </w:pPr>
      <w:r>
        <w:rPr/>
        <w:t>本公司通过多次交易分步处置对子公司股权投资直至丧失控制权的，需区分处置对子公司股</w:t>
      </w:r>
      <w:r>
        <w:rPr>
          <w:w w:val="100"/>
        </w:rPr>
        <w:t> </w:t>
      </w:r>
      <w:r>
        <w:rPr/>
        <w:t>权投资直至丧失控制权的各项交易是否属于一揽子交易。处置对子公司股权投资的各项交易的条</w:t>
      </w:r>
      <w:r>
        <w:rPr>
          <w:w w:val="100"/>
        </w:rPr>
        <w:t> </w:t>
      </w:r>
      <w:r>
        <w:rPr/>
        <w:t>款、条件以及经济影响符合以下一种或多种情况，通常表明应将多次交易事项作为一揽子交易进</w:t>
      </w:r>
      <w:r>
        <w:rPr>
          <w:w w:val="100"/>
        </w:rPr>
        <w:t> </w:t>
      </w:r>
      <w:r>
        <w:rPr/>
        <w:t>行会计处理：①这些交易是同时或者在考虑了彼此影响的情况下订立的；②这些交易整体才能达</w:t>
      </w:r>
      <w:r>
        <w:rPr>
          <w:w w:val="100"/>
        </w:rPr>
        <w:t> </w:t>
      </w:r>
      <w:r>
        <w:rPr/>
        <w:t>成一项完整的商业结果；③一项交易的发生取决于其他至少一项交易的发生；④一项交易单独看</w:t>
      </w:r>
      <w:r>
        <w:rPr>
          <w:w w:val="100"/>
        </w:rPr>
        <w:t> </w:t>
      </w:r>
      <w:r>
        <w:rPr/>
        <w:t>是不经济的，但是和其他交易一并考虑时是经济的。不属于一揽子交易的，对其中的每一项交易</w:t>
      </w:r>
      <w:r>
        <w:rPr>
          <w:w w:val="100"/>
        </w:rPr>
        <w:t> </w:t>
      </w:r>
      <w:r>
        <w:rPr/>
        <w:t>视情况分别按照“不丧失控制权的情况下部分处置对子公司的长期股权投资”（详见本附注五、</w:t>
      </w:r>
      <w:r>
        <w:rPr>
          <w:w w:val="100"/>
        </w:rPr>
        <w:t> </w:t>
      </w:r>
      <w:r>
        <w:rPr>
          <w:rFonts w:ascii="宋体" w:hAnsi="宋体" w:cs="宋体" w:eastAsia="宋体" w:hint="default"/>
          <w:spacing w:val="-2"/>
        </w:rPr>
        <w:t>14</w:t>
      </w:r>
      <w:r>
        <w:rPr>
          <w:spacing w:val="-2"/>
        </w:rPr>
        <w:t>、（</w:t>
      </w:r>
      <w:r>
        <w:rPr>
          <w:rFonts w:ascii="宋体" w:hAnsi="宋体" w:cs="宋体" w:eastAsia="宋体" w:hint="default"/>
          <w:spacing w:val="-2"/>
        </w:rPr>
        <w:t>2</w:t>
      </w:r>
      <w:r>
        <w:rPr>
          <w:spacing w:val="-2"/>
        </w:rPr>
        <w:t>）④）和“因处置部分股权投资或其他原因丧失了对原有子公司的控制权”（详见前段）</w:t>
      </w:r>
      <w:r>
        <w:rPr>
          <w:spacing w:val="-17"/>
        </w:rPr>
        <w:t> </w:t>
      </w:r>
      <w:r>
        <w:rPr>
          <w:spacing w:val="-17"/>
        </w:rPr>
      </w:r>
      <w:r>
        <w:rPr>
          <w:spacing w:val="-4"/>
          <w:w w:val="100"/>
        </w:rPr>
        <w:t>适用的原则进行会计处理。处置对子公司股权投资直至丧失控制权的各项交易属于一揽子交易的，</w:t>
      </w:r>
      <w:r>
        <w:rPr>
          <w:spacing w:val="-85"/>
          <w:w w:val="100"/>
        </w:rPr>
        <w:t> </w:t>
      </w:r>
      <w:r>
        <w:rPr>
          <w:spacing w:val="-85"/>
          <w:w w:val="100"/>
        </w:rPr>
      </w:r>
      <w:r>
        <w:rPr/>
        <w:t>将各项交易作为一项处置子公司并丧失控制权的交易进行会计处理；但是，在丧失控制权之前每</w:t>
      </w:r>
      <w:r>
        <w:rPr>
          <w:w w:val="100"/>
        </w:rPr>
        <w:t> </w:t>
      </w:r>
      <w:r>
        <w:rPr/>
        <w:t>一次处置价款与处置投资对应的享有该子公司净资产份额的差额，在合并财务报表中确认为其他</w:t>
      </w:r>
      <w:r>
        <w:rPr>
          <w:w w:val="100"/>
        </w:rPr>
        <w:t> </w:t>
      </w:r>
      <w:r>
        <w:rPr/>
        <w:t>综合收益，在丧失控制权时一并转入丧失控制权当期的损益。</w:t>
      </w:r>
    </w:p>
    <w:p>
      <w:pPr>
        <w:spacing w:after="0" w:line="357"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合营安排，是指一项由两个或两个以上的参与方共同控制的安排。本公司根据在合营安排中</w:t>
      </w:r>
    </w:p>
    <w:p>
      <w:pPr>
        <w:pStyle w:val="BodyText"/>
        <w:spacing w:line="355" w:lineRule="auto" w:before="133"/>
        <w:ind w:right="137"/>
        <w:jc w:val="both"/>
      </w:pPr>
      <w:r>
        <w:rPr>
          <w:spacing w:val="-2"/>
        </w:rPr>
        <w:t>享有的权利和承担的义务，将合营安排分为共同经营和合营企业。共同经营，是指本公司享有该</w:t>
      </w:r>
      <w:r>
        <w:rPr>
          <w:spacing w:val="-25"/>
        </w:rPr>
        <w:t> </w:t>
      </w:r>
      <w:r>
        <w:rPr>
          <w:spacing w:val="-25"/>
        </w:rPr>
      </w:r>
      <w:r>
        <w:rPr>
          <w:spacing w:val="-2"/>
        </w:rPr>
        <w:t>安排相关资产且承担该安排相关负债的合营安排。合营企业，是指本公司仅对该安排的净资产享</w:t>
      </w:r>
      <w:r>
        <w:rPr>
          <w:spacing w:val="-25"/>
        </w:rPr>
        <w:t> </w:t>
      </w:r>
      <w:r>
        <w:rPr>
          <w:spacing w:val="-25"/>
        </w:rPr>
      </w:r>
      <w:r>
        <w:rPr/>
        <w:t>有权利的合营安排。</w:t>
      </w:r>
    </w:p>
    <w:p>
      <w:pPr>
        <w:pStyle w:val="BodyText"/>
        <w:spacing w:line="355" w:lineRule="auto" w:before="34"/>
        <w:ind w:right="137" w:firstLine="419"/>
        <w:jc w:val="both"/>
      </w:pPr>
      <w:r>
        <w:rPr/>
        <w:t>本公司对合营企业的投资采用权益法核算，按照本附注五、</w:t>
      </w:r>
      <w:r>
        <w:rPr>
          <w:rFonts w:ascii="宋体" w:hAnsi="宋体" w:cs="宋体" w:eastAsia="宋体" w:hint="default"/>
        </w:rPr>
        <w:t>14</w:t>
      </w:r>
      <w:r>
        <w:rPr/>
        <w:t>（</w:t>
      </w:r>
      <w:r>
        <w:rPr>
          <w:rFonts w:ascii="宋体" w:hAnsi="宋体" w:cs="宋体" w:eastAsia="宋体" w:hint="default"/>
        </w:rPr>
        <w:t>2</w:t>
      </w:r>
      <w:r>
        <w:rPr/>
        <w:t>）②</w:t>
      </w:r>
      <w:r>
        <w:rPr>
          <w:spacing w:val="-3"/>
        </w:rPr>
        <w:t> </w:t>
      </w:r>
      <w:r>
        <w:rPr/>
        <w:t>“权益法核算的长期</w:t>
      </w:r>
      <w:r>
        <w:rPr>
          <w:w w:val="100"/>
        </w:rPr>
        <w:t> </w:t>
      </w:r>
      <w:r>
        <w:rPr/>
        <w:t>股权投资”中所述的会计政策处理。</w:t>
      </w:r>
    </w:p>
    <w:p>
      <w:pPr>
        <w:pStyle w:val="BodyText"/>
        <w:spacing w:line="357" w:lineRule="auto" w:before="33"/>
        <w:ind w:right="128" w:firstLine="419"/>
        <w:jc w:val="both"/>
      </w:pPr>
      <w:r>
        <w:rPr>
          <w:spacing w:val="-2"/>
        </w:rPr>
        <w:t>本公司作为合营方对共同经营，确认本公司单独持有的资产、单独所承担的负债，以及按本</w:t>
      </w:r>
      <w:r>
        <w:rPr>
          <w:w w:val="100"/>
        </w:rPr>
        <w:t> </w:t>
      </w:r>
      <w:r>
        <w:rPr>
          <w:spacing w:val="-2"/>
        </w:rPr>
        <w:t>公司份额确认共同持有的资产和共同承担的负债；确认出售本公司享有的共同经营产出份额所产</w:t>
      </w:r>
      <w:r>
        <w:rPr>
          <w:spacing w:val="-25"/>
        </w:rPr>
        <w:t> </w:t>
      </w:r>
      <w:r>
        <w:rPr>
          <w:spacing w:val="-2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pStyle w:val="BodyText"/>
        <w:spacing w:line="357" w:lineRule="auto" w:before="30"/>
        <w:ind w:right="137" w:firstLine="419"/>
        <w:jc w:val="both"/>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5"/>
        </w:rPr>
        <w:t> </w:t>
      </w:r>
      <w:r>
        <w:rPr>
          <w:spacing w:val="-25"/>
        </w:rPr>
      </w:r>
      <w:r>
        <w:rPr/>
        <w:t>同经营其他参与方的部分。该等资产发生符合《企业会计准则第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w:t>
      </w:r>
      <w:r>
        <w:rPr>
          <w:w w:val="100"/>
        </w:rPr>
        <w:t> </w:t>
      </w:r>
      <w:r>
        <w:rPr>
          <w:spacing w:val="-2"/>
        </w:rPr>
        <w:t>产减值损失的，对于由本公司向共同经营投出或出售资产的情况，本公司全额确认该损失；对于</w:t>
      </w:r>
      <w:r>
        <w:rPr>
          <w:spacing w:val="-25"/>
        </w:rPr>
        <w:t> </w:t>
      </w:r>
      <w:r>
        <w:rPr>
          <w:spacing w:val="-25"/>
        </w:rPr>
      </w:r>
      <w:r>
        <w:rPr/>
        <w:t>本公司自共同经营购买资产的情况，本公司按承担的份额确认该损失。</w:t>
      </w:r>
    </w:p>
    <w:p>
      <w:pPr>
        <w:spacing w:line="240" w:lineRule="auto" w:before="11"/>
        <w:rPr>
          <w:rFonts w:ascii="宋体" w:hAnsi="宋体" w:cs="宋体" w:eastAsia="宋体" w:hint="default"/>
          <w:sz w:val="27"/>
          <w:szCs w:val="27"/>
        </w:rPr>
      </w:pPr>
    </w:p>
    <w:p>
      <w:pPr>
        <w:tabs>
          <w:tab w:pos="562" w:val="left" w:leader="none"/>
        </w:tabs>
        <w:spacing w:line="290" w:lineRule="auto" w:before="0"/>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355" w:lineRule="auto" w:before="89"/>
        <w:ind w:right="137"/>
        <w:jc w:val="both"/>
      </w:pPr>
      <w:r>
        <w:rPr>
          <w:spacing w:val="-2"/>
        </w:rPr>
        <w:t>（一般为从购买日起三个月内到期）、流动性强、易于转换为已知金额现金、价值变动风险很小</w:t>
      </w:r>
      <w:r>
        <w:rPr>
          <w:spacing w:val="-25"/>
        </w:rPr>
        <w:t> </w:t>
      </w:r>
      <w:r>
        <w:rPr>
          <w:spacing w:val="-25"/>
        </w:rPr>
      </w:r>
      <w:r>
        <w:rPr/>
        <w:t>的投资。</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355" w:lineRule="auto"/>
        <w:ind w:left="558" w:right="0"/>
        <w:jc w:val="left"/>
      </w:pPr>
      <w:r>
        <w:rPr/>
        <w:t>（</w:t>
      </w:r>
      <w:r>
        <w:rPr>
          <w:rFonts w:ascii="宋体" w:hAnsi="宋体" w:cs="宋体" w:eastAsia="宋体" w:hint="default"/>
        </w:rPr>
        <w:t>1</w:t>
      </w:r>
      <w:r>
        <w:rPr/>
        <w:t>）外币交易的折算方法</w:t>
      </w:r>
      <w:r>
        <w:rPr>
          <w:w w:val="100"/>
        </w:rPr>
        <w:t> </w:t>
      </w:r>
      <w:r>
        <w:rPr>
          <w:spacing w:val="-2"/>
        </w:rPr>
        <w:t>本公司发生的外币交易在初始确认时，按交易日的即期汇率（通常指中国人民银行公布的当</w:t>
      </w:r>
    </w:p>
    <w:p>
      <w:pPr>
        <w:pStyle w:val="BodyText"/>
        <w:spacing w:line="355" w:lineRule="auto" w:before="34"/>
        <w:ind w:right="137"/>
        <w:jc w:val="both"/>
      </w:pPr>
      <w:r>
        <w:rPr>
          <w:spacing w:val="-2"/>
        </w:rPr>
        <w:t>日外汇牌价的中间价，下同）折算为记账本位币金额，但公司发生的外币兑换业务或涉及外币兑</w:t>
      </w:r>
      <w:r>
        <w:rPr>
          <w:spacing w:val="-25"/>
        </w:rPr>
        <w:t> </w:t>
      </w:r>
      <w:r>
        <w:rPr>
          <w:spacing w:val="-25"/>
        </w:rPr>
      </w:r>
      <w:r>
        <w:rPr/>
        <w:t>换的交易事项，按照实际采用的汇率折算为记账本位币金额。</w:t>
      </w:r>
    </w:p>
    <w:p>
      <w:pPr>
        <w:pStyle w:val="BodyText"/>
        <w:spacing w:line="355" w:lineRule="auto" w:before="32"/>
        <w:ind w:left="558" w:right="0"/>
        <w:jc w:val="left"/>
      </w:pPr>
      <w:r>
        <w:rPr/>
        <w:t>（</w:t>
      </w:r>
      <w:r>
        <w:rPr>
          <w:rFonts w:ascii="宋体" w:hAnsi="宋体" w:cs="宋体" w:eastAsia="宋体" w:hint="default"/>
        </w:rPr>
        <w:t>2</w:t>
      </w:r>
      <w:r>
        <w:rPr/>
        <w:t>）对于外币货币性项目和外币非货币性项目的折算方法</w:t>
      </w:r>
      <w:r>
        <w:rPr>
          <w:w w:val="100"/>
        </w:rPr>
        <w:t> </w:t>
      </w:r>
      <w:r>
        <w:rPr>
          <w:spacing w:val="-7"/>
          <w:w w:val="100"/>
        </w:rPr>
        <w:t>资产负债表日，对于外币货币性项目采用资产负债表日即期汇率折算，由此产生的汇兑差额，</w:t>
      </w:r>
    </w:p>
    <w:p>
      <w:pPr>
        <w:pStyle w:val="BodyText"/>
        <w:spacing w:line="357" w:lineRule="auto" w:before="32"/>
        <w:ind w:right="137"/>
        <w:jc w:val="both"/>
      </w:pPr>
      <w:r>
        <w:rPr>
          <w:spacing w:val="-2"/>
        </w:rPr>
        <w:t>除：①属于与购建符合资本化条件的资产相关的外币专门借款产生的汇兑差额按照借款费用资本</w:t>
      </w:r>
      <w:r>
        <w:rPr>
          <w:spacing w:val="-25"/>
        </w:rPr>
        <w:t> </w:t>
      </w:r>
      <w:r>
        <w:rPr>
          <w:spacing w:val="-25"/>
        </w:rPr>
      </w:r>
      <w:r>
        <w:rPr>
          <w:spacing w:val="-2"/>
        </w:rPr>
        <w:t>化的原则处理；以及②可供出售的外币货币性项目除摊余成本之外的其他账面余额变动产生的汇</w:t>
      </w:r>
      <w:r>
        <w:rPr>
          <w:spacing w:val="-25"/>
        </w:rPr>
        <w:t> </w:t>
      </w:r>
      <w:r>
        <w:rPr>
          <w:spacing w:val="-25"/>
        </w:rPr>
      </w:r>
      <w:r>
        <w:rPr/>
        <w:t>兑差额计入其他综合收益之外，均计入当期损益。</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17" w:firstLine="419"/>
        <w:jc w:val="both"/>
      </w:pPr>
      <w:r>
        <w:rPr>
          <w:spacing w:val="-2"/>
        </w:rPr>
        <w:t>编制合并财务报表涉及境外经营的，如有实质上构成对境外经营净投资的外币货币性项目，</w:t>
      </w:r>
      <w:r>
        <w:rPr>
          <w:w w:val="100"/>
        </w:rPr>
        <w:t> </w:t>
      </w:r>
      <w:r>
        <w:rPr/>
        <w:t>因汇率变动而产生的汇兑差额，计入其他综合收益；处置境外经营时，转入处置当期损益。</w:t>
      </w:r>
    </w:p>
    <w:p>
      <w:pPr>
        <w:pStyle w:val="BodyText"/>
        <w:spacing w:line="355" w:lineRule="auto" w:before="30"/>
        <w:ind w:right="217" w:firstLine="419"/>
        <w:jc w:val="both"/>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r>
        <w:rPr>
          <w:spacing w:val="-25"/>
        </w:rPr>
        <w:t> </w:t>
      </w:r>
      <w:r>
        <w:rPr>
          <w:spacing w:val="-25"/>
        </w:rPr>
      </w:r>
      <w:r>
        <w:rPr>
          <w:spacing w:val="-2"/>
        </w:rPr>
        <w:t>账本位币金额与原记账本位币金额的差额，作为公允价值变动（含汇率变动）处理，计入当期损</w:t>
      </w:r>
      <w:r>
        <w:rPr>
          <w:spacing w:val="-25"/>
        </w:rPr>
        <w:t> </w:t>
      </w:r>
      <w:r>
        <w:rPr>
          <w:spacing w:val="-25"/>
        </w:rPr>
      </w:r>
      <w:r>
        <w:rPr/>
        <w:t>益或确认为其他综合收益。</w:t>
      </w:r>
    </w:p>
    <w:p>
      <w:pPr>
        <w:pStyle w:val="BodyText"/>
        <w:spacing w:line="355" w:lineRule="auto" w:before="34"/>
        <w:ind w:left="558" w:right="148"/>
        <w:jc w:val="left"/>
      </w:pPr>
      <w:r>
        <w:rPr/>
        <w:t>（</w:t>
      </w:r>
      <w:r>
        <w:rPr>
          <w:rFonts w:ascii="宋体" w:hAnsi="宋体" w:cs="宋体" w:eastAsia="宋体" w:hint="default"/>
        </w:rPr>
        <w:t>3</w:t>
      </w:r>
      <w:r>
        <w:rPr/>
        <w:t>）外币财务报表的折算方法</w:t>
      </w:r>
      <w:r>
        <w:rPr>
          <w:w w:val="100"/>
        </w:rPr>
        <w:t> </w:t>
      </w:r>
      <w:r>
        <w:rPr>
          <w:spacing w:val="-2"/>
        </w:rPr>
        <w:t>编制合并财务报表涉及境外经营的，如有实质上构成对境外经营净投资的外币货币性项目，</w:t>
      </w:r>
    </w:p>
    <w:p>
      <w:pPr>
        <w:pStyle w:val="BodyText"/>
        <w:spacing w:line="355" w:lineRule="auto" w:before="33"/>
        <w:ind w:right="148"/>
        <w:jc w:val="left"/>
      </w:pPr>
      <w:r>
        <w:rPr>
          <w:spacing w:val="-2"/>
        </w:rPr>
        <w:t>因汇率变动而产生的汇兑差额，作为“外币报表折算差额”确认为其他综合收益；处置境外经营</w:t>
      </w:r>
      <w:r>
        <w:rPr>
          <w:spacing w:val="-25"/>
        </w:rPr>
        <w:t> </w:t>
      </w:r>
      <w:r>
        <w:rPr>
          <w:spacing w:val="-25"/>
        </w:rPr>
      </w:r>
      <w:r>
        <w:rPr/>
        <w:t>时，计入处置当期损益。</w:t>
      </w:r>
    </w:p>
    <w:p>
      <w:pPr>
        <w:pStyle w:val="BodyText"/>
        <w:spacing w:line="357" w:lineRule="auto" w:before="34"/>
        <w:ind w:right="208" w:firstLine="419"/>
        <w:jc w:val="both"/>
      </w:pPr>
      <w:r>
        <w:rPr>
          <w:spacing w:val="-2"/>
        </w:rPr>
        <w:t>境外经营的外币财务报表按以下方法折算为人民币报表：资产负债表中的资产和负债项目，</w:t>
      </w:r>
      <w:r>
        <w:rPr>
          <w:w w:val="100"/>
        </w:rPr>
        <w:t> </w:t>
      </w:r>
      <w:r>
        <w:rPr>
          <w:spacing w:val="-2"/>
        </w:rPr>
        <w:t>采用资产负债表日的即期汇率折算；股东权益类项目除“未分配利润”项目外，其他项目采用发</w:t>
      </w:r>
      <w:r>
        <w:rPr>
          <w:spacing w:val="-25"/>
        </w:rPr>
        <w:t> </w:t>
      </w:r>
      <w:r>
        <w:rPr>
          <w:spacing w:val="-25"/>
        </w:rPr>
      </w:r>
      <w:r>
        <w:rPr>
          <w:spacing w:val="-2"/>
        </w:rPr>
        <w:t>生时的即期汇率折算。利润表中的收入和费用项目，采用交易发生日的当期平均汇率折算。年初</w:t>
      </w:r>
      <w:r>
        <w:rPr>
          <w:spacing w:val="-26"/>
        </w:rPr>
        <w:t> </w:t>
      </w:r>
      <w:r>
        <w:rPr>
          <w:spacing w:val="-26"/>
        </w:rPr>
      </w:r>
      <w:r>
        <w:rPr>
          <w:spacing w:val="-2"/>
        </w:rPr>
        <w:t>未分配利润为上一年折算后的年末未分配利润；年末未分配利润按折算后的利润分配各项目计算</w:t>
      </w:r>
      <w:r>
        <w:rPr>
          <w:spacing w:val="-25"/>
        </w:rPr>
        <w:t> </w:t>
      </w:r>
      <w:r>
        <w:rPr>
          <w:spacing w:val="-25"/>
        </w:rPr>
      </w:r>
      <w:r>
        <w:rPr>
          <w:spacing w:val="-6"/>
          <w:w w:val="100"/>
        </w:rPr>
        <w:t>列示；折算后资产类项目与负债类项目和股东权益类项目合计数的差额，作为外币报表折算差额，</w:t>
      </w:r>
      <w:r>
        <w:rPr>
          <w:w w:val="100"/>
        </w:rPr>
        <w:t> </w:t>
      </w:r>
      <w:r>
        <w:rPr>
          <w:spacing w:val="-2"/>
        </w:rPr>
        <w:t>确认为其他综合收益。处置境外经营并丧失控制权时，将资产负债表中股东权益项目下列示的、</w:t>
      </w:r>
      <w:r>
        <w:rPr>
          <w:spacing w:val="-25"/>
        </w:rPr>
        <w:t> </w:t>
      </w:r>
      <w:r>
        <w:rPr>
          <w:spacing w:val="-25"/>
        </w:rPr>
      </w:r>
      <w:r>
        <w:rPr/>
        <w:t>与该境外经营相关的外币报表折算差额，全部或按处置该境外经营的比例转入处置当期损益。</w:t>
      </w:r>
    </w:p>
    <w:p>
      <w:pPr>
        <w:pStyle w:val="BodyText"/>
        <w:spacing w:line="355" w:lineRule="auto" w:before="30"/>
        <w:ind w:right="217" w:firstLine="419"/>
        <w:jc w:val="both"/>
      </w:pPr>
      <w:r>
        <w:rPr>
          <w:spacing w:val="-2"/>
        </w:rPr>
        <w:t>外币现金流量以及境外子公司的现金流量，采用现金流量发生日的当期平均汇率折算。汇率</w:t>
      </w:r>
      <w:r>
        <w:rPr>
          <w:w w:val="100"/>
        </w:rPr>
        <w:t> </w:t>
      </w:r>
      <w:r>
        <w:rPr/>
        <w:t>变动对现金的影响额作为调节项目，在现金流量表中单独列报。</w:t>
      </w:r>
    </w:p>
    <w:p>
      <w:pPr>
        <w:pStyle w:val="BodyText"/>
        <w:spacing w:line="357" w:lineRule="auto" w:before="32"/>
        <w:ind w:left="558" w:right="148"/>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w:t>
      </w:r>
    </w:p>
    <w:p>
      <w:pPr>
        <w:pStyle w:val="BodyText"/>
        <w:spacing w:line="355" w:lineRule="auto" w:before="30"/>
        <w:ind w:right="148"/>
        <w:jc w:val="left"/>
      </w:pPr>
      <w:r>
        <w:rPr>
          <w:spacing w:val="-2"/>
        </w:rPr>
        <w:t>经营控制权时，将资产负债表中股东权益项目下列示的、与该境外经营相关的归属于母公司所有</w:t>
      </w:r>
      <w:r>
        <w:rPr>
          <w:spacing w:val="-25"/>
        </w:rPr>
        <w:t> </w:t>
      </w:r>
      <w:r>
        <w:rPr>
          <w:spacing w:val="-25"/>
        </w:rPr>
      </w:r>
      <w:r>
        <w:rPr/>
        <w:t>者权益的外币报表折算差额，全部转入处置当期损益。</w:t>
      </w:r>
    </w:p>
    <w:p>
      <w:pPr>
        <w:pStyle w:val="BodyText"/>
        <w:spacing w:line="357" w:lineRule="auto" w:before="32"/>
        <w:ind w:right="217" w:firstLine="419"/>
        <w:jc w:val="both"/>
      </w:pPr>
      <w:r>
        <w:rPr>
          <w:spacing w:val="-2"/>
        </w:rPr>
        <w:t>在处置部分股权投资或其他原因导致持有境外经营权益比例降低但不丧失对境外经营控制权</w:t>
      </w:r>
      <w:r>
        <w:rPr>
          <w:w w:val="100"/>
        </w:rPr>
        <w:t> </w:t>
      </w:r>
      <w:r>
        <w:rPr>
          <w:spacing w:val="-2"/>
        </w:rPr>
        <w:t>时，与该境外经营处置部分相关的外币报表折算差额将归属于少数股东权益，不转入当期损益。</w:t>
      </w:r>
      <w:r>
        <w:rPr>
          <w:spacing w:val="-25"/>
        </w:rPr>
        <w:t> </w:t>
      </w:r>
      <w:r>
        <w:rPr>
          <w:spacing w:val="-25"/>
        </w:rPr>
      </w:r>
      <w:r>
        <w:rPr>
          <w:spacing w:val="-2"/>
        </w:rPr>
        <w:t>在处置境外经营为联营企业或合营企业的部分股权时，与该境外经营相关的外币报表折算差额，</w:t>
      </w:r>
      <w:r>
        <w:rPr>
          <w:spacing w:val="-25"/>
        </w:rPr>
        <w:t> </w:t>
      </w:r>
      <w:r>
        <w:rPr>
          <w:spacing w:val="-25"/>
        </w:rPr>
      </w:r>
      <w:r>
        <w:rPr/>
        <w:t>按处置该境外经营的比例转入处置当期损益。</w:t>
      </w:r>
    </w:p>
    <w:p>
      <w:pPr>
        <w:spacing w:line="240" w:lineRule="auto" w:before="11"/>
        <w:rPr>
          <w:rFonts w:ascii="宋体" w:hAnsi="宋体" w:cs="宋体" w:eastAsia="宋体" w:hint="default"/>
          <w:sz w:val="27"/>
          <w:szCs w:val="27"/>
        </w:rPr>
      </w:pPr>
    </w:p>
    <w:p>
      <w:pPr>
        <w:pStyle w:val="Heading2"/>
        <w:spacing w:line="240" w:lineRule="auto"/>
        <w:ind w:left="138" w:right="148"/>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在本公司成为金融工具合同的一方时确认一项金融资产或金融负债。金融资产和金融负债在</w:t>
      </w:r>
    </w:p>
    <w:p>
      <w:pPr>
        <w:pStyle w:val="BodyText"/>
        <w:spacing w:line="357" w:lineRule="auto" w:before="133"/>
        <w:ind w:right="0"/>
        <w:jc w:val="left"/>
      </w:pP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w w:val="100"/>
        </w:rPr>
        <w:t> </w:t>
      </w:r>
      <w:r>
        <w:rPr/>
        <w:t>认金额。</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558" w:right="0"/>
        <w:jc w:val="left"/>
      </w:pPr>
      <w:r>
        <w:rPr/>
        <w:t>（</w:t>
      </w:r>
      <w:r>
        <w:rPr>
          <w:rFonts w:ascii="宋体" w:hAnsi="宋体" w:cs="宋体" w:eastAsia="宋体"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357" w:lineRule="auto" w:before="30"/>
        <w:ind w:right="128"/>
        <w:jc w:val="both"/>
      </w:pPr>
      <w:r>
        <w:rPr>
          <w:spacing w:val="-2"/>
        </w:rPr>
        <w:t>项负债所需支付的价格。金融工具存在活跃市场的，本公司采用活跃市场中的报价确定其公允价</w:t>
      </w:r>
      <w:r>
        <w:rPr>
          <w:spacing w:val="-25"/>
        </w:rPr>
        <w:t> </w:t>
      </w:r>
      <w:r>
        <w:rPr>
          <w:spacing w:val="-25"/>
        </w:rPr>
      </w: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且代表了在公平交易中实际发生的市场交易的价格。金融工具不存在活跃市场的，本公司采用估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p>
    <w:p>
      <w:pPr>
        <w:pStyle w:val="BodyText"/>
        <w:spacing w:line="357" w:lineRule="auto" w:before="30"/>
        <w:ind w:left="558" w:right="0"/>
        <w:jc w:val="left"/>
      </w:pPr>
      <w:r>
        <w:rPr/>
        <w:t>（</w:t>
      </w:r>
      <w:r>
        <w:rPr>
          <w:rFonts w:ascii="宋体" w:hAnsi="宋体" w:cs="宋体" w:eastAsia="宋体"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357" w:lineRule="auto" w:before="30"/>
        <w:ind w:right="137"/>
        <w:jc w:val="both"/>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355" w:lineRule="auto" w:before="30"/>
        <w:ind w:left="558" w:right="0"/>
        <w:jc w:val="left"/>
      </w:pPr>
      <w:r>
        <w:rPr/>
        <w:t>①</w:t>
      </w:r>
      <w:r>
        <w:rPr>
          <w:spacing w:val="-1"/>
        </w:rPr>
        <w:t> </w:t>
      </w:r>
      <w:r>
        <w:rPr/>
        <w:t>以公允价值计量且其变动计入当期损益的金融资产</w:t>
      </w:r>
      <w:r>
        <w:rPr>
          <w:w w:val="100"/>
        </w:rPr>
        <w:t> </w:t>
      </w:r>
      <w:r>
        <w:rPr>
          <w:spacing w:val="-2"/>
        </w:rPr>
        <w:t>包括交易性金融资产和指定为以公允价值计量且其变动计入当期损益的金融资产。本公司以</w:t>
      </w:r>
    </w:p>
    <w:p>
      <w:pPr>
        <w:pStyle w:val="BodyText"/>
        <w:spacing w:line="355" w:lineRule="auto" w:before="32"/>
        <w:ind w:left="558" w:right="0" w:hanging="420"/>
        <w:jc w:val="left"/>
      </w:pPr>
      <w:r>
        <w:rPr/>
        <w:t>公允价值计量且其变动计入当期损益的金融资产均为交易性金融资产。</w:t>
      </w:r>
      <w:r>
        <w:rPr>
          <w:w w:val="100"/>
        </w:rPr>
        <w:t>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w:t>
      </w:r>
    </w:p>
    <w:p>
      <w:pPr>
        <w:pStyle w:val="BodyText"/>
        <w:spacing w:line="357" w:lineRule="auto" w:before="34"/>
        <w:ind w:right="137"/>
        <w:jc w:val="both"/>
      </w:pPr>
      <w:r>
        <w:rPr>
          <w:spacing w:val="-2"/>
        </w:rPr>
        <w:t>近期内出售或回购；</w:t>
      </w:r>
      <w:r>
        <w:rPr>
          <w:rFonts w:ascii="宋体" w:hAnsi="宋体" w:cs="宋体" w:eastAsia="宋体" w:hint="default"/>
          <w:spacing w:val="-2"/>
        </w:rPr>
        <w:t>B.</w:t>
      </w:r>
      <w:r>
        <w:rPr>
          <w:spacing w:val="-2"/>
        </w:rPr>
        <w:t>属于进行集中管理的可辨认金融工具组合的一部分，且有客观证据表明本</w:t>
      </w:r>
      <w:r>
        <w:rPr>
          <w:spacing w:val="-23"/>
        </w:rPr>
        <w:t> </w:t>
      </w:r>
      <w:r>
        <w:rPr>
          <w:spacing w:val="-23"/>
        </w:rPr>
      </w:r>
      <w:r>
        <w:rPr>
          <w:spacing w:val="-2"/>
        </w:rPr>
        <w:t>公司近期采用短期获利方式对该组合进行管理；</w:t>
      </w:r>
      <w:r>
        <w:rPr>
          <w:rFonts w:ascii="宋体" w:hAnsi="宋体" w:cs="宋体" w:eastAsia="宋体" w:hint="default"/>
          <w:spacing w:val="-2"/>
        </w:rPr>
        <w:t>C.</w:t>
      </w:r>
      <w:r>
        <w:rPr>
          <w:spacing w:val="-2"/>
        </w:rPr>
        <w:t>属于衍生工具，但是，被指定且为有效套期工</w:t>
      </w:r>
      <w:r>
        <w:rPr>
          <w:spacing w:val="-23"/>
        </w:rPr>
        <w:t> </w:t>
      </w:r>
      <w:r>
        <w:rPr>
          <w:spacing w:val="-23"/>
        </w:rPr>
      </w:r>
      <w:r>
        <w:rPr>
          <w:spacing w:val="-2"/>
        </w:rPr>
        <w:t>具的衍生工具、属于财务担保合同的衍生工具、与在活跃市场中没有报价且其公允价值不能可靠</w:t>
      </w:r>
      <w:r>
        <w:rPr>
          <w:spacing w:val="-25"/>
        </w:rPr>
        <w:t> </w:t>
      </w:r>
      <w:r>
        <w:rPr>
          <w:spacing w:val="-25"/>
        </w:rPr>
      </w:r>
      <w:r>
        <w:rPr/>
        <w:t>计量的权益工具投资挂钩并须通过交付该权益工具结算的衍生工具除外。</w:t>
      </w:r>
    </w:p>
    <w:p>
      <w:pPr>
        <w:pStyle w:val="BodyText"/>
        <w:spacing w:line="357" w:lineRule="auto" w:before="30"/>
        <w:ind w:right="0" w:firstLine="419"/>
        <w:jc w:val="left"/>
      </w:pPr>
      <w:r>
        <w:rPr>
          <w:spacing w:val="-2"/>
        </w:rPr>
        <w:t>交易性金融资产采用公允价值进行后续计量，公允价值变动形成的利得或损失以及与该金融</w:t>
      </w:r>
      <w:r>
        <w:rPr>
          <w:w w:val="100"/>
        </w:rPr>
        <w:t> </w:t>
      </w:r>
      <w:r>
        <w:rPr/>
        <w:t>资产相关的股利和利息收入计入当期损益。</w:t>
      </w:r>
    </w:p>
    <w:p>
      <w:pPr>
        <w:pStyle w:val="BodyText"/>
        <w:spacing w:line="355" w:lineRule="auto" w:before="30"/>
        <w:ind w:left="558" w:right="0"/>
        <w:jc w:val="left"/>
      </w:pPr>
      <w:r>
        <w:rPr/>
        <w:t>② 持有至到期投资</w:t>
      </w:r>
      <w:r>
        <w:rPr>
          <w:w w:val="100"/>
        </w:rPr>
        <w:t> </w:t>
      </w:r>
      <w:r>
        <w:rPr>
          <w:spacing w:val="-2"/>
        </w:rPr>
        <w:t>是指到期日固定、回收金额固定或可确定，且本公司有明确意图和能力持有至到期的非衍生</w:t>
      </w:r>
    </w:p>
    <w:p>
      <w:pPr>
        <w:pStyle w:val="BodyText"/>
        <w:spacing w:line="240" w:lineRule="auto" w:before="32"/>
        <w:ind w:right="0"/>
        <w:jc w:val="both"/>
      </w:pPr>
      <w:r>
        <w:rPr/>
        <w:t>金融资产。</w:t>
      </w:r>
    </w:p>
    <w:p>
      <w:pPr>
        <w:pStyle w:val="BodyText"/>
        <w:spacing w:line="355" w:lineRule="auto" w:before="136"/>
        <w:ind w:right="0" w:firstLine="419"/>
        <w:jc w:val="left"/>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357" w:lineRule="auto" w:before="32"/>
        <w:ind w:right="137" w:firstLine="419"/>
        <w:jc w:val="righ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r>
        <w:rPr>
          <w:spacing w:val="-43"/>
        </w:rPr>
        <w:t> </w:t>
      </w:r>
      <w:r>
        <w:rPr>
          <w:spacing w:val="-43"/>
        </w:rPr>
      </w: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40" w:lineRule="auto" w:before="30"/>
        <w:ind w:right="0"/>
        <w:jc w:val="both"/>
      </w:pPr>
      <w:r>
        <w:rPr/>
        <w:t>的、属于实际利率组成部分的各项收费、交易费用及折价或溢价等。</w:t>
      </w:r>
    </w:p>
    <w:p>
      <w:pPr>
        <w:pStyle w:val="BodyText"/>
        <w:spacing w:line="240" w:lineRule="auto" w:before="133"/>
        <w:ind w:left="558" w:right="2543"/>
        <w:jc w:val="left"/>
      </w:pPr>
      <w:r>
        <w:rPr/>
        <w:t>③ 贷款和应收款项</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48" w:firstLine="419"/>
        <w:jc w:val="left"/>
      </w:pPr>
      <w:r>
        <w:rPr>
          <w:spacing w:val="-2"/>
        </w:rPr>
        <w:t>是指在活跃市场中没有报价、回收金额固定或可确定的非衍生金融资产。本公司划分为贷款</w:t>
      </w:r>
      <w:r>
        <w:rPr>
          <w:w w:val="100"/>
        </w:rPr>
        <w:t> </w:t>
      </w:r>
      <w:r>
        <w:rPr/>
        <w:t>和应收款的金融资产包括应收票据、应收账款、应收利息、应收股利及其他应收款等。</w:t>
      </w:r>
    </w:p>
    <w:p>
      <w:pPr>
        <w:pStyle w:val="BodyText"/>
        <w:spacing w:line="355" w:lineRule="auto" w:before="30"/>
        <w:ind w:right="148" w:firstLine="419"/>
        <w:jc w:val="left"/>
      </w:pPr>
      <w:r>
        <w:rPr>
          <w:spacing w:val="-2"/>
        </w:rPr>
        <w:t>贷款和应收款项采用实际利率法，按摊余成本进行后续计量，在终止确认、发生减值或摊销</w:t>
      </w:r>
      <w:r>
        <w:rPr>
          <w:w w:val="100"/>
        </w:rPr>
        <w:t> </w:t>
      </w:r>
      <w:r>
        <w:rPr/>
        <w:t>时产生的利得或损失，计入当期损益。</w:t>
      </w:r>
    </w:p>
    <w:p>
      <w:pPr>
        <w:pStyle w:val="BodyText"/>
        <w:spacing w:line="355" w:lineRule="auto" w:before="32"/>
        <w:ind w:left="558" w:right="148"/>
        <w:jc w:val="left"/>
      </w:pPr>
      <w:r>
        <w:rPr/>
        <w:t>④ 可供出售金融资产</w:t>
      </w:r>
      <w:r>
        <w:rPr>
          <w:w w:val="100"/>
        </w:rPr>
        <w:t> </w:t>
      </w:r>
      <w:r>
        <w:rPr>
          <w:spacing w:val="-2"/>
        </w:rPr>
        <w:t>包括初始确认时即被指定为可供出售的非衍生金融资产，以及除了以公允价值计量且其变动</w:t>
      </w:r>
    </w:p>
    <w:p>
      <w:pPr>
        <w:pStyle w:val="BodyText"/>
        <w:spacing w:line="355" w:lineRule="auto" w:before="34"/>
        <w:ind w:left="558" w:right="0" w:hanging="420"/>
        <w:jc w:val="left"/>
      </w:pPr>
      <w:r>
        <w:rPr/>
        <w:t>计入当期损益的金融资产、贷款和应收款项、持有至到期投资以外的金融资产。</w:t>
      </w:r>
      <w:r>
        <w:rPr>
          <w:w w:val="100"/>
        </w:rPr>
        <w:t> </w:t>
      </w:r>
      <w:r>
        <w:rPr>
          <w:spacing w:val="-4"/>
          <w:w w:val="100"/>
        </w:rPr>
        <w:t>可供出售债务工具投资的期末成本按照摊余成本法确定，即初始确认金额扣除已偿还的本金，</w:t>
      </w:r>
    </w:p>
    <w:p>
      <w:pPr>
        <w:pStyle w:val="BodyText"/>
        <w:spacing w:line="357" w:lineRule="auto" w:before="33"/>
        <w:ind w:left="0" w:right="217"/>
        <w:jc w:val="right"/>
      </w:pPr>
      <w:r>
        <w:rPr>
          <w:spacing w:val="-2"/>
        </w:rPr>
        <w:t>加上或减去采用实际利率法将该初始确认金额与到期日金额之间的差额进行摊销形成的累计摊销</w:t>
      </w:r>
      <w:r>
        <w:rPr>
          <w:spacing w:val="-43"/>
        </w:rPr>
        <w:t> </w:t>
      </w:r>
      <w:r>
        <w:rPr>
          <w:spacing w:val="-43"/>
        </w:rPr>
      </w:r>
      <w:r>
        <w:rPr>
          <w:spacing w:val="-2"/>
        </w:rPr>
        <w:t>额，并扣除已发生的减值损失后的金额。可供出售权益工具投资的期末成本为其初始取得成本。</w:t>
      </w:r>
      <w:r>
        <w:rPr>
          <w:spacing w:val="-43"/>
        </w:rPr>
        <w:t> </w:t>
      </w:r>
      <w:r>
        <w:rPr>
          <w:spacing w:val="-43"/>
        </w:rPr>
      </w: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43"/>
        </w:rPr>
        <w:t> </w:t>
      </w:r>
      <w:r>
        <w:rPr>
          <w:spacing w:val="-43"/>
        </w:rPr>
      </w:r>
      <w:r>
        <w:rPr>
          <w:spacing w:val="-2"/>
        </w:rPr>
        <w:t>该金融资产终止确认时转出，计入当期损益。但是，在活跃市场中没有报价且其公允价值不能可</w:t>
      </w:r>
      <w:r>
        <w:rPr>
          <w:spacing w:val="-43"/>
        </w:rPr>
        <w:t> </w:t>
      </w:r>
      <w:r>
        <w:rPr>
          <w:spacing w:val="-43"/>
        </w:rPr>
      </w:r>
      <w:r>
        <w:rPr>
          <w:spacing w:val="-2"/>
        </w:rPr>
        <w:t>靠计量的权益工具投资，以及与该权益工具挂钩并须通过交付该权益工具结算的衍生金融资产，</w:t>
      </w:r>
    </w:p>
    <w:p>
      <w:pPr>
        <w:pStyle w:val="BodyText"/>
        <w:spacing w:line="357" w:lineRule="auto" w:before="30"/>
        <w:ind w:left="558" w:right="148" w:hanging="420"/>
        <w:jc w:val="left"/>
      </w:pPr>
      <w:r>
        <w:rPr/>
        <w:t>按照成本进行后续计量。</w:t>
      </w:r>
      <w:r>
        <w:rPr>
          <w:w w:val="100"/>
        </w:rPr>
        <w:t> </w:t>
      </w:r>
      <w:r>
        <w:rPr>
          <w:spacing w:val="-2"/>
        </w:rPr>
        <w:t>可供出售金融资产持有期间取得的利息及被投资单位宣告发放的现金股利，计入投资收益。</w:t>
      </w:r>
    </w:p>
    <w:p>
      <w:pPr>
        <w:pStyle w:val="BodyText"/>
        <w:spacing w:line="355" w:lineRule="auto" w:before="30"/>
        <w:ind w:left="558" w:right="148"/>
        <w:jc w:val="left"/>
      </w:pPr>
      <w:r>
        <w:rPr/>
        <w:t>（</w:t>
      </w:r>
      <w:r>
        <w:rPr>
          <w:rFonts w:ascii="宋体" w:hAnsi="宋体" w:cs="宋体" w:eastAsia="宋体"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355" w:lineRule="auto" w:before="32"/>
        <w:ind w:left="558" w:right="148" w:hanging="420"/>
        <w:jc w:val="left"/>
      </w:pPr>
      <w:r>
        <w:rPr/>
        <w:t>他金融资产的账面价值进行检查，有客观证据表明金融资产发生减值的，计提减值准备。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w:t>
      </w:r>
    </w:p>
    <w:p>
      <w:pPr>
        <w:pStyle w:val="BodyText"/>
        <w:spacing w:line="355" w:lineRule="auto" w:before="34"/>
        <w:ind w:right="217"/>
        <w:jc w:val="both"/>
      </w:pP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r>
        <w:rPr>
          <w:spacing w:val="-25"/>
        </w:rPr>
        <w:t> </w:t>
      </w:r>
      <w:r>
        <w:rPr>
          <w:spacing w:val="-25"/>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355" w:lineRule="auto" w:before="35"/>
        <w:ind w:left="558" w:right="148"/>
        <w:jc w:val="left"/>
      </w:pPr>
      <w:r>
        <w:rPr/>
        <w:t>①</w:t>
      </w:r>
      <w:r>
        <w:rPr>
          <w:spacing w:val="-1"/>
        </w:rPr>
        <w:t> </w:t>
      </w:r>
      <w:r>
        <w:rPr/>
        <w:t>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355" w:lineRule="auto" w:before="32"/>
        <w:ind w:right="217"/>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355" w:lineRule="auto" w:before="34"/>
        <w:ind w:left="558" w:right="148"/>
        <w:jc w:val="left"/>
      </w:pPr>
      <w:r>
        <w:rPr/>
        <w:t>②</w:t>
      </w:r>
      <w:r>
        <w:rPr>
          <w:spacing w:val="-1"/>
        </w:rPr>
        <w:t> </w:t>
      </w:r>
      <w:r>
        <w:rPr/>
        <w:t>可供出售金融资产减值</w:t>
      </w:r>
      <w:r>
        <w:rPr>
          <w:w w:val="100"/>
        </w:rPr>
        <w:t> </w:t>
      </w:r>
      <w:r>
        <w:rPr>
          <w:spacing w:val="-2"/>
        </w:rPr>
        <w:t>当综合相关因素判断可供出售权益工具投资公允价值下跌是严重或非暂时性下跌时，表明该</w:t>
      </w:r>
    </w:p>
    <w:p>
      <w:pPr>
        <w:pStyle w:val="BodyText"/>
        <w:spacing w:line="357" w:lineRule="auto" w:before="32"/>
        <w:ind w:right="270"/>
        <w:jc w:val="both"/>
      </w:pPr>
      <w:r>
        <w:rPr>
          <w:spacing w:val="-2"/>
        </w:rPr>
        <w:t>可供出售权益工具投资发生减值。其中“严重下跌”是指公允价值下跌幅度累计超过</w:t>
      </w:r>
      <w:r>
        <w:rPr/>
        <w:t> </w:t>
      </w:r>
      <w:r>
        <w:rPr>
          <w:rFonts w:ascii="宋体" w:hAnsi="宋体" w:cs="宋体" w:eastAsia="宋体" w:hint="default"/>
          <w:spacing w:val="-2"/>
        </w:rPr>
        <w:t>20%</w:t>
      </w:r>
      <w:r>
        <w:rPr>
          <w:spacing w:val="-2"/>
        </w:rPr>
        <w:t>；“非</w:t>
      </w:r>
      <w:r>
        <w:rPr>
          <w:spacing w:val="-76"/>
        </w:rPr>
        <w:t> </w:t>
      </w:r>
      <w:r>
        <w:rPr>
          <w:spacing w:val="-76"/>
        </w:rPr>
      </w:r>
      <w:r>
        <w:rPr/>
        <w:t>暂时性下跌”是指公允价值连续下跌时间超过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6"/>
        </w:rPr>
        <w:t> </w:t>
      </w:r>
      <w:r>
        <w:rPr/>
        <w:t>个月。</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0" w:firstLine="419"/>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55" w:lineRule="auto" w:before="30"/>
        <w:ind w:right="21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355" w:lineRule="auto" w:before="34"/>
        <w:ind w:right="217" w:firstLine="419"/>
        <w:jc w:val="both"/>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240" w:lineRule="auto" w:before="33"/>
        <w:ind w:left="558" w:right="148"/>
        <w:jc w:val="left"/>
      </w:pPr>
      <w:r>
        <w:rPr/>
        <w:t>（</w:t>
      </w:r>
      <w:r>
        <w:rPr>
          <w:rFonts w:ascii="宋体" w:hAnsi="宋体" w:cs="宋体" w:eastAsia="宋体" w:hint="default"/>
        </w:rPr>
        <w:t>4</w:t>
      </w:r>
      <w:r>
        <w:rPr/>
        <w:t>）金融资产转移的确认依据和计量方法</w:t>
      </w:r>
    </w:p>
    <w:p>
      <w:pPr>
        <w:pStyle w:val="BodyText"/>
        <w:spacing w:line="240" w:lineRule="auto" w:before="133"/>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55" w:lineRule="auto" w:before="135"/>
        <w:ind w:right="207"/>
        <w:jc w:val="both"/>
      </w:pPr>
      <w:r>
        <w:rPr/>
        <w:t>②</w:t>
      </w:r>
      <w:r>
        <w:rPr>
          <w:spacing w:val="54"/>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357" w:lineRule="auto" w:before="32"/>
        <w:ind w:right="208" w:firstLine="419"/>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355" w:lineRule="auto" w:before="30"/>
        <w:ind w:right="217" w:firstLine="419"/>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7" w:lineRule="auto" w:before="32"/>
        <w:ind w:right="208" w:firstLine="419"/>
        <w:jc w:val="right"/>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52"/>
        </w:rPr>
        <w:t> </w:t>
      </w:r>
      <w:r>
        <w:rPr>
          <w:spacing w:val="-52"/>
        </w:rPr>
      </w:r>
      <w:r>
        <w:rPr>
          <w:spacing w:val="-2"/>
        </w:rPr>
        <w:t>的原计入其他综合收益的公允价值变动累计额之和与分摊的前述账面金额之差额计入当期损益。</w:t>
      </w:r>
      <w:r>
        <w:rPr>
          <w:spacing w:val="-52"/>
        </w:rPr>
        <w:t> </w:t>
      </w:r>
      <w:r>
        <w:rPr>
          <w:spacing w:val="-52"/>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2"/>
        </w:rPr>
        <w:t> </w:t>
      </w:r>
      <w:r>
        <w:rPr>
          <w:spacing w:val="-52"/>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0" w:lineRule="auto" w:before="30"/>
        <w:ind w:right="0"/>
        <w:jc w:val="both"/>
      </w:pPr>
      <w:r>
        <w:rPr/>
        <w:t>继续判断企业是否对该资产保留了控制，并根据前面各段所述的原则进行会计处理。</w:t>
      </w:r>
    </w:p>
    <w:p>
      <w:pPr>
        <w:pStyle w:val="BodyText"/>
        <w:spacing w:line="355" w:lineRule="auto" w:before="133"/>
        <w:ind w:left="558" w:right="148"/>
        <w:jc w:val="left"/>
      </w:pPr>
      <w:r>
        <w:rPr/>
        <w:t>（</w:t>
      </w:r>
      <w:r>
        <w:rPr>
          <w:rFonts w:ascii="宋体" w:hAnsi="宋体" w:cs="宋体" w:eastAsia="宋体"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357" w:lineRule="auto" w:before="32"/>
        <w:ind w:right="210"/>
        <w:jc w:val="both"/>
      </w:pPr>
      <w:r>
        <w:rPr>
          <w:spacing w:val="-2"/>
        </w:rPr>
        <w:t>负债。初始确认金融负债，以公允价值计量。对于以公允价值计量且其变动计入当期损益的金融</w:t>
      </w:r>
      <w:r>
        <w:rPr>
          <w:spacing w:val="-25"/>
        </w:rPr>
        <w:t> </w:t>
      </w:r>
      <w:r>
        <w:rPr>
          <w:spacing w:val="-25"/>
        </w:rPr>
      </w:r>
      <w:r>
        <w:rPr>
          <w:spacing w:val="-7"/>
        </w:rPr>
        <w:t>负债，相关的交易费用直接计入当期损益，对于其他金融负债，相关交易费用计入初始确认金额。</w:t>
      </w:r>
    </w:p>
    <w:p>
      <w:pPr>
        <w:pStyle w:val="BodyText"/>
        <w:spacing w:line="355" w:lineRule="auto" w:before="30"/>
        <w:ind w:left="558" w:right="148"/>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57" w:lineRule="auto" w:before="32"/>
        <w:ind w:right="217"/>
        <w:jc w:val="both"/>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0" w:firstLine="419"/>
        <w:jc w:val="left"/>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355" w:lineRule="auto" w:before="30"/>
        <w:ind w:left="558" w:right="0"/>
        <w:jc w:val="left"/>
      </w:pPr>
      <w:r>
        <w:rPr/>
        <w:t>② 其他金融负债</w:t>
      </w:r>
      <w:r>
        <w:rPr>
          <w:w w:val="100"/>
        </w:rPr>
        <w:t> </w:t>
      </w:r>
      <w:r>
        <w:rPr>
          <w:spacing w:val="-2"/>
        </w:rPr>
        <w:t>与在活跃市场中没有报价、公允价值不能可靠计量的权益工具挂钩并须通过交付该权益工具</w:t>
      </w:r>
    </w:p>
    <w:p>
      <w:pPr>
        <w:pStyle w:val="BodyText"/>
        <w:spacing w:line="355" w:lineRule="auto" w:before="32"/>
        <w:ind w:right="137"/>
        <w:jc w:val="both"/>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355" w:lineRule="auto" w:before="34"/>
        <w:ind w:left="558" w:right="0"/>
        <w:jc w:val="left"/>
      </w:pPr>
      <w:r>
        <w:rPr/>
        <w:t>③</w:t>
      </w:r>
      <w:r>
        <w:rPr>
          <w:spacing w:val="-1"/>
        </w:rPr>
        <w:t> </w:t>
      </w:r>
      <w:r>
        <w:rPr/>
        <w:t>财务担保合同及贷款承诺</w:t>
      </w:r>
      <w:r>
        <w:rPr>
          <w:w w:val="100"/>
        </w:rPr>
        <w:t> </w:t>
      </w:r>
      <w:r>
        <w:rPr>
          <w:spacing w:val="-2"/>
        </w:rPr>
        <w:t>不属于指定为以公允价值计量且其变动计入当期损益的金融负债的财务担保合同，或没有指</w:t>
      </w:r>
    </w:p>
    <w:p>
      <w:pPr>
        <w:pStyle w:val="BodyText"/>
        <w:spacing w:line="355" w:lineRule="auto" w:before="33"/>
        <w:ind w:right="127"/>
        <w:jc w:val="both"/>
      </w:pPr>
      <w:r>
        <w:rPr>
          <w:spacing w:val="-2"/>
        </w:rPr>
        <w:t>定为以公允价值计量且其变动计入损益并将以低于市场利率贷款的贷款承诺，以公允价值进行初</w:t>
      </w:r>
      <w:r>
        <w:rPr>
          <w:spacing w:val="-25"/>
        </w:rPr>
        <w:t> </w:t>
      </w:r>
      <w:r>
        <w:rPr>
          <w:spacing w:val="-25"/>
        </w:rPr>
      </w:r>
      <w:r>
        <w:rPr>
          <w:spacing w:val="-5"/>
        </w:rPr>
        <w:t>始确认，在初始确认后按照《企业会计准则第 </w:t>
      </w:r>
      <w:r>
        <w:rPr>
          <w:rFonts w:ascii="宋体" w:hAnsi="宋体" w:cs="宋体" w:eastAsia="宋体" w:hint="default"/>
        </w:rPr>
        <w:t>13</w:t>
      </w:r>
      <w:r>
        <w:rPr>
          <w:rFonts w:ascii="宋体" w:hAnsi="宋体" w:cs="宋体" w:eastAsia="宋体" w:hint="default"/>
          <w:spacing w:val="-39"/>
        </w:rPr>
        <w:t> </w:t>
      </w:r>
      <w:r>
        <w:rPr>
          <w:spacing w:val="-3"/>
        </w:rPr>
        <w:t>号—或有事项》确定的金额和初始确认金额扣除</w:t>
      </w:r>
    </w:p>
    <w:p>
      <w:pPr>
        <w:pStyle w:val="BodyText"/>
        <w:spacing w:line="355" w:lineRule="auto" w:before="34"/>
        <w:ind w:right="127"/>
        <w:jc w:val="both"/>
      </w:pPr>
      <w:r>
        <w:rPr>
          <w:spacing w:val="-6"/>
        </w:rPr>
        <w:t>按照《企业会计准则第</w:t>
      </w:r>
      <w:r>
        <w:rPr>
          <w:spacing w:val="-29"/>
        </w:rPr>
        <w:t> </w:t>
      </w:r>
      <w:r>
        <w:rPr>
          <w:rFonts w:ascii="宋体" w:hAnsi="宋体" w:cs="宋体" w:eastAsia="宋体" w:hint="default"/>
        </w:rPr>
        <w:t>14</w:t>
      </w:r>
      <w:r>
        <w:rPr>
          <w:rFonts w:ascii="宋体" w:hAnsi="宋体" w:cs="宋体" w:eastAsia="宋体" w:hint="default"/>
          <w:spacing w:val="-33"/>
        </w:rPr>
        <w:t> </w:t>
      </w:r>
      <w:r>
        <w:rPr>
          <w:spacing w:val="-3"/>
        </w:rPr>
        <w:t>号—收入》的原则确定的累计摊销额后的余额之中的较高者进行后续计</w:t>
      </w:r>
      <w:r>
        <w:rPr>
          <w:spacing w:val="-96"/>
        </w:rPr>
        <w:t> </w:t>
      </w:r>
      <w:r>
        <w:rPr>
          <w:spacing w:val="-96"/>
        </w:rPr>
      </w:r>
      <w:r>
        <w:rPr/>
        <w:t>量。</w:t>
      </w:r>
    </w:p>
    <w:p>
      <w:pPr>
        <w:pStyle w:val="BodyText"/>
        <w:spacing w:line="355" w:lineRule="auto" w:before="32"/>
        <w:ind w:left="558" w:right="0"/>
        <w:jc w:val="left"/>
      </w:pPr>
      <w:r>
        <w:rPr/>
        <w:t>（</w:t>
      </w:r>
      <w:r>
        <w:rPr>
          <w:rFonts w:ascii="宋体" w:hAnsi="宋体" w:cs="宋体" w:eastAsia="宋体"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357" w:lineRule="auto" w:before="32"/>
        <w:ind w:right="137"/>
        <w:jc w:val="both"/>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355" w:lineRule="auto" w:before="30"/>
        <w:ind w:right="0"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355" w:lineRule="auto" w:before="32"/>
        <w:ind w:left="558" w:right="0"/>
        <w:jc w:val="left"/>
      </w:pPr>
      <w:r>
        <w:rPr/>
        <w:t>（</w:t>
      </w:r>
      <w:r>
        <w:rPr>
          <w:rFonts w:ascii="宋体" w:hAnsi="宋体" w:cs="宋体" w:eastAsia="宋体" w:hint="default"/>
        </w:rPr>
        <w:t>7</w:t>
      </w:r>
      <w:r>
        <w:rPr/>
        <w:t>）衍生工具及嵌入衍生工具</w:t>
      </w:r>
      <w:r>
        <w:rPr>
          <w:w w:val="100"/>
        </w:rPr>
        <w:t> </w:t>
      </w:r>
      <w:r>
        <w:rPr>
          <w:spacing w:val="-2"/>
        </w:rPr>
        <w:t>衍生工具于相关合同签署日以公允价值进行初始计量，并以公允价值进行后续计量。衍生工</w:t>
      </w:r>
    </w:p>
    <w:p>
      <w:pPr>
        <w:pStyle w:val="BodyText"/>
        <w:spacing w:line="355" w:lineRule="auto" w:before="34"/>
        <w:ind w:left="558" w:right="0" w:hanging="420"/>
        <w:jc w:val="left"/>
      </w:pPr>
      <w:r>
        <w:rPr/>
        <w:t>具的公允价值变动计入当期损益。</w:t>
      </w:r>
      <w:r>
        <w:rPr>
          <w:w w:val="100"/>
        </w:rPr>
        <w:t> </w:t>
      </w:r>
      <w:r>
        <w:rPr>
          <w:spacing w:val="-2"/>
        </w:rPr>
        <w:t>对包含嵌入衍生工具的混合工具，如未指定为以公允价值计量且其变动计入当期损益的金融</w:t>
      </w:r>
    </w:p>
    <w:p>
      <w:pPr>
        <w:pStyle w:val="BodyText"/>
        <w:spacing w:line="357" w:lineRule="auto" w:before="32"/>
        <w:ind w:right="137"/>
        <w:jc w:val="both"/>
      </w:pPr>
      <w:r>
        <w:rPr>
          <w:spacing w:val="-2"/>
        </w:rPr>
        <w:t>资产或金融负债，嵌入衍生工具与该主合同在经济特征及风险方面不存在紧密关系，且与嵌入衍</w:t>
      </w:r>
      <w:r>
        <w:rPr>
          <w:spacing w:val="-25"/>
        </w:rPr>
        <w:t> </w:t>
      </w:r>
      <w:r>
        <w:rPr>
          <w:spacing w:val="-25"/>
        </w:rPr>
      </w:r>
      <w:r>
        <w:rPr>
          <w:spacing w:val="-2"/>
        </w:rPr>
        <w:t>生工具条件相同，单独存在的工具符合衍生工具定义的，嵌入衍生工具从混合工具中分拆，作为</w:t>
      </w:r>
      <w:r>
        <w:rPr>
          <w:spacing w:val="-25"/>
        </w:rPr>
        <w:t> </w:t>
      </w:r>
      <w:r>
        <w:rPr>
          <w:spacing w:val="-25"/>
        </w:rPr>
      </w:r>
      <w:r>
        <w:rPr>
          <w:spacing w:val="-2"/>
        </w:rPr>
        <w:t>单独的衍生金融工具处理。如果无法在取得时或后续的资产负债表日对嵌入衍生工具进行单独计</w:t>
      </w:r>
      <w:r>
        <w:rPr>
          <w:spacing w:val="-25"/>
        </w:rPr>
        <w:t> </w:t>
      </w:r>
      <w:r>
        <w:rPr>
          <w:spacing w:val="-25"/>
        </w:rPr>
      </w:r>
      <w:r>
        <w:rPr/>
        <w:t>量，则将混合工具整体指定为以公允价值计量且其变动计入当期损益的金融资产或金融负债。</w:t>
      </w:r>
    </w:p>
    <w:p>
      <w:pPr>
        <w:pStyle w:val="BodyText"/>
        <w:spacing w:line="355" w:lineRule="auto" w:before="30"/>
        <w:ind w:left="558" w:right="0"/>
        <w:jc w:val="left"/>
      </w:pPr>
      <w:r>
        <w:rPr/>
        <w:t>（</w:t>
      </w:r>
      <w:r>
        <w:rPr>
          <w:rFonts w:ascii="宋体" w:hAnsi="宋体" w:cs="宋体" w:eastAsia="宋体" w:hint="default"/>
        </w:rPr>
        <w:t>8</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357" w:lineRule="auto" w:before="32"/>
        <w:ind w:right="128"/>
        <w:jc w:val="both"/>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240" w:lineRule="auto" w:before="30"/>
        <w:ind w:left="558" w:right="2543"/>
        <w:jc w:val="left"/>
      </w:pPr>
      <w:r>
        <w:rPr/>
        <w:t>（</w:t>
      </w:r>
      <w:r>
        <w:rPr>
          <w:rFonts w:ascii="宋体" w:hAnsi="宋体" w:cs="宋体" w:eastAsia="宋体" w:hint="default"/>
        </w:rPr>
        <w:t>9</w:t>
      </w:r>
      <w:r>
        <w:rPr/>
        <w:t>）权益工具</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638" w:right="124"/>
        <w:jc w:val="left"/>
      </w:pPr>
      <w:r>
        <w:rPr/>
        <w:t>权益工具是指能证明拥有本公司在扣除所有负债后的资产中的剩余权益的合同。本公司发行</w:t>
      </w:r>
    </w:p>
    <w:p>
      <w:pPr>
        <w:pStyle w:val="BodyText"/>
        <w:spacing w:line="355" w:lineRule="auto" w:before="135"/>
        <w:ind w:left="218" w:right="227"/>
        <w:jc w:val="left"/>
      </w:pPr>
      <w:r>
        <w:rPr>
          <w:spacing w:val="-2"/>
        </w:rPr>
        <w:t>（含再融资）、回购、出售或注销权益工具作为权益的变动处理。本公司不确认权益工具的公允</w:t>
      </w:r>
      <w:r>
        <w:rPr>
          <w:spacing w:val="-25"/>
        </w:rPr>
        <w:t> </w:t>
      </w:r>
      <w:r>
        <w:rPr>
          <w:spacing w:val="-25"/>
        </w:rPr>
      </w:r>
      <w:r>
        <w:rPr/>
        <w:t>价值变动。与权益性交易相关的交易费用从权益中扣减。</w:t>
      </w:r>
    </w:p>
    <w:p>
      <w:pPr>
        <w:pStyle w:val="BodyText"/>
        <w:spacing w:line="355" w:lineRule="auto" w:before="32"/>
        <w:ind w:left="218" w:right="227" w:firstLine="419"/>
        <w:jc w:val="left"/>
      </w:pPr>
      <w:r>
        <w:rPr>
          <w:spacing w:val="-2"/>
        </w:rPr>
        <w:t>本公司对权益工具持有方的各种分配（不包括股票股利），减少股东权益。本公司不确认权</w:t>
      </w:r>
      <w:r>
        <w:rPr>
          <w:w w:val="100"/>
        </w:rPr>
        <w:t> </w:t>
      </w:r>
      <w:r>
        <w:rPr/>
        <w:t>益工具的公允价值变动额。</w:t>
      </w:r>
    </w:p>
    <w:p>
      <w:pPr>
        <w:spacing w:line="240" w:lineRule="auto" w:before="13"/>
        <w:rPr>
          <w:rFonts w:ascii="宋体" w:hAnsi="宋体" w:cs="宋体" w:eastAsia="宋体" w:hint="default"/>
          <w:sz w:val="27"/>
          <w:szCs w:val="27"/>
        </w:rPr>
      </w:pPr>
    </w:p>
    <w:p>
      <w:pPr>
        <w:pStyle w:val="Heading2"/>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8" w:right="273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829"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万元以上的应</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收款项确认为单项金额重大的应收款项。</w:t>
            </w:r>
          </w:p>
        </w:tc>
      </w:tr>
      <w:tr>
        <w:trPr>
          <w:trHeight w:val="246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5"/>
              <w:jc w:val="left"/>
              <w:rPr>
                <w:rFonts w:ascii="宋体" w:hAnsi="宋体" w:cs="宋体" w:eastAsia="宋体" w:hint="default"/>
                <w:sz w:val="21"/>
                <w:szCs w:val="21"/>
              </w:rPr>
            </w:pPr>
            <w:r>
              <w:rPr>
                <w:rFonts w:ascii="宋体" w:hAnsi="宋体" w:cs="宋体" w:eastAsia="宋体" w:hint="default"/>
                <w:sz w:val="21"/>
                <w:szCs w:val="21"/>
              </w:rPr>
              <w:t>本公司对单项金额重大的应收款项单独进</w:t>
            </w:r>
          </w:p>
          <w:p>
            <w:pPr>
              <w:pStyle w:val="TableParagraph"/>
              <w:spacing w:line="357" w:lineRule="auto" w:before="133"/>
              <w:ind w:left="103" w:right="-5"/>
              <w:jc w:val="left"/>
              <w:rPr>
                <w:rFonts w:ascii="宋体" w:hAnsi="宋体" w:cs="宋体" w:eastAsia="宋体" w:hint="default"/>
                <w:sz w:val="21"/>
                <w:szCs w:val="21"/>
              </w:rPr>
            </w:pPr>
            <w:r>
              <w:rPr>
                <w:rFonts w:ascii="宋体" w:hAnsi="宋体" w:cs="宋体" w:eastAsia="宋体" w:hint="default"/>
                <w:spacing w:val="-4"/>
                <w:sz w:val="21"/>
                <w:szCs w:val="21"/>
              </w:rPr>
              <w:t>行减值测试，单独测试未发生减值的金融资产，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包括在具有类似信用风险特征的金融资产组合</w:t>
            </w:r>
            <w:r>
              <w:rPr>
                <w:rFonts w:ascii="宋体" w:hAnsi="宋体" w:cs="宋体" w:eastAsia="宋体" w:hint="default"/>
                <w:w w:val="100"/>
                <w:sz w:val="21"/>
                <w:szCs w:val="21"/>
              </w:rPr>
              <w:t> </w:t>
            </w:r>
            <w:r>
              <w:rPr>
                <w:rFonts w:ascii="宋体" w:hAnsi="宋体" w:cs="宋体" w:eastAsia="宋体" w:hint="default"/>
                <w:sz w:val="21"/>
                <w:szCs w:val="21"/>
              </w:rPr>
              <w:t>中进行减值测试。单项测试已确认减值损失的</w:t>
            </w:r>
            <w:r>
              <w:rPr>
                <w:rFonts w:ascii="宋体" w:hAnsi="宋体" w:cs="宋体" w:eastAsia="宋体" w:hint="default"/>
                <w:w w:val="100"/>
                <w:sz w:val="21"/>
                <w:szCs w:val="21"/>
              </w:rPr>
              <w:t> </w:t>
            </w:r>
            <w:r>
              <w:rPr>
                <w:rFonts w:ascii="宋体" w:hAnsi="宋体" w:cs="宋体" w:eastAsia="宋体" w:hint="default"/>
                <w:sz w:val="21"/>
                <w:szCs w:val="21"/>
              </w:rPr>
              <w:t>应收款项，不再包括在具有类似信用风险特征</w:t>
            </w:r>
            <w:r>
              <w:rPr>
                <w:rFonts w:ascii="宋体" w:hAnsi="宋体" w:cs="宋体" w:eastAsia="宋体" w:hint="default"/>
                <w:w w:val="100"/>
                <w:sz w:val="21"/>
                <w:szCs w:val="21"/>
              </w:rPr>
              <w:t> </w:t>
            </w:r>
            <w:r>
              <w:rPr>
                <w:rFonts w:ascii="宋体" w:hAnsi="宋体" w:cs="宋体" w:eastAsia="宋体" w:hint="default"/>
                <w:sz w:val="21"/>
                <w:szCs w:val="21"/>
              </w:rPr>
              <w:t>的应收款项组合中进行减值测试。</w:t>
            </w:r>
          </w:p>
        </w:tc>
      </w:tr>
    </w:tbl>
    <w:p>
      <w:pPr>
        <w:spacing w:line="240" w:lineRule="auto" w:before="13"/>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7"/>
        <w:rPr>
          <w:rFonts w:ascii="宋体" w:hAnsi="宋体" w:cs="宋体" w:eastAsia="宋体" w:hint="default"/>
          <w:sz w:val="15"/>
          <w:szCs w:val="15"/>
        </w:rPr>
      </w:pPr>
    </w:p>
    <w:p>
      <w:pPr>
        <w:pStyle w:val="BodyText"/>
        <w:spacing w:line="273" w:lineRule="exact" w:before="36"/>
        <w:ind w:left="218" w:right="2731"/>
        <w:jc w:val="left"/>
      </w:pPr>
      <w:r>
        <w:rPr/>
        <w:t>组合中，采用账龄分析法计提坏账准备的</w:t>
      </w:r>
    </w:p>
    <w:p>
      <w:pPr>
        <w:pStyle w:val="BodyText"/>
        <w:spacing w:line="273" w:lineRule="exact"/>
        <w:ind w:left="218" w:right="273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1</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5</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73" w:lineRule="exact" w:before="36"/>
        <w:ind w:left="218" w:right="2731"/>
        <w:jc w:val="left"/>
      </w:pPr>
      <w:r>
        <w:rPr/>
        <w:t>组合中，采用余额百分比法计提坏账准备的</w:t>
      </w:r>
    </w:p>
    <w:p>
      <w:pPr>
        <w:pStyle w:val="BodyText"/>
        <w:spacing w:line="240" w:lineRule="auto"/>
        <w:ind w:left="218" w:right="4688"/>
        <w:jc w:val="left"/>
      </w:pPr>
      <w:r>
        <w:rPr/>
        <w:t>□适用</w:t>
      </w:r>
      <w:r>
        <w:rPr>
          <w:spacing w:val="-2"/>
        </w:rPr>
        <w:t> </w:t>
      </w:r>
      <w:r>
        <w:rPr/>
        <w:t>√不适用</w:t>
      </w:r>
      <w:r>
        <w:rPr>
          <w:w w:val="100"/>
        </w:rPr>
        <w:t> </w:t>
      </w:r>
      <w:r>
        <w:rPr>
          <w:spacing w:val="-2"/>
        </w:rPr>
        <w:t>组合中，采用其他方法计提坏账准备的</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9"/>
        <w:ind w:left="218" w:right="2731"/>
        <w:jc w:val="left"/>
      </w:pPr>
      <w:r>
        <w:rPr/>
        <w:t>√适用</w:t>
      </w:r>
      <w:r>
        <w:rPr>
          <w:spacing w:val="-1"/>
        </w:rPr>
        <w:t> </w:t>
      </w:r>
      <w:r>
        <w:rPr/>
        <w:t>□不适用</w:t>
      </w:r>
    </w:p>
    <w:p>
      <w:pPr>
        <w:spacing w:after="0" w:line="240" w:lineRule="auto"/>
        <w:jc w:val="left"/>
        <w:sectPr>
          <w:footerReference w:type="default" r:id="rId44"/>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12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单项金额虽不重大，但存在明显减值迹象，</w:t>
            </w:r>
          </w:p>
          <w:p>
            <w:pPr>
              <w:pStyle w:val="TableParagraph"/>
              <w:spacing w:line="355" w:lineRule="auto" w:before="133"/>
              <w:ind w:left="100" w:right="183"/>
              <w:jc w:val="left"/>
              <w:rPr>
                <w:rFonts w:ascii="宋体" w:hAnsi="宋体" w:cs="宋体" w:eastAsia="宋体" w:hint="default"/>
                <w:sz w:val="21"/>
                <w:szCs w:val="21"/>
              </w:rPr>
            </w:pPr>
            <w:r>
              <w:rPr>
                <w:rFonts w:ascii="宋体" w:hAnsi="宋体" w:cs="宋体" w:eastAsia="宋体" w:hint="default"/>
                <w:spacing w:val="-2"/>
                <w:sz w:val="21"/>
                <w:szCs w:val="21"/>
              </w:rPr>
              <w:t>单独进行减值测试后其未来现金流量现值低于其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账面价值。</w:t>
            </w:r>
          </w:p>
        </w:tc>
      </w:tr>
      <w:tr>
        <w:trPr>
          <w:trHeight w:val="409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firstLine="420"/>
              <w:jc w:val="both"/>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w:t>
            </w:r>
          </w:p>
          <w:p>
            <w:pPr>
              <w:pStyle w:val="TableParagraph"/>
              <w:spacing w:line="357" w:lineRule="auto" w:before="135"/>
              <w:ind w:left="100" w:right="183"/>
              <w:jc w:val="both"/>
              <w:rPr>
                <w:rFonts w:ascii="宋体" w:hAnsi="宋体" w:cs="宋体" w:eastAsia="宋体" w:hint="default"/>
                <w:sz w:val="21"/>
                <w:szCs w:val="21"/>
              </w:rPr>
            </w:pPr>
            <w:r>
              <w:rPr>
                <w:rFonts w:ascii="宋体" w:hAnsi="宋体" w:cs="宋体" w:eastAsia="宋体" w:hint="default"/>
                <w:spacing w:val="-2"/>
                <w:sz w:val="21"/>
                <w:szCs w:val="21"/>
              </w:rPr>
              <w:t>征的应收款项，单独进行减值测试，有客观证据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表明其发生了减值的，根据其未来现金流量现值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低于其账面价值的差额，确认减值损失，计提坏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账准备：与对方存在争议或涉及诉讼、仲裁的应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收款项；已有明显迹象表明债务人很可能无法履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行还款义务的应收款项；等等。</w:t>
            </w:r>
          </w:p>
          <w:p>
            <w:pPr>
              <w:pStyle w:val="TableParagraph"/>
              <w:spacing w:line="355" w:lineRule="auto" w:before="30"/>
              <w:ind w:left="100" w:right="182" w:firstLine="420"/>
              <w:jc w:val="both"/>
              <w:rPr>
                <w:rFonts w:ascii="宋体" w:hAnsi="宋体" w:cs="宋体" w:eastAsia="宋体" w:hint="default"/>
                <w:sz w:val="21"/>
                <w:szCs w:val="21"/>
              </w:rPr>
            </w:pPr>
            <w:r>
              <w:rPr>
                <w:rFonts w:ascii="宋体" w:hAnsi="宋体" w:cs="宋体" w:eastAsia="宋体" w:hint="default"/>
                <w:spacing w:val="-2"/>
                <w:sz w:val="21"/>
                <w:szCs w:val="21"/>
              </w:rPr>
              <w:t>本公司对关联方及保证金类的应收款项单独</w:t>
            </w:r>
            <w:r>
              <w:rPr>
                <w:rFonts w:ascii="宋体" w:hAnsi="宋体" w:cs="宋体" w:eastAsia="宋体" w:hint="default"/>
                <w:w w:val="100"/>
                <w:sz w:val="21"/>
                <w:szCs w:val="21"/>
              </w:rPr>
              <w:t> </w:t>
            </w:r>
            <w:r>
              <w:rPr>
                <w:rFonts w:ascii="宋体" w:hAnsi="宋体" w:cs="宋体" w:eastAsia="宋体" w:hint="default"/>
                <w:spacing w:val="-2"/>
                <w:sz w:val="21"/>
                <w:szCs w:val="21"/>
              </w:rPr>
              <w:t>进行减值测试，单独测试未发生减值的金融资产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未计提减值准备。</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3" w:lineRule="exact" w:before="58"/>
        <w:ind w:left="218" w:right="2731"/>
        <w:jc w:val="left"/>
      </w:pPr>
      <w:r>
        <w:rPr>
          <w:spacing w:val="-1"/>
        </w:rPr>
        <w:t>√适用</w:t>
        <w:tab/>
      </w:r>
      <w:r>
        <w:rPr>
          <w:spacing w:val="-2"/>
        </w:rPr>
        <w:t>□不适用</w:t>
      </w:r>
    </w:p>
    <w:p>
      <w:pPr>
        <w:pStyle w:val="BodyText"/>
        <w:spacing w:line="357" w:lineRule="auto"/>
        <w:ind w:left="638" w:right="4688"/>
        <w:jc w:val="left"/>
      </w:pPr>
      <w:r>
        <w:rPr/>
        <w:t>（</w:t>
      </w:r>
      <w:r>
        <w:rPr>
          <w:rFonts w:ascii="宋体" w:hAnsi="宋体" w:cs="宋体" w:eastAsia="宋体" w:hint="default"/>
        </w:rPr>
        <w:t>1</w:t>
      </w:r>
      <w:r>
        <w:rPr/>
        <w:t>）存货的分类</w:t>
      </w:r>
      <w:r>
        <w:rPr>
          <w:w w:val="100"/>
        </w:rPr>
        <w:t> </w:t>
      </w:r>
      <w:r>
        <w:rPr>
          <w:spacing w:val="-2"/>
        </w:rPr>
        <w:t>存货主要包括库存商品和低值易耗品。</w:t>
      </w:r>
    </w:p>
    <w:p>
      <w:pPr>
        <w:pStyle w:val="BodyText"/>
        <w:spacing w:line="355" w:lineRule="auto" w:before="32"/>
        <w:ind w:left="638" w:right="227"/>
        <w:jc w:val="left"/>
      </w:pPr>
      <w:r>
        <w:rPr/>
        <w:t>（</w:t>
      </w:r>
      <w:r>
        <w:rPr>
          <w:rFonts w:ascii="宋体" w:hAnsi="宋体" w:cs="宋体" w:eastAsia="宋体" w:hint="default"/>
        </w:rPr>
        <w:t>2</w:t>
      </w:r>
      <w:r>
        <w:rPr/>
        <w:t>）存货取得和发出的计价方法</w:t>
      </w:r>
      <w:r>
        <w:rPr>
          <w:w w:val="100"/>
        </w:rPr>
        <w:t> </w:t>
      </w:r>
      <w:r>
        <w:rPr>
          <w:spacing w:val="-2"/>
        </w:rPr>
        <w:t>存货在取得时按实际成本计价，存货成本包括采购成本、加工成本和其他成本。</w:t>
      </w:r>
    </w:p>
    <w:p>
      <w:pPr>
        <w:pStyle w:val="BodyText"/>
        <w:spacing w:line="355" w:lineRule="auto" w:before="32"/>
        <w:ind w:left="638" w:right="227"/>
        <w:jc w:val="left"/>
      </w:pPr>
      <w:r>
        <w:rPr/>
        <w:t>（</w:t>
      </w:r>
      <w:r>
        <w:rPr>
          <w:rFonts w:ascii="宋体" w:hAnsi="宋体" w:cs="宋体" w:eastAsia="宋体"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357" w:lineRule="auto" w:before="32"/>
        <w:ind w:left="218" w:right="227"/>
        <w:jc w:val="left"/>
      </w:pP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p>
    <w:p>
      <w:pPr>
        <w:pStyle w:val="BodyText"/>
        <w:spacing w:line="357" w:lineRule="auto" w:before="30"/>
        <w:ind w:left="218" w:right="227" w:firstLine="419"/>
        <w:jc w:val="left"/>
      </w:pPr>
      <w:r>
        <w:rPr>
          <w:spacing w:val="-2"/>
        </w:rPr>
        <w:t>在资产负债表日，存货按照成本与可变现净值孰低计量。当其可变现净值低于成本时，提取</w:t>
      </w:r>
      <w:r>
        <w:rPr>
          <w:w w:val="100"/>
        </w:rPr>
        <w:t> </w:t>
      </w:r>
      <w:r>
        <w:rPr/>
        <w:t>存货跌价准备。存货跌价准备按单个存货项目的成本高于其可变现净值的差额提取。</w:t>
      </w:r>
    </w:p>
    <w:p>
      <w:pPr>
        <w:pStyle w:val="BodyText"/>
        <w:spacing w:line="357" w:lineRule="auto" w:before="30"/>
        <w:ind w:left="218" w:right="227" w:firstLine="419"/>
        <w:jc w:val="left"/>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before="30"/>
        <w:ind w:left="638" w:right="2731"/>
        <w:jc w:val="left"/>
      </w:pPr>
      <w:r>
        <w:rPr/>
        <w:t>（</w:t>
      </w:r>
      <w:r>
        <w:rPr>
          <w:rFonts w:ascii="宋体" w:hAnsi="宋体" w:cs="宋体" w:eastAsia="宋体" w:hint="default"/>
        </w:rPr>
        <w:t>4</w:t>
      </w:r>
      <w:r>
        <w:rPr/>
        <w:t>）存货的盘存制度为永续盘存制。</w:t>
      </w:r>
    </w:p>
    <w:p>
      <w:pPr>
        <w:pStyle w:val="BodyText"/>
        <w:spacing w:line="240" w:lineRule="auto" w:before="133"/>
        <w:ind w:left="638" w:right="2731"/>
        <w:jc w:val="left"/>
      </w:pPr>
      <w:r>
        <w:rPr/>
        <w:t>（</w:t>
      </w:r>
      <w:r>
        <w:rPr>
          <w:rFonts w:ascii="宋体" w:hAnsi="宋体" w:cs="宋体" w:eastAsia="宋体" w:hint="default"/>
        </w:rPr>
        <w:t>5</w:t>
      </w:r>
      <w:r>
        <w:rPr/>
        <w:t>）低值易耗品于领用时按一次摊销法摊销。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731"/>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spacing w:after="0" w:line="240" w:lineRule="auto"/>
        <w:jc w:val="left"/>
        <w:sectPr>
          <w:footerReference w:type="default" r:id="rId45"/>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317" w:firstLine="419"/>
        <w:jc w:val="both"/>
      </w:pPr>
      <w:r>
        <w:rPr>
          <w:spacing w:val="-2"/>
        </w:rPr>
        <w:t>本部分所指的长期股权投资是指本公司对被投资单位具有控制、共同控制或重大影响的长期</w:t>
      </w:r>
      <w:r>
        <w:rPr>
          <w:w w:val="100"/>
        </w:rPr>
        <w:t> </w:t>
      </w:r>
      <w:r>
        <w:rPr>
          <w:spacing w:val="-2"/>
        </w:rPr>
        <w:t>股权投资。本公司对被投资单位不具有控制、共同控制或重大影响的长期股权投资，作为可供出</w:t>
      </w:r>
      <w:r>
        <w:rPr>
          <w:spacing w:val="-25"/>
        </w:rPr>
        <w:t> </w:t>
      </w:r>
      <w:r>
        <w:rPr>
          <w:spacing w:val="-25"/>
        </w:rPr>
      </w:r>
      <w:r>
        <w:rPr>
          <w:spacing w:val="-2"/>
        </w:rPr>
        <w:t>售金融资产或以公允价值计量且其变动计入当期损益的金融资产核算，其会计政策详见附注五、</w:t>
      </w:r>
      <w:r>
        <w:rPr>
          <w:spacing w:val="-25"/>
        </w:rPr>
        <w:t> </w:t>
      </w:r>
      <w:r>
        <w:rPr>
          <w:spacing w:val="-25"/>
        </w:rPr>
      </w:r>
      <w:r>
        <w:rPr/>
        <w:t>10“金融工具”。</w:t>
      </w:r>
    </w:p>
    <w:p>
      <w:pPr>
        <w:pStyle w:val="BodyText"/>
        <w:spacing w:line="357" w:lineRule="auto" w:before="30"/>
        <w:ind w:right="317" w:firstLine="419"/>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357" w:lineRule="auto" w:before="30"/>
        <w:ind w:left="558" w:right="227"/>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对于同一控制下的企业合并取得的长期股权投资，在合并日按照被合并方所有者权益在最终</w:t>
      </w:r>
    </w:p>
    <w:p>
      <w:pPr>
        <w:pStyle w:val="BodyText"/>
        <w:spacing w:line="357" w:lineRule="auto" w:before="30"/>
        <w:ind w:right="124"/>
        <w:jc w:val="left"/>
      </w:pPr>
      <w:r>
        <w:rPr/>
        <w:t>控制方合并财务报表中的账面价值的份额作为长期股权投资的初始投资成本。长期股权投资初始</w:t>
      </w:r>
      <w:r>
        <w:rPr>
          <w:w w:val="100"/>
        </w:rPr>
        <w:t> </w:t>
      </w:r>
      <w:r>
        <w:rPr>
          <w:spacing w:val="-6"/>
          <w:w w:val="100"/>
        </w:rPr>
        <w:t>投资成本与支付的现金、转让的非现金资产以及所承担债务账面价值之间的差额，调整资本公积；</w:t>
      </w:r>
      <w:r>
        <w:rPr>
          <w:spacing w:val="-104"/>
          <w:w w:val="100"/>
        </w:rPr>
        <w:t> </w:t>
      </w:r>
      <w:r>
        <w:rPr>
          <w:spacing w:val="-104"/>
          <w:w w:val="100"/>
        </w:rPr>
      </w:r>
      <w:r>
        <w:rPr/>
        <w:t>资本公积不足冲减的，调整留存收益。以发行权益性证券作为合并对价的，在合并日按照被合并</w:t>
      </w:r>
      <w:r>
        <w:rPr>
          <w:w w:val="100"/>
        </w:rPr>
        <w:t> </w:t>
      </w:r>
      <w:r>
        <w:rPr>
          <w:spacing w:val="-2"/>
        </w:rPr>
        <w:t>方所有者权益在最终控制方合并财务报表中的账面价值的份额作为长期股权投资的初始投资成本，</w:t>
      </w:r>
      <w:r>
        <w:rPr>
          <w:spacing w:val="-13"/>
        </w:rPr>
        <w:t> </w:t>
      </w:r>
      <w:r>
        <w:rPr>
          <w:spacing w:val="-13"/>
        </w:rPr>
      </w:r>
      <w:r>
        <w:rPr/>
        <w:t>按照发行股份的面值总额作为股本，长期股权投资初始投资成本与所发行股份面值总额之间的差</w:t>
      </w:r>
      <w:r>
        <w:rPr>
          <w:w w:val="100"/>
        </w:rPr>
        <w:t> </w:t>
      </w:r>
      <w:r>
        <w:rPr/>
        <w:t>额，调整资本公积；资本公积不足冲减的，调整留存收益。通过多次交易分步取得同一控制下被</w:t>
      </w:r>
      <w:r>
        <w:rPr>
          <w:w w:val="100"/>
        </w:rPr>
        <w:t> </w:t>
      </w:r>
      <w:r>
        <w:rPr/>
        <w:t>合并方的股权，最终形成同一控制下企业合并的，应分别是否属于“一揽子交易”进行处理：属</w:t>
      </w:r>
      <w:r>
        <w:rPr>
          <w:w w:val="100"/>
        </w:rPr>
        <w:t> </w:t>
      </w:r>
      <w:r>
        <w:rPr/>
        <w:t>于“一揽子交易”的，将各项交易作为一项取得控制权的交易进行会计处理。不属于“一揽子交</w:t>
      </w:r>
      <w:r>
        <w:rPr>
          <w:w w:val="100"/>
        </w:rPr>
        <w:t> </w:t>
      </w:r>
      <w:r>
        <w:rPr/>
        <w:t>易”的，在合并日按照应享有被合并方所有者权益在最终控制方合并财务报表中的账面价值的份</w:t>
      </w:r>
      <w:r>
        <w:rPr>
          <w:w w:val="100"/>
        </w:rPr>
        <w:t> </w:t>
      </w:r>
      <w:r>
        <w:rPr/>
        <w:t>额作为长期股权投资的初始投资成本，长期股权投资初始投资成本与达到合并前的长期股权投资</w:t>
      </w:r>
      <w:r>
        <w:rPr>
          <w:w w:val="100"/>
        </w:rPr>
        <w:t> </w:t>
      </w:r>
      <w:r>
        <w:rPr/>
        <w:t>账面价值加上合并日进一步取得股份新支付对价的账面价值之和的差额，调整资本公积；资本公</w:t>
      </w:r>
      <w:r>
        <w:rPr>
          <w:w w:val="100"/>
        </w:rPr>
        <w:t> </w:t>
      </w:r>
      <w:r>
        <w:rPr/>
        <w:t>积不足冲减的，调整留存收益。合并日之前持有的股权投资因采用权益法核算或为可供出售金融</w:t>
      </w:r>
      <w:r>
        <w:rPr>
          <w:w w:val="100"/>
        </w:rPr>
        <w:t> </w:t>
      </w:r>
      <w:r>
        <w:rPr/>
        <w:t>资产而确认的其他综合收益，暂不进行会计处理。</w:t>
      </w:r>
    </w:p>
    <w:p>
      <w:pPr>
        <w:pStyle w:val="BodyText"/>
        <w:spacing w:line="357" w:lineRule="auto" w:before="30"/>
        <w:ind w:right="204" w:firstLine="419"/>
        <w:jc w:val="both"/>
      </w:pPr>
      <w:r>
        <w:rPr/>
        <w:t>对于非同一控制下的企业合并取得的长期股权投资，在购买日按照合并成本作为长期股权投</w:t>
      </w:r>
      <w:r>
        <w:rPr>
          <w:w w:val="100"/>
        </w:rPr>
        <w:t> </w:t>
      </w:r>
      <w:r>
        <w:rPr/>
        <w:t>资的初始投资成本，合并成本包括购买方付出的资产、发生或承担的负债、发行的权益性证券的</w:t>
      </w:r>
      <w:r>
        <w:rPr>
          <w:w w:val="100"/>
        </w:rPr>
        <w:t> </w:t>
      </w:r>
      <w:r>
        <w:rPr/>
        <w:t>公允价值之和。通过多次交易分步取得被购买方的股权，最终形成非同一控制下的企业合并的，</w:t>
      </w:r>
      <w:r>
        <w:rPr>
          <w:w w:val="100"/>
        </w:rPr>
        <w:t> </w:t>
      </w:r>
      <w:r>
        <w:rPr/>
        <w:t>应分别是否属于“一揽子交易”进行处理：属于“一揽子交易”的，将各项交易作为一项取得控</w:t>
      </w:r>
      <w:r>
        <w:rPr>
          <w:w w:val="100"/>
        </w:rPr>
        <w:t> </w:t>
      </w:r>
      <w:r>
        <w:rPr/>
        <w:t>制权的交易进行会计处理。不属于“一揽子交易”的，按照原持有被购买方的股权投资账面价值</w:t>
      </w:r>
      <w:r>
        <w:rPr>
          <w:w w:val="100"/>
        </w:rPr>
        <w:t> </w:t>
      </w:r>
      <w:r>
        <w:rPr/>
        <w:t>加上新增投资成本之和，作为改按成本法核算的长期股权投资的初始投资成本。原持有的股权采</w:t>
      </w:r>
      <w:r>
        <w:rPr>
          <w:w w:val="100"/>
        </w:rPr>
        <w:t> </w:t>
      </w:r>
      <w:r>
        <w:rPr>
          <w:spacing w:val="-6"/>
          <w:w w:val="100"/>
        </w:rPr>
        <w:t>用权益法核算的，相关其他综合收益暂不进行会计处理。原持有股权投资为可供出售金融资产的，</w:t>
      </w:r>
      <w:r>
        <w:rPr>
          <w:w w:val="100"/>
        </w:rPr>
        <w:t> </w:t>
      </w:r>
      <w:r>
        <w:rPr>
          <w:spacing w:val="-4"/>
          <w:w w:val="100"/>
        </w:rPr>
        <w:t>其公允价值与账面价值之间的差额，以及原计入其他综合收益的累计公允价值变动转入当期损益。</w:t>
      </w:r>
    </w:p>
    <w:p>
      <w:pPr>
        <w:pStyle w:val="BodyText"/>
        <w:spacing w:line="355" w:lineRule="auto" w:before="30"/>
        <w:ind w:right="317" w:firstLine="419"/>
        <w:jc w:val="both"/>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357" w:lineRule="auto" w:before="32"/>
        <w:ind w:right="317" w:firstLine="419"/>
        <w:jc w:val="both"/>
      </w:pPr>
      <w:r>
        <w:rPr>
          <w:spacing w:val="-2"/>
        </w:rPr>
        <w:t>除企业合并形成的长期股权投资外的其他股权投资，按成本进行初始计量，该成本视长期股</w:t>
      </w:r>
      <w:r>
        <w:rPr>
          <w:w w:val="100"/>
        </w:rPr>
        <w:t> </w:t>
      </w:r>
      <w:r>
        <w:rPr>
          <w:spacing w:val="-2"/>
        </w:rPr>
        <w:t>权投资取得方式的不同，分别按照本公司实际支付的现金购买价款、本公司发行的权益性证券的</w:t>
      </w:r>
    </w:p>
    <w:p>
      <w:pPr>
        <w:spacing w:after="0" w:line="357" w:lineRule="auto"/>
        <w:jc w:val="both"/>
        <w:sectPr>
          <w:footerReference w:type="default" r:id="rId46"/>
          <w:pgSz w:w="11910" w:h="16840"/>
          <w:pgMar w:footer="1195" w:header="882"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right="0"/>
        <w:jc w:val="left"/>
      </w:pPr>
      <w:r>
        <w:rPr/>
        <w:t>公允价值、投资合同或协议约定的价值、非货币性资产交换交易中换出资产的公允价值或原账面</w:t>
      </w:r>
      <w:r>
        <w:rPr>
          <w:w w:val="100"/>
        </w:rPr>
        <w:t> </w:t>
      </w:r>
      <w:r>
        <w:rPr/>
        <w:t>价值、该项长期股权投资自身的公允价值等方式确定。与取得长期股权投资直接相关的费用、税</w:t>
      </w:r>
      <w:r>
        <w:rPr>
          <w:w w:val="100"/>
        </w:rPr>
        <w:t> </w:t>
      </w: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p>
    <w:p>
      <w:pPr>
        <w:pStyle w:val="BodyText"/>
        <w:spacing w:line="357" w:lineRule="auto" w:before="30"/>
        <w:ind w:left="558" w:right="148"/>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0" w:lineRule="auto" w:before="30"/>
        <w:ind w:right="148"/>
        <w:jc w:val="left"/>
      </w:pPr>
      <w:r>
        <w:rPr/>
        <w:t>法核算。此外，公司财务报表采用成本法核算能够对被投资单位实施控制的长期股权投资。</w:t>
      </w:r>
    </w:p>
    <w:p>
      <w:pPr>
        <w:pStyle w:val="BodyText"/>
        <w:spacing w:line="355" w:lineRule="auto" w:before="133"/>
        <w:ind w:left="558" w:right="148"/>
        <w:jc w:val="left"/>
      </w:pPr>
      <w:r>
        <w:rPr/>
        <w:t>①</w:t>
      </w:r>
      <w:r>
        <w:rPr>
          <w:spacing w:val="-1"/>
        </w:rPr>
        <w:t> </w:t>
      </w:r>
      <w:r>
        <w:rPr/>
        <w:t>成本法核算的长期股权投资</w:t>
      </w:r>
      <w:r>
        <w:rPr>
          <w:w w:val="100"/>
        </w:rPr>
        <w:t> </w:t>
      </w:r>
      <w:r>
        <w:rPr>
          <w:spacing w:val="-2"/>
        </w:rPr>
        <w:t>采用成本法核算时，长期股权投资按初始投资成本计价，追加或收回投资调整长期股权投资</w:t>
      </w:r>
    </w:p>
    <w:p>
      <w:pPr>
        <w:pStyle w:val="BodyText"/>
        <w:spacing w:line="355" w:lineRule="auto" w:before="34"/>
        <w:ind w:right="148"/>
        <w:jc w:val="left"/>
      </w:pPr>
      <w:r>
        <w:rPr>
          <w:spacing w:val="-2"/>
        </w:rPr>
        <w:t>的成本。除取得投资时实际支付的价款或者对价中包含的已宣告但尚未发放的现金股利或者利润</w:t>
      </w:r>
      <w:r>
        <w:rPr>
          <w:spacing w:val="-25"/>
        </w:rPr>
        <w:t> </w:t>
      </w:r>
      <w:r>
        <w:rPr>
          <w:spacing w:val="-25"/>
        </w:rPr>
      </w:r>
      <w:r>
        <w:rPr/>
        <w:t>外，当期投资收益按照享有被投资单位宣告发放的现金股利或利润确认。</w:t>
      </w:r>
    </w:p>
    <w:p>
      <w:pPr>
        <w:pStyle w:val="BodyText"/>
        <w:spacing w:line="355" w:lineRule="auto" w:before="32"/>
        <w:ind w:left="558" w:right="148"/>
        <w:jc w:val="left"/>
      </w:pPr>
      <w:r>
        <w:rPr/>
        <w:t>②</w:t>
      </w:r>
      <w:r>
        <w:rPr>
          <w:spacing w:val="-1"/>
        </w:rPr>
        <w:t> </w:t>
      </w:r>
      <w:r>
        <w:rPr/>
        <w:t>权益法核算的长期股权投资</w:t>
      </w:r>
      <w:r>
        <w:rPr>
          <w:w w:val="100"/>
        </w:rPr>
        <w:t> </w:t>
      </w:r>
      <w:r>
        <w:rPr>
          <w:spacing w:val="-2"/>
        </w:rPr>
        <w:t>采用权益法核算时，长期股权投资的初始投资成本大于投资时应享有被投资单位可辨认净资</w:t>
      </w:r>
    </w:p>
    <w:p>
      <w:pPr>
        <w:pStyle w:val="BodyText"/>
        <w:spacing w:line="357" w:lineRule="auto" w:before="32"/>
        <w:ind w:right="148"/>
        <w:jc w:val="left"/>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7" w:lineRule="auto" w:before="30"/>
        <w:ind w:right="0"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1"/>
        </w:rPr>
        <w:t> </w:t>
      </w:r>
      <w:r>
        <w:rPr/>
        <w:t>号——企业合并》</w:t>
      </w:r>
      <w:r>
        <w:rPr>
          <w:w w:val="100"/>
        </w:rPr>
        <w:t> </w:t>
      </w:r>
      <w:r>
        <w:rPr/>
        <w:t>的规定进行会计处理，全额确认与交易相关的利得或损失。</w:t>
      </w:r>
    </w:p>
    <w:p>
      <w:pPr>
        <w:pStyle w:val="BodyText"/>
        <w:spacing w:line="357" w:lineRule="auto" w:before="30"/>
        <w:ind w:right="148" w:firstLine="419"/>
        <w:jc w:val="left"/>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p>
    <w:p>
      <w:pPr>
        <w:spacing w:after="0" w:line="357" w:lineRule="auto"/>
        <w:jc w:val="left"/>
        <w:sectPr>
          <w:footerReference w:type="default" r:id="rId47"/>
          <w:pgSz w:w="11910" w:h="16840"/>
          <w:pgMar w:footer="1195" w:header="882" w:top="1120" w:bottom="1380" w:left="1660" w:right="1060"/>
          <w:pgNumType w:start="93"/>
        </w:sectPr>
      </w:pPr>
    </w:p>
    <w:p>
      <w:pPr>
        <w:spacing w:line="240" w:lineRule="auto" w:before="1"/>
        <w:rPr>
          <w:rFonts w:ascii="宋体" w:hAnsi="宋体" w:cs="宋体" w:eastAsia="宋体" w:hint="default"/>
          <w:sz w:val="25"/>
          <w:szCs w:val="25"/>
        </w:rPr>
      </w:pPr>
    </w:p>
    <w:p>
      <w:pPr>
        <w:pStyle w:val="BodyText"/>
        <w:spacing w:line="357" w:lineRule="auto" w:before="36"/>
        <w:ind w:right="137"/>
        <w:jc w:val="both"/>
      </w:pP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355" w:lineRule="auto" w:before="30"/>
        <w:ind w:right="128" w:firstLine="419"/>
        <w:jc w:val="both"/>
      </w:pPr>
      <w:r>
        <w:rPr/>
        <w:t>对于本公司</w:t>
      </w:r>
      <w:r>
        <w:rPr>
          <w:spacing w:val="-70"/>
        </w:rPr>
        <w:t> </w:t>
      </w:r>
      <w:r>
        <w:rPr>
          <w:rFonts w:ascii="宋体" w:hAnsi="宋体" w:cs="宋体" w:eastAsia="宋体" w:hint="default"/>
        </w:rPr>
        <w:t>2008</w:t>
      </w:r>
      <w:r>
        <w:rPr>
          <w:rFonts w:ascii="宋体" w:hAnsi="宋体" w:cs="宋体" w:eastAsia="宋体" w:hint="default"/>
          <w:spacing w:val="-70"/>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日首次执行新会计准则之前已经持有的对联营企业和合营企业的长</w:t>
      </w:r>
      <w:r>
        <w:rPr>
          <w:w w:val="100"/>
        </w:rPr>
        <w:t> </w:t>
      </w:r>
      <w:r>
        <w:rPr>
          <w:spacing w:val="-2"/>
        </w:rPr>
        <w:t>期股权投资，如存在与该投资相关的股权投资借方差额，按原剩余期限直线摊销的金额计入当期</w:t>
      </w:r>
      <w:r>
        <w:rPr>
          <w:spacing w:val="-25"/>
        </w:rPr>
        <w:t> </w:t>
      </w:r>
      <w:r>
        <w:rPr>
          <w:spacing w:val="-25"/>
        </w:rPr>
      </w:r>
      <w:r>
        <w:rPr/>
        <w:t>损益。</w:t>
      </w:r>
    </w:p>
    <w:p>
      <w:pPr>
        <w:pStyle w:val="BodyText"/>
        <w:spacing w:line="357" w:lineRule="auto" w:before="32"/>
        <w:ind w:left="558" w:right="0"/>
        <w:jc w:val="left"/>
      </w:pPr>
      <w:r>
        <w:rPr/>
        <w:t>③ 收购少数股权</w:t>
      </w:r>
      <w:r>
        <w:rPr>
          <w:w w:val="100"/>
        </w:rPr>
        <w:t> </w:t>
      </w:r>
      <w:r>
        <w:rPr>
          <w:spacing w:val="-2"/>
        </w:rPr>
        <w:t>在编制合并财务报表时，因购买少数股权新增的长期股权投资与按照新增持股比例计算应享</w:t>
      </w:r>
    </w:p>
    <w:p>
      <w:pPr>
        <w:pStyle w:val="BodyText"/>
        <w:spacing w:line="357" w:lineRule="auto" w:before="30"/>
        <w:ind w:right="137"/>
        <w:jc w:val="both"/>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357" w:lineRule="auto" w:before="30"/>
        <w:ind w:left="558" w:right="0"/>
        <w:jc w:val="left"/>
      </w:pPr>
      <w:r>
        <w:rPr/>
        <w:t>④ 处置长期股权投资</w:t>
      </w:r>
      <w:r>
        <w:rPr>
          <w:w w:val="100"/>
        </w:rPr>
        <w:t> </w:t>
      </w:r>
      <w:r>
        <w:rPr>
          <w:spacing w:val="-2"/>
        </w:rPr>
        <w:t>在合并财务报表中，母公司在不丧失控制权的情况下部分处置对子公司的长期股权投资，处</w:t>
      </w:r>
    </w:p>
    <w:p>
      <w:pPr>
        <w:pStyle w:val="BodyText"/>
        <w:spacing w:line="355" w:lineRule="auto" w:before="30"/>
        <w:ind w:right="137"/>
        <w:jc w:val="both"/>
      </w:pPr>
      <w:r>
        <w:rPr>
          <w:spacing w:val="-2"/>
        </w:rPr>
        <w:t>置价款与处置长期股权投资相对应享有子公司净资产的差额计入股东权益；母公司部分处置对子</w:t>
      </w:r>
      <w:r>
        <w:rPr>
          <w:spacing w:val="-25"/>
        </w:rPr>
        <w:t> </w:t>
      </w:r>
      <w:r>
        <w:rPr>
          <w:spacing w:val="-25"/>
        </w:rPr>
      </w:r>
      <w:r>
        <w:rPr>
          <w:spacing w:val="-2"/>
        </w:rPr>
        <w:t>公司的长期股权投资导致丧失对子公司控制权的，按本附注五、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）“合并财务报表编制的</w:t>
      </w:r>
      <w:r>
        <w:rPr>
          <w:spacing w:val="-23"/>
        </w:rPr>
        <w:t> </w:t>
      </w:r>
      <w:r>
        <w:rPr>
          <w:spacing w:val="-23"/>
        </w:rPr>
      </w:r>
      <w:r>
        <w:rPr/>
        <w:t>方法”中所述的相关会计政策处理。</w:t>
      </w:r>
    </w:p>
    <w:p>
      <w:pPr>
        <w:pStyle w:val="BodyText"/>
        <w:spacing w:line="357" w:lineRule="auto" w:before="32"/>
        <w:ind w:right="137" w:firstLine="419"/>
        <w:jc w:val="both"/>
      </w:pPr>
      <w:r>
        <w:rPr>
          <w:spacing w:val="-2"/>
        </w:rPr>
        <w:t>其他情形下的长期股权投资处置，对于处置的股权，其账面价值与实际取得价款的差额，计</w:t>
      </w:r>
      <w:r>
        <w:rPr>
          <w:w w:val="100"/>
        </w:rPr>
        <w:t> </w:t>
      </w:r>
      <w:r>
        <w:rPr/>
        <w:t>入当期损益。</w:t>
      </w:r>
    </w:p>
    <w:p>
      <w:pPr>
        <w:pStyle w:val="BodyText"/>
        <w:spacing w:line="355" w:lineRule="auto" w:before="30"/>
        <w:ind w:right="137" w:firstLine="419"/>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5"/>
        </w:rPr>
        <w:t> </w:t>
      </w:r>
      <w:r>
        <w:rPr>
          <w:spacing w:val="-25"/>
        </w:rPr>
      </w:r>
      <w:r>
        <w:rPr/>
        <w:t>而确认的所有者权益，按比例结转入当期损益。</w:t>
      </w:r>
    </w:p>
    <w:p>
      <w:pPr>
        <w:pStyle w:val="BodyText"/>
        <w:spacing w:line="357" w:lineRule="auto" w:before="34"/>
        <w:ind w:right="137" w:firstLine="419"/>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357" w:lineRule="auto" w:before="30"/>
        <w:ind w:right="137" w:firstLine="419"/>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p>
    <w:p>
      <w:pPr>
        <w:spacing w:after="0" w:line="357" w:lineRule="auto"/>
        <w:jc w:val="both"/>
        <w:sectPr>
          <w:footerReference w:type="default" r:id="rId48"/>
          <w:pgSz w:w="11910" w:h="16840"/>
          <w:pgMar w:footer="1195" w:header="882" w:top="1120" w:bottom="1380" w:left="1660" w:right="1140"/>
          <w:pgNumType w:start="94"/>
        </w:sectPr>
      </w:pPr>
    </w:p>
    <w:p>
      <w:pPr>
        <w:spacing w:line="240" w:lineRule="auto" w:before="1"/>
        <w:rPr>
          <w:rFonts w:ascii="宋体" w:hAnsi="宋体" w:cs="宋体" w:eastAsia="宋体" w:hint="default"/>
          <w:sz w:val="25"/>
          <w:szCs w:val="25"/>
        </w:rPr>
      </w:pPr>
    </w:p>
    <w:p>
      <w:pPr>
        <w:pStyle w:val="BodyText"/>
        <w:spacing w:line="357" w:lineRule="auto" w:before="36"/>
        <w:ind w:left="218" w:right="227"/>
        <w:jc w:val="left"/>
      </w:pP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pStyle w:val="BodyText"/>
        <w:spacing w:line="357" w:lineRule="auto" w:before="30"/>
        <w:ind w:left="218" w:right="237" w:firstLine="419"/>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357" w:lineRule="auto" w:before="31"/>
        <w:ind w:left="218" w:right="237" w:firstLine="419"/>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spacing w:line="240" w:lineRule="auto" w:before="8"/>
        <w:rPr>
          <w:rFonts w:ascii="宋体" w:hAnsi="宋体" w:cs="宋体" w:eastAsia="宋体" w:hint="default"/>
          <w:sz w:val="27"/>
          <w:szCs w:val="27"/>
        </w:rPr>
      </w:pPr>
    </w:p>
    <w:p>
      <w:pPr>
        <w:spacing w:line="290" w:lineRule="auto" w:before="0"/>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8" w:right="227" w:hanging="420"/>
        <w:jc w:val="left"/>
      </w:pPr>
      <w:r>
        <w:rPr/>
        <w:t>√适用</w:t>
      </w:r>
      <w:r>
        <w:rPr>
          <w:spacing w:val="-2"/>
        </w:rPr>
        <w:t> </w:t>
      </w:r>
      <w:r>
        <w:rPr/>
        <w:t>□不适用</w:t>
      </w:r>
      <w:r>
        <w:rPr>
          <w:w w:val="100"/>
        </w:rPr>
        <w:t> </w:t>
      </w:r>
      <w:r>
        <w:rPr>
          <w:spacing w:val="-2"/>
        </w:rPr>
        <w:t>固定资产是指为生产商品、提供劳务、出租或经营管理而持有的，使用寿命超过一个会计年</w:t>
      </w:r>
    </w:p>
    <w:p>
      <w:pPr>
        <w:pStyle w:val="BodyText"/>
        <w:spacing w:line="355" w:lineRule="auto" w:before="110"/>
        <w:ind w:left="218" w:right="227"/>
        <w:jc w:val="left"/>
      </w:pP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pStyle w:val="Heading2"/>
        <w:spacing w:line="240" w:lineRule="auto" w:before="92"/>
        <w:ind w:right="2731"/>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50-70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1.90-1.36</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9.50-19.00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bl>
    <w:p>
      <w:pPr>
        <w:spacing w:line="240" w:lineRule="auto" w:before="5"/>
        <w:rPr>
          <w:rFonts w:ascii="宋体" w:hAnsi="宋体" w:cs="宋体" w:eastAsia="宋体" w:hint="default"/>
          <w:sz w:val="15"/>
          <w:szCs w:val="15"/>
        </w:rPr>
      </w:pPr>
    </w:p>
    <w:p>
      <w:pPr>
        <w:pStyle w:val="BodyText"/>
        <w:spacing w:line="357" w:lineRule="auto" w:before="36"/>
        <w:ind w:left="218" w:right="227" w:firstLine="419"/>
        <w:jc w:val="left"/>
      </w:pPr>
      <w:r>
        <w:rPr>
          <w:spacing w:val="-2"/>
        </w:rPr>
        <w:t>预计净残值是指假定固定资产预计使用寿命已满并处于使用寿命终了时的预期状态，本公司</w:t>
      </w:r>
      <w:r>
        <w:rPr>
          <w:w w:val="100"/>
        </w:rPr>
        <w:t> </w:t>
      </w:r>
      <w:r>
        <w:rPr/>
        <w:t>目前从该项资产处置中获得的扣除预计处置费用后的金额。</w:t>
      </w:r>
    </w:p>
    <w:p>
      <w:pPr>
        <w:pStyle w:val="Heading2"/>
        <w:spacing w:line="240" w:lineRule="auto" w:before="90"/>
        <w:ind w:right="2731"/>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6"/>
        <w:ind w:left="638" w:right="239" w:hanging="420"/>
        <w:jc w:val="left"/>
      </w:pPr>
      <w:r>
        <w:rPr>
          <w:spacing w:val="-1"/>
        </w:rPr>
        <w:t>√适用</w:t>
        <w:tab/>
      </w:r>
      <w:r>
        <w:rPr>
          <w:spacing w:val="-2"/>
        </w:rPr>
        <w:t>□不适用</w:t>
      </w:r>
      <w:r>
        <w:rPr>
          <w:spacing w:val="-99"/>
        </w:rPr>
        <w:t> </w:t>
      </w:r>
      <w:r>
        <w:rPr>
          <w:spacing w:val="-99"/>
        </w:rPr>
      </w:r>
      <w:r>
        <w:rPr>
          <w:spacing w:val="-2"/>
        </w:rPr>
        <w:t>融资租赁为实质上转移了与资产所有权有关的全部风险和报酬的租赁，其所有权最终可能转</w:t>
      </w:r>
    </w:p>
    <w:p>
      <w:pPr>
        <w:pStyle w:val="BodyText"/>
        <w:spacing w:line="357" w:lineRule="auto" w:before="133"/>
        <w:ind w:left="218" w:right="227"/>
        <w:jc w:val="left"/>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产折旧。能够合理确定租赁期届满时取得租赁资产所有权的在租赁资产使用寿命内计提折旧，无</w:t>
      </w:r>
    </w:p>
    <w:p>
      <w:pPr>
        <w:spacing w:after="0" w:line="357"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0"/>
        <w:jc w:val="left"/>
      </w:pPr>
      <w:r>
        <w:rPr>
          <w:spacing w:val="-2"/>
        </w:rPr>
        <w:t>法合理确定租赁期届满能够取得租赁资产所有权的，在租赁期与租赁资产使用寿命两者中较短的</w:t>
      </w:r>
      <w:r>
        <w:rPr>
          <w:spacing w:val="-25"/>
        </w:rPr>
        <w:t> </w:t>
      </w:r>
      <w:r>
        <w:rPr>
          <w:spacing w:val="-25"/>
        </w:rPr>
      </w:r>
      <w:r>
        <w:rPr/>
        <w:t>期间内计提折旧。</w:t>
      </w:r>
    </w:p>
    <w:p>
      <w:pPr>
        <w:spacing w:line="240" w:lineRule="auto" w:before="8"/>
        <w:rPr>
          <w:rFonts w:ascii="宋体" w:hAnsi="宋体" w:cs="宋体" w:eastAsia="宋体" w:hint="default"/>
          <w:sz w:val="27"/>
          <w:szCs w:val="27"/>
        </w:rPr>
      </w:pPr>
    </w:p>
    <w:p>
      <w:pPr>
        <w:pStyle w:val="Heading2"/>
        <w:spacing w:line="240" w:lineRule="auto"/>
        <w:ind w:left="138" w:right="2543"/>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在建工程成本按实际工程支出确定，包括在建期间发生的各项工程支出、工程达到预定可使</w:t>
      </w:r>
    </w:p>
    <w:p>
      <w:pPr>
        <w:pStyle w:val="BodyText"/>
        <w:spacing w:line="357" w:lineRule="auto" w:before="108"/>
        <w:ind w:right="0"/>
        <w:jc w:val="left"/>
      </w:pPr>
      <w:r>
        <w:rPr>
          <w:spacing w:val="-2"/>
        </w:rPr>
        <w:t>用状态前的资本化的借款费用以及其他相关费用等。在建工程在达到预定可使用状态后结转为固</w:t>
      </w:r>
      <w:r>
        <w:rPr>
          <w:spacing w:val="-25"/>
        </w:rPr>
        <w:t> </w:t>
      </w:r>
      <w:r>
        <w:rPr>
          <w:spacing w:val="-25"/>
        </w:rPr>
      </w:r>
      <w:r>
        <w:rPr/>
        <w:t>定资产。</w:t>
      </w:r>
    </w:p>
    <w:p>
      <w:pPr>
        <w:pStyle w:val="BodyText"/>
        <w:spacing w:line="240" w:lineRule="auto" w:before="30"/>
        <w:ind w:left="558" w:right="0"/>
        <w:jc w:val="left"/>
      </w:pPr>
      <w:r>
        <w:rPr/>
        <w:t>在建工程的减值测试方法和减值准备计提方法详见附注五、22“长期资产减值”。</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2543"/>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980" w:val="left" w:leader="none"/>
        </w:tabs>
        <w:spacing w:line="240" w:lineRule="auto" w:before="56"/>
        <w:ind w:left="558" w:right="133" w:hanging="420"/>
        <w:jc w:val="left"/>
      </w:pPr>
      <w:r>
        <w:rPr>
          <w:spacing w:val="-1"/>
        </w:rPr>
        <w:t>√适用</w:t>
        <w:tab/>
      </w:r>
      <w:r>
        <w:rPr>
          <w:spacing w:val="-2"/>
        </w:rPr>
        <w:t>□不适用</w:t>
      </w:r>
      <w:r>
        <w:rPr>
          <w:spacing w:val="-99"/>
        </w:rPr>
        <w:t> </w:t>
      </w:r>
      <w:r>
        <w:rPr>
          <w:spacing w:val="-99"/>
        </w:rPr>
      </w:r>
      <w:r>
        <w:rPr>
          <w:spacing w:val="-7"/>
          <w:w w:val="100"/>
        </w:rPr>
        <w:t>借款费用包括借款利息、折价或溢价的摊销、辅助费用以及因外币借款而发生的汇兑差额等。</w:t>
      </w:r>
    </w:p>
    <w:p>
      <w:pPr>
        <w:pStyle w:val="BodyText"/>
        <w:spacing w:line="355" w:lineRule="auto" w:before="133"/>
        <w:ind w:right="137"/>
        <w:jc w:val="both"/>
      </w:pP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357" w:lineRule="auto" w:before="34"/>
        <w:ind w:right="137" w:firstLine="419"/>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357" w:lineRule="auto" w:before="30"/>
        <w:ind w:right="137" w:firstLine="419"/>
        <w:jc w:val="both"/>
      </w:pPr>
      <w:r>
        <w:rPr>
          <w:spacing w:val="-2"/>
        </w:rPr>
        <w:t>资本化期间内，外币专门借款的汇兑差额全部予以资本化；外币一般借款的汇兑差额计入当</w:t>
      </w:r>
      <w:r>
        <w:rPr>
          <w:w w:val="100"/>
        </w:rPr>
        <w:t> </w:t>
      </w:r>
      <w:r>
        <w:rPr/>
        <w:t>期损益。</w:t>
      </w:r>
    </w:p>
    <w:p>
      <w:pPr>
        <w:pStyle w:val="BodyText"/>
        <w:spacing w:line="355" w:lineRule="auto" w:before="30"/>
        <w:ind w:right="137" w:firstLine="419"/>
        <w:jc w:val="both"/>
      </w:pPr>
      <w:r>
        <w:rPr>
          <w:spacing w:val="-2"/>
        </w:rPr>
        <w:t>符合资本化条件的资产指需要经过相当长时间的购建或者生产活动才能达到预定可使用或可</w:t>
      </w:r>
      <w:r>
        <w:rPr>
          <w:w w:val="100"/>
        </w:rPr>
        <w:t> </w:t>
      </w:r>
      <w:r>
        <w:rPr/>
        <w:t>销售状态的固定资产、投资性房地产和存货等资产。</w:t>
      </w:r>
    </w:p>
    <w:p>
      <w:pPr>
        <w:pStyle w:val="BodyText"/>
        <w:spacing w:line="360" w:lineRule="auto" w:before="32"/>
        <w:ind w:right="190" w:firstLine="419"/>
        <w:jc w:val="both"/>
      </w:pPr>
      <w:r>
        <w:rPr>
          <w:spacing w:val="-2"/>
        </w:rPr>
        <w:t>如果符合资本化条件的资产在购建或生产过程中发生非正常中断、并且中断时间连续超过</w:t>
      </w:r>
      <w:r>
        <w:rPr>
          <w:spacing w:val="3"/>
        </w:rPr>
        <w:t> </w:t>
      </w:r>
      <w:r>
        <w:rPr>
          <w:rFonts w:ascii="宋体" w:hAnsi="宋体" w:cs="宋体" w:eastAsia="宋体" w:hint="default"/>
        </w:rPr>
        <w:t>3</w:t>
      </w:r>
      <w:r>
        <w:rPr>
          <w:rFonts w:ascii="宋体" w:hAnsi="宋体" w:cs="宋体" w:eastAsia="宋体" w:hint="default"/>
          <w:w w:val="100"/>
        </w:rPr>
        <w:t> </w:t>
      </w:r>
      <w:r>
        <w:rPr/>
        <w:t>个月的，暂停借款费用的资本化，直至资产的购建或生产活动重新开始。</w:t>
      </w:r>
    </w:p>
    <w:p>
      <w:pPr>
        <w:spacing w:line="240" w:lineRule="auto" w:before="6"/>
        <w:rPr>
          <w:rFonts w:ascii="宋体" w:hAnsi="宋体" w:cs="宋体" w:eastAsia="宋体" w:hint="default"/>
          <w:sz w:val="27"/>
          <w:szCs w:val="27"/>
        </w:rPr>
      </w:pPr>
    </w:p>
    <w:p>
      <w:pPr>
        <w:pStyle w:val="Heading2"/>
        <w:spacing w:line="240" w:lineRule="auto"/>
        <w:ind w:left="138" w:right="2543"/>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80" w:val="left" w:leader="none"/>
        </w:tabs>
        <w:spacing w:line="240" w:lineRule="auto" w:before="58"/>
        <w:ind w:right="254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80" w:val="left" w:leader="none"/>
        </w:tabs>
        <w:spacing w:line="240" w:lineRule="auto" w:before="56"/>
        <w:ind w:right="254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9"/>
        <w:ind w:left="138" w:right="2543"/>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6"/>
        <w:ind w:right="2543"/>
        <w:jc w:val="left"/>
      </w:pPr>
      <w:r>
        <w:rPr/>
        <w:t>√适用</w:t>
      </w:r>
      <w:r>
        <w:rPr>
          <w:spacing w:val="-1"/>
        </w:rPr>
        <w:t> </w:t>
      </w:r>
      <w:r>
        <w:rPr/>
        <w:t>□不适用</w:t>
      </w:r>
    </w:p>
    <w:p>
      <w:pPr>
        <w:spacing w:after="0" w:line="240" w:lineRule="auto"/>
        <w:jc w:val="left"/>
        <w:sectPr>
          <w:footerReference w:type="default" r:id="rId49"/>
          <w:pgSz w:w="11910" w:h="16840"/>
          <w:pgMar w:footer="1195" w:header="882" w:top="1120" w:bottom="1380" w:left="1660" w:right="1140"/>
          <w:pgNumType w:start="96"/>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无形资产按成本进行初始计量。与无形资产有关的支出，如果相关的经济利益很可能流入本</w:t>
      </w:r>
      <w:r>
        <w:rPr>
          <w:w w:val="100"/>
        </w:rPr>
        <w:t> </w:t>
      </w:r>
      <w:r>
        <w:rPr>
          <w:spacing w:val="-2"/>
        </w:rPr>
        <w:t>公司且其成本能可靠地计量，则计入无形资产成本。除此以外的其他项目的支出，在发生时计入</w:t>
      </w:r>
      <w:r>
        <w:rPr>
          <w:spacing w:val="-25"/>
        </w:rPr>
        <w:t> </w:t>
      </w:r>
      <w:r>
        <w:rPr>
          <w:spacing w:val="-25"/>
        </w:rPr>
      </w:r>
      <w:r>
        <w:rPr/>
        <w:t>当期损益。</w:t>
      </w:r>
    </w:p>
    <w:p>
      <w:pPr>
        <w:pStyle w:val="BodyText"/>
        <w:spacing w:line="355" w:lineRule="auto" w:before="30"/>
        <w:ind w:right="137" w:firstLine="419"/>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p>
    <w:p>
      <w:pPr>
        <w:pStyle w:val="BodyText"/>
        <w:spacing w:line="355" w:lineRule="auto" w:before="34"/>
        <w:ind w:right="137" w:firstLine="419"/>
        <w:jc w:val="both"/>
      </w:pPr>
      <w:r>
        <w:rPr>
          <w:spacing w:val="-2"/>
        </w:rPr>
        <w:t>使用寿命有限的无形资产自可供使用时起，对其原值在其预计使用寿命内采用直线法分期平</w:t>
      </w:r>
      <w:r>
        <w:rPr>
          <w:w w:val="100"/>
        </w:rPr>
        <w:t> </w:t>
      </w:r>
      <w:r>
        <w:rPr/>
        <w:t>均摊销。使用寿命不确定的无形资产不予摊销。</w:t>
      </w:r>
    </w:p>
    <w:p>
      <w:pPr>
        <w:pStyle w:val="BodyText"/>
        <w:spacing w:line="357" w:lineRule="auto" w:before="33"/>
        <w:ind w:right="137" w:firstLine="419"/>
        <w:jc w:val="both"/>
      </w:pP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r>
        <w:rPr>
          <w:spacing w:val="-26"/>
        </w:rPr>
        <w:t> </w:t>
      </w:r>
      <w:r>
        <w:rPr>
          <w:spacing w:val="-26"/>
        </w:rPr>
      </w: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pStyle w:val="Heading2"/>
        <w:spacing w:line="240" w:lineRule="auto" w:before="90"/>
        <w:ind w:left="138" w:right="2543"/>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6"/>
        <w:ind w:left="558" w:right="2181" w:hanging="420"/>
        <w:jc w:val="left"/>
      </w:pPr>
      <w:r>
        <w:rPr/>
        <w:t>√适用</w:t>
      </w:r>
      <w:r>
        <w:rPr>
          <w:spacing w:val="-2"/>
        </w:rPr>
        <w:t> </w:t>
      </w:r>
      <w:r>
        <w:rPr/>
        <w:t>□不适用</w:t>
      </w:r>
      <w:r>
        <w:rPr>
          <w:w w:val="100"/>
        </w:rPr>
        <w:t> </w:t>
      </w:r>
      <w:r>
        <w:rPr>
          <w:spacing w:val="-2"/>
        </w:rPr>
        <w:t>本公司内部研究开发项目的支出分为研究阶段支出与开发阶段支出。</w:t>
      </w:r>
    </w:p>
    <w:p>
      <w:pPr>
        <w:pStyle w:val="BodyText"/>
        <w:spacing w:line="355" w:lineRule="auto" w:before="133"/>
        <w:ind w:left="558" w:right="0"/>
        <w:jc w:val="left"/>
      </w:pPr>
      <w:r>
        <w:rPr/>
        <w:t>研究阶段的支出，于发生时计入当期损益。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35"/>
        <w:ind w:right="2543"/>
        <w:jc w:val="left"/>
      </w:pPr>
      <w:r>
        <w:rPr/>
        <w:t>出计入当期损益：</w:t>
      </w:r>
    </w:p>
    <w:p>
      <w:pPr>
        <w:pStyle w:val="BodyText"/>
        <w:spacing w:line="240" w:lineRule="auto" w:before="133"/>
        <w:ind w:left="558" w:right="0"/>
        <w:jc w:val="left"/>
      </w:pPr>
      <w:r>
        <w:rPr/>
        <w:t>①</w:t>
      </w:r>
      <w:r>
        <w:rPr>
          <w:spacing w:val="-6"/>
        </w:rPr>
        <w:t> </w:t>
      </w:r>
      <w:r>
        <w:rPr/>
        <w:t>完成该无形资产以使其能够使用或出售在技术上具有可行性；</w:t>
      </w:r>
    </w:p>
    <w:p>
      <w:pPr>
        <w:pStyle w:val="BodyText"/>
        <w:spacing w:line="240" w:lineRule="auto" w:before="133"/>
        <w:ind w:left="558" w:right="2543"/>
        <w:jc w:val="left"/>
      </w:pPr>
      <w:r>
        <w:rPr/>
        <w:t>②</w:t>
      </w:r>
      <w:r>
        <w:rPr>
          <w:spacing w:val="-3"/>
        </w:rPr>
        <w:t> </w:t>
      </w:r>
      <w:r>
        <w:rPr/>
        <w:t>具有完成该无形资产并使用或出售的意图；</w:t>
      </w:r>
    </w:p>
    <w:p>
      <w:pPr>
        <w:pStyle w:val="BodyText"/>
        <w:spacing w:line="355" w:lineRule="auto" w:before="133"/>
        <w:ind w:right="128" w:firstLine="419"/>
        <w:jc w:val="both"/>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355" w:lineRule="auto" w:before="34"/>
        <w:ind w:right="128" w:firstLine="419"/>
        <w:jc w:val="both"/>
      </w:pPr>
      <w:r>
        <w:rPr/>
        <w:t>④</w:t>
      </w:r>
      <w:r>
        <w:rPr>
          <w:spacing w:val="46"/>
        </w:rPr>
        <w:t> </w:t>
      </w:r>
      <w:r>
        <w:rPr>
          <w:spacing w:val="-4"/>
        </w:rPr>
        <w:t>有足够的技术、财务资源和其他资源支持，以完成该无形资产的开发，并有能力使用或出</w:t>
      </w:r>
      <w:r>
        <w:rPr>
          <w:w w:val="100"/>
        </w:rPr>
        <w:t> </w:t>
      </w:r>
      <w:r>
        <w:rPr/>
        <w:t>售该无形资产；</w:t>
      </w:r>
    </w:p>
    <w:p>
      <w:pPr>
        <w:pStyle w:val="BodyText"/>
        <w:spacing w:line="357" w:lineRule="auto" w:before="32"/>
        <w:ind w:left="558" w:right="0"/>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355" w:lineRule="auto" w:before="32"/>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无形资产的减值测试方法及减值准备计提方法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无形资产的减值测试方法和减值准备计提方法详见附注五、22“长期资产减值”。</w:t>
      </w:r>
    </w:p>
    <w:p>
      <w:pPr>
        <w:spacing w:line="240" w:lineRule="auto" w:before="10"/>
        <w:rPr>
          <w:rFonts w:ascii="宋体" w:hAnsi="宋体" w:cs="宋体" w:eastAsia="宋体" w:hint="default"/>
          <w:sz w:val="27"/>
          <w:szCs w:val="27"/>
        </w:rPr>
      </w:pPr>
    </w:p>
    <w:p>
      <w:pPr>
        <w:pStyle w:val="Heading2"/>
        <w:spacing w:line="240" w:lineRule="auto"/>
        <w:ind w:left="138" w:right="2543"/>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对于固定资产、在建工程、使用寿命有限的无形资产、以成本模式计量的投资性房地产及对</w:t>
      </w:r>
    </w:p>
    <w:p>
      <w:pPr>
        <w:pStyle w:val="BodyText"/>
        <w:spacing w:line="357" w:lineRule="auto" w:before="110"/>
        <w:ind w:right="0"/>
        <w:jc w:val="left"/>
      </w:pPr>
      <w:r>
        <w:rPr>
          <w:spacing w:val="-2"/>
        </w:rPr>
        <w:t>子公司、合营企业、联营企业的长期股权投资等非流动非金融资产，本公司于资产负债表日判断</w:t>
      </w:r>
      <w:r>
        <w:rPr>
          <w:spacing w:val="-25"/>
        </w:rPr>
        <w:t> </w:t>
      </w:r>
      <w:r>
        <w:rPr>
          <w:spacing w:val="-25"/>
        </w:rPr>
      </w:r>
      <w:r>
        <w:rPr>
          <w:spacing w:val="-2"/>
        </w:rPr>
        <w:t>是否存在减值迹象。如存在减值迹象的，则估计其可收回金额，进行减值测试。商誉、使用寿命</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0"/>
        <w:jc w:val="left"/>
      </w:pP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357" w:lineRule="auto" w:before="30"/>
        <w:ind w:right="13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6"/>
        </w:rPr>
        <w:t> </w:t>
      </w:r>
      <w:r>
        <w:rPr>
          <w:spacing w:val="-26"/>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6"/>
        </w:rPr>
        <w:t> </w:t>
      </w:r>
      <w:r>
        <w:rPr>
          <w:spacing w:val="-26"/>
        </w:rPr>
      </w:r>
      <w:r>
        <w:rPr/>
        <w:t>现金流入的最小资产组合。</w:t>
      </w:r>
    </w:p>
    <w:p>
      <w:pPr>
        <w:pStyle w:val="BodyText"/>
        <w:spacing w:line="357" w:lineRule="auto" w:before="30"/>
        <w:ind w:right="13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before="30"/>
        <w:ind w:left="558"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2543"/>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长期待摊费用为已经发生但应由报告期和以后各期负担的分摊期限在一年以上的各项费用。</w:t>
      </w:r>
    </w:p>
    <w:p>
      <w:pPr>
        <w:pStyle w:val="BodyText"/>
        <w:spacing w:line="240" w:lineRule="auto" w:before="133"/>
        <w:ind w:right="0"/>
        <w:jc w:val="left"/>
      </w:pPr>
      <w:r>
        <w:rPr/>
        <w:t>本公司的长期待摊费用主要包括装修费、版权费。长期待摊费用在预计受益期间按直线法摊销。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0" w:lineRule="auto"/>
        <w:ind w:left="138" w:right="61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72" w:lineRule="exact" w:before="42"/>
        <w:ind w:left="558" w:right="137" w:hanging="420"/>
        <w:jc w:val="left"/>
      </w:pPr>
      <w:r>
        <w:rPr>
          <w:spacing w:val="-1"/>
        </w:rPr>
        <w:t>√适用</w:t>
        <w:tab/>
      </w:r>
      <w:r>
        <w:rPr>
          <w:spacing w:val="-2"/>
        </w:rPr>
        <w:t>□不适用</w:t>
      </w:r>
      <w:r>
        <w:rPr>
          <w:spacing w:val="-99"/>
        </w:rPr>
        <w:t> </w:t>
      </w:r>
      <w:r>
        <w:rPr>
          <w:spacing w:val="-99"/>
        </w:rPr>
      </w:r>
      <w:r>
        <w:rPr>
          <w:spacing w:val="-2"/>
        </w:rPr>
        <w:t>短期薪酬主要包括工资、奖金、津贴和补贴、职工福利费、医疗保险费、生育保险费、工伤</w:t>
      </w:r>
    </w:p>
    <w:p>
      <w:pPr>
        <w:pStyle w:val="BodyText"/>
        <w:spacing w:line="357" w:lineRule="auto" w:before="108"/>
        <w:ind w:right="137"/>
        <w:jc w:val="both"/>
      </w:pP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pStyle w:val="Heading2"/>
        <w:spacing w:line="240" w:lineRule="auto" w:before="90"/>
        <w:ind w:left="138" w:right="2543"/>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离职后福利主要包括设定提存计划。其中设定提存计划主要包括基本养老保险、失业保险，</w:t>
      </w:r>
    </w:p>
    <w:p>
      <w:pPr>
        <w:pStyle w:val="BodyText"/>
        <w:spacing w:line="240" w:lineRule="auto" w:before="133"/>
        <w:ind w:right="2543"/>
        <w:jc w:val="left"/>
      </w:pPr>
      <w:r>
        <w:rPr/>
        <w:t>相应的应缴存金额于发生时计入相关资产成本或当期损益。</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left="138" w:right="148"/>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在职工劳动合同到期之前解除与职工的劳动关系，或为鼓励职工自愿接受裁减而提出给予补</w:t>
      </w:r>
    </w:p>
    <w:p>
      <w:pPr>
        <w:pStyle w:val="BodyText"/>
        <w:spacing w:line="355" w:lineRule="auto" w:before="110"/>
        <w:ind w:right="0"/>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357" w:lineRule="auto" w:before="32"/>
        <w:ind w:right="217" w:firstLine="419"/>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p>
    <w:p>
      <w:pPr>
        <w:pStyle w:val="Heading2"/>
        <w:spacing w:line="240" w:lineRule="auto" w:before="90"/>
        <w:ind w:left="138" w:right="148"/>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本公司向职工提供的其他长期职工福利，符合设定提存计划的，按照设定提存计划进行会计</w:t>
      </w:r>
    </w:p>
    <w:p>
      <w:pPr>
        <w:pStyle w:val="BodyText"/>
        <w:spacing w:line="240" w:lineRule="auto" w:before="108"/>
        <w:ind w:right="148"/>
        <w:jc w:val="left"/>
      </w:pPr>
      <w:r>
        <w:rPr/>
        <w:t>处理，除此之外按照设定受益计划进行会计处理。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148"/>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p>
    <w:p>
      <w:pPr>
        <w:pStyle w:val="BodyText"/>
        <w:spacing w:line="355" w:lineRule="auto" w:before="133"/>
        <w:ind w:left="558" w:right="148" w:hanging="420"/>
        <w:jc w:val="left"/>
      </w:pP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r>
        <w:rPr>
          <w:w w:val="100"/>
        </w:rPr>
        <w:t> </w:t>
      </w:r>
      <w:r>
        <w:rPr>
          <w:spacing w:val="-2"/>
        </w:rPr>
        <w:t>在资产负债表日，考虑与或有事项有关的风险、不确定性和货币时间价值等因素，按照履行</w:t>
      </w:r>
    </w:p>
    <w:p>
      <w:pPr>
        <w:pStyle w:val="BodyText"/>
        <w:spacing w:line="355" w:lineRule="auto" w:before="34"/>
        <w:ind w:left="558" w:right="148" w:hanging="420"/>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w:t>
      </w:r>
    </w:p>
    <w:p>
      <w:pPr>
        <w:pStyle w:val="BodyText"/>
        <w:spacing w:line="240" w:lineRule="auto" w:before="32"/>
        <w:ind w:right="148"/>
        <w:jc w:val="left"/>
      </w:pPr>
      <w:r>
        <w:rPr/>
        <w:t>时，作为资产单独确认，且确认的补偿金额不超过预计负债的账面价值。</w:t>
      </w:r>
    </w:p>
    <w:p>
      <w:pPr>
        <w:pStyle w:val="BodyText"/>
        <w:spacing w:line="355" w:lineRule="auto" w:before="133"/>
        <w:ind w:left="558" w:right="148"/>
        <w:jc w:val="left"/>
      </w:pPr>
      <w:r>
        <w:rPr/>
        <w:t>（</w:t>
      </w:r>
      <w:r>
        <w:rPr>
          <w:rFonts w:ascii="宋体" w:hAnsi="宋体" w:cs="宋体" w:eastAsia="宋体" w:hint="default"/>
        </w:rPr>
        <w:t>1</w:t>
      </w:r>
      <w:r>
        <w:rPr/>
        <w:t>）亏损合同</w:t>
      </w:r>
      <w:r>
        <w:rPr>
          <w:w w:val="100"/>
        </w:rPr>
        <w:t> </w:t>
      </w:r>
      <w:r>
        <w:rPr>
          <w:spacing w:val="-2"/>
        </w:rPr>
        <w:t>亏损合同是履行合同义务不可避免会发生的成本超过预期经济利益的合同。待执行合同变成</w:t>
      </w:r>
    </w:p>
    <w:p>
      <w:pPr>
        <w:pStyle w:val="BodyText"/>
        <w:spacing w:line="357" w:lineRule="auto" w:before="34"/>
        <w:ind w:right="148"/>
        <w:jc w:val="left"/>
      </w:pPr>
      <w:r>
        <w:rPr>
          <w:spacing w:val="-2"/>
        </w:rPr>
        <w:t>亏损合同，且该亏损合同产生的义务满足上述预计负债的确认条件的，将合同预计损失超过合同</w:t>
      </w:r>
      <w:r>
        <w:rPr>
          <w:spacing w:val="-25"/>
        </w:rPr>
        <w:t> </w:t>
      </w:r>
      <w:r>
        <w:rPr>
          <w:spacing w:val="-25"/>
        </w:rPr>
      </w:r>
      <w:r>
        <w:rPr/>
        <w:t>标的资产已确认的减值损失（如有）的部分，确认为预计负债。</w:t>
      </w:r>
    </w:p>
    <w:p>
      <w:pPr>
        <w:pStyle w:val="BodyText"/>
        <w:spacing w:line="355" w:lineRule="auto" w:before="30"/>
        <w:ind w:left="558" w:right="148"/>
        <w:jc w:val="left"/>
      </w:pPr>
      <w:r>
        <w:rPr/>
        <w:t>（</w:t>
      </w:r>
      <w:r>
        <w:rPr>
          <w:rFonts w:ascii="宋体" w:hAnsi="宋体" w:cs="宋体" w:eastAsia="宋体" w:hint="default"/>
        </w:rPr>
        <w:t>2</w:t>
      </w:r>
      <w:r>
        <w:rPr/>
        <w:t>）重组义务</w:t>
      </w:r>
      <w:r>
        <w:rPr>
          <w:w w:val="100"/>
        </w:rPr>
        <w:t> </w:t>
      </w:r>
      <w:r>
        <w:rPr>
          <w:spacing w:val="-7"/>
          <w:w w:val="100"/>
        </w:rPr>
        <w:t>对于有详细、正式并且已经对外公告的重组计划，在满足前述预计负债的确认条件的情况下，</w:t>
      </w:r>
    </w:p>
    <w:p>
      <w:pPr>
        <w:pStyle w:val="BodyText"/>
        <w:spacing w:line="240" w:lineRule="auto" w:before="32"/>
        <w:ind w:right="148"/>
        <w:jc w:val="left"/>
      </w:pPr>
      <w:r>
        <w:rPr/>
        <w:t>按照与重组有关的直接支出确定预计负债金额。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148"/>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40" w:lineRule="auto" w:before="58"/>
        <w:ind w:right="14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148"/>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80" w:val="left" w:leader="none"/>
        </w:tabs>
        <w:spacing w:line="240" w:lineRule="auto" w:before="56"/>
        <w:ind w:right="148"/>
        <w:jc w:val="left"/>
      </w:pPr>
      <w:r>
        <w:rPr>
          <w:spacing w:val="-1"/>
        </w:rPr>
        <w:t>□适用</w:t>
        <w:tab/>
      </w:r>
      <w:r>
        <w:rPr>
          <w:spacing w:val="-2"/>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40" w:lineRule="auto" w:before="36"/>
        <w:ind w:left="138" w:right="2543"/>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73" w:lineRule="exact" w:before="58"/>
        <w:ind w:right="2543"/>
        <w:jc w:val="left"/>
      </w:pPr>
      <w:r>
        <w:rPr>
          <w:spacing w:val="-1"/>
        </w:rPr>
        <w:t>√适用</w:t>
        <w:tab/>
      </w:r>
      <w:r>
        <w:rPr>
          <w:spacing w:val="-2"/>
        </w:rPr>
        <w:t>□不适用</w:t>
      </w:r>
    </w:p>
    <w:p>
      <w:pPr>
        <w:pStyle w:val="BodyText"/>
        <w:spacing w:line="357" w:lineRule="auto"/>
        <w:ind w:left="558" w:right="0"/>
        <w:jc w:val="left"/>
      </w:pPr>
      <w:r>
        <w:rPr/>
        <w:t>（</w:t>
      </w:r>
      <w:r>
        <w:rPr>
          <w:rFonts w:ascii="宋体" w:hAnsi="宋体" w:cs="宋体" w:eastAsia="宋体"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355" w:lineRule="auto" w:before="30"/>
        <w:ind w:right="0"/>
        <w:jc w:val="left"/>
      </w:pPr>
      <w:r>
        <w:rPr>
          <w:spacing w:val="-2"/>
        </w:rPr>
        <w:t>管理权，也没有对已售商品实施有效控制，收入的金额能够可靠地计量，相关的经济利益很可能</w:t>
      </w:r>
      <w:r>
        <w:rPr>
          <w:spacing w:val="-25"/>
        </w:rPr>
        <w:t> </w:t>
      </w:r>
      <w:r>
        <w:rPr>
          <w:spacing w:val="-25"/>
        </w:rPr>
      </w:r>
      <w:r>
        <w:rPr/>
        <w:t>流入企业，相关的已发生或将发生的成本能够可靠地计量时，确认商品销售收入的实现。</w:t>
      </w:r>
    </w:p>
    <w:p>
      <w:pPr>
        <w:pStyle w:val="BodyText"/>
        <w:spacing w:line="355" w:lineRule="auto" w:before="32"/>
        <w:ind w:left="558" w:right="0"/>
        <w:jc w:val="left"/>
      </w:pPr>
      <w:r>
        <w:rPr/>
        <w:t>（</w:t>
      </w:r>
      <w:r>
        <w:rPr>
          <w:rFonts w:ascii="宋体" w:hAnsi="宋体" w:cs="宋体" w:eastAsia="宋体" w:hint="default"/>
        </w:rPr>
        <w:t>2</w:t>
      </w:r>
      <w:r>
        <w:rPr/>
        <w:t>）提供劳务收入</w:t>
      </w:r>
      <w:r>
        <w:rPr>
          <w:w w:val="100"/>
        </w:rPr>
        <w:t> </w:t>
      </w:r>
      <w:r>
        <w:rPr>
          <w:spacing w:val="-2"/>
        </w:rPr>
        <w:t>在提供劳务交易的结果能够可靠估计的情况下，于资产负债表日按照完工百分比法确认提供</w:t>
      </w:r>
    </w:p>
    <w:p>
      <w:pPr>
        <w:pStyle w:val="BodyText"/>
        <w:spacing w:line="357" w:lineRule="auto" w:before="34"/>
        <w:ind w:left="558" w:right="0" w:hanging="420"/>
        <w:jc w:val="left"/>
      </w:pPr>
      <w:r>
        <w:rPr/>
        <w:t>的劳务收入。劳务交易的完工进度按已完工作的测量确定。</w:t>
      </w:r>
      <w:r>
        <w:rPr>
          <w:w w:val="100"/>
        </w:rPr>
        <w:t> </w:t>
      </w:r>
      <w:r>
        <w:rPr>
          <w:spacing w:val="-2"/>
        </w:rPr>
        <w:t>提供劳务交易的结果能够可靠估计是指同时满足：①收入的金额能够可靠地计量；②相关的</w:t>
      </w:r>
    </w:p>
    <w:p>
      <w:pPr>
        <w:pStyle w:val="BodyText"/>
        <w:spacing w:line="355" w:lineRule="auto" w:before="30"/>
        <w:ind w:right="0"/>
        <w:jc w:val="left"/>
      </w:pPr>
      <w:r>
        <w:rPr>
          <w:spacing w:val="-2"/>
        </w:rPr>
        <w:t>经济利益很可能流入企业；③交易的完工程度能够可靠地确定；④交易中已发生和将发生的成本</w:t>
      </w:r>
      <w:r>
        <w:rPr>
          <w:spacing w:val="-25"/>
        </w:rPr>
        <w:t> </w:t>
      </w:r>
      <w:r>
        <w:rPr>
          <w:spacing w:val="-25"/>
        </w:rPr>
      </w:r>
      <w:r>
        <w:rPr/>
        <w:t>能够可靠地计量。</w:t>
      </w:r>
    </w:p>
    <w:p>
      <w:pPr>
        <w:pStyle w:val="BodyText"/>
        <w:spacing w:line="355" w:lineRule="auto" w:before="34"/>
        <w:ind w:right="13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357" w:lineRule="auto" w:before="32"/>
        <w:ind w:right="137" w:firstLine="419"/>
        <w:jc w:val="both"/>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p>
    <w:p>
      <w:pPr>
        <w:pStyle w:val="BodyText"/>
        <w:spacing w:line="355" w:lineRule="auto" w:before="30"/>
        <w:ind w:left="558" w:right="3467"/>
        <w:jc w:val="left"/>
      </w:pPr>
      <w:r>
        <w:rPr/>
        <w:t>（</w:t>
      </w:r>
      <w:r>
        <w:rPr>
          <w:rFonts w:ascii="宋体" w:hAnsi="宋体" w:cs="宋体" w:eastAsia="宋体" w:hint="default"/>
        </w:rPr>
        <w:t>3</w:t>
      </w:r>
      <w:r>
        <w:rPr/>
        <w:t>）使用费收入</w:t>
      </w:r>
      <w:r>
        <w:rPr>
          <w:w w:val="100"/>
        </w:rPr>
        <w:t> </w:t>
      </w:r>
      <w:r>
        <w:rPr>
          <w:spacing w:val="-2"/>
        </w:rPr>
        <w:t>根据有关合同或协议，按权责发生制确认收入。</w:t>
      </w:r>
    </w:p>
    <w:p>
      <w:pPr>
        <w:pStyle w:val="BodyText"/>
        <w:spacing w:line="355" w:lineRule="auto" w:before="32"/>
        <w:ind w:left="558" w:right="2543"/>
        <w:jc w:val="left"/>
      </w:pPr>
      <w:r>
        <w:rPr/>
        <w:t>（</w:t>
      </w:r>
      <w:r>
        <w:rPr>
          <w:rFonts w:ascii="宋体" w:hAnsi="宋体" w:cs="宋体" w:eastAsia="宋体" w:hint="default"/>
        </w:rPr>
        <w:t>4</w:t>
      </w:r>
      <w:r>
        <w:rPr/>
        <w:t>）利息收入</w:t>
      </w:r>
      <w:r>
        <w:rPr>
          <w:w w:val="100"/>
        </w:rPr>
        <w:t> </w:t>
      </w:r>
      <w:r>
        <w:rPr>
          <w:spacing w:val="-2"/>
        </w:rPr>
        <w:t>按照他人使用本集团货币资金的时间和实际利率计算确定。</w:t>
      </w:r>
    </w:p>
    <w:p>
      <w:pPr>
        <w:pStyle w:val="BodyText"/>
        <w:spacing w:line="355" w:lineRule="auto" w:before="34"/>
        <w:ind w:left="558" w:right="0"/>
        <w:jc w:val="left"/>
      </w:pPr>
      <w:r>
        <w:rPr/>
        <w:t>（</w:t>
      </w:r>
      <w:r>
        <w:rPr>
          <w:rFonts w:ascii="宋体" w:hAnsi="宋体" w:cs="宋体" w:eastAsia="宋体" w:hint="default"/>
        </w:rPr>
        <w:t>5</w:t>
      </w:r>
      <w:r>
        <w:rPr/>
        <w:t>）本集团收入的具体确认方法</w:t>
      </w:r>
      <w:r>
        <w:rPr>
          <w:w w:val="100"/>
        </w:rPr>
        <w:t> </w:t>
      </w:r>
      <w:r>
        <w:rPr>
          <w:spacing w:val="-2"/>
        </w:rPr>
        <w:t>本公司业务收入主要为广告发布及宣传服务收入，按照与客户签订的合同约定服务内容及价</w:t>
      </w:r>
    </w:p>
    <w:p>
      <w:pPr>
        <w:pStyle w:val="BodyText"/>
        <w:spacing w:line="357" w:lineRule="auto" w:before="32"/>
        <w:ind w:right="0"/>
        <w:jc w:val="left"/>
      </w:pPr>
      <w:r>
        <w:rPr>
          <w:spacing w:val="-2"/>
        </w:rPr>
        <w:t>格，经与客户确认的广告发布及宣传服务的排期表（具体发布期间），根据已提供服务的期间占</w:t>
      </w:r>
      <w:r>
        <w:rPr>
          <w:spacing w:val="-26"/>
        </w:rPr>
        <w:t> </w:t>
      </w:r>
      <w:r>
        <w:rPr>
          <w:spacing w:val="-26"/>
        </w:rPr>
      </w:r>
      <w:r>
        <w:rPr/>
        <w:t>服务总期间的比例来确定完工进度，按照完工百分比法确认当期收入。</w:t>
      </w:r>
    </w:p>
    <w:p>
      <w:pPr>
        <w:pStyle w:val="BodyText"/>
        <w:spacing w:line="355" w:lineRule="auto" w:before="32"/>
        <w:ind w:right="137" w:firstLine="419"/>
        <w:jc w:val="both"/>
      </w:pPr>
      <w:r>
        <w:rPr>
          <w:spacing w:val="-2"/>
        </w:rPr>
        <w:t>本公司信息服务费收入，按照与客户签订的合同约定的服务内容、价格及信息服务提供期向</w:t>
      </w:r>
      <w:r>
        <w:rPr>
          <w:w w:val="100"/>
        </w:rPr>
        <w:t> </w:t>
      </w:r>
      <w:r>
        <w:rPr>
          <w:spacing w:val="-2"/>
        </w:rPr>
        <w:t>客户提供信息服务（新闻信息、图片信息等），依据已提供服务期占总服务期的比例来确定完工</w:t>
      </w:r>
      <w:r>
        <w:rPr>
          <w:spacing w:val="-26"/>
        </w:rPr>
        <w:t> </w:t>
      </w:r>
      <w:r>
        <w:rPr>
          <w:spacing w:val="-26"/>
        </w:rPr>
      </w:r>
      <w:r>
        <w:rPr/>
        <w:t>进度，按照完工百分比法确认当期收入。</w:t>
      </w:r>
    </w:p>
    <w:p>
      <w:pPr>
        <w:spacing w:line="240" w:lineRule="auto" w:before="13"/>
        <w:rPr>
          <w:rFonts w:ascii="宋体" w:hAnsi="宋体" w:cs="宋体" w:eastAsia="宋体" w:hint="default"/>
          <w:sz w:val="27"/>
          <w:szCs w:val="27"/>
        </w:rPr>
      </w:pPr>
    </w:p>
    <w:p>
      <w:pPr>
        <w:pStyle w:val="Heading2"/>
        <w:spacing w:line="290" w:lineRule="auto"/>
        <w:ind w:left="138" w:right="3467"/>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72" w:lineRule="exact" w:before="42"/>
        <w:ind w:left="558" w:right="137" w:hanging="420"/>
        <w:jc w:val="left"/>
      </w:pPr>
      <w:r>
        <w:rPr>
          <w:spacing w:val="-1"/>
        </w:rPr>
        <w:t>√适用</w:t>
        <w:tab/>
      </w:r>
      <w:r>
        <w:rPr>
          <w:spacing w:val="-2"/>
        </w:rPr>
        <w:t>□不适用</w:t>
      </w:r>
      <w:r>
        <w:rPr>
          <w:spacing w:val="-99"/>
        </w:rPr>
        <w:t> </w:t>
      </w:r>
      <w:r>
        <w:rPr>
          <w:spacing w:val="-99"/>
        </w:rPr>
      </w:r>
      <w:r>
        <w:rPr>
          <w:spacing w:val="-2"/>
        </w:rPr>
        <w:t>本公司将所取得的用于购建或以其他方式形成长期资产的政府补助界定为与资产相关的政府</w:t>
      </w:r>
    </w:p>
    <w:p>
      <w:pPr>
        <w:pStyle w:val="BodyText"/>
        <w:spacing w:line="240" w:lineRule="auto" w:before="108"/>
        <w:ind w:right="0"/>
        <w:jc w:val="left"/>
      </w:pPr>
      <w:r>
        <w:rPr/>
        <w:t>补助；其余政府补助界定为与收益相关的政府补助。若政府文件未明确规定补助对象，则采用以</w:t>
      </w:r>
    </w:p>
    <w:p>
      <w:pPr>
        <w:spacing w:after="0" w:line="240" w:lineRule="auto"/>
        <w:jc w:val="left"/>
        <w:sectPr>
          <w:footerReference w:type="default" r:id="rId50"/>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08"/>
        <w:jc w:val="both"/>
      </w:pPr>
      <w:r>
        <w:rPr>
          <w:spacing w:val="-4"/>
        </w:rPr>
        <w:t>下方式将补助款划分为与收益相关的政府补助和与资产相关的政府补助：（</w:t>
      </w:r>
      <w:r>
        <w:rPr>
          <w:rFonts w:ascii="宋体" w:hAnsi="宋体" w:cs="宋体" w:eastAsia="宋体" w:hint="default"/>
          <w:spacing w:val="-4"/>
        </w:rPr>
        <w:t>1</w:t>
      </w:r>
      <w:r>
        <w:rPr>
          <w:spacing w:val="-4"/>
        </w:rPr>
        <w:t>）政府文件明确了补</w:t>
      </w:r>
      <w:r>
        <w:rPr>
          <w:spacing w:val="-35"/>
        </w:rPr>
        <w:t> </w:t>
      </w:r>
      <w:r>
        <w:rPr>
          <w:spacing w:val="-35"/>
        </w:rPr>
      </w:r>
      <w:r>
        <w:rPr>
          <w:spacing w:val="-2"/>
        </w:rPr>
        <w:t>助所针对的特定项目的，根据该特定项目的预算中将形成资产的支出金额和计入费用的支出金额</w:t>
      </w:r>
      <w:r>
        <w:rPr>
          <w:spacing w:val="-25"/>
        </w:rPr>
        <w:t> </w:t>
      </w:r>
      <w:r>
        <w:rPr>
          <w:spacing w:val="-25"/>
        </w:rPr>
      </w:r>
      <w:r>
        <w:rPr>
          <w:spacing w:val="-5"/>
        </w:rPr>
        <w:t>的相对比例进行划分，对该划分比例需在每个资产负债表日进行复核，必要时进行变更；（</w:t>
      </w:r>
      <w:r>
        <w:rPr>
          <w:rFonts w:ascii="宋体" w:hAnsi="宋体" w:cs="宋体" w:eastAsia="宋体" w:hint="default"/>
          <w:spacing w:val="-5"/>
        </w:rPr>
        <w:t>2</w:t>
      </w:r>
      <w:r>
        <w:rPr>
          <w:spacing w:val="-5"/>
        </w:rPr>
        <w:t>）政</w:t>
      </w:r>
      <w:r>
        <w:rPr>
          <w:spacing w:val="-12"/>
        </w:rPr>
        <w:t> </w:t>
      </w:r>
      <w:r>
        <w:rPr>
          <w:spacing w:val="-2"/>
        </w:rPr>
        <w:t>府文件中对用途仅作一般性表述，没有指明特定项目的，作为与收益相关的政府补助。政府补助</w:t>
      </w:r>
      <w:r>
        <w:rPr>
          <w:spacing w:val="-25"/>
        </w:rPr>
        <w:t> </w:t>
      </w:r>
      <w:r>
        <w:rPr>
          <w:spacing w:val="-25"/>
        </w:rPr>
      </w:r>
      <w:r>
        <w:rPr>
          <w:spacing w:val="-6"/>
        </w:rPr>
        <w:t>为货币性资产的，按照收到或应收的金额计量。政府补助为非货币性资产的，按照公允价值计量；</w:t>
      </w:r>
      <w:r>
        <w:rPr>
          <w:spacing w:val="-54"/>
        </w:rPr>
        <w:t> </w:t>
      </w:r>
      <w:r>
        <w:rPr>
          <w:spacing w:val="-54"/>
        </w:rPr>
      </w:r>
      <w:r>
        <w:rPr>
          <w:spacing w:val="-2"/>
        </w:rPr>
        <w:t>公允价值不能够可靠取得的，按照名义金额计量。按照名义金额计量的政府补助，直接计入当期</w:t>
      </w:r>
      <w:r>
        <w:rPr>
          <w:spacing w:val="-25"/>
        </w:rPr>
        <w:t> </w:t>
      </w:r>
      <w:r>
        <w:rPr>
          <w:spacing w:val="-25"/>
        </w:rPr>
      </w:r>
      <w:r>
        <w:rPr/>
        <w:t>损益。</w:t>
      </w:r>
    </w:p>
    <w:p>
      <w:pPr>
        <w:pStyle w:val="BodyText"/>
        <w:spacing w:line="357" w:lineRule="auto" w:before="30"/>
        <w:ind w:right="108" w:firstLine="419"/>
        <w:jc w:val="both"/>
      </w:pPr>
      <w:r>
        <w:rPr/>
        <w:t>本公司对于政府补助通常在实际收到时，按照实收金额予以确认和计量。但对于期末有确凿</w:t>
      </w:r>
      <w:r>
        <w:rPr>
          <w:w w:val="100"/>
        </w:rPr>
        <w:t> </w:t>
      </w:r>
      <w:r>
        <w:rPr/>
        <w:t>证据表明能够符合财政扶持政策规定的相关条件预计能够收到财政扶持资金，按照应收的金额计</w:t>
      </w:r>
      <w:r>
        <w:rPr>
          <w:w w:val="100"/>
        </w:rPr>
        <w:t> </w:t>
      </w:r>
      <w:r>
        <w:rPr>
          <w:spacing w:val="-4"/>
        </w:rPr>
        <w:t>量。按照应收金额计量的政府补助应同时符合以下条件：（</w:t>
      </w:r>
      <w:r>
        <w:rPr>
          <w:rFonts w:ascii="宋体" w:hAnsi="宋体" w:cs="宋体" w:eastAsia="宋体" w:hint="default"/>
          <w:spacing w:val="-4"/>
        </w:rPr>
        <w:t>1</w:t>
      </w:r>
      <w:r>
        <w:rPr>
          <w:spacing w:val="-4"/>
        </w:rPr>
        <w:t>）应收补助款的金额已经过有权政府</w:t>
      </w:r>
      <w:r>
        <w:rPr>
          <w:spacing w:val="-33"/>
        </w:rPr>
        <w:t> </w:t>
      </w:r>
      <w:r>
        <w:rPr>
          <w:spacing w:val="-33"/>
        </w:rPr>
      </w:r>
      <w:r>
        <w:rPr/>
        <w:t>部门发文确认，或者可根据正式发布的财政资金管理办法的有关规定自行合理测算，且预计其金</w:t>
      </w:r>
      <w:r>
        <w:rPr>
          <w:w w:val="100"/>
        </w:rPr>
        <w:t> </w:t>
      </w:r>
      <w:r>
        <w:rPr>
          <w:spacing w:val="-4"/>
        </w:rPr>
        <w:t>额不存在重大不确定性；（</w:t>
      </w:r>
      <w:r>
        <w:rPr>
          <w:rFonts w:ascii="宋体" w:hAnsi="宋体" w:cs="宋体" w:eastAsia="宋体" w:hint="default"/>
          <w:spacing w:val="-4"/>
        </w:rPr>
        <w:t>2</w:t>
      </w:r>
      <w:r>
        <w:rPr>
          <w:spacing w:val="-4"/>
        </w:rPr>
        <w:t>）所依据的是当地财政部门正式发布并按照《政府信息公开条例》的</w:t>
      </w:r>
      <w:r>
        <w:rPr>
          <w:spacing w:val="-33"/>
        </w:rPr>
        <w:t> </w:t>
      </w:r>
      <w:r>
        <w:rPr>
          <w:spacing w:val="-33"/>
        </w:rPr>
      </w:r>
      <w:r>
        <w:rPr/>
        <w:t>规定予以主动公开的财政扶持项目及其财政资金管理办法，且该管理办法应当是普惠性的（任何</w:t>
      </w:r>
      <w:r>
        <w:rPr>
          <w:w w:val="100"/>
        </w:rPr>
        <w:t> </w:t>
      </w:r>
      <w:r>
        <w:rPr>
          <w:spacing w:val="-4"/>
        </w:rPr>
        <w:t>符合规定条件的企业均可申请），而不是专门针对特定企业制定的；（</w:t>
      </w:r>
      <w:r>
        <w:rPr>
          <w:rFonts w:ascii="宋体" w:hAnsi="宋体" w:cs="宋体" w:eastAsia="宋体" w:hint="default"/>
          <w:spacing w:val="-4"/>
        </w:rPr>
        <w:t>3</w:t>
      </w:r>
      <w:r>
        <w:rPr>
          <w:spacing w:val="-4"/>
        </w:rPr>
        <w:t>）相关的补助款批文中已</w:t>
      </w:r>
      <w:r>
        <w:rPr>
          <w:spacing w:val="-34"/>
        </w:rPr>
        <w:t> </w:t>
      </w:r>
      <w:r>
        <w:rPr>
          <w:spacing w:val="-34"/>
        </w:rPr>
      </w:r>
      <w:r>
        <w:rPr/>
        <w:t>明确承诺了拨付期限，且该款项的拨付是有相应财政预算作为保障的，因而可以合理保证其可在</w:t>
      </w:r>
      <w:r>
        <w:rPr>
          <w:w w:val="100"/>
        </w:rPr>
        <w:t> </w:t>
      </w:r>
      <w:r>
        <w:rPr>
          <w:spacing w:val="-2"/>
        </w:rPr>
        <w:t>规定期限内收到；（</w:t>
      </w:r>
      <w:r>
        <w:rPr>
          <w:rFonts w:ascii="宋体" w:hAnsi="宋体" w:cs="宋体" w:eastAsia="宋体" w:hint="default"/>
          <w:spacing w:val="-2"/>
        </w:rPr>
        <w:t>4</w:t>
      </w:r>
      <w:r>
        <w:rPr>
          <w:spacing w:val="-2"/>
        </w:rPr>
        <w:t>）根据本公司和该补助事项的具体情况，应满足的其他相关条件（如有）。</w:t>
      </w:r>
    </w:p>
    <w:p>
      <w:pPr>
        <w:pStyle w:val="BodyText"/>
        <w:spacing w:line="355" w:lineRule="auto" w:before="30"/>
        <w:ind w:right="217" w:firstLine="419"/>
        <w:jc w:val="right"/>
      </w:pPr>
      <w:r>
        <w:rPr>
          <w:spacing w:val="-2"/>
        </w:rPr>
        <w:t>与资产相关的政府补助，确认为递延收益，并在相关资产的使用寿命内平均分配计入当期损</w:t>
      </w:r>
      <w:r>
        <w:rPr>
          <w:w w:val="100"/>
        </w:rPr>
        <w:t> </w:t>
      </w:r>
      <w:r>
        <w:rPr>
          <w:spacing w:val="-2"/>
        </w:rPr>
        <w:t>益。与收益相关的政府补助，用于补偿以后期间的相关费用和损失的，确认为递延收益，并在确</w:t>
      </w:r>
      <w:r>
        <w:rPr>
          <w:spacing w:val="-45"/>
        </w:rPr>
        <w:t> </w:t>
      </w:r>
      <w:r>
        <w:rPr>
          <w:spacing w:val="-45"/>
        </w:rPr>
      </w:r>
      <w:r>
        <w:rPr>
          <w:spacing w:val="-2"/>
        </w:rPr>
        <w:t>认相关费用的期间计入当期损益；用于补偿已经发生的相关费用和损失的，直接计入当期损益。</w:t>
      </w:r>
      <w:r>
        <w:rPr>
          <w:spacing w:val="-43"/>
        </w:rPr>
        <w:t> </w:t>
      </w:r>
      <w:r>
        <w:rPr>
          <w:spacing w:val="-43"/>
        </w:rPr>
      </w:r>
      <w:r>
        <w:rPr>
          <w:spacing w:val="-2"/>
        </w:rPr>
        <w:t>同时包含与资产相关部分和与收益相关部分的政府补助，区分不同部分分别进行会计处理；</w:t>
      </w:r>
    </w:p>
    <w:p>
      <w:pPr>
        <w:pStyle w:val="BodyText"/>
        <w:spacing w:line="355" w:lineRule="auto" w:before="34"/>
        <w:ind w:left="558" w:right="148" w:hanging="420"/>
        <w:jc w:val="left"/>
      </w:pPr>
      <w:r>
        <w:rPr/>
        <w:t>难以区分的，将其整体归类为与收益相关的政府补助。</w:t>
      </w:r>
      <w:r>
        <w:rPr>
          <w:w w:val="100"/>
        </w:rPr>
        <w:t> </w:t>
      </w:r>
      <w:r>
        <w:rPr>
          <w:spacing w:val="-2"/>
        </w:rPr>
        <w:t>与本公司日常活动相关的政府补助，按照经济业务的实质，计入其他收益或冲减相关成本费</w:t>
      </w:r>
    </w:p>
    <w:p>
      <w:pPr>
        <w:pStyle w:val="BodyText"/>
        <w:spacing w:line="355" w:lineRule="auto" w:before="32"/>
        <w:ind w:left="558" w:right="148" w:hanging="420"/>
        <w:jc w:val="left"/>
      </w:pPr>
      <w:r>
        <w:rPr/>
        <w:t>用；与日常活动无关的政府补助，计入营业外收支。</w:t>
      </w:r>
      <w:r>
        <w:rPr>
          <w:w w:val="100"/>
        </w:rPr>
        <w:t> </w:t>
      </w:r>
      <w:r>
        <w:rPr>
          <w:spacing w:val="-2"/>
        </w:rPr>
        <w:t>已确认的政府补助需要退回时，存在相关递延收益余额的，冲减相关递延收益账面余额，超</w:t>
      </w:r>
    </w:p>
    <w:p>
      <w:pPr>
        <w:pStyle w:val="BodyText"/>
        <w:spacing w:line="355" w:lineRule="auto" w:before="35"/>
        <w:ind w:right="148"/>
        <w:jc w:val="left"/>
      </w:pPr>
      <w:r>
        <w:rPr>
          <w:spacing w:val="-2"/>
        </w:rPr>
        <w:t>出部分计入当期损益或对初始确认时冲减相关资产账面价值的与资产相关的政府补助）调整资产</w:t>
      </w:r>
      <w:r>
        <w:rPr>
          <w:spacing w:val="-25"/>
        </w:rPr>
        <w:t> </w:t>
      </w:r>
      <w:r>
        <w:rPr>
          <w:spacing w:val="-25"/>
        </w:rPr>
      </w:r>
      <w:r>
        <w:rPr/>
        <w:t>账面价值；属于其他情况的，直接计入当期损益。</w:t>
      </w:r>
    </w:p>
    <w:p>
      <w:pPr>
        <w:spacing w:line="240" w:lineRule="auto" w:before="10"/>
        <w:rPr>
          <w:rFonts w:ascii="宋体" w:hAnsi="宋体" w:cs="宋体" w:eastAsia="宋体" w:hint="default"/>
          <w:sz w:val="27"/>
          <w:szCs w:val="27"/>
        </w:rPr>
      </w:pPr>
    </w:p>
    <w:p>
      <w:pPr>
        <w:pStyle w:val="Heading2"/>
        <w:spacing w:line="240" w:lineRule="auto"/>
        <w:ind w:left="138" w:right="148"/>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与收益相关的政府补助判断依据及会计处理方法详见上文“与资产相关的政府补助判断依据</w:t>
      </w:r>
    </w:p>
    <w:p>
      <w:pPr>
        <w:pStyle w:val="BodyText"/>
        <w:spacing w:line="240" w:lineRule="auto" w:before="110"/>
        <w:ind w:right="148"/>
        <w:jc w:val="left"/>
      </w:pPr>
      <w:r>
        <w:rPr/>
        <w:t>及会计处理方法”中相关描述。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left="138" w:right="148"/>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73" w:lineRule="exact" w:before="32"/>
        <w:ind w:right="148"/>
        <w:jc w:val="left"/>
      </w:pPr>
      <w:r>
        <w:rPr>
          <w:spacing w:val="-1"/>
        </w:rPr>
        <w:t>√适用</w:t>
        <w:tab/>
      </w:r>
      <w:r>
        <w:rPr>
          <w:spacing w:val="-2"/>
        </w:rPr>
        <w:t>□不适用</w:t>
      </w:r>
    </w:p>
    <w:p>
      <w:pPr>
        <w:pStyle w:val="BodyText"/>
        <w:spacing w:line="273" w:lineRule="exact"/>
        <w:ind w:left="558" w:right="148"/>
        <w:jc w:val="left"/>
      </w:pPr>
      <w:r>
        <w:rPr/>
        <w:t>（</w:t>
      </w:r>
      <w:r>
        <w:rPr>
          <w:rFonts w:ascii="宋体" w:hAnsi="宋体" w:cs="宋体" w:eastAsia="宋体" w:hint="default"/>
        </w:rPr>
        <w:t>1</w:t>
      </w:r>
      <w:r>
        <w:rPr/>
        <w:t>）当期所得税</w:t>
      </w:r>
    </w:p>
    <w:p>
      <w:pPr>
        <w:spacing w:after="0" w:line="273" w:lineRule="exact"/>
        <w:jc w:val="left"/>
        <w:sectPr>
          <w:footerReference w:type="default" r:id="rId51"/>
          <w:pgSz w:w="11910" w:h="16840"/>
          <w:pgMar w:footer="1195" w:header="882" w:top="1120" w:bottom="1380" w:left="1660" w:right="1060"/>
          <w:pgNumType w:start="101"/>
        </w:sectPr>
      </w:pPr>
    </w:p>
    <w:p>
      <w:pPr>
        <w:spacing w:line="240" w:lineRule="auto" w:before="1"/>
        <w:rPr>
          <w:rFonts w:ascii="宋体" w:hAnsi="宋体" w:cs="宋体" w:eastAsia="宋体" w:hint="default"/>
          <w:sz w:val="25"/>
          <w:szCs w:val="25"/>
        </w:rPr>
      </w:pPr>
    </w:p>
    <w:p>
      <w:pPr>
        <w:pStyle w:val="BodyText"/>
        <w:spacing w:line="357" w:lineRule="auto" w:before="36"/>
        <w:ind w:right="217" w:firstLine="419"/>
        <w:jc w:val="both"/>
      </w:pPr>
      <w:r>
        <w:rPr>
          <w:spacing w:val="-2"/>
        </w:rPr>
        <w:t>资产负债表日，对于当期和以前期间形成的当期所得税负债（或资产），以按照税法规定计</w:t>
      </w:r>
      <w:r>
        <w:rPr>
          <w:w w:val="100"/>
        </w:rPr>
        <w:t> </w:t>
      </w: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355" w:lineRule="auto" w:before="30"/>
        <w:ind w:left="558" w:right="148"/>
        <w:jc w:val="left"/>
      </w:pPr>
      <w:r>
        <w:rPr/>
        <w:t>（</w:t>
      </w:r>
      <w:r>
        <w:rPr>
          <w:rFonts w:ascii="宋体" w:hAnsi="宋体" w:cs="宋体" w:eastAsia="宋体"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357" w:lineRule="auto" w:before="32"/>
        <w:ind w:right="148"/>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0" w:lineRule="auto" w:before="30"/>
        <w:ind w:left="558" w:right="148"/>
        <w:jc w:val="left"/>
      </w:pPr>
      <w:r>
        <w:rPr/>
        <w:t>与商誉的初始确认有关，以及与既不是企业合并、发生时也不影响会计利润和应纳税所得额</w:t>
      </w:r>
    </w:p>
    <w:p>
      <w:pPr>
        <w:pStyle w:val="BodyText"/>
        <w:spacing w:line="357" w:lineRule="auto" w:before="133"/>
        <w:ind w:right="0"/>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也不予确认有关的递延所得税负债。除上述例外情况，本公司确认其他所有应纳税暂时性差异产</w:t>
      </w:r>
      <w:r>
        <w:rPr>
          <w:w w:val="100"/>
        </w:rPr>
        <w:t> </w:t>
      </w:r>
      <w:r>
        <w:rPr/>
        <w:t>生的递延所得税负债。</w:t>
      </w:r>
    </w:p>
    <w:p>
      <w:pPr>
        <w:pStyle w:val="BodyText"/>
        <w:spacing w:line="357" w:lineRule="auto" w:before="30"/>
        <w:ind w:right="217" w:firstLine="419"/>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5"/>
        </w:rPr>
        <w:t> </w:t>
      </w:r>
      <w:r>
        <w:rPr>
          <w:spacing w:val="-25"/>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357" w:lineRule="auto" w:before="30"/>
        <w:ind w:right="217" w:firstLine="419"/>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355" w:lineRule="auto" w:before="30"/>
        <w:ind w:right="21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7" w:lineRule="auto" w:before="32"/>
        <w:ind w:right="217" w:firstLine="419"/>
        <w:jc w:val="both"/>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pStyle w:val="BodyText"/>
        <w:spacing w:line="355" w:lineRule="auto" w:before="30"/>
        <w:ind w:left="558" w:right="3888"/>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357" w:lineRule="auto" w:before="32"/>
        <w:ind w:right="217" w:firstLine="419"/>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r>
        <w:rPr>
          <w:spacing w:val="-25"/>
        </w:rPr>
        <w:t> </w:t>
      </w:r>
      <w:r>
        <w:rPr>
          <w:spacing w:val="-25"/>
        </w:rPr>
      </w:r>
      <w:r>
        <w:rPr/>
        <w:t>所得税和递延所得税费用或收益计入当期损益。</w:t>
      </w:r>
    </w:p>
    <w:p>
      <w:pPr>
        <w:pStyle w:val="BodyText"/>
        <w:spacing w:line="357" w:lineRule="auto" w:before="30"/>
        <w:ind w:left="558" w:right="148"/>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40" w:lineRule="auto" w:before="32"/>
        <w:ind w:right="148"/>
        <w:jc w:val="left"/>
      </w:pPr>
      <w:r>
        <w:rPr/>
        <w:t>司当期所得税资产及当期所得税负债以抵销后的净额列报。</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line="240" w:lineRule="auto" w:before="11"/>
        <w:rPr>
          <w:rFonts w:ascii="宋体" w:hAnsi="宋体" w:cs="宋体" w:eastAsia="宋体" w:hint="default"/>
          <w:sz w:val="27"/>
          <w:szCs w:val="27"/>
        </w:rPr>
      </w:pPr>
    </w:p>
    <w:p>
      <w:pPr>
        <w:pStyle w:val="Heading2"/>
        <w:spacing w:line="290" w:lineRule="auto"/>
        <w:ind w:left="138" w:right="61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3" w:lineRule="exact" w:before="14"/>
        <w:ind w:right="0"/>
        <w:jc w:val="both"/>
      </w:pPr>
      <w:r>
        <w:rPr/>
        <w:t>√适用</w:t>
      </w:r>
      <w:r>
        <w:rPr>
          <w:spacing w:val="104"/>
        </w:rPr>
        <w:t> </w:t>
      </w:r>
      <w:r>
        <w:rPr/>
        <w:t>□不适用</w:t>
      </w:r>
    </w:p>
    <w:p>
      <w:pPr>
        <w:pStyle w:val="BodyText"/>
        <w:spacing w:line="357" w:lineRule="auto"/>
        <w:ind w:left="558" w:right="0"/>
        <w:jc w:val="left"/>
      </w:pPr>
      <w:r>
        <w:rPr/>
        <w:t>（</w:t>
      </w:r>
      <w:r>
        <w:rPr>
          <w:rFonts w:ascii="宋体" w:hAnsi="宋体" w:cs="宋体" w:eastAsia="宋体" w:hint="default"/>
        </w:rPr>
        <w:t>1</w:t>
      </w:r>
      <w:r>
        <w:rPr/>
        <w:t>）本公司作为承租人记录经营租赁业务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before="30"/>
        <w:ind w:right="0"/>
        <w:jc w:val="both"/>
      </w:pPr>
      <w:r>
        <w:rPr/>
        <w:t>接费用计入当期损益。或有租金于实际发生时计入当期损益。</w:t>
      </w:r>
    </w:p>
    <w:p>
      <w:pPr>
        <w:pStyle w:val="BodyText"/>
        <w:spacing w:line="355" w:lineRule="auto" w:before="133"/>
        <w:ind w:left="558" w:right="0"/>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357" w:lineRule="auto" w:before="32"/>
        <w:ind w:right="130"/>
        <w:jc w:val="both"/>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p>
    <w:p>
      <w:pPr>
        <w:pStyle w:val="Heading2"/>
        <w:spacing w:line="240" w:lineRule="auto" w:before="90"/>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74" w:lineRule="exact" w:before="56"/>
        <w:ind w:right="0"/>
        <w:jc w:val="both"/>
      </w:pPr>
      <w:r>
        <w:rPr/>
        <w:t>√适用</w:t>
      </w:r>
      <w:r>
        <w:rPr>
          <w:spacing w:val="104"/>
        </w:rPr>
        <w:t> </w:t>
      </w:r>
      <w:r>
        <w:rPr/>
        <w:t>□不适用</w:t>
      </w:r>
    </w:p>
    <w:p>
      <w:pPr>
        <w:pStyle w:val="BodyText"/>
        <w:spacing w:line="355" w:lineRule="auto"/>
        <w:ind w:left="558" w:right="0"/>
        <w:jc w:val="left"/>
      </w:pPr>
      <w:r>
        <w:rPr/>
        <w:t>（</w:t>
      </w:r>
      <w:r>
        <w:rPr>
          <w:rFonts w:ascii="宋体" w:hAnsi="宋体" w:cs="宋体" w:eastAsia="宋体" w:hint="default"/>
        </w:rPr>
        <w:t>1</w:t>
      </w:r>
      <w:r>
        <w:rPr/>
        <w:t>）本公司作为承租人记录融资租赁业务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357" w:lineRule="auto" w:before="32"/>
        <w:ind w:right="137"/>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spacing w:val="-2"/>
        </w:rPr>
        <w:t>入租入资产价值。最低租赁付款额扣除未确认融资费用后的余额分别长期负债和一年内到期的长</w:t>
      </w:r>
      <w:r>
        <w:rPr>
          <w:spacing w:val="-25"/>
        </w:rPr>
        <w:t> </w:t>
      </w:r>
      <w:r>
        <w:rPr>
          <w:spacing w:val="-25"/>
        </w:rPr>
      </w:r>
      <w:r>
        <w:rPr/>
        <w:t>期负债列示。</w:t>
      </w:r>
    </w:p>
    <w:p>
      <w:pPr>
        <w:pStyle w:val="BodyText"/>
        <w:spacing w:line="357" w:lineRule="auto" w:before="30"/>
        <w:ind w:right="137" w:firstLine="419"/>
        <w:jc w:val="both"/>
      </w:pPr>
      <w:r>
        <w:rPr>
          <w:spacing w:val="-2"/>
        </w:rPr>
        <w:t>未确认融资费用在租赁期内采用实际利率法计算确认当期的融资费用。或有租金于实际发生</w:t>
      </w:r>
      <w:r>
        <w:rPr>
          <w:w w:val="100"/>
        </w:rPr>
        <w:t> </w:t>
      </w:r>
      <w:r>
        <w:rPr/>
        <w:t>时计入当期损益。</w:t>
      </w:r>
    </w:p>
    <w:p>
      <w:pPr>
        <w:pStyle w:val="BodyText"/>
        <w:spacing w:line="355" w:lineRule="auto" w:before="32"/>
        <w:ind w:left="558" w:right="0"/>
        <w:jc w:val="left"/>
      </w:pPr>
      <w:r>
        <w:rPr/>
        <w:t>（</w:t>
      </w:r>
      <w:r>
        <w:rPr>
          <w:rFonts w:ascii="宋体" w:hAnsi="宋体" w:cs="宋体" w:eastAsia="宋体" w:hint="default"/>
        </w:rPr>
        <w:t>2</w:t>
      </w:r>
      <w:r>
        <w:rPr/>
        <w:t>）本公司作为出租人记录融资租赁业务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355" w:lineRule="auto" w:before="32"/>
        <w:ind w:right="137"/>
        <w:jc w:val="both"/>
      </w:pPr>
      <w:r>
        <w:rPr>
          <w:spacing w:val="-2"/>
        </w:rPr>
        <w:t>入账价值，同时记录未担保余值；将最低租赁收款额、初始直接费用及未担保余值之和与其现值</w:t>
      </w:r>
      <w:r>
        <w:rPr>
          <w:spacing w:val="-25"/>
        </w:rPr>
        <w:t> </w:t>
      </w:r>
      <w:r>
        <w:rPr>
          <w:spacing w:val="-25"/>
        </w:rPr>
      </w:r>
      <w:r>
        <w:rPr>
          <w:spacing w:val="-2"/>
        </w:rPr>
        <w:t>之和的差额确认为未实现融资收益。应收融资租赁款扣除未实现融资收益后的余额分别长期债权</w:t>
      </w:r>
      <w:r>
        <w:rPr>
          <w:spacing w:val="-25"/>
        </w:rPr>
        <w:t> </w:t>
      </w:r>
      <w:r>
        <w:rPr>
          <w:spacing w:val="-25"/>
        </w:rPr>
      </w:r>
      <w:r>
        <w:rPr/>
        <w:t>和一年内到期的长期债权列示。</w:t>
      </w:r>
    </w:p>
    <w:p>
      <w:pPr>
        <w:pStyle w:val="BodyText"/>
        <w:spacing w:line="355" w:lineRule="auto" w:before="34"/>
        <w:ind w:right="137" w:firstLine="419"/>
        <w:jc w:val="both"/>
      </w:pPr>
      <w:r>
        <w:rPr>
          <w:spacing w:val="-2"/>
        </w:rPr>
        <w:t>未实现融资收益在租赁期内采用实际利率法计算确认当期的融资收入。或有租金于实际发生</w:t>
      </w:r>
      <w:r>
        <w:rPr>
          <w:w w:val="100"/>
        </w:rPr>
        <w:t> </w:t>
      </w:r>
      <w:r>
        <w:rPr/>
        <w:t>时计入当期损益。</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本公司在运用会计政策过程中，由于经营活动内在的不确定性，本公司需要对无法准确计量</w:t>
      </w:r>
    </w:p>
    <w:p>
      <w:pPr>
        <w:pStyle w:val="BodyText"/>
        <w:spacing w:line="355" w:lineRule="auto" w:before="110"/>
        <w:ind w:right="208"/>
        <w:jc w:val="both"/>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r>
        <w:rPr>
          <w:spacing w:val="-26"/>
        </w:rPr>
        <w:t> </w:t>
      </w:r>
      <w:r>
        <w:rPr>
          <w:spacing w:val="-26"/>
        </w:rPr>
      </w:r>
      <w:r>
        <w:rPr/>
        <w:t>金额进行重大调整。</w:t>
      </w:r>
    </w:p>
    <w:p>
      <w:pPr>
        <w:pStyle w:val="BodyText"/>
        <w:spacing w:line="357" w:lineRule="auto" w:before="34"/>
        <w:ind w:right="217" w:firstLine="419"/>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30"/>
        <w:ind w:left="558" w:right="148"/>
        <w:jc w:val="left"/>
      </w:pPr>
      <w:r>
        <w:rPr/>
        <w:t>于资产负债表日，本公司需对财务报表项目金额进行判断、估计和假设的重要领域如下：</w:t>
      </w:r>
    </w:p>
    <w:p>
      <w:pPr>
        <w:pStyle w:val="BodyText"/>
        <w:spacing w:line="240" w:lineRule="auto" w:before="135"/>
        <w:ind w:left="558" w:right="148"/>
        <w:jc w:val="left"/>
      </w:pPr>
      <w:r>
        <w:rPr/>
        <w:t>（</w:t>
      </w:r>
      <w:r>
        <w:rPr>
          <w:rFonts w:ascii="宋体" w:hAnsi="宋体" w:cs="宋体" w:eastAsia="宋体" w:hint="default"/>
        </w:rPr>
        <w:t>1</w:t>
      </w:r>
      <w:r>
        <w:rPr/>
        <w:t>）租赁的归类</w:t>
      </w:r>
    </w:p>
    <w:p>
      <w:pPr>
        <w:pStyle w:val="BodyText"/>
        <w:spacing w:line="355" w:lineRule="auto" w:before="133"/>
        <w:ind w:right="104" w:firstLine="419"/>
        <w:jc w:val="left"/>
      </w:pPr>
      <w:r>
        <w:rPr/>
        <w:t>本公司根据《企业会计准则第</w:t>
      </w:r>
      <w:r>
        <w:rPr>
          <w:spacing w:val="-52"/>
        </w:rPr>
        <w:t> </w:t>
      </w:r>
      <w:r>
        <w:rPr>
          <w:rFonts w:ascii="宋体" w:hAnsi="宋体" w:cs="宋体" w:eastAsia="宋体" w:hint="default"/>
        </w:rPr>
        <w:t>21</w:t>
      </w:r>
      <w:r>
        <w:rPr>
          <w:rFonts w:ascii="宋体" w:hAnsi="宋体" w:cs="宋体" w:eastAsia="宋体" w:hint="default"/>
          <w:spacing w:val="-53"/>
        </w:rPr>
        <w:t> </w:t>
      </w:r>
      <w:r>
        <w:rPr/>
        <w:t>号——租赁》的规定，将租赁归类为经营租赁和融资租赁，</w:t>
      </w:r>
      <w:r>
        <w:rPr>
          <w:w w:val="100"/>
        </w:rPr>
        <w:t> </w:t>
      </w:r>
      <w:r>
        <w:rPr/>
        <w:t>在进行归类时，管理层需要对是否已将与租出资产所有权有关的全部风险和报酬实质上转移给承</w:t>
      </w:r>
      <w:r>
        <w:rPr>
          <w:w w:val="100"/>
        </w:rPr>
        <w:t> </w:t>
      </w:r>
      <w:r>
        <w:rPr/>
        <w:t>租人，或者本公司是否已经实质上承担与租入资产所有权有关的全部风险和报酬，作出分析和判</w:t>
      </w:r>
      <w:r>
        <w:rPr>
          <w:w w:val="100"/>
        </w:rPr>
        <w:t> </w:t>
      </w:r>
      <w:r>
        <w:rPr/>
        <w:t>断。</w:t>
      </w:r>
    </w:p>
    <w:p>
      <w:pPr>
        <w:pStyle w:val="BodyText"/>
        <w:spacing w:line="355" w:lineRule="auto" w:before="35"/>
        <w:ind w:left="558" w:right="148"/>
        <w:jc w:val="left"/>
      </w:pPr>
      <w:r>
        <w:rPr/>
        <w:t>（</w:t>
      </w:r>
      <w:r>
        <w:rPr>
          <w:rFonts w:ascii="宋体" w:hAnsi="宋体" w:cs="宋体" w:eastAsia="宋体" w:hint="default"/>
        </w:rPr>
        <w:t>2</w:t>
      </w:r>
      <w:r>
        <w:rPr/>
        <w:t>）坏账准备计提</w:t>
      </w:r>
      <w:r>
        <w:rPr>
          <w:w w:val="100"/>
        </w:rPr>
        <w:t> </w:t>
      </w:r>
      <w:r>
        <w:rPr>
          <w:spacing w:val="-2"/>
        </w:rPr>
        <w:t>本公司根据应收款项的会计政策，采用备抵法核算坏账损失。应收款项减值是基于评估应收</w:t>
      </w:r>
    </w:p>
    <w:p>
      <w:pPr>
        <w:pStyle w:val="BodyText"/>
        <w:spacing w:line="355" w:lineRule="auto" w:before="32"/>
        <w:ind w:right="217"/>
        <w:jc w:val="both"/>
      </w:pPr>
      <w:r>
        <w:rPr>
          <w:spacing w:val="-2"/>
        </w:rPr>
        <w:t>款项的可收回性。鉴定应收款项减值要求管理层的判断和估计。实际的结果与原先估计的差异将</w:t>
      </w:r>
      <w:r>
        <w:rPr>
          <w:spacing w:val="-26"/>
        </w:rPr>
        <w:t> </w:t>
      </w:r>
      <w:r>
        <w:rPr>
          <w:spacing w:val="-26"/>
        </w:rPr>
      </w:r>
      <w:r>
        <w:rPr/>
        <w:t>在估计被改变的期间影响应收款项的账面价值及应收款项坏账准备的计提或转回。</w:t>
      </w:r>
    </w:p>
    <w:p>
      <w:pPr>
        <w:pStyle w:val="BodyText"/>
        <w:spacing w:line="357" w:lineRule="auto" w:before="32"/>
        <w:ind w:left="558" w:right="148"/>
        <w:jc w:val="left"/>
      </w:pPr>
      <w:r>
        <w:rPr/>
        <w:t>（</w:t>
      </w:r>
      <w:r>
        <w:rPr>
          <w:rFonts w:ascii="宋体" w:hAnsi="宋体" w:cs="宋体" w:eastAsia="宋体" w:hint="default"/>
        </w:rPr>
        <w:t>3</w:t>
      </w:r>
      <w:r>
        <w:rPr/>
        <w:t>）存货跌价准备</w:t>
      </w:r>
      <w:r>
        <w:rPr>
          <w:w w:val="100"/>
        </w:rPr>
        <w:t> </w:t>
      </w:r>
      <w:r>
        <w:rPr>
          <w:spacing w:val="-2"/>
        </w:rPr>
        <w:t>本公司根据存货会计政策，按照成本与可变现净值孰低计量，对成本高于可变现净值及陈旧</w:t>
      </w:r>
    </w:p>
    <w:p>
      <w:pPr>
        <w:pStyle w:val="BodyText"/>
        <w:spacing w:line="357" w:lineRule="auto" w:before="30"/>
        <w:ind w:right="217"/>
        <w:jc w:val="both"/>
      </w:pP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pStyle w:val="BodyText"/>
        <w:spacing w:line="355" w:lineRule="auto" w:before="30"/>
        <w:ind w:left="558" w:right="148"/>
        <w:jc w:val="left"/>
      </w:pPr>
      <w:r>
        <w:rPr/>
        <w:t>（</w:t>
      </w:r>
      <w:r>
        <w:rPr>
          <w:rFonts w:ascii="宋体" w:hAnsi="宋体" w:cs="宋体" w:eastAsia="宋体" w:hint="default"/>
        </w:rPr>
        <w:t>4</w:t>
      </w:r>
      <w:r>
        <w:rPr/>
        <w:t>）金融工具公允价值</w:t>
      </w:r>
      <w:r>
        <w:rPr>
          <w:w w:val="100"/>
        </w:rPr>
        <w:t> </w:t>
      </w:r>
      <w:r>
        <w:rPr>
          <w:spacing w:val="-2"/>
        </w:rPr>
        <w:t>对不存在活跃交易市场的金融工具，本公司通过各种估值方法确定其公允价值。这些估值方</w:t>
      </w:r>
    </w:p>
    <w:p>
      <w:pPr>
        <w:pStyle w:val="BodyText"/>
        <w:spacing w:line="357" w:lineRule="auto" w:before="32"/>
        <w:ind w:right="217"/>
        <w:jc w:val="both"/>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r>
        <w:rPr>
          <w:spacing w:val="-25"/>
        </w:rPr>
        <w:t> </w:t>
      </w:r>
      <w:r>
        <w:rPr>
          <w:spacing w:val="-25"/>
        </w:rPr>
      </w:r>
      <w:r>
        <w:rPr/>
        <w:t>公允价值产生影响。</w:t>
      </w:r>
    </w:p>
    <w:p>
      <w:pPr>
        <w:pStyle w:val="BodyText"/>
        <w:spacing w:line="240" w:lineRule="auto" w:before="30"/>
        <w:ind w:left="558" w:right="148"/>
        <w:jc w:val="left"/>
      </w:pPr>
      <w:r>
        <w:rPr/>
        <w:t>（</w:t>
      </w:r>
      <w:r>
        <w:rPr>
          <w:rFonts w:ascii="宋体" w:hAnsi="宋体" w:cs="宋体" w:eastAsia="宋体" w:hint="default"/>
        </w:rPr>
        <w:t>5</w:t>
      </w:r>
      <w:r>
        <w:rPr/>
        <w:t>）持有至到期投资</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本公司将符合条件的有固定或可确定还款金额和固定到期日且本公司有明确意图和能力持有</w:t>
      </w:r>
      <w:r>
        <w:rPr>
          <w:w w:val="100"/>
        </w:rPr>
        <w:t> </w:t>
      </w:r>
      <w:r>
        <w:rPr>
          <w:spacing w:val="-2"/>
        </w:rPr>
        <w:t>至到期的非衍生金融资产归类为持有至到期投资。进行此项归类工作需涉及大量的判断。在进行</w:t>
      </w:r>
      <w:r>
        <w:rPr>
          <w:spacing w:val="-25"/>
        </w:rPr>
        <w:t> </w:t>
      </w:r>
      <w:r>
        <w:rPr>
          <w:spacing w:val="-25"/>
        </w:rPr>
      </w:r>
      <w:r>
        <w:rPr>
          <w:spacing w:val="-2"/>
        </w:rPr>
        <w:t>判断的过程中，本公司会对其持有该类投资至到期日的意愿和能力进行评估。除特定情况外（例</w:t>
      </w:r>
      <w:r>
        <w:rPr>
          <w:spacing w:val="-25"/>
        </w:rPr>
        <w:t> </w:t>
      </w:r>
      <w:r>
        <w:rPr>
          <w:spacing w:val="-25"/>
        </w:rPr>
      </w:r>
      <w:r>
        <w:rPr>
          <w:spacing w:val="-2"/>
        </w:rPr>
        <w:t>如在接近到期日时出售金额不重大的投资），如果本公司未能将这些投资持有至到期日，则须将</w:t>
      </w:r>
      <w:r>
        <w:rPr>
          <w:spacing w:val="-25"/>
        </w:rPr>
        <w:t> </w:t>
      </w:r>
      <w:r>
        <w:rPr>
          <w:spacing w:val="-25"/>
        </w:rPr>
      </w:r>
      <w:r>
        <w:rPr>
          <w:spacing w:val="-2"/>
        </w:rPr>
        <w:t>全部该类投资重分类至可供出售金融资产，且在本会计年度及以后两个完整的会计年度内不得再</w:t>
      </w:r>
      <w:r>
        <w:rPr>
          <w:spacing w:val="-25"/>
        </w:rPr>
        <w:t> </w:t>
      </w:r>
      <w:r>
        <w:rPr>
          <w:spacing w:val="-25"/>
        </w:rPr>
      </w:r>
      <w:r>
        <w:rPr>
          <w:spacing w:val="-2"/>
        </w:rPr>
        <w:t>将该金融资产划分为持有至到期投资。如出现此类情况，可能对财务报表上所列报的相关金融资</w:t>
      </w:r>
      <w:r>
        <w:rPr>
          <w:spacing w:val="-25"/>
        </w:rPr>
        <w:t> </w:t>
      </w:r>
      <w:r>
        <w:rPr>
          <w:spacing w:val="-25"/>
        </w:rPr>
      </w:r>
      <w:r>
        <w:rPr/>
        <w:t>产价值产生重大的影响，并且可能影响本公司的金融工具风险管理策略。</w:t>
      </w:r>
    </w:p>
    <w:p>
      <w:pPr>
        <w:pStyle w:val="BodyText"/>
        <w:spacing w:line="357" w:lineRule="auto" w:before="30"/>
        <w:ind w:left="558" w:right="0"/>
        <w:jc w:val="left"/>
      </w:pPr>
      <w:r>
        <w:rPr/>
        <w:t>（</w:t>
      </w:r>
      <w:r>
        <w:rPr>
          <w:rFonts w:ascii="宋体" w:hAnsi="宋体" w:cs="宋体" w:eastAsia="宋体" w:hint="default"/>
        </w:rPr>
        <w:t>6</w:t>
      </w:r>
      <w:r>
        <w:rPr/>
        <w:t>）持有至到期投资减值</w:t>
      </w:r>
      <w:r>
        <w:rPr>
          <w:w w:val="100"/>
        </w:rPr>
        <w:t> </w:t>
      </w:r>
      <w:r>
        <w:rPr>
          <w:spacing w:val="-2"/>
        </w:rPr>
        <w:t>本公司确定持有至到期投资是否减值在很大程度上依赖于管理层的判断。发生减值的客观证</w:t>
      </w:r>
    </w:p>
    <w:p>
      <w:pPr>
        <w:pStyle w:val="BodyText"/>
        <w:spacing w:line="357" w:lineRule="auto" w:before="30"/>
        <w:ind w:right="137"/>
        <w:jc w:val="both"/>
      </w:pPr>
      <w:r>
        <w:rPr>
          <w:spacing w:val="-2"/>
        </w:rPr>
        <w:t>据包括发行方发生严重财务困难使该金融资产无法在活跃市场继续交易、无法履行合同条款（例</w:t>
      </w:r>
      <w:r>
        <w:rPr>
          <w:spacing w:val="-25"/>
        </w:rPr>
        <w:t> </w:t>
      </w:r>
      <w:r>
        <w:rPr>
          <w:spacing w:val="-25"/>
        </w:rPr>
      </w:r>
      <w:r>
        <w:rPr>
          <w:spacing w:val="-2"/>
        </w:rPr>
        <w:t>如，偿付利息或本金发生违约）等。在进行判断的过程中，本公司需评估发生减值的客观证据对</w:t>
      </w:r>
      <w:r>
        <w:rPr>
          <w:spacing w:val="-25"/>
        </w:rPr>
        <w:t> </w:t>
      </w:r>
      <w:r>
        <w:rPr>
          <w:spacing w:val="-25"/>
        </w:rPr>
      </w:r>
      <w:r>
        <w:rPr/>
        <w:t>该项投资预计未来现金流的影响。</w:t>
      </w:r>
    </w:p>
    <w:p>
      <w:pPr>
        <w:pStyle w:val="BodyText"/>
        <w:spacing w:line="355" w:lineRule="auto" w:before="30"/>
        <w:ind w:left="558" w:right="0"/>
        <w:jc w:val="left"/>
      </w:pPr>
      <w:r>
        <w:rPr/>
        <w:t>（</w:t>
      </w:r>
      <w:r>
        <w:rPr>
          <w:rFonts w:ascii="宋体" w:hAnsi="宋体" w:cs="宋体" w:eastAsia="宋体" w:hint="default"/>
        </w:rPr>
        <w:t>7</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357" w:lineRule="auto" w:before="32"/>
        <w:ind w:right="137"/>
        <w:jc w:val="both"/>
      </w:pPr>
      <w:r>
        <w:rPr>
          <w:spacing w:val="-2"/>
        </w:rPr>
        <w:t>否需要在利润表中确认其减值损失。在进行判断和作出假设的过程中，本公司需评估该项投资的</w:t>
      </w:r>
      <w:r>
        <w:rPr>
          <w:spacing w:val="-25"/>
        </w:rPr>
        <w:t> </w:t>
      </w:r>
      <w:r>
        <w:rPr>
          <w:spacing w:val="-25"/>
        </w:rPr>
      </w: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pStyle w:val="BodyText"/>
        <w:spacing w:line="355" w:lineRule="auto" w:before="30"/>
        <w:ind w:left="558" w:right="0"/>
        <w:jc w:val="left"/>
      </w:pPr>
      <w:r>
        <w:rPr/>
        <w:t>（</w:t>
      </w:r>
      <w:r>
        <w:rPr>
          <w:rFonts w:ascii="宋体" w:hAnsi="宋体" w:cs="宋体" w:eastAsia="宋体" w:hint="default"/>
        </w:rPr>
        <w:t>8</w:t>
      </w:r>
      <w:r>
        <w:rPr/>
        <w:t>）长期资产减值准备</w:t>
      </w:r>
      <w:r>
        <w:rPr>
          <w:w w:val="100"/>
        </w:rPr>
        <w:t> </w:t>
      </w:r>
      <w:r>
        <w:rPr>
          <w:spacing w:val="-2"/>
        </w:rPr>
        <w:t>本公司于资产负债表日对除金融资产之外的非流动资产判断是否存在可能发生减值的迹象。</w:t>
      </w:r>
    </w:p>
    <w:p>
      <w:pPr>
        <w:pStyle w:val="BodyText"/>
        <w:spacing w:line="357" w:lineRule="auto" w:before="32"/>
        <w:ind w:left="0" w:right="130"/>
        <w:jc w:val="right"/>
      </w:pP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355" w:lineRule="auto" w:before="30"/>
        <w:ind w:left="558" w:right="0"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355" w:lineRule="auto" w:before="35"/>
        <w:ind w:left="558" w:right="0" w:hanging="420"/>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355" w:lineRule="auto" w:before="32"/>
        <w:ind w:right="137"/>
        <w:jc w:val="both"/>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357" w:lineRule="auto" w:before="32"/>
        <w:ind w:right="137" w:firstLine="419"/>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357" w:lineRule="auto" w:before="30"/>
        <w:ind w:left="558" w:right="0"/>
        <w:jc w:val="left"/>
      </w:pPr>
      <w:r>
        <w:rPr/>
        <w:t>（</w:t>
      </w:r>
      <w:r>
        <w:rPr>
          <w:rFonts w:ascii="宋体" w:hAnsi="宋体" w:cs="宋体" w:eastAsia="宋体" w:hint="default"/>
        </w:rPr>
        <w:t>9</w:t>
      </w:r>
      <w:r>
        <w:rPr/>
        <w:t>）折旧和摊销</w:t>
      </w:r>
      <w:r>
        <w:rPr>
          <w:w w:val="100"/>
        </w:rPr>
        <w:t> </w:t>
      </w:r>
      <w:r>
        <w:rPr>
          <w:spacing w:val="-2"/>
        </w:rPr>
        <w:t>本公司对投资性房地产、固定资产和无形资产在考虑其残值后，在使用寿命内按直线法计提</w:t>
      </w:r>
    </w:p>
    <w:p>
      <w:pPr>
        <w:pStyle w:val="BodyText"/>
        <w:spacing w:line="240" w:lineRule="auto" w:before="32"/>
        <w:ind w:right="0"/>
        <w:jc w:val="both"/>
      </w:pPr>
      <w:r>
        <w:rPr/>
        <w:t>折旧和摊销。本公司定期复核使用寿命，以决定将计入每个报告期的折旧和摊销费用数额。使用</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218" w:right="237"/>
        <w:jc w:val="both"/>
      </w:pPr>
      <w:r>
        <w:rPr>
          <w:spacing w:val="-2"/>
        </w:rPr>
        <w:t>寿命是本公司根据对同类资产的以往经验并结合预期的技术更新而确定的。如果以前的估计发生</w:t>
      </w:r>
      <w:r>
        <w:rPr>
          <w:spacing w:val="-25"/>
        </w:rPr>
        <w:t> </w:t>
      </w:r>
      <w:r>
        <w:rPr>
          <w:spacing w:val="-25"/>
        </w:rPr>
      </w:r>
      <w:r>
        <w:rPr/>
        <w:t>重大变化，则会在未来期间对折旧和摊销费用进行调整。</w:t>
      </w:r>
    </w:p>
    <w:p>
      <w:pPr>
        <w:pStyle w:val="BodyText"/>
        <w:spacing w:line="355" w:lineRule="auto" w:before="30"/>
        <w:ind w:left="638" w:right="227"/>
        <w:jc w:val="left"/>
      </w:pPr>
      <w:r>
        <w:rPr/>
        <w:t>（</w:t>
      </w:r>
      <w:r>
        <w:rPr>
          <w:rFonts w:ascii="宋体" w:hAnsi="宋体" w:cs="宋体" w:eastAsia="宋体" w:hint="default"/>
        </w:rPr>
        <w:t>10</w:t>
      </w:r>
      <w:r>
        <w:rPr/>
        <w:t>）递延所得税资产</w:t>
      </w:r>
      <w:r>
        <w:rPr>
          <w:w w:val="100"/>
        </w:rPr>
        <w:t> </w:t>
      </w:r>
      <w:r>
        <w:rPr>
          <w:spacing w:val="-2"/>
        </w:rPr>
        <w:t>在很有可能有足够的应纳税利润来抵扣亏损的限度内，本公司就所有未利用的税务亏损确认</w:t>
      </w:r>
    </w:p>
    <w:p>
      <w:pPr>
        <w:pStyle w:val="BodyText"/>
        <w:spacing w:line="355" w:lineRule="auto" w:before="32"/>
        <w:ind w:left="218" w:right="0"/>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355" w:lineRule="auto" w:before="34"/>
        <w:ind w:left="638" w:right="227"/>
        <w:jc w:val="left"/>
      </w:pPr>
      <w:r>
        <w:rPr/>
        <w:t>（</w:t>
      </w:r>
      <w:r>
        <w:rPr>
          <w:rFonts w:ascii="宋体" w:hAnsi="宋体" w:cs="宋体" w:eastAsia="宋体" w:hint="default"/>
        </w:rPr>
        <w:t>11</w:t>
      </w:r>
      <w:r>
        <w:rPr/>
        <w:t>）所得税</w:t>
      </w:r>
      <w:r>
        <w:rPr>
          <w:w w:val="100"/>
        </w:rPr>
        <w:t> </w:t>
      </w:r>
      <w:r>
        <w:rPr>
          <w:spacing w:val="-2"/>
        </w:rPr>
        <w:t>本公司在正常的经营活动中，有部分交易其最终的税务处理和计算存在一定的不确定性。部</w:t>
      </w:r>
    </w:p>
    <w:p>
      <w:pPr>
        <w:pStyle w:val="BodyText"/>
        <w:spacing w:line="355" w:lineRule="auto" w:before="33"/>
        <w:ind w:left="218" w:right="237"/>
        <w:jc w:val="both"/>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p>
    <w:p>
      <w:pPr>
        <w:pStyle w:val="BodyText"/>
        <w:spacing w:line="355" w:lineRule="auto" w:before="34"/>
        <w:ind w:left="638" w:right="227"/>
        <w:jc w:val="left"/>
      </w:pPr>
      <w:r>
        <w:rPr/>
        <w:t>（</w:t>
      </w:r>
      <w:r>
        <w:rPr>
          <w:rFonts w:ascii="宋体" w:hAnsi="宋体" w:cs="宋体" w:eastAsia="宋体" w:hint="default"/>
        </w:rPr>
        <w:t>12</w:t>
      </w:r>
      <w:r>
        <w:rPr/>
        <w:t>）预计负债</w:t>
      </w:r>
      <w:r>
        <w:rPr>
          <w:spacing w:val="-103"/>
        </w:rPr>
        <w:t> </w:t>
      </w:r>
      <w:r>
        <w:rPr>
          <w:spacing w:val="-103"/>
        </w:rPr>
      </w:r>
      <w:r>
        <w:rPr>
          <w:spacing w:val="-2"/>
        </w:rPr>
        <w:t>本公司根据合约条款、现有知识及历史经验，对产品质量保证、预计合同亏损、延迟交货违</w:t>
      </w:r>
    </w:p>
    <w:p>
      <w:pPr>
        <w:pStyle w:val="BodyText"/>
        <w:spacing w:line="357" w:lineRule="auto" w:before="32"/>
        <w:ind w:left="218" w:right="237"/>
        <w:jc w:val="both"/>
      </w:pPr>
      <w:r>
        <w:rPr>
          <w:spacing w:val="-2"/>
        </w:rPr>
        <w:t>约金等估计并计提相应准备。在该等或有事项已经形成一项现时义务，且履行该等现时义务很可</w:t>
      </w:r>
      <w:r>
        <w:rPr>
          <w:spacing w:val="-25"/>
        </w:rPr>
        <w:t> </w:t>
      </w:r>
      <w:r>
        <w:rPr>
          <w:spacing w:val="-25"/>
        </w:rPr>
      </w:r>
      <w:r>
        <w:rPr>
          <w:spacing w:val="-2"/>
        </w:rPr>
        <w:t>能导致经济利益流出本公司的情况下，本公司对或有事项按履行相关现时义务所需支出的最佳估</w:t>
      </w:r>
      <w:r>
        <w:rPr>
          <w:spacing w:val="-25"/>
        </w:rPr>
        <w:t> </w:t>
      </w:r>
      <w:r>
        <w:rPr>
          <w:spacing w:val="-25"/>
        </w:rPr>
      </w:r>
      <w:r>
        <w:rPr>
          <w:spacing w:val="-2"/>
        </w:rPr>
        <w:t>计数确认为预计负债。预计负债的确认和计量在很大程度上依赖于管理层的判断。在进行判断过</w:t>
      </w:r>
      <w:r>
        <w:rPr>
          <w:spacing w:val="-25"/>
        </w:rPr>
        <w:t> </w:t>
      </w:r>
      <w:r>
        <w:rPr>
          <w:spacing w:val="-25"/>
        </w:rPr>
      </w:r>
      <w:r>
        <w:rPr/>
        <w:t>程中本公司需评估该等或有事项相关的风险、不确定性及货币时间价值等因素。</w:t>
      </w:r>
    </w:p>
    <w:p>
      <w:pPr>
        <w:pStyle w:val="BodyText"/>
        <w:spacing w:line="355" w:lineRule="auto" w:before="30"/>
        <w:ind w:left="638" w:right="227"/>
        <w:jc w:val="left"/>
      </w:pPr>
      <w:r>
        <w:rPr/>
        <w:t>（</w:t>
      </w:r>
      <w:r>
        <w:rPr>
          <w:rFonts w:ascii="宋体" w:hAnsi="宋体" w:cs="宋体" w:eastAsia="宋体" w:hint="default"/>
        </w:rPr>
        <w:t>13</w:t>
      </w:r>
      <w:r>
        <w:rPr/>
        <w:t>）公允价值计量</w:t>
      </w:r>
      <w:r>
        <w:rPr>
          <w:w w:val="100"/>
        </w:rPr>
        <w:t> </w:t>
      </w:r>
      <w:r>
        <w:rPr>
          <w:spacing w:val="-2"/>
        </w:rPr>
        <w:t>本公司的某些资产和负债在财务报表中按公允价值计量。本公司的董事会已成立估价委员会</w:t>
      </w:r>
    </w:p>
    <w:p>
      <w:pPr>
        <w:pStyle w:val="BodyText"/>
        <w:spacing w:line="357" w:lineRule="auto" w:before="32"/>
        <w:ind w:left="218" w:right="237"/>
        <w:jc w:val="both"/>
      </w:pPr>
      <w:r>
        <w:rPr>
          <w:spacing w:val="-2"/>
        </w:rPr>
        <w:t>（该估价委员会由本公司的首席财务官领导），以便为公允价值计量确定适当的估值技术和输入</w:t>
      </w:r>
      <w:r>
        <w:rPr>
          <w:spacing w:val="-26"/>
        </w:rPr>
        <w:t> </w:t>
      </w:r>
      <w:r>
        <w:rPr>
          <w:spacing w:val="-26"/>
        </w:rPr>
      </w:r>
      <w:r>
        <w:rPr>
          <w:spacing w:val="-2"/>
        </w:rPr>
        <w:t>值。在对某项资产或负债的公允价值作出估计时，本公司采用可获得的可观察市场数据。如果无</w:t>
      </w:r>
      <w:r>
        <w:rPr>
          <w:spacing w:val="-25"/>
        </w:rPr>
        <w:t> </w:t>
      </w:r>
      <w:r>
        <w:rPr>
          <w:spacing w:val="-25"/>
        </w:rPr>
      </w:r>
      <w:r>
        <w:rPr>
          <w:spacing w:val="-2"/>
        </w:rPr>
        <w:t>法获得第一层次输入值，本公司会聘用第三方有资质的评估师来执行估价。估价委员会与有资质</w:t>
      </w:r>
      <w:r>
        <w:rPr>
          <w:spacing w:val="-25"/>
        </w:rPr>
        <w:t> </w:t>
      </w:r>
      <w:r>
        <w:rPr>
          <w:spacing w:val="-25"/>
        </w:rPr>
      </w:r>
      <w:r>
        <w:rPr>
          <w:spacing w:val="-2"/>
        </w:rPr>
        <w:t>的外部估价师紧密合作，以确定适当的估值技术和相关模型的输入值。首席财务官每季度向本公</w:t>
      </w:r>
      <w:r>
        <w:rPr>
          <w:spacing w:val="-25"/>
        </w:rPr>
        <w:t> </w:t>
      </w:r>
      <w:r>
        <w:rPr>
          <w:spacing w:val="-25"/>
        </w:rPr>
      </w:r>
      <w:r>
        <w:rPr/>
        <w:t>司董事会呈报估价委员会的发现，以说明导致相关资产和负债的公允价值发生波动的原因。</w:t>
      </w:r>
    </w:p>
    <w:p>
      <w:pPr>
        <w:spacing w:line="240" w:lineRule="auto" w:before="11"/>
        <w:rPr>
          <w:rFonts w:ascii="宋体" w:hAnsi="宋体" w:cs="宋体" w:eastAsia="宋体" w:hint="default"/>
          <w:sz w:val="27"/>
          <w:szCs w:val="27"/>
        </w:rPr>
      </w:pPr>
    </w:p>
    <w:p>
      <w:pPr>
        <w:pStyle w:val="Heading2"/>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8" w:right="0"/>
        <w:jc w:val="both"/>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55"/>
        <w:gridCol w:w="1832"/>
        <w:gridCol w:w="4263"/>
      </w:tblGrid>
      <w:tr>
        <w:trPr>
          <w:trHeight w:val="281"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受重要影响的报表项目名称和金额</w:t>
            </w:r>
            <w:r>
              <w:rPr>
                <w:rFonts w:ascii="宋体" w:hAnsi="宋体" w:cs="宋体" w:eastAsia="宋体" w:hint="default"/>
                <w:sz w:val="21"/>
                <w:szCs w:val="21"/>
              </w:rPr>
              <w:t>)</w:t>
            </w:r>
          </w:p>
        </w:tc>
      </w:tr>
      <w:tr>
        <w:trPr>
          <w:trHeight w:val="283"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追溯调整法</w:t>
            </w:r>
          </w:p>
        </w:tc>
        <w:tc>
          <w:tcPr>
            <w:tcW w:w="1832" w:type="dxa"/>
            <w:tcBorders>
              <w:top w:val="single" w:sz="4" w:space="0" w:color="000000"/>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05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利润表新增“资产处置收益”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董事会和监事会</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调增本期合并资产处置收益</w:t>
            </w:r>
            <w:r>
              <w:rPr>
                <w:rFonts w:ascii="宋体" w:hAnsi="宋体" w:cs="宋体" w:eastAsia="宋体" w:hint="default"/>
                <w:spacing w:val="-52"/>
                <w:sz w:val="21"/>
                <w:szCs w:val="21"/>
              </w:rPr>
              <w:t> </w:t>
            </w:r>
            <w:r>
              <w:rPr>
                <w:rFonts w:ascii="宋体" w:hAnsi="宋体" w:cs="宋体" w:eastAsia="宋体" w:hint="default"/>
                <w:sz w:val="21"/>
                <w:szCs w:val="21"/>
              </w:rPr>
              <w:t>118,050.42</w:t>
            </w:r>
            <w:r>
              <w:rPr>
                <w:rFonts w:ascii="宋体" w:hAnsi="宋体" w:cs="宋体" w:eastAsia="宋体" w:hint="default"/>
                <w:spacing w:val="-55"/>
                <w:sz w:val="21"/>
                <w:szCs w:val="21"/>
              </w:rPr>
              <w:t> </w:t>
            </w:r>
            <w:r>
              <w:rPr>
                <w:rFonts w:ascii="宋体" w:hAnsi="宋体" w:cs="宋体" w:eastAsia="宋体" w:hint="default"/>
                <w:sz w:val="21"/>
                <w:szCs w:val="21"/>
              </w:rPr>
              <w:t>元，</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调减合并营业外收入</w:t>
            </w:r>
            <w:r>
              <w:rPr>
                <w:rFonts w:ascii="宋体" w:hAnsi="宋体" w:cs="宋体" w:eastAsia="宋体" w:hint="default"/>
                <w:spacing w:val="-52"/>
                <w:sz w:val="21"/>
                <w:szCs w:val="21"/>
              </w:rPr>
              <w:t> </w:t>
            </w:r>
            <w:r>
              <w:rPr>
                <w:rFonts w:ascii="宋体" w:hAnsi="宋体" w:cs="宋体" w:eastAsia="宋体" w:hint="default"/>
                <w:sz w:val="21"/>
                <w:szCs w:val="21"/>
              </w:rPr>
              <w:t>118,050.42</w:t>
            </w:r>
            <w:r>
              <w:rPr>
                <w:rFonts w:ascii="宋体" w:hAnsi="宋体" w:cs="宋体" w:eastAsia="宋体" w:hint="default"/>
                <w:spacing w:val="-51"/>
                <w:sz w:val="21"/>
                <w:szCs w:val="21"/>
              </w:rPr>
              <w:t> </w:t>
            </w:r>
            <w:r>
              <w:rPr>
                <w:rFonts w:ascii="宋体" w:hAnsi="宋体" w:cs="宋体" w:eastAsia="宋体" w:hint="default"/>
                <w:spacing w:val="-11"/>
                <w:sz w:val="21"/>
                <w:szCs w:val="21"/>
              </w:rPr>
              <w:t>元；调增上</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年同期合并资产处置收益</w:t>
            </w:r>
            <w:r>
              <w:rPr>
                <w:rFonts w:ascii="宋体" w:hAnsi="宋体" w:cs="宋体" w:eastAsia="宋体" w:hint="default"/>
                <w:spacing w:val="-53"/>
                <w:sz w:val="21"/>
                <w:szCs w:val="21"/>
              </w:rPr>
              <w:t> </w:t>
            </w:r>
            <w:r>
              <w:rPr>
                <w:rFonts w:ascii="宋体" w:hAnsi="宋体" w:cs="宋体" w:eastAsia="宋体" w:hint="default"/>
                <w:sz w:val="21"/>
                <w:szCs w:val="21"/>
              </w:rPr>
              <w:t>1,187.64</w:t>
            </w:r>
            <w:r>
              <w:rPr>
                <w:rFonts w:ascii="宋体" w:hAnsi="宋体" w:cs="宋体" w:eastAsia="宋体" w:hint="default"/>
                <w:spacing w:val="-53"/>
                <w:sz w:val="21"/>
                <w:szCs w:val="21"/>
              </w:rPr>
              <w:t> </w:t>
            </w:r>
            <w:r>
              <w:rPr>
                <w:rFonts w:ascii="宋体" w:hAnsi="宋体" w:cs="宋体" w:eastAsia="宋体" w:hint="default"/>
                <w:spacing w:val="-13"/>
                <w:sz w:val="21"/>
                <w:szCs w:val="21"/>
              </w:rPr>
              <w:t>元，调减</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合并营业外收入</w:t>
            </w:r>
            <w:r>
              <w:rPr>
                <w:rFonts w:ascii="宋体" w:hAnsi="宋体" w:cs="宋体" w:eastAsia="宋体" w:hint="default"/>
                <w:spacing w:val="-53"/>
                <w:sz w:val="21"/>
                <w:szCs w:val="21"/>
              </w:rPr>
              <w:t> </w:t>
            </w:r>
            <w:r>
              <w:rPr>
                <w:rFonts w:ascii="宋体" w:hAnsi="宋体" w:cs="宋体" w:eastAsia="宋体" w:hint="default"/>
                <w:sz w:val="21"/>
                <w:szCs w:val="21"/>
              </w:rPr>
              <w:t>1,187.64</w:t>
            </w:r>
            <w:r>
              <w:rPr>
                <w:rFonts w:ascii="宋体" w:hAnsi="宋体" w:cs="宋体" w:eastAsia="宋体" w:hint="default"/>
                <w:spacing w:val="-55"/>
                <w:sz w:val="21"/>
                <w:szCs w:val="21"/>
              </w:rPr>
              <w:t> </w:t>
            </w:r>
            <w:r>
              <w:rPr>
                <w:rFonts w:ascii="宋体" w:hAnsi="宋体" w:cs="宋体" w:eastAsia="宋体" w:hint="default"/>
                <w:sz w:val="21"/>
                <w:szCs w:val="21"/>
              </w:rPr>
              <w:t>元。</w:t>
            </w:r>
          </w:p>
          <w:p>
            <w:pPr>
              <w:pStyle w:val="TableParagraph"/>
              <w:spacing w:line="240" w:lineRule="auto" w:before="133"/>
              <w:ind w:left="103" w:right="-8"/>
              <w:jc w:val="left"/>
              <w:rPr>
                <w:rFonts w:ascii="宋体" w:hAnsi="宋体" w:cs="宋体" w:eastAsia="宋体" w:hint="default"/>
                <w:sz w:val="21"/>
                <w:szCs w:val="21"/>
              </w:rPr>
            </w:pPr>
            <w:r>
              <w:rPr>
                <w:rFonts w:ascii="宋体" w:hAnsi="宋体" w:cs="宋体" w:eastAsia="宋体" w:hint="default"/>
                <w:sz w:val="21"/>
                <w:szCs w:val="21"/>
              </w:rPr>
              <w:t>调增本期母公司资产处置收益</w:t>
            </w:r>
            <w:r>
              <w:rPr>
                <w:rFonts w:ascii="宋体" w:hAnsi="宋体" w:cs="宋体" w:eastAsia="宋体" w:hint="default"/>
                <w:spacing w:val="-75"/>
                <w:sz w:val="21"/>
                <w:szCs w:val="21"/>
              </w:rPr>
              <w:t> </w:t>
            </w:r>
            <w:r>
              <w:rPr>
                <w:rFonts w:ascii="宋体" w:hAnsi="宋体" w:cs="宋体" w:eastAsia="宋体" w:hint="default"/>
                <w:sz w:val="21"/>
                <w:szCs w:val="21"/>
              </w:rPr>
              <w:t>12,404.71</w:t>
            </w:r>
            <w:r>
              <w:rPr>
                <w:rFonts w:ascii="宋体" w:hAnsi="宋体" w:cs="宋体" w:eastAsia="宋体" w:hint="default"/>
                <w:spacing w:val="-78"/>
                <w:sz w:val="21"/>
                <w:szCs w:val="21"/>
              </w:rPr>
              <w:t> </w:t>
            </w:r>
            <w:r>
              <w:rPr>
                <w:rFonts w:ascii="宋体" w:hAnsi="宋体" w:cs="宋体" w:eastAsia="宋体" w:hint="default"/>
                <w:sz w:val="21"/>
                <w:szCs w:val="21"/>
              </w:rPr>
              <w:t>元，</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5"/>
        <w:gridCol w:w="1832"/>
        <w:gridCol w:w="4263"/>
      </w:tblGrid>
      <w:tr>
        <w:trPr>
          <w:trHeight w:val="1236" w:hRule="exact"/>
        </w:trPr>
        <w:tc>
          <w:tcPr>
            <w:tcW w:w="295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调减母公司营业外收入 </w:t>
            </w:r>
            <w:r>
              <w:rPr>
                <w:rFonts w:ascii="宋体" w:hAnsi="宋体" w:cs="宋体" w:eastAsia="宋体" w:hint="default"/>
                <w:sz w:val="21"/>
                <w:szCs w:val="21"/>
              </w:rPr>
              <w:t>12,404.71</w:t>
            </w:r>
            <w:r>
              <w:rPr>
                <w:rFonts w:ascii="宋体" w:hAnsi="宋体" w:cs="宋体" w:eastAsia="宋体" w:hint="default"/>
                <w:spacing w:val="-49"/>
                <w:sz w:val="21"/>
                <w:szCs w:val="21"/>
              </w:rPr>
              <w:t> </w:t>
            </w:r>
            <w:r>
              <w:rPr>
                <w:rFonts w:ascii="宋体" w:hAnsi="宋体" w:cs="宋体" w:eastAsia="宋体" w:hint="default"/>
                <w:sz w:val="21"/>
                <w:szCs w:val="21"/>
              </w:rPr>
              <w:t>元；调增</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上年同期母公司资产处置收益</w:t>
            </w:r>
            <w:r>
              <w:rPr>
                <w:rFonts w:ascii="宋体" w:hAnsi="宋体" w:cs="宋体" w:eastAsia="宋体" w:hint="default"/>
                <w:spacing w:val="-52"/>
                <w:sz w:val="21"/>
                <w:szCs w:val="21"/>
              </w:rPr>
              <w:t> </w:t>
            </w:r>
            <w:r>
              <w:rPr>
                <w:rFonts w:ascii="宋体" w:hAnsi="宋体" w:cs="宋体" w:eastAsia="宋体" w:hint="default"/>
                <w:sz w:val="21"/>
                <w:szCs w:val="21"/>
              </w:rPr>
              <w:t>1,187.64</w:t>
            </w:r>
            <w:r>
              <w:rPr>
                <w:rFonts w:ascii="宋体" w:hAnsi="宋体" w:cs="宋体" w:eastAsia="宋体" w:hint="default"/>
                <w:spacing w:val="-55"/>
                <w:sz w:val="21"/>
                <w:szCs w:val="21"/>
              </w:rPr>
              <w:t> </w:t>
            </w:r>
            <w:r>
              <w:rPr>
                <w:rFonts w:ascii="宋体" w:hAnsi="宋体" w:cs="宋体" w:eastAsia="宋体" w:hint="default"/>
                <w:sz w:val="21"/>
                <w:szCs w:val="21"/>
              </w:rPr>
              <w:t>元，</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调减母公司营业外收入</w:t>
            </w:r>
            <w:r>
              <w:rPr>
                <w:rFonts w:ascii="宋体" w:hAnsi="宋体" w:cs="宋体" w:eastAsia="宋体" w:hint="default"/>
                <w:spacing w:val="-54"/>
                <w:sz w:val="21"/>
                <w:szCs w:val="21"/>
              </w:rPr>
              <w:t> </w:t>
            </w:r>
            <w:r>
              <w:rPr>
                <w:rFonts w:ascii="宋体" w:hAnsi="宋体" w:cs="宋体" w:eastAsia="宋体" w:hint="default"/>
                <w:sz w:val="21"/>
                <w:szCs w:val="21"/>
              </w:rPr>
              <w:t>1,187.64</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420"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未来适用法</w:t>
            </w:r>
          </w:p>
        </w:tc>
        <w:tc>
          <w:tcPr>
            <w:tcW w:w="1832" w:type="dxa"/>
            <w:tcBorders>
              <w:top w:val="single" w:sz="4" w:space="0" w:color="000000"/>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将与企业日常生产经营活动相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5"/>
                <w:sz w:val="21"/>
                <w:szCs w:val="21"/>
              </w:rPr>
              <w:t>关的政府补助记入“</w:t>
            </w:r>
            <w:r>
              <w:rPr>
                <w:rFonts w:ascii="宋体" w:hAnsi="宋体" w:cs="宋体" w:eastAsia="宋体" w:hint="default"/>
                <w:spacing w:val="-69"/>
                <w:sz w:val="21"/>
                <w:szCs w:val="21"/>
              </w:rPr>
              <w:t> </w:t>
            </w:r>
            <w:r>
              <w:rPr>
                <w:rFonts w:ascii="宋体" w:hAnsi="宋体" w:cs="宋体" w:eastAsia="宋体" w:hint="default"/>
                <w:spacing w:val="11"/>
                <w:sz w:val="21"/>
                <w:szCs w:val="21"/>
              </w:rPr>
              <w:t>其他收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益”项目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董事会和监事会</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调增合并其他收益 </w:t>
            </w:r>
            <w:r>
              <w:rPr>
                <w:rFonts w:ascii="宋体" w:hAnsi="宋体" w:cs="宋体" w:eastAsia="宋体" w:hint="default"/>
                <w:sz w:val="21"/>
                <w:szCs w:val="21"/>
              </w:rPr>
              <w:t>15,220,342.01</w:t>
            </w:r>
            <w:r>
              <w:rPr>
                <w:rFonts w:ascii="宋体" w:hAnsi="宋体" w:cs="宋体" w:eastAsia="宋体" w:hint="default"/>
                <w:spacing w:val="-50"/>
                <w:sz w:val="21"/>
                <w:szCs w:val="21"/>
              </w:rPr>
              <w:t> </w:t>
            </w:r>
            <w:r>
              <w:rPr>
                <w:rFonts w:ascii="宋体" w:hAnsi="宋体" w:cs="宋体" w:eastAsia="宋体" w:hint="default"/>
                <w:sz w:val="21"/>
                <w:szCs w:val="21"/>
              </w:rPr>
              <w:t>元，调减</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合并营业外收入</w:t>
            </w:r>
            <w:r>
              <w:rPr>
                <w:rFonts w:ascii="宋体" w:hAnsi="宋体" w:cs="宋体" w:eastAsia="宋体" w:hint="default"/>
                <w:spacing w:val="-53"/>
                <w:sz w:val="21"/>
                <w:szCs w:val="21"/>
              </w:rPr>
              <w:t> </w:t>
            </w:r>
            <w:r>
              <w:rPr>
                <w:rFonts w:ascii="宋体" w:hAnsi="宋体" w:cs="宋体" w:eastAsia="宋体" w:hint="default"/>
                <w:sz w:val="21"/>
                <w:szCs w:val="21"/>
              </w:rPr>
              <w:t>15,220,342.01</w:t>
            </w:r>
            <w:r>
              <w:rPr>
                <w:rFonts w:ascii="宋体" w:hAnsi="宋体" w:cs="宋体" w:eastAsia="宋体" w:hint="default"/>
                <w:spacing w:val="-55"/>
                <w:sz w:val="21"/>
                <w:szCs w:val="21"/>
              </w:rPr>
              <w:t> </w:t>
            </w:r>
            <w:r>
              <w:rPr>
                <w:rFonts w:ascii="宋体" w:hAnsi="宋体" w:cs="宋体" w:eastAsia="宋体" w:hint="default"/>
                <w:sz w:val="21"/>
                <w:szCs w:val="21"/>
              </w:rPr>
              <w:t>元；</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调增母公司其他收益</w:t>
            </w:r>
            <w:r>
              <w:rPr>
                <w:rFonts w:ascii="宋体" w:hAnsi="宋体" w:cs="宋体" w:eastAsia="宋体" w:hint="default"/>
                <w:spacing w:val="-52"/>
                <w:sz w:val="21"/>
                <w:szCs w:val="21"/>
              </w:rPr>
              <w:t> </w:t>
            </w:r>
            <w:r>
              <w:rPr>
                <w:rFonts w:ascii="宋体" w:hAnsi="宋体" w:cs="宋体" w:eastAsia="宋体" w:hint="default"/>
                <w:sz w:val="21"/>
                <w:szCs w:val="21"/>
              </w:rPr>
              <w:t>3,749,211.14</w:t>
            </w:r>
            <w:r>
              <w:rPr>
                <w:rFonts w:ascii="宋体" w:hAnsi="宋体" w:cs="宋体" w:eastAsia="宋体" w:hint="default"/>
                <w:spacing w:val="-54"/>
                <w:sz w:val="21"/>
                <w:szCs w:val="21"/>
              </w:rPr>
              <w:t> </w:t>
            </w:r>
            <w:r>
              <w:rPr>
                <w:rFonts w:ascii="宋体" w:hAnsi="宋体" w:cs="宋体" w:eastAsia="宋体" w:hint="default"/>
                <w:spacing w:val="-13"/>
                <w:sz w:val="21"/>
                <w:szCs w:val="21"/>
              </w:rPr>
              <w:t>元，调减</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母公司营业外收入</w:t>
            </w:r>
            <w:r>
              <w:rPr>
                <w:rFonts w:ascii="宋体" w:hAnsi="宋体" w:cs="宋体" w:eastAsia="宋体" w:hint="default"/>
                <w:spacing w:val="-54"/>
                <w:sz w:val="21"/>
                <w:szCs w:val="21"/>
              </w:rPr>
              <w:t> </w:t>
            </w:r>
            <w:r>
              <w:rPr>
                <w:rFonts w:ascii="宋体" w:hAnsi="宋体" w:cs="宋体" w:eastAsia="宋体" w:hint="default"/>
                <w:sz w:val="21"/>
                <w:szCs w:val="21"/>
              </w:rPr>
              <w:t>3,749,211.14</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bl>
    <w:p>
      <w:pPr>
        <w:spacing w:line="240" w:lineRule="auto" w:before="5"/>
        <w:rPr>
          <w:rFonts w:ascii="宋体" w:hAnsi="宋体" w:cs="宋体" w:eastAsia="宋体" w:hint="default"/>
          <w:sz w:val="15"/>
          <w:szCs w:val="15"/>
        </w:rPr>
      </w:pPr>
    </w:p>
    <w:p>
      <w:pPr>
        <w:pStyle w:val="BodyText"/>
        <w:spacing w:line="274" w:lineRule="exact" w:before="36"/>
        <w:ind w:left="218" w:right="2731"/>
        <w:jc w:val="left"/>
      </w:pPr>
      <w:r>
        <w:rPr/>
        <w:t>其他说明</w:t>
      </w:r>
    </w:p>
    <w:p>
      <w:pPr>
        <w:pStyle w:val="BodyText"/>
        <w:spacing w:line="274" w:lineRule="exact"/>
        <w:ind w:left="638" w:right="124"/>
        <w:jc w:val="left"/>
      </w:pP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28</w:t>
      </w:r>
      <w:r>
        <w:rPr>
          <w:rFonts w:ascii="宋体" w:hAnsi="宋体" w:cs="宋体" w:eastAsia="宋体" w:hint="default"/>
          <w:spacing w:val="-50"/>
        </w:rPr>
        <w:t> </w:t>
      </w:r>
      <w:r>
        <w:rPr>
          <w:spacing w:val="-4"/>
        </w:rPr>
        <w:t>日，财政部以财会</w:t>
      </w:r>
      <w:r>
        <w:rPr>
          <w:rFonts w:ascii="宋体" w:hAnsi="宋体" w:cs="宋体" w:eastAsia="宋体" w:hint="default"/>
          <w:spacing w:val="-4"/>
        </w:rPr>
        <w:t>[2017]13</w:t>
      </w:r>
      <w:r>
        <w:rPr>
          <w:rFonts w:ascii="宋体" w:hAnsi="宋体" w:cs="宋体" w:eastAsia="宋体" w:hint="default"/>
          <w:spacing w:val="-48"/>
        </w:rPr>
        <w:t> </w:t>
      </w:r>
      <w:r>
        <w:rPr>
          <w:spacing w:val="-6"/>
        </w:rPr>
        <w:t>号发布了《企业会计准则第</w:t>
      </w:r>
      <w:r>
        <w:rPr>
          <w:spacing w:val="-48"/>
        </w:rPr>
        <w:t> </w:t>
      </w:r>
      <w:r>
        <w:rPr>
          <w:rFonts w:ascii="宋体" w:hAnsi="宋体" w:cs="宋体" w:eastAsia="宋体" w:hint="default"/>
        </w:rPr>
        <w:t>42</w:t>
      </w:r>
      <w:r>
        <w:rPr>
          <w:rFonts w:ascii="宋体" w:hAnsi="宋体" w:cs="宋体" w:eastAsia="宋体" w:hint="default"/>
          <w:spacing w:val="-47"/>
        </w:rPr>
        <w:t> </w:t>
      </w:r>
      <w:r>
        <w:rPr/>
        <w:t>号——持有待售的</w:t>
      </w:r>
    </w:p>
    <w:p>
      <w:pPr>
        <w:pStyle w:val="BodyText"/>
        <w:spacing w:line="240" w:lineRule="auto" w:before="133"/>
        <w:ind w:left="218" w:right="2731"/>
        <w:jc w:val="left"/>
      </w:pPr>
      <w:r>
        <w:rPr/>
        <w:t>非流动资产、处置组和终止经营》，自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日起实施。</w:t>
      </w:r>
    </w:p>
    <w:p>
      <w:pPr>
        <w:pStyle w:val="BodyText"/>
        <w:spacing w:line="240" w:lineRule="auto" w:before="133"/>
        <w:ind w:left="638" w:right="124"/>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79"/>
        </w:rPr>
        <w:t> </w:t>
      </w:r>
      <w:r>
        <w:rPr>
          <w:w w:val="100"/>
        </w:rPr>
        <w:t>年</w:t>
      </w:r>
      <w:r>
        <w:rPr>
          <w:spacing w:val="-79"/>
        </w:rPr>
        <w:t> </w:t>
      </w:r>
      <w:r>
        <w:rPr>
          <w:rFonts w:ascii="宋体" w:hAnsi="宋体" w:cs="宋体" w:eastAsia="宋体" w:hint="default"/>
          <w:w w:val="100"/>
        </w:rPr>
        <w:t>5</w:t>
      </w:r>
      <w:r>
        <w:rPr>
          <w:rFonts w:ascii="宋体" w:hAnsi="宋体" w:cs="宋体" w:eastAsia="宋体" w:hint="default"/>
          <w:spacing w:val="-79"/>
        </w:rPr>
        <w:t> </w:t>
      </w:r>
      <w:r>
        <w:rPr>
          <w:w w:val="100"/>
        </w:rPr>
        <w:t>月</w:t>
      </w:r>
      <w:r>
        <w:rPr>
          <w:spacing w:val="-77"/>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77"/>
        </w:rPr>
        <w:t> </w:t>
      </w:r>
      <w:r>
        <w:rPr>
          <w:w w:val="100"/>
        </w:rPr>
        <w:t>日</w:t>
      </w:r>
      <w:r>
        <w:rPr>
          <w:spacing w:val="-108"/>
          <w:w w:val="100"/>
        </w:rPr>
        <w:t>，</w:t>
      </w:r>
      <w:r>
        <w:rPr>
          <w:w w:val="100"/>
        </w:rPr>
        <w:t>财</w:t>
      </w:r>
      <w:r>
        <w:rPr>
          <w:spacing w:val="-3"/>
          <w:w w:val="100"/>
        </w:rPr>
        <w:t>政</w:t>
      </w:r>
      <w:r>
        <w:rPr>
          <w:w w:val="100"/>
        </w:rPr>
        <w:t>部</w:t>
      </w:r>
      <w:r>
        <w:rPr>
          <w:spacing w:val="-3"/>
          <w:w w:val="100"/>
        </w:rPr>
        <w:t>以</w:t>
      </w:r>
      <w:r>
        <w:rPr>
          <w:w w:val="100"/>
        </w:rPr>
        <w:t>财会</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3"/>
          <w:w w:val="100"/>
        </w:rPr>
        <w:t>]</w:t>
      </w:r>
      <w:r>
        <w:rPr>
          <w:rFonts w:ascii="宋体" w:hAnsi="宋体" w:cs="宋体" w:eastAsia="宋体" w:hint="default"/>
          <w:w w:val="100"/>
        </w:rPr>
        <w:t>15</w:t>
      </w:r>
      <w:r>
        <w:rPr>
          <w:rFonts w:ascii="宋体" w:hAnsi="宋体" w:cs="宋体" w:eastAsia="宋体" w:hint="default"/>
          <w:spacing w:val="-79"/>
        </w:rPr>
        <w:t> </w:t>
      </w:r>
      <w:r>
        <w:rPr>
          <w:w w:val="100"/>
        </w:rPr>
        <w:t>号</w:t>
      </w:r>
      <w:r>
        <w:rPr>
          <w:spacing w:val="-3"/>
          <w:w w:val="100"/>
        </w:rPr>
        <w:t>发</w:t>
      </w:r>
      <w:r>
        <w:rPr>
          <w:w w:val="100"/>
        </w:rPr>
        <w:t>布</w:t>
      </w:r>
      <w:r>
        <w:rPr>
          <w:spacing w:val="-108"/>
          <w:w w:val="100"/>
        </w:rPr>
        <w:t>了</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79"/>
        </w:rPr>
        <w:t> </w:t>
      </w:r>
      <w:r>
        <w:rPr>
          <w:rFonts w:ascii="宋体" w:hAnsi="宋体" w:cs="宋体" w:eastAsia="宋体" w:hint="default"/>
          <w:w w:val="100"/>
        </w:rPr>
        <w:t>16</w:t>
      </w:r>
      <w:r>
        <w:rPr>
          <w:rFonts w:ascii="宋体" w:hAnsi="宋体" w:cs="宋体" w:eastAsia="宋体" w:hint="default"/>
          <w:spacing w:val="-79"/>
        </w:rPr>
        <w:t> </w:t>
      </w:r>
      <w:r>
        <w:rPr>
          <w:w w:val="100"/>
        </w:rPr>
        <w:t>号</w:t>
      </w:r>
      <w:r>
        <w:rPr>
          <w:spacing w:val="-3"/>
          <w:w w:val="100"/>
        </w:rPr>
        <w:t>—</w:t>
      </w:r>
      <w:r>
        <w:rPr>
          <w:w w:val="100"/>
        </w:rPr>
        <w:t>—</w:t>
      </w:r>
      <w:r>
        <w:rPr>
          <w:spacing w:val="-3"/>
          <w:w w:val="100"/>
        </w:rPr>
        <w:t>政</w:t>
      </w:r>
      <w:r>
        <w:rPr>
          <w:w w:val="100"/>
        </w:rPr>
        <w:t>府补</w:t>
      </w:r>
      <w:r>
        <w:rPr>
          <w:spacing w:val="-108"/>
          <w:w w:val="100"/>
        </w:rPr>
        <w:t>助</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240" w:lineRule="auto" w:before="133"/>
        <w:ind w:left="218" w:right="124"/>
        <w:jc w:val="left"/>
      </w:pPr>
      <w:r>
        <w:rPr/>
        <w:t>年修订）》，自</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日起实施。第三届董事会第十二次会议、第三届监事会第六次会</w:t>
      </w:r>
    </w:p>
    <w:p>
      <w:pPr>
        <w:pStyle w:val="BodyText"/>
        <w:spacing w:line="355" w:lineRule="auto" w:before="135"/>
        <w:ind w:left="218" w:right="234"/>
        <w:jc w:val="left"/>
      </w:pPr>
      <w:r>
        <w:rPr/>
        <w:t>议，于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2"/>
        </w:rPr>
        <w:t> </w:t>
      </w:r>
      <w:r>
        <w:rPr/>
        <w:t>日审议通过了《关于变更公司会计政策的议案》，本公司按照财政部的要</w:t>
      </w:r>
      <w:r>
        <w:rPr>
          <w:w w:val="100"/>
        </w:rPr>
        <w:t> </w:t>
      </w:r>
      <w:r>
        <w:rPr/>
        <w:t>求时间开始执行前述两项会计准则。</w:t>
      </w:r>
    </w:p>
    <w:p>
      <w:pPr>
        <w:pStyle w:val="BodyText"/>
        <w:spacing w:line="357" w:lineRule="auto" w:before="32"/>
        <w:ind w:left="218" w:right="227" w:firstLine="525"/>
        <w:jc w:val="both"/>
      </w:pPr>
      <w:r>
        <w:rPr>
          <w:spacing w:val="-3"/>
        </w:rPr>
        <w:t>执行《企业会计准则第</w:t>
      </w:r>
      <w:r>
        <w:rPr>
          <w:spacing w:val="-41"/>
        </w:rPr>
        <w:t> </w:t>
      </w:r>
      <w:r>
        <w:rPr>
          <w:rFonts w:ascii="宋体" w:hAnsi="宋体" w:cs="宋体" w:eastAsia="宋体" w:hint="default"/>
        </w:rPr>
        <w:t>16</w:t>
      </w:r>
      <w:r>
        <w:rPr>
          <w:rFonts w:ascii="宋体" w:hAnsi="宋体" w:cs="宋体" w:eastAsia="宋体" w:hint="default"/>
          <w:spacing w:val="-42"/>
        </w:rPr>
        <w:t> </w:t>
      </w:r>
      <w:r>
        <w:rPr/>
        <w:t>号——政府补助（</w:t>
      </w:r>
      <w:r>
        <w:rPr>
          <w:rFonts w:ascii="宋体" w:hAnsi="宋体" w:cs="宋体" w:eastAsia="宋体" w:hint="default"/>
        </w:rPr>
        <w:t>2017</w:t>
      </w:r>
      <w:r>
        <w:rPr>
          <w:rFonts w:ascii="宋体" w:hAnsi="宋体" w:cs="宋体" w:eastAsia="宋体" w:hint="default"/>
          <w:spacing w:val="-45"/>
        </w:rPr>
        <w:t> </w:t>
      </w:r>
      <w:r>
        <w:rPr>
          <w:spacing w:val="-3"/>
        </w:rPr>
        <w:t>年修订）》之前，本公司将取得的政府补</w:t>
      </w:r>
      <w:r>
        <w:rPr>
          <w:w w:val="100"/>
        </w:rPr>
        <w:t> </w:t>
      </w:r>
      <w:r>
        <w:rPr>
          <w:spacing w:val="-2"/>
        </w:rPr>
        <w:t>助计入营业外收入；与资产相关的政府补助确认为递延收益，在资产使用寿命内平均摊销计入当</w:t>
      </w:r>
      <w:r>
        <w:rPr>
          <w:spacing w:val="-25"/>
        </w:rPr>
        <w:t> </w:t>
      </w:r>
      <w:r>
        <w:rPr>
          <w:spacing w:val="-25"/>
        </w:rPr>
      </w:r>
      <w:r>
        <w:rPr>
          <w:spacing w:val="-3"/>
        </w:rPr>
        <w:t>期损益。执行《企业会计准则第</w:t>
      </w:r>
      <w:r>
        <w:rPr>
          <w:spacing w:val="-50"/>
        </w:rPr>
        <w:t> </w:t>
      </w:r>
      <w:r>
        <w:rPr>
          <w:rFonts w:ascii="宋体" w:hAnsi="宋体" w:cs="宋体" w:eastAsia="宋体" w:hint="default"/>
        </w:rPr>
        <w:t>16</w:t>
      </w:r>
      <w:r>
        <w:rPr>
          <w:rFonts w:ascii="宋体" w:hAnsi="宋体" w:cs="宋体" w:eastAsia="宋体" w:hint="default"/>
          <w:spacing w:val="-52"/>
        </w:rPr>
        <w:t> </w:t>
      </w:r>
      <w:r>
        <w:rPr/>
        <w:t>号——政府补助（</w:t>
      </w:r>
      <w:r>
        <w:rPr>
          <w:rFonts w:ascii="宋体" w:hAnsi="宋体" w:cs="宋体" w:eastAsia="宋体" w:hint="default"/>
        </w:rPr>
        <w:t>2017</w:t>
      </w:r>
      <w:r>
        <w:rPr>
          <w:rFonts w:ascii="宋体" w:hAnsi="宋体" w:cs="宋体" w:eastAsia="宋体" w:hint="default"/>
          <w:spacing w:val="-52"/>
        </w:rPr>
        <w:t> </w:t>
      </w:r>
      <w:r>
        <w:rPr>
          <w:spacing w:val="-4"/>
        </w:rPr>
        <w:t>年修订）》之后，对</w:t>
      </w:r>
      <w:r>
        <w:rPr>
          <w:spacing w:val="-49"/>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1</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w:t>
      </w:r>
      <w:r>
        <w:rPr>
          <w:w w:val="100"/>
        </w:rPr>
        <w:t> </w:t>
      </w:r>
      <w:r>
        <w:rPr>
          <w:spacing w:val="-2"/>
        </w:rPr>
        <w:t>之后发生的与日常活动相关的政府补助，计入其他收益；与日常活动无关的政府补助，计入营业</w:t>
      </w:r>
      <w:r>
        <w:rPr>
          <w:spacing w:val="-25"/>
        </w:rPr>
        <w:t> </w:t>
      </w:r>
      <w:r>
        <w:rPr>
          <w:spacing w:val="-25"/>
        </w:rPr>
      </w:r>
      <w:r>
        <w:rPr/>
        <w:t>外收支；与资产相关的政府补助冲减相关资产的账面价值。</w:t>
      </w:r>
    </w:p>
    <w:p>
      <w:pPr>
        <w:spacing w:line="240" w:lineRule="auto" w:before="11"/>
        <w:rPr>
          <w:rFonts w:ascii="宋体" w:hAnsi="宋体" w:cs="宋体" w:eastAsia="宋体" w:hint="default"/>
          <w:sz w:val="27"/>
          <w:szCs w:val="27"/>
        </w:rPr>
      </w:pPr>
    </w:p>
    <w:p>
      <w:pPr>
        <w:pStyle w:val="Heading2"/>
        <w:spacing w:line="240" w:lineRule="auto"/>
        <w:ind w:right="2731"/>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9"/>
        <w:ind w:left="218" w:right="2731"/>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spacing w:line="240" w:lineRule="auto"/>
        <w:ind w:right="2731"/>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9" w:lineRule="exact"/>
        <w:ind w:left="218" w:right="273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5248"/>
        <w:gridCol w:w="1709"/>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的税率计算销项税，并按扣除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当期允许抵扣的进项税额后的差额计缴增值税。</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pacing w:val="-1"/>
                <w:sz w:val="21"/>
                <w:szCs w:val="21"/>
              </w:rPr>
              <w:t>6%</w:t>
            </w:r>
            <w:r>
              <w:rPr>
                <w:rFonts w:ascii="宋体" w:hAnsi="宋体" w:cs="宋体" w:eastAsia="宋体" w:hint="default"/>
                <w:spacing w:val="-1"/>
                <w:sz w:val="21"/>
                <w:szCs w:val="21"/>
              </w:rPr>
              <w:t>、</w:t>
            </w:r>
            <w:r>
              <w:rPr>
                <w:rFonts w:ascii="宋体" w:hAnsi="宋体" w:cs="宋体" w:eastAsia="宋体" w:hint="default"/>
                <w:spacing w:val="-1"/>
                <w:sz w:val="21"/>
                <w:szCs w:val="21"/>
              </w:rPr>
              <w:t>17%</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z w:val="21"/>
                <w:szCs w:val="21"/>
              </w:rPr>
              <w:t>计缴。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详见下表。</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按照提供广告服务取得的计费销售额的</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r>
        <w:rPr/>
        <w:pict>
          <v:group style="position:absolute;margin-left:80.304001pt;margin-top:642.219971pt;width:460.9pt;height:5.4pt;mso-position-horizontal-relative:page;mso-position-vertical-relative:page;z-index:-800488" coordorigin="1606,12844" coordsize="9218,108">
            <v:shape style="position:absolute;left:1606;top:12844;width:1908;height:108" type="#_x0000_t75" stroked="false">
              <v:imagedata r:id="rId52" o:title=""/>
            </v:shape>
            <v:shape style="position:absolute;left:3490;top:12940;width:4693;height:12" type="#_x0000_t75" stroked="false">
              <v:imagedata r:id="rId53" o:title=""/>
            </v:shape>
            <v:shape style="position:absolute;left:8169;top:12943;width:2655;height:10" type="#_x0000_t75" stroked="false">
              <v:imagedata r:id="rId54" o:title=""/>
            </v:shape>
            <w10:wrap type="none"/>
          </v:group>
        </w:pict>
      </w:r>
      <w:r>
        <w:rPr/>
        <w:pict>
          <v:group style="position:absolute;margin-left:174.500015pt;margin-top:662.980042pt;width:366.7pt;height:5.55pt;mso-position-horizontal-relative:page;mso-position-vertical-relative:page;z-index:-800464" coordorigin="3490,13260" coordsize="7334,111">
            <v:shape style="position:absolute;left:3490;top:13260;width:4703;height:110" type="#_x0000_t75" stroked="false">
              <v:imagedata r:id="rId55" o:title=""/>
            </v:shape>
            <v:shape style="position:absolute;left:8169;top:13360;width:2655;height:10" type="#_x0000_t75" stroked="false">
              <v:imagedata r:id="rId56" o:title=""/>
            </v:shape>
            <w10:wrap type="none"/>
          </v:group>
        </w:pict>
      </w:r>
      <w:r>
        <w:rPr/>
        <w:pict>
          <v:group style="position:absolute;margin-left:175.220001pt;margin-top:689.02002pt;width:366pt;height:.5pt;mso-position-horizontal-relative:page;mso-position-vertical-relative:page;z-index:-800440" coordorigin="3504,13780" coordsize="7320,10">
            <v:shape style="position:absolute;left:3504;top:13780;width:4669;height:10" type="#_x0000_t75" stroked="false">
              <v:imagedata r:id="rId57" o:title=""/>
            </v:shape>
            <v:shape style="position:absolute;left:8169;top:13780;width:2655;height:10" type="#_x0000_t75" stroked="false">
              <v:imagedata r:id="rId56" o:title=""/>
            </v:shape>
            <w10:wrap type="none"/>
          </v:group>
        </w:pict>
      </w:r>
      <w:r>
        <w:rPr/>
        <w:pict>
          <v:group style="position:absolute;margin-left:80.304001pt;margin-top:704.860046pt;width:460.9pt;height:5.55pt;mso-position-horizontal-relative:page;mso-position-vertical-relative:page;z-index:-800416" coordorigin="1606,14097" coordsize="9218,111">
            <v:shape style="position:absolute;left:1606;top:14097;width:1908;height:110" type="#_x0000_t75" stroked="false">
              <v:imagedata r:id="rId58" o:title=""/>
            </v:shape>
            <v:shape style="position:absolute;left:3490;top:14193;width:4693;height:14" type="#_x0000_t75" stroked="false">
              <v:imagedata r:id="rId59" o:title=""/>
            </v:shape>
            <v:shape style="position:absolute;left:8169;top:14198;width:2655;height:10" type="#_x0000_t75" stroked="false">
              <v:imagedata r:id="rId54" o:title=""/>
            </v:shape>
            <w10:wrap type="none"/>
          </v:group>
        </w:pict>
      </w:r>
      <w:r>
        <w:rPr/>
        <w:pict>
          <v:group style="position:absolute;margin-left:80.304001pt;margin-top:725.740051pt;width:460.9pt;height:5.55pt;mso-position-horizontal-relative:page;mso-position-vertical-relative:page;z-index:-800392" coordorigin="1606,14515" coordsize="9218,111">
            <v:shape style="position:absolute;left:1606;top:14515;width:1908;height:110" type="#_x0000_t75" stroked="false">
              <v:imagedata r:id="rId60" o:title=""/>
            </v:shape>
            <v:shape style="position:absolute;left:3490;top:14611;width:4693;height:14" type="#_x0000_t75" stroked="false">
              <v:imagedata r:id="rId59" o:title=""/>
            </v:shape>
            <v:shape style="position:absolute;left:8169;top:14616;width:2655;height:10" type="#_x0000_t75" stroked="false">
              <v:imagedata r:id="rId54" o:title=""/>
            </v:shape>
            <w10:wrap type="none"/>
          </v:group>
        </w:pict>
      </w:r>
    </w:p>
    <w:p>
      <w:pPr>
        <w:spacing w:line="240" w:lineRule="auto" w:before="0"/>
        <w:rPr>
          <w:rFonts w:ascii="宋体" w:hAnsi="宋体" w:cs="宋体" w:eastAsia="宋体" w:hint="default"/>
          <w:sz w:val="26"/>
          <w:szCs w:val="26"/>
        </w:rPr>
      </w:pPr>
    </w:p>
    <w:p>
      <w:pPr>
        <w:pStyle w:val="BodyText"/>
        <w:spacing w:line="273" w:lineRule="exact" w:before="36"/>
        <w:ind w:left="318" w:right="0"/>
        <w:jc w:val="left"/>
      </w:pPr>
      <w:r>
        <w:rPr/>
        <w:t>存在不同企业所得税税率纳税主体的，披露情况说明</w:t>
      </w:r>
    </w:p>
    <w:p>
      <w:pPr>
        <w:pStyle w:val="BodyText"/>
        <w:spacing w:line="273" w:lineRule="exact"/>
        <w:ind w:left="31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6488"/>
        <w:gridCol w:w="2561"/>
      </w:tblGrid>
      <w:tr>
        <w:trPr>
          <w:trHeight w:val="283" w:hRule="exact"/>
        </w:trPr>
        <w:tc>
          <w:tcPr>
            <w:tcW w:w="648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256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人民网股份有限公司（按照附注六、</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）执行）</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人民视讯（新疆）文化有限公司（按照附注六、</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）执行）</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6488"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p>
        </w:tc>
        <w:tc>
          <w:tcPr>
            <w:tcW w:w="2561" w:type="dxa"/>
            <w:tcBorders>
              <w:top w:val="single" w:sz="6" w:space="0" w:color="000000"/>
              <w:left w:val="single" w:sz="6"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w:t>
            </w:r>
          </w:p>
        </w:tc>
      </w:tr>
    </w:tbl>
    <w:p>
      <w:pPr>
        <w:spacing w:line="240" w:lineRule="auto" w:before="7"/>
        <w:rPr>
          <w:rFonts w:ascii="宋体" w:hAnsi="宋体" w:cs="宋体" w:eastAsia="宋体" w:hint="default"/>
          <w:sz w:val="15"/>
          <w:szCs w:val="15"/>
        </w:rPr>
      </w:pPr>
    </w:p>
    <w:p>
      <w:pPr>
        <w:pStyle w:val="BodyText"/>
        <w:spacing w:line="240" w:lineRule="auto" w:before="36"/>
        <w:ind w:left="800" w:right="0"/>
        <w:jc w:val="left"/>
      </w:pPr>
      <w:r>
        <w:rPr/>
        <w:t>境外主要子公司主要税种及税率</w:t>
      </w:r>
    </w:p>
    <w:p>
      <w:pPr>
        <w:pStyle w:val="BodyText"/>
        <w:spacing w:line="240" w:lineRule="auto" w:before="133"/>
        <w:ind w:left="800" w:right="0"/>
        <w:jc w:val="left"/>
      </w:pPr>
      <w:r>
        <w:rPr/>
        <w:t>①人民网香港有限责任公司主要税种和税率如下：</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908"/>
        <w:gridCol w:w="4679"/>
        <w:gridCol w:w="2645"/>
      </w:tblGrid>
      <w:tr>
        <w:trPr>
          <w:trHeight w:val="324" w:hRule="exact"/>
        </w:trPr>
        <w:tc>
          <w:tcPr>
            <w:tcW w:w="1908" w:type="dxa"/>
            <w:tcBorders>
              <w:top w:val="single" w:sz="12" w:space="0" w:color="000000"/>
              <w:left w:val="nil" w:sz="6" w:space="0" w:color="auto"/>
              <w:bottom w:val="nil" w:sz="6" w:space="0" w:color="auto"/>
              <w:right w:val="single" w:sz="4" w:space="0" w:color="000000"/>
            </w:tcBorders>
          </w:tcPr>
          <w:p>
            <w:pPr>
              <w:pStyle w:val="TableParagraph"/>
              <w:spacing w:line="241" w:lineRule="exact"/>
              <w:ind w:right="677"/>
              <w:jc w:val="righ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种</w:t>
            </w:r>
          </w:p>
        </w:tc>
        <w:tc>
          <w:tcPr>
            <w:tcW w:w="4679" w:type="dxa"/>
            <w:tcBorders>
              <w:top w:val="single" w:sz="12"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45" w:type="dxa"/>
            <w:tcBorders>
              <w:top w:val="single" w:sz="12" w:space="0" w:color="000000"/>
              <w:left w:val="single" w:sz="4" w:space="0" w:color="000000"/>
              <w:bottom w:val="nil" w:sz="6" w:space="0" w:color="auto"/>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率</w:t>
            </w:r>
          </w:p>
        </w:tc>
      </w:tr>
      <w:tr>
        <w:trPr>
          <w:trHeight w:val="535" w:hRule="exact"/>
        </w:trPr>
        <w:tc>
          <w:tcPr>
            <w:tcW w:w="1908" w:type="dxa"/>
            <w:tcBorders>
              <w:top w:val="nil" w:sz="6" w:space="0" w:color="auto"/>
              <w:left w:val="nil" w:sz="6" w:space="0" w:color="auto"/>
              <w:bottom w:val="single" w:sz="12" w:space="0" w:color="000000"/>
              <w:right w:val="single" w:sz="4" w:space="0" w:color="000000"/>
            </w:tcBorders>
          </w:tcPr>
          <w:p>
            <w:pPr>
              <w:pStyle w:val="TableParagraph"/>
              <w:spacing w:line="240" w:lineRule="auto" w:before="76"/>
              <w:ind w:right="725"/>
              <w:jc w:val="right"/>
              <w:rPr>
                <w:rFonts w:ascii="宋体" w:hAnsi="宋体" w:cs="宋体" w:eastAsia="宋体" w:hint="default"/>
                <w:sz w:val="21"/>
                <w:szCs w:val="21"/>
              </w:rPr>
            </w:pPr>
            <w:r>
              <w:rPr>
                <w:rFonts w:ascii="宋体" w:hAnsi="宋体" w:cs="宋体" w:eastAsia="宋体" w:hint="default"/>
                <w:spacing w:val="-1"/>
                <w:sz w:val="21"/>
                <w:szCs w:val="21"/>
              </w:rPr>
              <w:t>企业所得税</w:t>
            </w:r>
          </w:p>
        </w:tc>
        <w:tc>
          <w:tcPr>
            <w:tcW w:w="46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2645"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right="103"/>
              <w:jc w:val="right"/>
              <w:rPr>
                <w:rFonts w:ascii="宋体" w:hAnsi="宋体" w:cs="宋体" w:eastAsia="宋体" w:hint="default"/>
                <w:sz w:val="21"/>
                <w:szCs w:val="21"/>
              </w:rPr>
            </w:pPr>
            <w:r>
              <w:rPr>
                <w:rFonts w:ascii="宋体"/>
                <w:sz w:val="21"/>
              </w:rPr>
              <w:t>16.5%</w:t>
            </w:r>
          </w:p>
        </w:tc>
      </w:tr>
    </w:tbl>
    <w:p>
      <w:pPr>
        <w:pStyle w:val="BodyText"/>
        <w:spacing w:line="241" w:lineRule="exact"/>
        <w:ind w:left="800" w:right="0"/>
        <w:jc w:val="left"/>
      </w:pPr>
      <w:r>
        <w:rPr/>
        <w:pict>
          <v:group style="position:absolute;margin-left:80.304001pt;margin-top:-27.47999pt;width:460.9pt;height:5.55pt;mso-position-horizontal-relative:page;mso-position-vertical-relative:paragraph;z-index:-800560" coordorigin="1606,-550" coordsize="9218,111">
            <v:shape style="position:absolute;left:1606;top:-550;width:1908;height:110" type="#_x0000_t75" stroked="false">
              <v:imagedata r:id="rId60" o:title=""/>
            </v:shape>
            <v:shape style="position:absolute;left:3490;top:-454;width:4693;height:14" type="#_x0000_t75" stroked="false">
              <v:imagedata r:id="rId59" o:title=""/>
            </v:shape>
            <v:shape style="position:absolute;left:8169;top:-449;width:2655;height:10" type="#_x0000_t75" stroked="false">
              <v:imagedata r:id="rId56" o:title=""/>
            </v:shape>
            <w10:wrap type="none"/>
          </v:group>
        </w:pict>
      </w:r>
      <w:r>
        <w:rPr/>
        <w:pict>
          <v:group style="position:absolute;margin-left:80.304001pt;margin-top:37.320042pt;width:460.9pt;height:5.55pt;mso-position-horizontal-relative:page;mso-position-vertical-relative:paragraph;z-index:-800536" coordorigin="1606,746" coordsize="9218,111">
            <v:shape style="position:absolute;left:1606;top:746;width:1908;height:110" type="#_x0000_t75" stroked="false">
              <v:imagedata r:id="rId58" o:title=""/>
            </v:shape>
            <v:shape style="position:absolute;left:3490;top:842;width:4693;height:14" type="#_x0000_t75" stroked="false">
              <v:imagedata r:id="rId61" o:title=""/>
            </v:shape>
            <v:shape style="position:absolute;left:8169;top:847;width:2655;height:10" type="#_x0000_t75" stroked="false">
              <v:imagedata r:id="rId54" o:title=""/>
            </v:shape>
            <w10:wrap type="none"/>
          </v:group>
        </w:pict>
      </w:r>
      <w:r>
        <w:rPr/>
        <w:pict>
          <v:group style="position:absolute;margin-left:80.304001pt;margin-top:58.22998pt;width:460.9pt;height:5.55pt;mso-position-horizontal-relative:page;mso-position-vertical-relative:paragraph;z-index:-800512" coordorigin="1606,1165" coordsize="9218,111">
            <v:shape style="position:absolute;left:1606;top:1165;width:1908;height:110" type="#_x0000_t75" stroked="false">
              <v:imagedata r:id="rId60" o:title=""/>
            </v:shape>
            <v:shape style="position:absolute;left:3490;top:1261;width:4693;height:14" type="#_x0000_t75" stroked="false">
              <v:imagedata r:id="rId59" o:title=""/>
            </v:shape>
            <v:shape style="position:absolute;left:8169;top:1265;width:2655;height:10" type="#_x0000_t75" stroked="false">
              <v:imagedata r:id="rId54" o:title=""/>
            </v:shape>
            <w10:wrap type="none"/>
          </v:group>
        </w:pict>
      </w:r>
      <w:r>
        <w:rPr/>
        <w:t>②人民网日本株式会社主要税种和税率如下：</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908"/>
        <w:gridCol w:w="4679"/>
        <w:gridCol w:w="2645"/>
      </w:tblGrid>
      <w:tr>
        <w:trPr>
          <w:trHeight w:val="324" w:hRule="exact"/>
        </w:trPr>
        <w:tc>
          <w:tcPr>
            <w:tcW w:w="1908" w:type="dxa"/>
            <w:tcBorders>
              <w:top w:val="single" w:sz="12" w:space="0" w:color="000000"/>
              <w:left w:val="nil" w:sz="6" w:space="0" w:color="auto"/>
              <w:bottom w:val="nil" w:sz="6" w:space="0" w:color="auto"/>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679" w:type="dxa"/>
            <w:tcBorders>
              <w:top w:val="single" w:sz="12"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45" w:type="dxa"/>
            <w:tcBorders>
              <w:top w:val="single" w:sz="12" w:space="0" w:color="000000"/>
              <w:left w:val="single" w:sz="4" w:space="0" w:color="000000"/>
              <w:bottom w:val="nil" w:sz="6" w:space="0" w:color="auto"/>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10" w:hRule="exact"/>
        </w:trPr>
        <w:tc>
          <w:tcPr>
            <w:tcW w:w="190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single" w:sz="4" w:space="0" w:color="000000"/>
            </w:tcBorders>
          </w:tcPr>
          <w:p>
            <w:pPr/>
          </w:p>
        </w:tc>
        <w:tc>
          <w:tcPr>
            <w:tcW w:w="2645" w:type="dxa"/>
            <w:tcBorders>
              <w:top w:val="nil" w:sz="6" w:space="0" w:color="auto"/>
              <w:left w:val="single" w:sz="4" w:space="0" w:color="000000"/>
              <w:bottom w:val="nil" w:sz="6" w:space="0" w:color="auto"/>
              <w:right w:val="nil" w:sz="6" w:space="0" w:color="auto"/>
            </w:tcBorders>
          </w:tcPr>
          <w:p>
            <w:pPr/>
          </w:p>
        </w:tc>
      </w:tr>
      <w:tr>
        <w:trPr>
          <w:trHeight w:val="308" w:hRule="exact"/>
        </w:trPr>
        <w:tc>
          <w:tcPr>
            <w:tcW w:w="1908"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467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2645" w:type="dxa"/>
            <w:tcBorders>
              <w:top w:val="nil" w:sz="6" w:space="0" w:color="auto"/>
              <w:left w:val="single" w:sz="4" w:space="0" w:color="000000"/>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25.5%</w:t>
            </w:r>
          </w:p>
        </w:tc>
      </w:tr>
      <w:tr>
        <w:trPr>
          <w:trHeight w:val="110" w:hRule="exact"/>
        </w:trPr>
        <w:tc>
          <w:tcPr>
            <w:tcW w:w="190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single" w:sz="4" w:space="0" w:color="000000"/>
            </w:tcBorders>
          </w:tcPr>
          <w:p>
            <w:pPr/>
          </w:p>
        </w:tc>
        <w:tc>
          <w:tcPr>
            <w:tcW w:w="2645" w:type="dxa"/>
            <w:tcBorders>
              <w:top w:val="nil" w:sz="6" w:space="0" w:color="auto"/>
              <w:left w:val="single" w:sz="4" w:space="0" w:color="000000"/>
              <w:bottom w:val="nil" w:sz="6" w:space="0" w:color="auto"/>
              <w:right w:val="nil" w:sz="6" w:space="0" w:color="auto"/>
            </w:tcBorders>
          </w:tcPr>
          <w:p>
            <w:pPr/>
          </w:p>
        </w:tc>
      </w:tr>
      <w:tr>
        <w:trPr>
          <w:trHeight w:val="1210" w:hRule="exact"/>
        </w:trPr>
        <w:tc>
          <w:tcPr>
            <w:tcW w:w="1908"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679" w:type="dxa"/>
            <w:tcBorders>
              <w:top w:val="nil" w:sz="6" w:space="0" w:color="auto"/>
              <w:left w:val="single" w:sz="4" w:space="0" w:color="000000"/>
              <w:bottom w:val="nil" w:sz="6" w:space="0" w:color="auto"/>
              <w:right w:val="single" w:sz="4" w:space="0" w:color="000000"/>
            </w:tcBorders>
          </w:tcPr>
          <w:p>
            <w:pPr>
              <w:pStyle w:val="TableParagraph"/>
              <w:spacing w:line="357" w:lineRule="auto" w:before="6"/>
              <w:ind w:left="103" w:right="149"/>
              <w:jc w:val="both"/>
              <w:rPr>
                <w:rFonts w:ascii="宋体" w:hAnsi="宋体" w:cs="宋体" w:eastAsia="宋体" w:hint="default"/>
                <w:sz w:val="21"/>
                <w:szCs w:val="21"/>
              </w:rPr>
            </w:pPr>
            <w:r>
              <w:rPr>
                <w:rFonts w:ascii="宋体" w:hAnsi="宋体" w:cs="宋体" w:eastAsia="宋体" w:hint="default"/>
                <w:spacing w:val="-2"/>
                <w:sz w:val="21"/>
                <w:szCs w:val="21"/>
              </w:rPr>
              <w:t>按税法规定计算的销售货物和应税劳务收入为基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础计算销项税额，在扣除当期允许抵扣的进项税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额后，差额部分为应交消费税</w:t>
            </w:r>
          </w:p>
        </w:tc>
        <w:tc>
          <w:tcPr>
            <w:tcW w:w="264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05"/>
              <w:jc w:val="right"/>
              <w:rPr>
                <w:rFonts w:ascii="宋体" w:hAnsi="宋体" w:cs="宋体" w:eastAsia="宋体" w:hint="default"/>
                <w:sz w:val="21"/>
                <w:szCs w:val="21"/>
              </w:rPr>
            </w:pPr>
            <w:r>
              <w:rPr>
                <w:rFonts w:ascii="宋体"/>
                <w:sz w:val="21"/>
              </w:rPr>
              <w:t>8%</w:t>
            </w:r>
          </w:p>
        </w:tc>
      </w:tr>
      <w:tr>
        <w:trPr>
          <w:trHeight w:val="108" w:hRule="exact"/>
        </w:trPr>
        <w:tc>
          <w:tcPr>
            <w:tcW w:w="190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single" w:sz="4" w:space="0" w:color="000000"/>
            </w:tcBorders>
          </w:tcPr>
          <w:p>
            <w:pPr/>
          </w:p>
        </w:tc>
        <w:tc>
          <w:tcPr>
            <w:tcW w:w="2645" w:type="dxa"/>
            <w:tcBorders>
              <w:top w:val="nil" w:sz="6" w:space="0" w:color="auto"/>
              <w:left w:val="single" w:sz="4" w:space="0" w:color="000000"/>
              <w:bottom w:val="nil" w:sz="6" w:space="0" w:color="auto"/>
              <w:right w:val="nil" w:sz="6" w:space="0" w:color="auto"/>
            </w:tcBorders>
          </w:tcPr>
          <w:p>
            <w:pPr/>
          </w:p>
        </w:tc>
      </w:tr>
      <w:tr>
        <w:trPr>
          <w:trHeight w:val="307" w:hRule="exact"/>
        </w:trPr>
        <w:tc>
          <w:tcPr>
            <w:tcW w:w="1908" w:type="dxa"/>
            <w:tcBorders>
              <w:top w:val="nil" w:sz="6" w:space="0" w:color="auto"/>
              <w:left w:val="nil" w:sz="6" w:space="0" w:color="auto"/>
              <w:bottom w:val="nil" w:sz="6" w:space="0" w:color="auto"/>
              <w:right w:val="single" w:sz="4" w:space="0" w:color="000000"/>
            </w:tcBorders>
          </w:tcPr>
          <w:p>
            <w:pPr/>
          </w:p>
        </w:tc>
        <w:tc>
          <w:tcPr>
            <w:tcW w:w="467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1"/>
                <w:sz w:val="21"/>
                <w:szCs w:val="21"/>
              </w:rPr>
              <w:t> </w:t>
            </w:r>
            <w:r>
              <w:rPr>
                <w:rFonts w:ascii="宋体" w:hAnsi="宋体" w:cs="宋体" w:eastAsia="宋体" w:hint="default"/>
                <w:sz w:val="21"/>
                <w:szCs w:val="21"/>
              </w:rPr>
              <w:t>万日元以下</w:t>
            </w:r>
          </w:p>
        </w:tc>
        <w:tc>
          <w:tcPr>
            <w:tcW w:w="2645" w:type="dxa"/>
            <w:tcBorders>
              <w:top w:val="nil" w:sz="6" w:space="0" w:color="auto"/>
              <w:left w:val="single" w:sz="4" w:space="0" w:color="000000"/>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2.7%</w:t>
            </w:r>
          </w:p>
        </w:tc>
      </w:tr>
      <w:tr>
        <w:trPr>
          <w:trHeight w:val="110" w:hRule="exact"/>
        </w:trPr>
        <w:tc>
          <w:tcPr>
            <w:tcW w:w="1908" w:type="dxa"/>
            <w:tcBorders>
              <w:top w:val="nil" w:sz="6" w:space="0" w:color="auto"/>
              <w:left w:val="nil" w:sz="6" w:space="0" w:color="auto"/>
              <w:bottom w:val="nil" w:sz="6" w:space="0" w:color="auto"/>
              <w:right w:val="single" w:sz="4" w:space="0" w:color="000000"/>
            </w:tcBorders>
          </w:tcPr>
          <w:p>
            <w:pPr/>
          </w:p>
        </w:tc>
        <w:tc>
          <w:tcPr>
            <w:tcW w:w="4679" w:type="dxa"/>
            <w:tcBorders>
              <w:top w:val="nil" w:sz="6" w:space="0" w:color="auto"/>
              <w:left w:val="single" w:sz="4" w:space="0" w:color="000000"/>
              <w:bottom w:val="nil" w:sz="6" w:space="0" w:color="auto"/>
              <w:right w:val="nil" w:sz="6" w:space="0" w:color="auto"/>
            </w:tcBorders>
          </w:tcPr>
          <w:p>
            <w:pPr/>
          </w:p>
        </w:tc>
        <w:tc>
          <w:tcPr>
            <w:tcW w:w="2645" w:type="dxa"/>
            <w:tcBorders>
              <w:top w:val="nil" w:sz="6" w:space="0" w:color="auto"/>
              <w:left w:val="nil" w:sz="6" w:space="0" w:color="auto"/>
              <w:bottom w:val="nil" w:sz="6" w:space="0" w:color="auto"/>
              <w:right w:val="nil" w:sz="6" w:space="0" w:color="auto"/>
            </w:tcBorders>
          </w:tcPr>
          <w:p>
            <w:pPr/>
          </w:p>
        </w:tc>
      </w:tr>
      <w:tr>
        <w:trPr>
          <w:trHeight w:val="345" w:hRule="exact"/>
        </w:trPr>
        <w:tc>
          <w:tcPr>
            <w:tcW w:w="1908"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事业税</w:t>
            </w:r>
          </w:p>
        </w:tc>
        <w:tc>
          <w:tcPr>
            <w:tcW w:w="467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2"/>
                <w:sz w:val="21"/>
                <w:szCs w:val="21"/>
              </w:rPr>
              <w:t> </w:t>
            </w:r>
            <w:r>
              <w:rPr>
                <w:rFonts w:ascii="宋体" w:hAnsi="宋体" w:cs="宋体" w:eastAsia="宋体" w:hint="default"/>
                <w:sz w:val="21"/>
                <w:szCs w:val="21"/>
              </w:rPr>
              <w:t>400</w:t>
            </w:r>
            <w:r>
              <w:rPr>
                <w:rFonts w:ascii="宋体" w:hAnsi="宋体" w:cs="宋体" w:eastAsia="宋体" w:hint="default"/>
                <w:spacing w:val="-55"/>
                <w:sz w:val="21"/>
                <w:szCs w:val="21"/>
              </w:rPr>
              <w:t> </w:t>
            </w:r>
            <w:r>
              <w:rPr>
                <w:rFonts w:ascii="宋体" w:hAnsi="宋体" w:cs="宋体" w:eastAsia="宋体" w:hint="default"/>
                <w:sz w:val="21"/>
                <w:szCs w:val="21"/>
              </w:rPr>
              <w:t>万日元</w:t>
            </w:r>
            <w:r>
              <w:rPr>
                <w:rFonts w:ascii="宋体" w:hAnsi="宋体" w:cs="宋体" w:eastAsia="宋体" w:hint="default"/>
                <w:sz w:val="21"/>
                <w:szCs w:val="21"/>
              </w:rPr>
              <w:t>~800</w:t>
            </w:r>
            <w:r>
              <w:rPr>
                <w:rFonts w:ascii="宋体" w:hAnsi="宋体" w:cs="宋体" w:eastAsia="宋体" w:hint="default"/>
                <w:spacing w:val="-55"/>
                <w:sz w:val="21"/>
                <w:szCs w:val="21"/>
              </w:rPr>
              <w:t> </w:t>
            </w:r>
            <w:r>
              <w:rPr>
                <w:rFonts w:ascii="宋体" w:hAnsi="宋体" w:cs="宋体" w:eastAsia="宋体" w:hint="default"/>
                <w:sz w:val="21"/>
                <w:szCs w:val="21"/>
              </w:rPr>
              <w:t>万日元以下</w:t>
            </w:r>
          </w:p>
        </w:tc>
        <w:tc>
          <w:tcPr>
            <w:tcW w:w="2645" w:type="dxa"/>
            <w:tcBorders>
              <w:top w:val="nil" w:sz="6" w:space="0" w:color="auto"/>
              <w:left w:val="single" w:sz="4" w:space="0" w:color="000000"/>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w:t>
            </w:r>
          </w:p>
        </w:tc>
      </w:tr>
      <w:tr>
        <w:trPr>
          <w:trHeight w:val="382" w:hRule="exact"/>
        </w:trPr>
        <w:tc>
          <w:tcPr>
            <w:tcW w:w="1908" w:type="dxa"/>
            <w:tcBorders>
              <w:top w:val="nil" w:sz="6" w:space="0" w:color="auto"/>
              <w:left w:val="nil" w:sz="6" w:space="0" w:color="auto"/>
              <w:bottom w:val="nil" w:sz="6" w:space="0" w:color="auto"/>
              <w:right w:val="single" w:sz="4" w:space="0" w:color="000000"/>
            </w:tcBorders>
          </w:tcPr>
          <w:p>
            <w:pPr/>
          </w:p>
        </w:tc>
        <w:tc>
          <w:tcPr>
            <w:tcW w:w="467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1"/>
                <w:sz w:val="21"/>
                <w:szCs w:val="21"/>
              </w:rPr>
              <w:t> </w:t>
            </w:r>
            <w:r>
              <w:rPr>
                <w:rFonts w:ascii="宋体" w:hAnsi="宋体" w:cs="宋体" w:eastAsia="宋体" w:hint="default"/>
                <w:sz w:val="21"/>
                <w:szCs w:val="21"/>
              </w:rPr>
              <w:t>800</w:t>
            </w:r>
            <w:r>
              <w:rPr>
                <w:rFonts w:ascii="宋体" w:hAnsi="宋体" w:cs="宋体" w:eastAsia="宋体" w:hint="default"/>
                <w:spacing w:val="-54"/>
                <w:sz w:val="21"/>
                <w:szCs w:val="21"/>
              </w:rPr>
              <w:t> </w:t>
            </w:r>
            <w:r>
              <w:rPr>
                <w:rFonts w:ascii="宋体" w:hAnsi="宋体" w:cs="宋体" w:eastAsia="宋体" w:hint="default"/>
                <w:sz w:val="21"/>
                <w:szCs w:val="21"/>
              </w:rPr>
              <w:t>万日元</w:t>
            </w:r>
          </w:p>
        </w:tc>
        <w:tc>
          <w:tcPr>
            <w:tcW w:w="2645"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3"/>
              <w:jc w:val="right"/>
              <w:rPr>
                <w:rFonts w:ascii="宋体" w:hAnsi="宋体" w:cs="宋体" w:eastAsia="宋体" w:hint="default"/>
                <w:sz w:val="21"/>
                <w:szCs w:val="21"/>
              </w:rPr>
            </w:pPr>
            <w:r>
              <w:rPr>
                <w:rFonts w:ascii="宋体"/>
                <w:sz w:val="21"/>
              </w:rPr>
              <w:t>5.3%</w:t>
            </w:r>
          </w:p>
        </w:tc>
      </w:tr>
      <w:tr>
        <w:trPr>
          <w:trHeight w:val="110" w:hRule="exact"/>
        </w:trPr>
        <w:tc>
          <w:tcPr>
            <w:tcW w:w="190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single" w:sz="4" w:space="0" w:color="000000"/>
            </w:tcBorders>
          </w:tcPr>
          <w:p>
            <w:pPr/>
          </w:p>
        </w:tc>
        <w:tc>
          <w:tcPr>
            <w:tcW w:w="2645" w:type="dxa"/>
            <w:tcBorders>
              <w:top w:val="nil" w:sz="6" w:space="0" w:color="auto"/>
              <w:left w:val="single" w:sz="4" w:space="0" w:color="000000"/>
              <w:bottom w:val="nil" w:sz="6" w:space="0" w:color="auto"/>
              <w:right w:val="nil" w:sz="6" w:space="0" w:color="auto"/>
            </w:tcBorders>
          </w:tcPr>
          <w:p>
            <w:pPr/>
          </w:p>
        </w:tc>
      </w:tr>
      <w:tr>
        <w:trPr>
          <w:trHeight w:val="307" w:hRule="exact"/>
        </w:trPr>
        <w:tc>
          <w:tcPr>
            <w:tcW w:w="1908"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地方特別法人税</w:t>
            </w:r>
          </w:p>
        </w:tc>
        <w:tc>
          <w:tcPr>
            <w:tcW w:w="467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事业税额</w:t>
            </w:r>
          </w:p>
        </w:tc>
        <w:tc>
          <w:tcPr>
            <w:tcW w:w="2645" w:type="dxa"/>
            <w:tcBorders>
              <w:top w:val="nil" w:sz="6" w:space="0" w:color="auto"/>
              <w:left w:val="single" w:sz="4" w:space="0" w:color="000000"/>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81%</w:t>
            </w:r>
          </w:p>
        </w:tc>
      </w:tr>
      <w:tr>
        <w:trPr>
          <w:trHeight w:val="110" w:hRule="exact"/>
        </w:trPr>
        <w:tc>
          <w:tcPr>
            <w:tcW w:w="190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single" w:sz="4" w:space="0" w:color="000000"/>
            </w:tcBorders>
          </w:tcPr>
          <w:p>
            <w:pPr/>
          </w:p>
        </w:tc>
        <w:tc>
          <w:tcPr>
            <w:tcW w:w="2645" w:type="dxa"/>
            <w:tcBorders>
              <w:top w:val="nil" w:sz="6" w:space="0" w:color="auto"/>
              <w:left w:val="single" w:sz="4" w:space="0" w:color="000000"/>
              <w:bottom w:val="nil" w:sz="6" w:space="0" w:color="auto"/>
              <w:right w:val="nil" w:sz="6" w:space="0" w:color="auto"/>
            </w:tcBorders>
          </w:tcPr>
          <w:p>
            <w:pPr/>
          </w:p>
        </w:tc>
      </w:tr>
      <w:tr>
        <w:trPr>
          <w:trHeight w:val="425" w:hRule="exact"/>
        </w:trPr>
        <w:tc>
          <w:tcPr>
            <w:tcW w:w="1908" w:type="dxa"/>
            <w:tcBorders>
              <w:top w:val="nil" w:sz="6" w:space="0" w:color="auto"/>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东京都民税</w:t>
            </w:r>
          </w:p>
        </w:tc>
        <w:tc>
          <w:tcPr>
            <w:tcW w:w="4679" w:type="dxa"/>
            <w:tcBorders>
              <w:top w:val="nil" w:sz="6" w:space="0" w:color="auto"/>
              <w:left w:val="single" w:sz="4" w:space="0" w:color="000000"/>
              <w:bottom w:val="single" w:sz="12"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法人税额十平均额</w:t>
            </w:r>
            <w:r>
              <w:rPr>
                <w:rFonts w:ascii="宋体" w:hAnsi="宋体" w:cs="宋体" w:eastAsia="宋体" w:hint="default"/>
                <w:sz w:val="21"/>
                <w:szCs w:val="21"/>
              </w:rPr>
              <w:t>(</w:t>
            </w:r>
            <w:r>
              <w:rPr>
                <w:rFonts w:ascii="宋体" w:hAnsi="宋体" w:cs="宋体" w:eastAsia="宋体" w:hint="default"/>
                <w:sz w:val="21"/>
                <w:szCs w:val="21"/>
              </w:rPr>
              <w:t>日元</w:t>
            </w:r>
            <w:r>
              <w:rPr>
                <w:rFonts w:ascii="宋体" w:hAnsi="宋体" w:cs="宋体" w:eastAsia="宋体" w:hint="default"/>
                <w:sz w:val="21"/>
                <w:szCs w:val="21"/>
              </w:rPr>
              <w:t>)</w:t>
            </w:r>
          </w:p>
        </w:tc>
        <w:tc>
          <w:tcPr>
            <w:tcW w:w="2645" w:type="dxa"/>
            <w:tcBorders>
              <w:top w:val="nil" w:sz="6" w:space="0" w:color="auto"/>
              <w:left w:val="single" w:sz="4" w:space="0" w:color="000000"/>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17.3%+180,000.00</w:t>
            </w:r>
            <w:r>
              <w:rPr>
                <w:rFonts w:ascii="宋体" w:hAnsi="宋体" w:cs="宋体" w:eastAsia="宋体" w:hint="default"/>
                <w:spacing w:val="-52"/>
                <w:sz w:val="21"/>
                <w:szCs w:val="21"/>
              </w:rPr>
              <w:t> </w:t>
            </w:r>
            <w:r>
              <w:rPr>
                <w:rFonts w:ascii="宋体" w:hAnsi="宋体" w:cs="宋体" w:eastAsia="宋体" w:hint="default"/>
                <w:sz w:val="21"/>
                <w:szCs w:val="21"/>
              </w:rPr>
              <w:t>日元</w:t>
            </w:r>
          </w:p>
        </w:tc>
      </w:tr>
    </w:tbl>
    <w:p>
      <w:pPr>
        <w:spacing w:after="0" w:line="241" w:lineRule="exact"/>
        <w:jc w:val="right"/>
        <w:rPr>
          <w:rFonts w:ascii="宋体" w:hAnsi="宋体" w:cs="宋体" w:eastAsia="宋体" w:hint="default"/>
          <w:sz w:val="21"/>
          <w:szCs w:val="21"/>
        </w:rPr>
        <w:sectPr>
          <w:pgSz w:w="11910" w:h="16840"/>
          <w:pgMar w:header="882" w:footer="1195" w:top="1120" w:bottom="1380" w:left="1480" w:right="980"/>
        </w:sectPr>
      </w:pPr>
    </w:p>
    <w:p>
      <w:pPr>
        <w:spacing w:line="240" w:lineRule="auto" w:before="1"/>
        <w:rPr>
          <w:rFonts w:ascii="宋体" w:hAnsi="宋体" w:cs="宋体" w:eastAsia="宋体" w:hint="default"/>
          <w:sz w:val="25"/>
          <w:szCs w:val="25"/>
        </w:rPr>
      </w:pPr>
    </w:p>
    <w:p>
      <w:pPr>
        <w:pStyle w:val="Heading2"/>
        <w:tabs>
          <w:tab w:pos="562" w:val="left" w:leader="none"/>
        </w:tabs>
        <w:spacing w:line="240" w:lineRule="auto" w:before="36"/>
        <w:ind w:left="138" w:right="148"/>
        <w:jc w:val="left"/>
        <w:rPr>
          <w:b w:val="0"/>
          <w:bCs w:val="0"/>
        </w:rPr>
      </w:pPr>
      <w:r>
        <w:rPr>
          <w:rFonts w:ascii="宋体" w:hAnsi="宋体" w:cs="宋体" w:eastAsia="宋体" w:hint="default"/>
          <w:w w:val="95"/>
        </w:rPr>
        <w:t>2.</w:t>
        <w:tab/>
      </w:r>
      <w:r>
        <w:rPr/>
        <w:t>税收优惠</w:t>
      </w:r>
      <w:r>
        <w:rPr>
          <w:b w:val="0"/>
          <w:bCs w:val="0"/>
        </w:rPr>
      </w:r>
    </w:p>
    <w:p>
      <w:pPr>
        <w:pStyle w:val="BodyText"/>
        <w:tabs>
          <w:tab w:pos="980" w:val="left" w:leader="none"/>
        </w:tabs>
        <w:spacing w:line="273" w:lineRule="exact" w:before="58"/>
        <w:ind w:right="148"/>
        <w:jc w:val="left"/>
      </w:pPr>
      <w:r>
        <w:rPr>
          <w:spacing w:val="-1"/>
        </w:rPr>
        <w:t>√适用</w:t>
        <w:tab/>
      </w:r>
      <w:r>
        <w:rPr>
          <w:spacing w:val="-2"/>
        </w:rPr>
        <w:t>□不适用</w:t>
      </w:r>
    </w:p>
    <w:p>
      <w:pPr>
        <w:pStyle w:val="BodyText"/>
        <w:spacing w:line="357" w:lineRule="auto"/>
        <w:ind w:right="207" w:firstLine="419"/>
        <w:jc w:val="both"/>
      </w:pPr>
      <w:r>
        <w:rPr>
          <w:spacing w:val="-4"/>
        </w:rPr>
        <w:t>（</w:t>
      </w:r>
      <w:r>
        <w:rPr>
          <w:rFonts w:ascii="宋体" w:hAnsi="宋体" w:cs="宋体" w:eastAsia="宋体" w:hint="default"/>
          <w:spacing w:val="-4"/>
        </w:rPr>
        <w:t>1</w:t>
      </w:r>
      <w:r>
        <w:rPr>
          <w:spacing w:val="-4"/>
        </w:rPr>
        <w:t>）人民网股份有限公司根据财政部、国家税务总局、中宣部下发《关于继续实施文化体制</w:t>
      </w:r>
      <w:r>
        <w:rPr>
          <w:w w:val="100"/>
        </w:rPr>
        <w:t> </w:t>
      </w:r>
      <w:r>
        <w:rPr>
          <w:spacing w:val="-2"/>
        </w:rPr>
        <w:t>改革中经营性文化事业单位转制为企业若干税收政策的通知》（财税【</w:t>
      </w:r>
      <w:r>
        <w:rPr>
          <w:rFonts w:ascii="宋体" w:hAnsi="宋体" w:cs="宋体" w:eastAsia="宋体" w:hint="default"/>
          <w:spacing w:val="-2"/>
        </w:rPr>
        <w:t>2014</w:t>
      </w:r>
      <w:r>
        <w:rPr>
          <w:spacing w:val="-2"/>
        </w:rPr>
        <w:t>】</w:t>
      </w:r>
      <w:r>
        <w:rPr>
          <w:rFonts w:ascii="宋体" w:hAnsi="宋体" w:cs="宋体" w:eastAsia="宋体" w:hint="default"/>
          <w:spacing w:val="-2"/>
        </w:rPr>
        <w:t>84</w:t>
      </w:r>
      <w:r>
        <w:rPr>
          <w:rFonts w:ascii="宋体" w:hAnsi="宋体" w:cs="宋体" w:eastAsia="宋体" w:hint="default"/>
          <w:spacing w:val="-15"/>
        </w:rPr>
        <w:t> </w:t>
      </w:r>
      <w:r>
        <w:rPr>
          <w:spacing w:val="-4"/>
        </w:rPr>
        <w:t>号）规定，可继</w:t>
      </w:r>
      <w:r>
        <w:rPr>
          <w:spacing w:val="-89"/>
        </w:rPr>
        <w:t> </w:t>
      </w:r>
      <w:r>
        <w:rPr>
          <w:spacing w:val="-89"/>
        </w:rPr>
      </w:r>
      <w:r>
        <w:rPr>
          <w:spacing w:val="-2"/>
        </w:rPr>
        <w:t>续享受《财政部国家税务总局关于文化体制改革中经营性文化事业单位转制为企业的若干税收优</w:t>
      </w:r>
      <w:r>
        <w:rPr>
          <w:spacing w:val="-25"/>
        </w:rPr>
        <w:t> </w:t>
      </w:r>
      <w:r>
        <w:rPr>
          <w:spacing w:val="-25"/>
        </w:rPr>
      </w:r>
      <w:r>
        <w:rPr/>
        <w:t>惠政策问题的通知》（财税【</w:t>
      </w:r>
      <w:r>
        <w:rPr>
          <w:rFonts w:ascii="宋体" w:hAnsi="宋体" w:cs="宋体" w:eastAsia="宋体" w:hint="default"/>
        </w:rPr>
        <w:t>2009</w:t>
      </w:r>
      <w:r>
        <w:rPr/>
        <w:t>】</w:t>
      </w:r>
      <w:r>
        <w:rPr>
          <w:rFonts w:ascii="宋体" w:hAnsi="宋体" w:cs="宋体" w:eastAsia="宋体" w:hint="default"/>
        </w:rPr>
        <w:t>34</w:t>
      </w:r>
      <w:r>
        <w:rPr>
          <w:rFonts w:ascii="宋体" w:hAnsi="宋体" w:cs="宋体" w:eastAsia="宋体" w:hint="default"/>
          <w:spacing w:val="-55"/>
        </w:rPr>
        <w:t> </w:t>
      </w:r>
      <w:r>
        <w:rPr/>
        <w:t>号）规定的税收政策。</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240" w:lineRule="auto" w:before="30"/>
        <w:ind w:right="148"/>
        <w:jc w:val="left"/>
      </w:pPr>
      <w:r>
        <w:rPr>
          <w:rFonts w:ascii="宋体" w:hAnsi="宋体" w:cs="宋体" w:eastAsia="宋体" w:hint="default"/>
        </w:rPr>
        <w:t>31</w:t>
      </w:r>
      <w:r>
        <w:rPr>
          <w:rFonts w:ascii="宋体" w:hAnsi="宋体" w:cs="宋体" w:eastAsia="宋体" w:hint="default"/>
          <w:spacing w:val="-53"/>
        </w:rPr>
        <w:t> </w:t>
      </w:r>
      <w:r>
        <w:rPr/>
        <w:t>日免征企业所得税。</w:t>
      </w:r>
    </w:p>
    <w:p>
      <w:pPr>
        <w:pStyle w:val="BodyText"/>
        <w:spacing w:line="357" w:lineRule="auto" w:before="133"/>
        <w:ind w:right="111" w:firstLine="419"/>
        <w:jc w:val="both"/>
      </w:pPr>
      <w:r>
        <w:rPr/>
        <w:t>（</w:t>
      </w:r>
      <w:r>
        <w:rPr>
          <w:rFonts w:ascii="宋体" w:hAnsi="宋体" w:cs="宋体" w:eastAsia="宋体" w:hint="default"/>
        </w:rPr>
        <w:t>2</w:t>
      </w:r>
      <w:r>
        <w:rPr/>
        <w:t>）北京人民在线网络有限公司于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日被认定为高新技术企业，取得了编号为</w:t>
      </w:r>
      <w:r>
        <w:rPr>
          <w:w w:val="100"/>
        </w:rPr>
        <w:t> </w:t>
      </w:r>
      <w:r>
        <w:rPr>
          <w:rFonts w:ascii="宋体" w:hAnsi="宋体" w:cs="宋体" w:eastAsia="宋体" w:hint="default"/>
        </w:rPr>
        <w:t>GF201511000775</w:t>
      </w:r>
      <w:r>
        <w:rPr>
          <w:rFonts w:ascii="宋体" w:hAnsi="宋体" w:cs="宋体" w:eastAsia="宋体" w:hint="default"/>
          <w:spacing w:val="1"/>
        </w:rPr>
        <w:t> </w:t>
      </w:r>
      <w:r>
        <w:rPr/>
        <w:t>的高新技术企业证书，有效期为三年。根据《中华人民共和国企业所得税法》、</w:t>
      </w:r>
    </w:p>
    <w:p>
      <w:pPr>
        <w:pStyle w:val="BodyText"/>
        <w:spacing w:line="355" w:lineRule="auto" w:before="31"/>
        <w:ind w:right="148"/>
        <w:jc w:val="left"/>
      </w:pPr>
      <w:r>
        <w:rPr>
          <w:spacing w:val="-2"/>
        </w:rPr>
        <w:t>《中华人民共和国企业所得税法实施条例》有关高新技术企业税收优惠的规定，公司在高新技术</w:t>
      </w:r>
      <w:r>
        <w:rPr>
          <w:spacing w:val="-25"/>
        </w:rPr>
        <w:t> </w:t>
      </w:r>
      <w:r>
        <w:rPr>
          <w:spacing w:val="-25"/>
        </w:rPr>
      </w:r>
      <w:r>
        <w:rPr/>
        <w:t>企业资格有效期内可减按</w:t>
      </w:r>
      <w:r>
        <w:rPr>
          <w:spacing w:val="-60"/>
        </w:rPr>
        <w:t> </w:t>
      </w:r>
      <w:r>
        <w:rPr>
          <w:rFonts w:ascii="宋体" w:hAnsi="宋体" w:cs="宋体" w:eastAsia="宋体" w:hint="default"/>
        </w:rPr>
        <w:t>15%</w:t>
      </w:r>
      <w:r>
        <w:rPr/>
        <w:t>的税率计缴企业所得税。</w:t>
      </w:r>
    </w:p>
    <w:p>
      <w:pPr>
        <w:pStyle w:val="BodyText"/>
        <w:spacing w:line="357" w:lineRule="auto" w:before="32"/>
        <w:ind w:right="208" w:firstLine="419"/>
        <w:jc w:val="both"/>
      </w:pPr>
      <w:r>
        <w:rPr/>
        <w:t>（</w:t>
      </w:r>
      <w:r>
        <w:rPr>
          <w:rFonts w:ascii="宋体" w:hAnsi="宋体" w:cs="宋体" w:eastAsia="宋体" w:hint="default"/>
        </w:rPr>
        <w:t>3</w:t>
      </w:r>
      <w:r>
        <w:rPr/>
        <w:t>）武汉人民在线信息科技有限公司于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日被认定为高新技术企业，取得了</w:t>
      </w:r>
      <w:r>
        <w:rPr>
          <w:w w:val="100"/>
        </w:rPr>
        <w:t> </w:t>
      </w:r>
      <w:r>
        <w:rPr/>
        <w:t>编号为</w:t>
      </w:r>
      <w:r>
        <w:rPr>
          <w:spacing w:val="-26"/>
        </w:rPr>
        <w:t> </w:t>
      </w:r>
      <w:r>
        <w:rPr>
          <w:rFonts w:ascii="宋体" w:hAnsi="宋体" w:cs="宋体" w:eastAsia="宋体" w:hint="default"/>
        </w:rPr>
        <w:t>GR201742001799</w:t>
      </w:r>
      <w:r>
        <w:rPr>
          <w:rFonts w:ascii="宋体" w:hAnsi="宋体" w:cs="宋体" w:eastAsia="宋体" w:hint="default"/>
          <w:spacing w:val="-29"/>
        </w:rPr>
        <w:t> </w:t>
      </w:r>
      <w:r>
        <w:rPr>
          <w:spacing w:val="-5"/>
        </w:rPr>
        <w:t>的高新技术企业证书，有效期为三年，根据《中华人民共和国企业所得税</w:t>
      </w:r>
      <w:r>
        <w:rPr>
          <w:spacing w:val="-96"/>
        </w:rPr>
        <w:t> </w:t>
      </w:r>
      <w:r>
        <w:rPr>
          <w:spacing w:val="-96"/>
        </w:rPr>
      </w:r>
      <w:r>
        <w:rPr>
          <w:spacing w:val="-2"/>
        </w:rPr>
        <w:t>法》、《中华人民共和国企业所得税法实施条例》有关高新技术企业税收优惠的规定，公司在高</w:t>
      </w:r>
      <w:r>
        <w:rPr>
          <w:spacing w:val="-25"/>
        </w:rPr>
        <w:t> </w:t>
      </w:r>
      <w:r>
        <w:rPr>
          <w:spacing w:val="-25"/>
        </w:rPr>
      </w:r>
      <w:r>
        <w:rPr/>
        <w:t>新技术企业资格有效期内可减按</w:t>
      </w:r>
      <w:r>
        <w:rPr>
          <w:spacing w:val="-55"/>
        </w:rPr>
        <w:t> </w:t>
      </w:r>
      <w:r>
        <w:rPr>
          <w:rFonts w:ascii="宋体" w:hAnsi="宋体" w:cs="宋体" w:eastAsia="宋体" w:hint="default"/>
        </w:rPr>
        <w:t>15%</w:t>
      </w:r>
      <w:r>
        <w:rPr/>
        <w:t>的税率计缴企业所得税。</w:t>
      </w:r>
    </w:p>
    <w:p>
      <w:pPr>
        <w:pStyle w:val="BodyText"/>
        <w:spacing w:line="357" w:lineRule="auto" w:before="30"/>
        <w:ind w:right="208" w:firstLine="419"/>
        <w:jc w:val="both"/>
      </w:pPr>
      <w:r>
        <w:rPr>
          <w:spacing w:val="-11"/>
        </w:rPr>
        <w:t>（</w:t>
      </w:r>
      <w:r>
        <w:rPr>
          <w:rFonts w:ascii="宋体" w:hAnsi="宋体" w:cs="宋体" w:eastAsia="宋体" w:hint="default"/>
          <w:spacing w:val="-11"/>
        </w:rPr>
        <w:t>4</w:t>
      </w:r>
      <w:r>
        <w:rPr>
          <w:spacing w:val="-11"/>
        </w:rPr>
        <w:t>）环球时报在线（北京）文华传播有限公司于</w:t>
      </w:r>
      <w:r>
        <w:rPr>
          <w:spacing w:val="-45"/>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11</w:t>
      </w:r>
      <w:r>
        <w:rPr>
          <w:rFonts w:ascii="宋体" w:hAnsi="宋体" w:cs="宋体" w:eastAsia="宋体" w:hint="default"/>
          <w:spacing w:val="-49"/>
        </w:rPr>
        <w:t> </w:t>
      </w:r>
      <w:r>
        <w:rPr/>
        <w:t>月</w:t>
      </w:r>
      <w:r>
        <w:rPr>
          <w:spacing w:val="-47"/>
        </w:rPr>
        <w:t> </w:t>
      </w:r>
      <w:r>
        <w:rPr>
          <w:rFonts w:ascii="宋体" w:hAnsi="宋体" w:cs="宋体" w:eastAsia="宋体" w:hint="default"/>
        </w:rPr>
        <w:t>24</w:t>
      </w:r>
      <w:r>
        <w:rPr>
          <w:rFonts w:ascii="宋体" w:hAnsi="宋体" w:cs="宋体" w:eastAsia="宋体" w:hint="default"/>
          <w:spacing w:val="-49"/>
        </w:rPr>
        <w:t> </w:t>
      </w:r>
      <w:r>
        <w:rPr/>
        <w:t>日被认定为高新技术企业，</w:t>
      </w:r>
      <w:r>
        <w:rPr>
          <w:w w:val="100"/>
        </w:rPr>
        <w:t> </w:t>
      </w:r>
      <w:r>
        <w:rPr/>
        <w:t>取得了编号为</w:t>
      </w:r>
      <w:r>
        <w:rPr>
          <w:spacing w:val="-35"/>
        </w:rPr>
        <w:t> </w:t>
      </w:r>
      <w:r>
        <w:rPr>
          <w:rFonts w:ascii="宋体" w:hAnsi="宋体" w:cs="宋体" w:eastAsia="宋体" w:hint="default"/>
        </w:rPr>
        <w:t>GR201511002578</w:t>
      </w:r>
      <w:r>
        <w:rPr>
          <w:rFonts w:ascii="宋体" w:hAnsi="宋体" w:cs="宋体" w:eastAsia="宋体" w:hint="default"/>
          <w:spacing w:val="-38"/>
        </w:rPr>
        <w:t> </w:t>
      </w:r>
      <w:r>
        <w:rPr>
          <w:spacing w:val="-5"/>
        </w:rPr>
        <w:t>的高新技术企业证书，有效期为三年。根据《中华人民共和国企业</w:t>
      </w:r>
      <w:r>
        <w:rPr>
          <w:spacing w:val="-97"/>
        </w:rPr>
        <w:t> </w:t>
      </w:r>
      <w:r>
        <w:rPr>
          <w:spacing w:val="-97"/>
        </w:rPr>
      </w:r>
      <w:r>
        <w:rPr>
          <w:spacing w:val="-2"/>
        </w:rPr>
        <w:t>所得税法》、《中华人民共和国企业所得税法实施条例》有关高新技术企业税收优惠的规定，公</w:t>
      </w:r>
      <w:r>
        <w:rPr>
          <w:spacing w:val="-25"/>
        </w:rPr>
        <w:t> </w:t>
      </w:r>
      <w:r>
        <w:rPr>
          <w:spacing w:val="-25"/>
        </w:rPr>
      </w:r>
      <w:r>
        <w:rPr>
          <w:spacing w:val="-2"/>
        </w:rPr>
        <w:t>司在高新技术企业资格有效期内可减按</w:t>
      </w:r>
      <w:r>
        <w:rPr>
          <w:spacing w:val="4"/>
        </w:rPr>
        <w:t> </w:t>
      </w:r>
      <w:r>
        <w:rPr>
          <w:rFonts w:ascii="宋体" w:hAnsi="宋体" w:cs="宋体" w:eastAsia="宋体" w:hint="default"/>
          <w:spacing w:val="-2"/>
        </w:rPr>
        <w:t>15%</w:t>
      </w:r>
      <w:r>
        <w:rPr>
          <w:spacing w:val="-2"/>
        </w:rPr>
        <w:t>的税率计缴企业所得税。</w:t>
      </w:r>
    </w:p>
    <w:p>
      <w:pPr>
        <w:pStyle w:val="BodyText"/>
        <w:spacing w:line="357" w:lineRule="auto" w:before="30"/>
        <w:ind w:right="208" w:firstLine="419"/>
        <w:jc w:val="both"/>
      </w:pPr>
      <w:r>
        <w:rPr>
          <w:spacing w:val="-4"/>
        </w:rPr>
        <w:t>（</w:t>
      </w:r>
      <w:r>
        <w:rPr>
          <w:rFonts w:ascii="宋体" w:hAnsi="宋体" w:cs="宋体" w:eastAsia="宋体" w:hint="default"/>
          <w:spacing w:val="-4"/>
        </w:rPr>
        <w:t>5</w:t>
      </w:r>
      <w:r>
        <w:rPr>
          <w:spacing w:val="-4"/>
        </w:rPr>
        <w:t>）人民视讯（新疆）文化有限公司被新疆维吾尔自治区霍尔果斯经济开发区国家税务局认</w:t>
      </w:r>
      <w:r>
        <w:rPr>
          <w:w w:val="100"/>
        </w:rPr>
        <w:t> </w:t>
      </w:r>
      <w:r>
        <w:rPr>
          <w:spacing w:val="-5"/>
        </w:rPr>
        <w:t>定为新疆喀什、霍尔果斯特殊经济开发区新办企业，根据《财政部</w:t>
      </w:r>
      <w:r>
        <w:rPr>
          <w:spacing w:val="38"/>
        </w:rPr>
        <w:t> </w:t>
      </w:r>
      <w:r>
        <w:rPr/>
        <w:t>国家税务总局关于新疆喀什霍</w:t>
      </w:r>
      <w:r>
        <w:rPr>
          <w:spacing w:val="-98"/>
        </w:rPr>
        <w:t> </w:t>
      </w:r>
      <w:r>
        <w:rPr>
          <w:spacing w:val="-98"/>
        </w:rPr>
      </w:r>
      <w:r>
        <w:rPr/>
        <w:t>尔果斯两个特殊经济开发区企业所得税优惠政策的通知》财税【</w:t>
      </w:r>
      <w:r>
        <w:rPr>
          <w:rFonts w:ascii="宋体" w:hAnsi="宋体" w:cs="宋体" w:eastAsia="宋体" w:hint="default"/>
        </w:rPr>
        <w:t>2011</w:t>
      </w:r>
      <w:r>
        <w:rPr/>
        <w:t>】</w:t>
      </w:r>
      <w:r>
        <w:rPr>
          <w:rFonts w:ascii="宋体" w:hAnsi="宋体" w:cs="宋体" w:eastAsia="宋体" w:hint="default"/>
        </w:rPr>
        <w:t>112</w:t>
      </w:r>
      <w:r>
        <w:rPr>
          <w:rFonts w:ascii="宋体" w:hAnsi="宋体" w:cs="宋体" w:eastAsia="宋体" w:hint="default"/>
          <w:spacing w:val="-56"/>
        </w:rPr>
        <w:t> </w:t>
      </w:r>
      <w:r>
        <w:rPr/>
        <w:t>号第一条的规定，自</w:t>
      </w:r>
      <w:r>
        <w:rPr>
          <w:w w:val="100"/>
        </w:rPr>
        <w:t> </w:t>
      </w:r>
      <w:r>
        <w:rPr>
          <w:spacing w:val="-2"/>
        </w:rPr>
        <w:t>取得第一笔生产经营收入所属纳税年度起，</w:t>
      </w:r>
      <w:r>
        <w:rPr>
          <w:rFonts w:ascii="宋体" w:hAnsi="宋体" w:cs="宋体" w:eastAsia="宋体" w:hint="default"/>
          <w:spacing w:val="-2"/>
        </w:rPr>
        <w:t>5</w:t>
      </w:r>
      <w:r>
        <w:rPr>
          <w:rFonts w:ascii="宋体" w:hAnsi="宋体" w:cs="宋体" w:eastAsia="宋体" w:hint="default"/>
          <w:spacing w:val="3"/>
        </w:rPr>
        <w:t> </w:t>
      </w:r>
      <w:r>
        <w:rPr>
          <w:spacing w:val="-2"/>
        </w:rPr>
        <w:t>年内免征企业所得税。</w:t>
      </w:r>
    </w:p>
    <w:p>
      <w:pPr>
        <w:spacing w:line="240" w:lineRule="auto" w:before="8"/>
        <w:rPr>
          <w:rFonts w:ascii="宋体" w:hAnsi="宋体" w:cs="宋体" w:eastAsia="宋体" w:hint="default"/>
          <w:sz w:val="27"/>
          <w:szCs w:val="27"/>
        </w:rPr>
      </w:pPr>
    </w:p>
    <w:p>
      <w:pPr>
        <w:pStyle w:val="Heading2"/>
        <w:tabs>
          <w:tab w:pos="562" w:val="left" w:leader="none"/>
        </w:tabs>
        <w:spacing w:line="240" w:lineRule="auto"/>
        <w:ind w:left="138" w:right="148"/>
        <w:jc w:val="left"/>
        <w:rPr>
          <w:b w:val="0"/>
          <w:bCs w:val="0"/>
        </w:rPr>
      </w:pPr>
      <w:r>
        <w:rPr>
          <w:rFonts w:ascii="宋体" w:hAnsi="宋体" w:cs="宋体" w:eastAsia="宋体" w:hint="default"/>
          <w:w w:val="95"/>
        </w:rPr>
        <w:t>3.</w:t>
        <w:tab/>
      </w:r>
      <w:r>
        <w:rPr/>
        <w:t>其他</w:t>
      </w:r>
      <w:r>
        <w:rPr>
          <w:b w:val="0"/>
          <w:bCs w:val="0"/>
        </w:rPr>
      </w:r>
    </w:p>
    <w:p>
      <w:pPr>
        <w:pStyle w:val="BodyText"/>
        <w:tabs>
          <w:tab w:pos="980" w:val="left" w:leader="none"/>
        </w:tabs>
        <w:spacing w:line="240" w:lineRule="auto" w:before="59"/>
        <w:ind w:right="14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060"/>
        </w:sectPr>
      </w:pPr>
    </w:p>
    <w:p>
      <w:pPr>
        <w:pStyle w:val="Heading2"/>
        <w:spacing w:line="290" w:lineRule="auto" w:before="36"/>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0" w:val="left" w:leader="none"/>
        </w:tabs>
        <w:spacing w:line="240" w:lineRule="auto" w:before="14"/>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2673" w:space="3849"/>
            <w:col w:w="2668"/>
          </w:cols>
        </w:sectPr>
      </w:pP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125"/>
        <w:gridCol w:w="2976"/>
        <w:gridCol w:w="2744"/>
      </w:tblGrid>
      <w:tr>
        <w:trPr>
          <w:trHeight w:val="425"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0"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宋体" w:hAnsi="宋体" w:cs="宋体" w:eastAsia="宋体" w:hint="default"/>
                <w:sz w:val="21"/>
                <w:szCs w:val="21"/>
              </w:rPr>
            </w:pPr>
            <w:r>
              <w:rPr>
                <w:rFonts w:ascii="宋体"/>
                <w:spacing w:val="-1"/>
                <w:sz w:val="21"/>
              </w:rPr>
              <w:t>517,135.48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spacing w:val="-1"/>
                <w:sz w:val="21"/>
              </w:rPr>
              <w:t>708,197.77</w:t>
            </w:r>
          </w:p>
        </w:tc>
      </w:tr>
      <w:tr>
        <w:trPr>
          <w:trHeight w:val="410"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宋体" w:hAnsi="宋体" w:cs="宋体" w:eastAsia="宋体" w:hint="default"/>
                <w:sz w:val="21"/>
                <w:szCs w:val="21"/>
              </w:rPr>
            </w:pPr>
            <w:r>
              <w:rPr>
                <w:rFonts w:ascii="宋体"/>
                <w:spacing w:val="-1"/>
                <w:sz w:val="21"/>
              </w:rPr>
              <w:t>525,800,978.88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spacing w:val="-1"/>
                <w:sz w:val="21"/>
              </w:rPr>
              <w:t>400,146,000.44</w:t>
            </w:r>
          </w:p>
        </w:tc>
      </w:tr>
      <w:tr>
        <w:trPr>
          <w:trHeight w:val="411"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宋体" w:hAnsi="宋体" w:cs="宋体" w:eastAsia="宋体" w:hint="default"/>
                <w:sz w:val="21"/>
                <w:szCs w:val="21"/>
              </w:rPr>
            </w:pPr>
            <w:r>
              <w:rPr>
                <w:rFonts w:ascii="宋体"/>
                <w:spacing w:val="-1"/>
                <w:sz w:val="21"/>
              </w:rPr>
              <w:t>5,099,815.92</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spacing w:val="-1"/>
                <w:sz w:val="21"/>
              </w:rPr>
              <w:t>26,390,340.50</w:t>
            </w:r>
          </w:p>
        </w:tc>
      </w:tr>
      <w:tr>
        <w:trPr>
          <w:trHeight w:val="410"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宋体" w:hAnsi="宋体" w:cs="宋体" w:eastAsia="宋体" w:hint="default"/>
                <w:sz w:val="21"/>
                <w:szCs w:val="21"/>
              </w:rPr>
            </w:pPr>
            <w:r>
              <w:rPr>
                <w:rFonts w:ascii="宋体"/>
                <w:spacing w:val="-1"/>
                <w:sz w:val="21"/>
              </w:rPr>
              <w:t>531,417,930.28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spacing w:val="-1"/>
                <w:sz w:val="21"/>
              </w:rPr>
              <w:t>427,244,538.71</w:t>
            </w:r>
          </w:p>
        </w:tc>
      </w:tr>
    </w:tbl>
    <w:p>
      <w:pPr>
        <w:spacing w:after="0" w:line="240" w:lineRule="auto"/>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8" w:type="dxa"/>
        <w:tblLayout w:type="fixed"/>
        <w:tblCellMar>
          <w:top w:w="0" w:type="dxa"/>
          <w:left w:w="0" w:type="dxa"/>
          <w:bottom w:w="0" w:type="dxa"/>
          <w:right w:w="0" w:type="dxa"/>
        </w:tblCellMar>
        <w:tblLook w:val="01E0"/>
      </w:tblPr>
      <w:tblGrid>
        <w:gridCol w:w="3125"/>
        <w:gridCol w:w="2976"/>
        <w:gridCol w:w="2744"/>
      </w:tblGrid>
      <w:tr>
        <w:trPr>
          <w:trHeight w:val="411"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1"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601" w:right="-3"/>
              <w:jc w:val="left"/>
              <w:rPr>
                <w:rFonts w:ascii="宋体" w:hAnsi="宋体" w:cs="宋体" w:eastAsia="宋体" w:hint="default"/>
                <w:sz w:val="21"/>
                <w:szCs w:val="21"/>
              </w:rPr>
            </w:pPr>
            <w:r>
              <w:rPr>
                <w:rFonts w:ascii="宋体"/>
                <w:sz w:val="21"/>
              </w:rPr>
              <w:t>26,544,830.43</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366" w:right="-1"/>
              <w:jc w:val="left"/>
              <w:rPr>
                <w:rFonts w:ascii="宋体" w:hAnsi="宋体" w:cs="宋体" w:eastAsia="宋体" w:hint="default"/>
                <w:sz w:val="21"/>
                <w:szCs w:val="21"/>
              </w:rPr>
            </w:pPr>
            <w:r>
              <w:rPr>
                <w:rFonts w:ascii="宋体"/>
                <w:sz w:val="21"/>
              </w:rPr>
              <w:t>18,532,478.02</w:t>
            </w:r>
          </w:p>
        </w:tc>
      </w:tr>
    </w:tbl>
    <w:p>
      <w:pPr>
        <w:spacing w:line="240" w:lineRule="auto" w:before="7"/>
        <w:rPr>
          <w:rFonts w:ascii="宋体" w:hAnsi="宋体" w:cs="宋体" w:eastAsia="宋体" w:hint="default"/>
          <w:sz w:val="15"/>
          <w:szCs w:val="15"/>
        </w:rPr>
      </w:pPr>
    </w:p>
    <w:p>
      <w:pPr>
        <w:pStyle w:val="BodyText"/>
        <w:spacing w:line="273" w:lineRule="exact" w:before="36"/>
        <w:ind w:left="258" w:right="0"/>
        <w:jc w:val="left"/>
      </w:pPr>
      <w:r>
        <w:rPr/>
        <w:t>其他说明</w:t>
      </w:r>
    </w:p>
    <w:p>
      <w:pPr>
        <w:pStyle w:val="BodyText"/>
        <w:spacing w:line="357" w:lineRule="auto"/>
        <w:ind w:left="258" w:right="0" w:firstLine="419"/>
        <w:jc w:val="left"/>
      </w:pPr>
      <w:r>
        <w:rPr>
          <w:spacing w:val="-6"/>
        </w:rPr>
        <w:t>注：①其他货币资金中 </w:t>
      </w:r>
      <w:r>
        <w:rPr>
          <w:rFonts w:ascii="宋体" w:hAnsi="宋体" w:cs="宋体" w:eastAsia="宋体" w:hint="default"/>
        </w:rPr>
        <w:t>4,973,637.07</w:t>
      </w:r>
      <w:r>
        <w:rPr>
          <w:rFonts w:ascii="宋体" w:hAnsi="宋体" w:cs="宋体" w:eastAsia="宋体" w:hint="default"/>
          <w:spacing w:val="-50"/>
        </w:rPr>
        <w:t> </w:t>
      </w:r>
      <w:r>
        <w:rPr>
          <w:spacing w:val="-4"/>
        </w:rPr>
        <w:t>元为本公司向银行申请开具无条件、不可撤销的担保函</w:t>
      </w:r>
      <w:r>
        <w:rPr>
          <w:w w:val="100"/>
        </w:rPr>
        <w:t> </w:t>
      </w:r>
      <w:r>
        <w:rPr/>
        <w:t>所存入的保证金存款。</w:t>
      </w:r>
    </w:p>
    <w:p>
      <w:pPr>
        <w:pStyle w:val="BodyText"/>
        <w:spacing w:line="240" w:lineRule="auto" w:before="30"/>
        <w:ind w:left="678" w:right="0"/>
        <w:jc w:val="left"/>
      </w:pPr>
      <w:r>
        <w:rPr/>
        <w:t>②其他货币资金中</w:t>
      </w:r>
      <w:r>
        <w:rPr>
          <w:spacing w:val="-55"/>
        </w:rPr>
        <w:t> </w:t>
      </w:r>
      <w:r>
        <w:rPr>
          <w:rFonts w:ascii="宋体" w:hAnsi="宋体" w:cs="宋体" w:eastAsia="宋体" w:hint="default"/>
        </w:rPr>
        <w:t>126,178.85</w:t>
      </w:r>
      <w:r>
        <w:rPr>
          <w:rFonts w:ascii="宋体" w:hAnsi="宋体" w:cs="宋体" w:eastAsia="宋体" w:hint="default"/>
          <w:spacing w:val="-58"/>
        </w:rPr>
        <w:t> </w:t>
      </w:r>
      <w:r>
        <w:rPr/>
        <w:t>元为本公司支付宝账户金额。</w:t>
      </w:r>
    </w:p>
    <w:p>
      <w:pPr>
        <w:pStyle w:val="BodyText"/>
        <w:spacing w:line="240" w:lineRule="auto" w:before="133"/>
        <w:ind w:left="678" w:right="0"/>
        <w:jc w:val="left"/>
      </w:pPr>
      <w:r>
        <w:rPr/>
        <w:t>③存放境外款项汇回不受到限制。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7"/>
        <w:ind w:left="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2"/>
          <w:pgSz w:w="11910" w:h="16840"/>
          <w:pgMar w:footer="1195" w:header="882" w:top="1120" w:bottom="1380" w:left="1540" w:right="1120"/>
        </w:sectPr>
      </w:pPr>
    </w:p>
    <w:p>
      <w:pPr>
        <w:pStyle w:val="Heading2"/>
        <w:spacing w:line="240" w:lineRule="auto" w:before="36"/>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2476" w:space="4046"/>
            <w:col w:w="272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21"/>
                <w:szCs w:val="21"/>
              </w:rPr>
            </w:pPr>
            <w:r>
              <w:rPr>
                <w:rFonts w:ascii="宋体"/>
                <w:spacing w:val="-1"/>
                <w:sz w:val="21"/>
              </w:rPr>
              <w:t>150,000.00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5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58" w:right="7394"/>
        <w:jc w:val="left"/>
      </w:pPr>
      <w:r>
        <w:rPr/>
        <w:t>□适用</w:t>
      </w:r>
      <w:r>
        <w:rPr>
          <w:spacing w:val="-1"/>
        </w:rPr>
        <w:t> </w:t>
      </w:r>
      <w:r>
        <w:rPr/>
        <w:t>√不适用</w:t>
      </w:r>
      <w:r>
        <w:rPr>
          <w:w w:val="100"/>
        </w:rPr>
        <w:t> </w:t>
      </w:r>
      <w:r>
        <w:rPr/>
        <w:t>其他说明</w:t>
      </w:r>
    </w:p>
    <w:p>
      <w:pPr>
        <w:pStyle w:val="BodyText"/>
        <w:spacing w:line="249" w:lineRule="exact"/>
        <w:ind w:left="258" w:right="0"/>
        <w:jc w:val="left"/>
      </w:pPr>
      <w:r>
        <w:rPr/>
        <w:t>□适用</w:t>
      </w:r>
      <w:r>
        <w:rPr>
          <w:spacing w:val="-1"/>
        </w:rPr>
        <w:t> </w:t>
      </w:r>
      <w:r>
        <w:rPr/>
        <w:t>√不适用</w:t>
      </w:r>
    </w:p>
    <w:p>
      <w:pPr>
        <w:spacing w:after="0" w:line="249" w:lineRule="exact"/>
        <w:jc w:val="left"/>
        <w:sectPr>
          <w:type w:val="continuous"/>
          <w:pgSz w:w="11910" w:h="16840"/>
          <w:pgMar w:top="1120" w:bottom="1380" w:left="1540" w:right="112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3"/>
          <w:footerReference w:type="default" r:id="rId64"/>
          <w:pgSz w:w="16840" w:h="11910" w:orient="landscape"/>
          <w:pgMar w:header="0" w:footer="0" w:top="800" w:bottom="280" w:left="1380" w:right="1280"/>
        </w:sectPr>
      </w:pPr>
    </w:p>
    <w:p>
      <w:pPr>
        <w:spacing w:line="240" w:lineRule="auto" w:before="11"/>
        <w:rPr>
          <w:rFonts w:ascii="宋体" w:hAnsi="宋体" w:cs="宋体" w:eastAsia="宋体" w:hint="default"/>
          <w:sz w:val="13"/>
          <w:szCs w:val="13"/>
        </w:rPr>
      </w:pPr>
    </w:p>
    <w:p>
      <w:pPr>
        <w:pStyle w:val="Heading2"/>
        <w:spacing w:line="240" w:lineRule="auto"/>
        <w:ind w:left="144"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8"/>
        <w:ind w:left="144"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left="144"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408" w:space="9051"/>
            <w:col w:w="2721"/>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74"/>
        <w:gridCol w:w="1534"/>
        <w:gridCol w:w="769"/>
        <w:gridCol w:w="1426"/>
        <w:gridCol w:w="797"/>
        <w:gridCol w:w="1532"/>
        <w:gridCol w:w="1534"/>
        <w:gridCol w:w="795"/>
        <w:gridCol w:w="1428"/>
        <w:gridCol w:w="818"/>
        <w:gridCol w:w="1532"/>
      </w:tblGrid>
      <w:tr>
        <w:trPr>
          <w:trHeight w:val="283"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74"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77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2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21" w:right="0"/>
              <w:jc w:val="left"/>
              <w:rPr>
                <w:rFonts w:ascii="宋体" w:hAnsi="宋体" w:cs="宋体" w:eastAsia="宋体" w:hint="default"/>
                <w:sz w:val="21"/>
                <w:szCs w:val="21"/>
              </w:rPr>
            </w:pPr>
            <w:r>
              <w:rPr>
                <w:rFonts w:ascii="宋体"/>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35" w:right="0"/>
              <w:jc w:val="left"/>
              <w:rPr>
                <w:rFonts w:ascii="宋体" w:hAnsi="宋体" w:cs="宋体" w:eastAsia="宋体" w:hint="default"/>
                <w:sz w:val="21"/>
                <w:szCs w:val="21"/>
              </w:rPr>
            </w:pPr>
            <w:r>
              <w:rPr>
                <w:rFonts w:ascii="宋体"/>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53"/>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9,735,141.67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8,801,661.98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90.41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933,479.69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14,568,835.21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2.87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21"/>
                <w:szCs w:val="21"/>
              </w:rPr>
            </w:pPr>
            <w:r>
              <w:rPr>
                <w:rFonts w:ascii="宋体"/>
                <w:sz w:val="21"/>
              </w:rPr>
              <w:t>8,781,754.48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60.28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5,787,080.73</w:t>
            </w: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428,952,593.04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97.41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24,531,225.39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5.72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404,421,367.65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492,104,986.64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96.83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18,728,048.37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3.81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473,376,938.27</w:t>
            </w:r>
          </w:p>
        </w:tc>
      </w:tr>
      <w:tr>
        <w:trPr>
          <w:trHeight w:val="82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53"/>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1,692,046.83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1,576,048.24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93.14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115,998.59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1,530,042.35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0.30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21"/>
                <w:szCs w:val="21"/>
              </w:rPr>
            </w:pPr>
            <w:r>
              <w:rPr>
                <w:rFonts w:ascii="宋体"/>
                <w:sz w:val="21"/>
              </w:rPr>
              <w:t>1,530,042.35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440,379,781.54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34,908,935.61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405,470,845.93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508,203,864.20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29,039,845.20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479,164,019.00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63"/>
        <w:ind w:left="6398" w:right="6414" w:firstLine="0"/>
        <w:jc w:val="center"/>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65"/>
          <w:pgSz w:w="11910" w:h="16840"/>
          <w:pgMar w:footer="1195" w:header="0" w:top="1120" w:bottom="1380" w:left="1120" w:right="640"/>
          <w:pgNumType w:start="112"/>
        </w:sectPr>
      </w:pPr>
    </w:p>
    <w:p>
      <w:pPr>
        <w:pStyle w:val="BodyText"/>
        <w:spacing w:line="273" w:lineRule="exact" w:before="36"/>
        <w:ind w:left="678" w:right="0"/>
        <w:jc w:val="left"/>
      </w:pPr>
      <w:r>
        <w:rPr>
          <w:spacing w:val="-2"/>
        </w:rPr>
        <w:t>期末单项金额重大并单项计提坏帐准备的应收账款</w:t>
      </w:r>
    </w:p>
    <w:p>
      <w:pPr>
        <w:pStyle w:val="BodyText"/>
        <w:spacing w:line="273" w:lineRule="exact"/>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40"/>
          <w:cols w:num="2" w:equalWidth="0">
            <w:col w:w="5304" w:space="1218"/>
            <w:col w:w="362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27"/>
        <w:gridCol w:w="1478"/>
        <w:gridCol w:w="1560"/>
        <w:gridCol w:w="850"/>
        <w:gridCol w:w="2408"/>
      </w:tblGrid>
      <w:tr>
        <w:trPr>
          <w:trHeight w:val="283" w:hRule="exact"/>
        </w:trPr>
        <w:tc>
          <w:tcPr>
            <w:tcW w:w="3627" w:type="dxa"/>
            <w:vMerge w:val="restart"/>
            <w:tcBorders>
              <w:top w:val="single" w:sz="4" w:space="0" w:color="000000"/>
              <w:left w:val="single" w:sz="4" w:space="0" w:color="000000"/>
              <w:right w:val="single" w:sz="4" w:space="0" w:color="000000"/>
            </w:tcBorders>
          </w:tcPr>
          <w:p>
            <w:pPr>
              <w:pStyle w:val="TableParagraph"/>
              <w:spacing w:line="274" w:lineRule="exact" w:before="107"/>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2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627"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北京人网互联咨询有限公司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1,689,309.73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1,689,309.73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北京逸视觉广告有限公司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770,566.04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770,566.04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广州市罗兰文化传播有限公司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555,796.23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555,796.23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中昊高铁新技术开发有限公司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1,711,320.58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1,711,320.58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长治县城乡统筹振兴试验区</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2,830,188.68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2,830,188.68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4"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灏景（厦门）文化传媒有限公司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836,156.99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836,156.99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联通宽带在线有限公司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685,358.48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342,679.24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50.00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3"/>
              <w:jc w:val="left"/>
              <w:rPr>
                <w:rFonts w:ascii="宋体" w:hAnsi="宋体" w:cs="宋体" w:eastAsia="宋体" w:hint="default"/>
                <w:sz w:val="21"/>
                <w:szCs w:val="21"/>
              </w:rPr>
            </w:pPr>
            <w:r>
              <w:rPr>
                <w:rFonts w:ascii="宋体" w:hAnsi="宋体" w:cs="宋体" w:eastAsia="宋体" w:hint="default"/>
                <w:spacing w:val="-5"/>
                <w:sz w:val="21"/>
                <w:szCs w:val="21"/>
              </w:rPr>
              <w:t>咪咕数字传媒有限公司（手机报业务）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656,444.94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65,644.49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9,735,141.67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8,801,661.98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120" w:right="640"/>
        </w:sectPr>
      </w:pPr>
    </w:p>
    <w:p>
      <w:pPr>
        <w:pStyle w:val="BodyText"/>
        <w:spacing w:line="273" w:lineRule="exact" w:before="36"/>
        <w:ind w:left="678" w:right="0"/>
        <w:jc w:val="left"/>
      </w:pPr>
      <w:r>
        <w:rPr>
          <w:spacing w:val="-2"/>
        </w:rPr>
        <w:t>组合中，按账龄分析法计提坏账准备的应收账款：</w:t>
      </w:r>
    </w:p>
    <w:p>
      <w:pPr>
        <w:pStyle w:val="BodyText"/>
        <w:spacing w:line="273" w:lineRule="exact"/>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40"/>
          <w:cols w:num="2" w:equalWidth="0">
            <w:col w:w="5304" w:space="1218"/>
            <w:col w:w="3628"/>
          </w:cols>
        </w:sectPr>
      </w:pPr>
    </w:p>
    <w:p>
      <w:pPr>
        <w:spacing w:line="240" w:lineRule="auto" w:before="7"/>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324,106,878.94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3,222,188.18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0.99</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324,106,878.94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3,222,188.18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0.99</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32,775,950.96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1,536,053.94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4.69</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36,963,607.16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3,609,756.95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9.77</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20,295,449.57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6,088,634.88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9,472,229.94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4,736,114.97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5,338,476.47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5,338,476.47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428,952,593.04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24,531,225.39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5.72</w:t>
            </w:r>
          </w:p>
        </w:tc>
      </w:tr>
    </w:tbl>
    <w:p>
      <w:pPr>
        <w:spacing w:line="240" w:lineRule="auto" w:before="5"/>
        <w:rPr>
          <w:rFonts w:ascii="宋体" w:hAnsi="宋体" w:cs="宋体" w:eastAsia="宋体" w:hint="default"/>
          <w:sz w:val="15"/>
          <w:szCs w:val="15"/>
        </w:rPr>
      </w:pPr>
    </w:p>
    <w:p>
      <w:pPr>
        <w:pStyle w:val="BodyText"/>
        <w:spacing w:line="240" w:lineRule="auto" w:before="36"/>
        <w:ind w:left="678" w:right="3339"/>
        <w:jc w:val="left"/>
      </w:pPr>
      <w:r>
        <w:rPr/>
        <w:t>确定该组合依据的说明：</w:t>
      </w:r>
      <w:r>
        <w:rPr>
          <w:w w:val="100"/>
        </w:rPr>
        <w:t> </w:t>
      </w:r>
      <w:r>
        <w:rPr/>
        <w:t>本公司以账龄为信用风险特征组合的确定依据。</w:t>
      </w:r>
    </w:p>
    <w:p>
      <w:pPr>
        <w:spacing w:line="240" w:lineRule="auto" w:before="6"/>
        <w:rPr>
          <w:rFonts w:ascii="宋体" w:hAnsi="宋体" w:cs="宋体" w:eastAsia="宋体" w:hint="default"/>
          <w:sz w:val="20"/>
          <w:szCs w:val="20"/>
        </w:rPr>
      </w:pPr>
    </w:p>
    <w:p>
      <w:pPr>
        <w:pStyle w:val="BodyText"/>
        <w:spacing w:line="275" w:lineRule="exact"/>
        <w:ind w:left="678" w:right="3339"/>
        <w:jc w:val="left"/>
      </w:pPr>
      <w:r>
        <w:rPr/>
        <w:t>组合中，采用余额百分比法计提坏账准备的应收账款：</w:t>
      </w:r>
    </w:p>
    <w:p>
      <w:pPr>
        <w:pStyle w:val="BodyText"/>
        <w:spacing w:line="272" w:lineRule="exact" w:before="27"/>
        <w:ind w:left="678" w:right="3339"/>
        <w:jc w:val="left"/>
      </w:pPr>
      <w:r>
        <w:rPr/>
        <w:t>□适用</w:t>
      </w:r>
      <w:r>
        <w:rPr>
          <w:spacing w:val="-2"/>
        </w:rPr>
        <w:t> </w:t>
      </w:r>
      <w:r>
        <w:rPr/>
        <w:t>√不适用</w:t>
      </w:r>
      <w:r>
        <w:rPr>
          <w:w w:val="100"/>
        </w:rPr>
        <w:t> </w:t>
      </w:r>
      <w:r>
        <w:rPr>
          <w:spacing w:val="-2"/>
        </w:rPr>
        <w:t>组合中，采用其他方法计提坏账准备的应收账款：</w:t>
      </w:r>
    </w:p>
    <w:p>
      <w:pPr>
        <w:pStyle w:val="BodyText"/>
        <w:tabs>
          <w:tab w:pos="1520" w:val="left" w:leader="none"/>
        </w:tabs>
        <w:spacing w:line="249" w:lineRule="exact"/>
        <w:ind w:left="678" w:right="333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678" w:right="3339"/>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1098" w:right="0"/>
        <w:jc w:val="left"/>
      </w:pPr>
      <w:r>
        <w:rPr/>
        <w:t>本期计提坏账准备金额</w:t>
      </w:r>
      <w:r>
        <w:rPr>
          <w:spacing w:val="-44"/>
        </w:rPr>
        <w:t> </w:t>
      </w:r>
      <w:r>
        <w:rPr>
          <w:rFonts w:ascii="宋体" w:hAnsi="宋体" w:cs="宋体" w:eastAsia="宋体" w:hint="default"/>
        </w:rPr>
        <w:t>7,326,671.71</w:t>
      </w:r>
      <w:r>
        <w:rPr>
          <w:rFonts w:ascii="宋体" w:hAnsi="宋体" w:cs="宋体" w:eastAsia="宋体" w:hint="default"/>
          <w:spacing w:val="-45"/>
        </w:rPr>
        <w:t> </w:t>
      </w:r>
      <w:r>
        <w:rPr>
          <w:spacing w:val="-5"/>
        </w:rPr>
        <w:t>元；本期收回或转回坏账准备金额</w:t>
      </w:r>
      <w:r>
        <w:rPr>
          <w:spacing w:val="-45"/>
        </w:rPr>
        <w:t> </w:t>
      </w:r>
      <w:r>
        <w:rPr>
          <w:rFonts w:ascii="宋体" w:hAnsi="宋体" w:cs="宋体" w:eastAsia="宋体" w:hint="default"/>
        </w:rPr>
        <w:t>0</w:t>
      </w:r>
      <w:r>
        <w:rPr>
          <w:rFonts w:ascii="宋体" w:hAnsi="宋体" w:cs="宋体" w:eastAsia="宋体" w:hint="default"/>
          <w:spacing w:val="-44"/>
        </w:rPr>
        <w:t> </w:t>
      </w:r>
      <w:r>
        <w:rPr>
          <w:spacing w:val="-8"/>
        </w:rPr>
        <w:t>元，本期因合并范</w:t>
      </w:r>
    </w:p>
    <w:p>
      <w:pPr>
        <w:pStyle w:val="BodyText"/>
        <w:spacing w:line="400" w:lineRule="atLeast" w:before="10"/>
        <w:ind w:left="678" w:right="5358"/>
        <w:jc w:val="left"/>
      </w:pPr>
      <w:r>
        <w:rPr/>
        <w:t>围变更减少坏账准备金额</w:t>
      </w:r>
      <w:r>
        <w:rPr>
          <w:spacing w:val="-55"/>
        </w:rPr>
        <w:t> </w:t>
      </w:r>
      <w:r>
        <w:rPr>
          <w:rFonts w:ascii="宋体" w:hAnsi="宋体" w:cs="宋体" w:eastAsia="宋体" w:hint="default"/>
        </w:rPr>
        <w:t>1,457,581.30</w:t>
      </w:r>
      <w:r>
        <w:rPr>
          <w:rFonts w:ascii="宋体" w:hAnsi="宋体" w:cs="宋体" w:eastAsia="宋体" w:hint="default"/>
          <w:spacing w:val="-55"/>
        </w:rPr>
        <w:t> </w:t>
      </w:r>
      <w:r>
        <w:rPr/>
        <w:t>元。</w:t>
      </w:r>
      <w:r>
        <w:rPr>
          <w:w w:val="100"/>
        </w:rPr>
        <w:t> </w:t>
      </w:r>
      <w:r>
        <w:rPr/>
        <w:t>其中本期坏账准备收回或转回金额重要的：</w:t>
      </w:r>
    </w:p>
    <w:p>
      <w:pPr>
        <w:pStyle w:val="BodyText"/>
        <w:spacing w:line="271" w:lineRule="exact"/>
        <w:ind w:left="678" w:right="333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78" w:right="333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678" w:right="3339"/>
        <w:jc w:val="left"/>
      </w:pPr>
      <w:r>
        <w:rPr/>
        <w:t>□适用</w:t>
      </w:r>
      <w:r>
        <w:rPr>
          <w:spacing w:val="-1"/>
        </w:rPr>
        <w:t> </w:t>
      </w:r>
      <w:r>
        <w:rPr/>
        <w:t>√不适用</w:t>
      </w:r>
    </w:p>
    <w:p>
      <w:pPr>
        <w:spacing w:after="0" w:line="240" w:lineRule="auto"/>
        <w:jc w:val="left"/>
        <w:sectPr>
          <w:type w:val="continuous"/>
          <w:pgSz w:w="11910" w:h="16840"/>
          <w:pgMar w:top="1120" w:bottom="1380" w:left="112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505"/>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980" w:val="left" w:leader="none"/>
        </w:tabs>
        <w:spacing w:line="274" w:lineRule="exact" w:before="56"/>
        <w:ind w:right="505"/>
        <w:jc w:val="left"/>
      </w:pPr>
      <w:r>
        <w:rPr>
          <w:spacing w:val="-1"/>
        </w:rPr>
        <w:t>√适用</w:t>
        <w:tab/>
      </w:r>
      <w:r>
        <w:rPr>
          <w:spacing w:val="-2"/>
        </w:rPr>
        <w:t>□不适用</w:t>
      </w:r>
    </w:p>
    <w:p>
      <w:pPr>
        <w:pStyle w:val="BodyText"/>
        <w:spacing w:line="355" w:lineRule="auto"/>
        <w:ind w:right="505" w:firstLine="419"/>
        <w:jc w:val="left"/>
      </w:pPr>
      <w:r>
        <w:rPr/>
        <w:t>本公司本年按欠款方归集的年末余额前五名应收款项汇总金额为</w:t>
      </w:r>
      <w:r>
        <w:rPr>
          <w:spacing w:val="-54"/>
        </w:rPr>
        <w:t> </w:t>
      </w:r>
      <w:r>
        <w:rPr>
          <w:rFonts w:ascii="宋体" w:hAnsi="宋体" w:cs="宋体" w:eastAsia="宋体" w:hint="default"/>
        </w:rPr>
        <w:t>126,207,789.56</w:t>
      </w:r>
      <w:r>
        <w:rPr>
          <w:rFonts w:ascii="宋体" w:hAnsi="宋体" w:cs="宋体" w:eastAsia="宋体" w:hint="default"/>
          <w:spacing w:val="-56"/>
        </w:rPr>
        <w:t> </w:t>
      </w:r>
      <w:r>
        <w:rPr>
          <w:spacing w:val="-12"/>
        </w:rPr>
        <w:t>元，占</w:t>
      </w:r>
      <w:r>
        <w:rPr>
          <w:w w:val="100"/>
        </w:rPr>
        <w:t> </w:t>
      </w:r>
      <w:r>
        <w:rPr/>
        <w:t>应收款项年末余额合计数的比例为</w:t>
      </w:r>
      <w:r>
        <w:rPr>
          <w:spacing w:val="-54"/>
        </w:rPr>
        <w:t> </w:t>
      </w:r>
      <w:r>
        <w:rPr>
          <w:rFonts w:ascii="宋体" w:hAnsi="宋体" w:cs="宋体" w:eastAsia="宋体" w:hint="default"/>
        </w:rPr>
        <w:t>28.66%</w:t>
      </w:r>
      <w:r>
        <w:rPr/>
        <w:t>，相应计提的坏账准备年末余额汇总金额为</w:t>
      </w:r>
      <w:r>
        <w:rPr>
          <w:w w:val="100"/>
        </w:rPr>
        <w:t> </w:t>
      </w:r>
      <w:r>
        <w:rPr>
          <w:rFonts w:ascii="宋体" w:hAnsi="宋体" w:cs="宋体" w:eastAsia="宋体" w:hint="default"/>
        </w:rPr>
        <w:t>1,486,627.11</w:t>
      </w:r>
      <w:r>
        <w:rPr>
          <w:rFonts w:ascii="宋体" w:hAnsi="宋体" w:cs="宋体" w:eastAsia="宋体" w:hint="default"/>
          <w:spacing w:val="-52"/>
        </w:rPr>
        <w:t> </w:t>
      </w:r>
      <w:r>
        <w:rPr/>
        <w:t>元。</w:t>
      </w:r>
    </w:p>
    <w:p>
      <w:pPr>
        <w:spacing w:line="240" w:lineRule="auto" w:before="13"/>
        <w:rPr>
          <w:rFonts w:ascii="宋体" w:hAnsi="宋体" w:cs="宋体" w:eastAsia="宋体" w:hint="default"/>
          <w:sz w:val="27"/>
          <w:szCs w:val="27"/>
        </w:rPr>
      </w:pPr>
    </w:p>
    <w:p>
      <w:pPr>
        <w:pStyle w:val="Heading2"/>
        <w:spacing w:line="240" w:lineRule="auto"/>
        <w:ind w:left="138" w:right="505"/>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980" w:val="left" w:leader="none"/>
        </w:tabs>
        <w:spacing w:line="240" w:lineRule="auto" w:before="56"/>
        <w:ind w:right="505"/>
        <w:jc w:val="left"/>
      </w:pPr>
      <w:r>
        <w:rPr>
          <w:spacing w:val="-1"/>
        </w:rPr>
        <w:t>□适用</w:t>
        <w:tab/>
      </w:r>
      <w:r>
        <w:rPr>
          <w:spacing w:val="-2"/>
        </w:rPr>
        <w:t>√不适用</w:t>
      </w:r>
    </w:p>
    <w:p>
      <w:pPr>
        <w:spacing w:line="240" w:lineRule="auto" w:before="1"/>
        <w:rPr>
          <w:rFonts w:ascii="宋体" w:hAnsi="宋体" w:cs="宋体" w:eastAsia="宋体" w:hint="default"/>
          <w:sz w:val="23"/>
          <w:szCs w:val="23"/>
        </w:rPr>
      </w:pPr>
    </w:p>
    <w:p>
      <w:pPr>
        <w:pStyle w:val="Heading2"/>
        <w:spacing w:line="240" w:lineRule="auto"/>
        <w:ind w:left="138" w:right="505"/>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980" w:val="left" w:leader="none"/>
        </w:tabs>
        <w:spacing w:line="272" w:lineRule="exact" w:before="84"/>
        <w:ind w:right="7303"/>
        <w:jc w:val="left"/>
      </w:pPr>
      <w:r>
        <w:rPr>
          <w:spacing w:val="-1"/>
        </w:rPr>
        <w:t>□适用</w:t>
        <w:tab/>
      </w:r>
      <w:r>
        <w:rPr>
          <w:spacing w:val="-2"/>
        </w:rPr>
        <w:t>√不适用</w:t>
      </w:r>
      <w:r>
        <w:rPr>
          <w:spacing w:val="-99"/>
        </w:rPr>
        <w:t> </w:t>
      </w:r>
      <w:r>
        <w:rPr>
          <w:spacing w:val="-99"/>
        </w:rPr>
      </w:r>
      <w:r>
        <w:rPr/>
        <w:t>其他说明：</w:t>
      </w:r>
    </w:p>
    <w:p>
      <w:pPr>
        <w:pStyle w:val="BodyText"/>
        <w:tabs>
          <w:tab w:pos="980" w:val="left" w:leader="none"/>
        </w:tabs>
        <w:spacing w:line="249" w:lineRule="exact"/>
        <w:ind w:right="50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60" w:right="1120"/>
        </w:sectPr>
      </w:pPr>
    </w:p>
    <w:p>
      <w:pPr>
        <w:pStyle w:val="Heading2"/>
        <w:spacing w:line="240" w:lineRule="auto" w:before="36"/>
        <w:ind w:left="1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98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656" w:space="3866"/>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21,192,500.09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83.36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17,672,510.74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86.75</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2,825,795.25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11.11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1,209,537.80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5.94</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531,950.64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2.09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779,878.16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3.83</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874,949.04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3.44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708,790.70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3.48</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25,425,195.02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20,370,717.40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2" w:lineRule="exact" w:before="64"/>
        <w:ind w:right="330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4"/>
        <w:rPr>
          <w:rFonts w:ascii="宋体" w:hAnsi="宋体" w:cs="宋体" w:eastAsia="宋体" w:hint="default"/>
          <w:sz w:val="23"/>
          <w:szCs w:val="23"/>
        </w:rPr>
      </w:pPr>
    </w:p>
    <w:p>
      <w:pPr>
        <w:pStyle w:val="Heading2"/>
        <w:spacing w:line="240" w:lineRule="auto"/>
        <w:ind w:left="138" w:right="505"/>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980" w:val="left" w:leader="none"/>
        </w:tabs>
        <w:spacing w:line="273" w:lineRule="exact" w:before="58"/>
        <w:ind w:right="505"/>
        <w:jc w:val="left"/>
      </w:pPr>
      <w:r>
        <w:rPr>
          <w:spacing w:val="-1"/>
        </w:rPr>
        <w:t>√适用</w:t>
        <w:tab/>
      </w:r>
      <w:r>
        <w:rPr>
          <w:spacing w:val="-2"/>
        </w:rPr>
        <w:t>□不适用</w:t>
      </w:r>
    </w:p>
    <w:p>
      <w:pPr>
        <w:pStyle w:val="BodyText"/>
        <w:spacing w:line="357" w:lineRule="auto"/>
        <w:ind w:right="0" w:firstLine="419"/>
        <w:jc w:val="left"/>
      </w:pPr>
      <w:r>
        <w:rPr>
          <w:spacing w:val="-2"/>
          <w:w w:val="100"/>
        </w:rPr>
        <w:t>本公司按预付对象归集的年末余额前五名预付账款汇总金额为</w:t>
      </w:r>
      <w:r>
        <w:rPr>
          <w:spacing w:val="-43"/>
          <w:w w:val="100"/>
        </w:rPr>
        <w:t> </w:t>
      </w:r>
      <w:r>
        <w:rPr>
          <w:rFonts w:ascii="宋体" w:hAnsi="宋体" w:cs="宋体" w:eastAsia="宋体" w:hint="default"/>
          <w:spacing w:val="-1"/>
          <w:w w:val="100"/>
        </w:rPr>
        <w:t>9,937,156.84</w:t>
      </w:r>
      <w:r>
        <w:rPr>
          <w:rFonts w:ascii="宋体" w:hAnsi="宋体" w:cs="宋体" w:eastAsia="宋体" w:hint="default"/>
          <w:spacing w:val="-45"/>
          <w:w w:val="100"/>
        </w:rPr>
        <w:t> </w:t>
      </w:r>
      <w:r>
        <w:rPr>
          <w:spacing w:val="-15"/>
          <w:w w:val="100"/>
        </w:rPr>
        <w:t>元，占预付账款</w:t>
      </w:r>
      <w:r>
        <w:rPr>
          <w:w w:val="100"/>
        </w:rPr>
        <w:t> </w:t>
      </w:r>
      <w:r>
        <w:rPr/>
        <w:t>年末余额合计数的比例为</w:t>
      </w:r>
      <w:r>
        <w:rPr>
          <w:spacing w:val="-55"/>
        </w:rPr>
        <w:t> </w:t>
      </w:r>
      <w:r>
        <w:rPr>
          <w:rFonts w:ascii="宋体" w:hAnsi="宋体" w:cs="宋体" w:eastAsia="宋体" w:hint="default"/>
        </w:rPr>
        <w:t>39.08%</w:t>
      </w:r>
      <w:r>
        <w:rPr/>
        <w:t>。</w:t>
      </w:r>
    </w:p>
    <w:p>
      <w:pPr>
        <w:spacing w:line="240" w:lineRule="auto" w:before="1"/>
        <w:rPr>
          <w:rFonts w:ascii="宋体" w:hAnsi="宋体" w:cs="宋体" w:eastAsia="宋体" w:hint="default"/>
          <w:sz w:val="23"/>
          <w:szCs w:val="23"/>
        </w:rPr>
      </w:pPr>
    </w:p>
    <w:p>
      <w:pPr>
        <w:pStyle w:val="BodyText"/>
        <w:spacing w:line="274" w:lineRule="exact"/>
        <w:ind w:right="505"/>
        <w:jc w:val="left"/>
      </w:pPr>
      <w:r>
        <w:rPr/>
        <w:t>其他说明</w:t>
      </w:r>
    </w:p>
    <w:p>
      <w:pPr>
        <w:pStyle w:val="BodyText"/>
        <w:tabs>
          <w:tab w:pos="980" w:val="left" w:leader="none"/>
        </w:tabs>
        <w:spacing w:line="274" w:lineRule="exact"/>
        <w:ind w:right="50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spacing w:line="240" w:lineRule="auto" w:before="36"/>
        <w:ind w:left="13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953" w:space="456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300,821.92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6,575.34</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300,821.92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6,575.34</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731"/>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tabs>
          <w:tab w:pos="1060" w:val="left" w:leader="none"/>
        </w:tabs>
        <w:spacing w:line="271" w:lineRule="exact"/>
        <w:ind w:left="218" w:right="273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90" w:lineRule="auto" w:before="36"/>
        <w:ind w:right="154"/>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5,600,000.00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5,600,000.00</w:t>
            </w:r>
          </w:p>
        </w:tc>
      </w:tr>
    </w:tbl>
    <w:p>
      <w:pPr>
        <w:spacing w:line="240" w:lineRule="auto" w:before="2"/>
        <w:rPr>
          <w:rFonts w:ascii="宋体" w:hAnsi="宋体" w:cs="宋体" w:eastAsia="宋体" w:hint="default"/>
          <w:sz w:val="20"/>
          <w:szCs w:val="20"/>
        </w:rPr>
      </w:pPr>
    </w:p>
    <w:p>
      <w:pPr>
        <w:pStyle w:val="Heading2"/>
        <w:spacing w:line="240" w:lineRule="auto" w:before="36"/>
        <w:ind w:right="2731"/>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left="218" w:right="7474"/>
        <w:jc w:val="left"/>
      </w:pPr>
      <w:r>
        <w:rPr/>
        <w:t>□适用</w:t>
      </w:r>
      <w:r>
        <w:rPr>
          <w:spacing w:val="-1"/>
        </w:rPr>
        <w:t> </w:t>
      </w:r>
      <w:r>
        <w:rPr/>
        <w:t>√不适用</w:t>
      </w:r>
      <w:r>
        <w:rPr>
          <w:w w:val="100"/>
        </w:rPr>
        <w:t> </w:t>
      </w:r>
      <w:r>
        <w:rPr/>
        <w:t>其他说明：</w:t>
      </w:r>
    </w:p>
    <w:p>
      <w:pPr>
        <w:pStyle w:val="BodyText"/>
        <w:spacing w:line="271" w:lineRule="exact"/>
        <w:ind w:left="218" w:right="2731"/>
        <w:jc w:val="left"/>
      </w:pPr>
      <w:r>
        <w:rPr/>
        <w:t>□适用</w:t>
      </w:r>
      <w:r>
        <w:rPr>
          <w:spacing w:val="-1"/>
        </w:rPr>
        <w:t> </w:t>
      </w:r>
      <w:r>
        <w:rPr/>
        <w:t>√不适用</w:t>
      </w:r>
    </w:p>
    <w:p>
      <w:pPr>
        <w:spacing w:after="0" w:line="271" w:lineRule="exact"/>
        <w:jc w:val="left"/>
        <w:sectPr>
          <w:type w:val="continuous"/>
          <w:pgSz w:w="11910" w:h="16840"/>
          <w:pgMar w:top="1120" w:bottom="1380" w:left="1580" w:right="104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6"/>
          <w:footerReference w:type="default" r:id="rId67"/>
          <w:pgSz w:w="16840" w:h="11910" w:orient="landscape"/>
          <w:pgMar w:header="0" w:footer="0" w:top="800" w:bottom="280" w:left="1380" w:right="1280"/>
        </w:sectPr>
      </w:pPr>
    </w:p>
    <w:p>
      <w:pPr>
        <w:spacing w:line="240" w:lineRule="auto" w:before="11"/>
        <w:rPr>
          <w:rFonts w:ascii="宋体" w:hAnsi="宋体" w:cs="宋体" w:eastAsia="宋体" w:hint="default"/>
          <w:sz w:val="13"/>
          <w:szCs w:val="13"/>
        </w:rPr>
      </w:pPr>
    </w:p>
    <w:p>
      <w:pPr>
        <w:pStyle w:val="Heading2"/>
        <w:spacing w:line="240" w:lineRule="auto"/>
        <w:ind w:left="144"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8"/>
        <w:ind w:left="144"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pStyle w:val="BodyText"/>
        <w:spacing w:line="240" w:lineRule="auto" w:before="56"/>
        <w:ind w:left="144"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634" w:space="8826"/>
            <w:col w:w="2720"/>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30"/>
        <w:gridCol w:w="1426"/>
        <w:gridCol w:w="1011"/>
        <w:gridCol w:w="1322"/>
        <w:gridCol w:w="1015"/>
        <w:gridCol w:w="1428"/>
        <w:gridCol w:w="1428"/>
        <w:gridCol w:w="963"/>
        <w:gridCol w:w="1322"/>
        <w:gridCol w:w="965"/>
        <w:gridCol w:w="1426"/>
      </w:tblGrid>
      <w:tr>
        <w:trPr>
          <w:trHeight w:val="293"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30" w:type="dxa"/>
            <w:vMerge/>
            <w:tcBorders>
              <w:left w:val="single" w:sz="4" w:space="0" w:color="000000"/>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7"/>
              <w:ind w:left="501"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630"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7"/>
              <w:ind w:left="26" w:right="118"/>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613,760.00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0.78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613,760.00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2,000,000.00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7.64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26" w:right="118"/>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77,893,990.42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99.02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676,807.19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0.87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sz w:val="21"/>
              </w:rPr>
              <w:t>77,217,183.23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24,176,887.65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92.36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86,271.39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24,090,616.26</w:t>
            </w:r>
          </w:p>
        </w:tc>
      </w:tr>
      <w:tr>
        <w:trPr>
          <w:trHeight w:val="110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2"/>
              <w:ind w:left="26" w:right="118"/>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156,566.04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0.20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156,566.04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78,664,316.46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1,447,133.23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77,217,183.23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26,176,887.65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2,086,271.39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24,090,616.26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63"/>
        <w:ind w:left="6398" w:right="6414" w:firstLine="0"/>
        <w:jc w:val="center"/>
        <w:rPr>
          <w:rFonts w:ascii="Calibri" w:hAnsi="Calibri" w:cs="Calibri" w:eastAsia="Calibri" w:hint="default"/>
          <w:sz w:val="18"/>
          <w:szCs w:val="18"/>
        </w:rPr>
      </w:pPr>
      <w:r>
        <w:rPr>
          <w:rFonts w:ascii="Calibri"/>
          <w:b/>
          <w:sz w:val="18"/>
        </w:rPr>
        <w:t>115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68"/>
          <w:pgSz w:w="11910" w:h="16840"/>
          <w:pgMar w:footer="1195" w:header="0" w:top="1120" w:bottom="1380" w:left="1580" w:right="1040"/>
          <w:pgNumType w:start="116"/>
        </w:sectPr>
      </w:pPr>
    </w:p>
    <w:p>
      <w:pPr>
        <w:pStyle w:val="BodyText"/>
        <w:spacing w:line="273" w:lineRule="exact" w:before="36"/>
        <w:ind w:left="218" w:right="0"/>
        <w:jc w:val="left"/>
      </w:pPr>
      <w:r>
        <w:rPr>
          <w:spacing w:val="-2"/>
        </w:rPr>
        <w:t>期末单项金额重大并单项计提坏帐准备的其他应收款</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699"/>
        <w:gridCol w:w="1565"/>
        <w:gridCol w:w="1490"/>
        <w:gridCol w:w="1918"/>
      </w:tblGrid>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
        </w:tc>
        <w:tc>
          <w:tcPr>
            <w:tcW w:w="66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657"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GLOBAL MOBI INC.</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613,760.00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613,760.00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预计款项无法收回</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613,760.00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613,760.00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left="218" w:right="0"/>
        <w:jc w:val="left"/>
      </w:pPr>
      <w:r>
        <w:rPr>
          <w:spacing w:val="-2"/>
        </w:rPr>
        <w:t>组合中，按账龄分析法计提坏账准备的其他应收款：</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61,827,989.31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572,860.29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0.93</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61,827,989.31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572,860.29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0.93</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4,722,033.63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2,984.05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0.06</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2,244,745.29</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1,881,692.27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100,962.85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5.37</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3,722,081.24</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3,495,448.68</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77,893,990.42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676,807.19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0.87</w:t>
            </w:r>
          </w:p>
        </w:tc>
      </w:tr>
    </w:tbl>
    <w:p>
      <w:pPr>
        <w:spacing w:line="240" w:lineRule="auto" w:before="7"/>
        <w:rPr>
          <w:rFonts w:ascii="宋体" w:hAnsi="宋体" w:cs="宋体" w:eastAsia="宋体" w:hint="default"/>
          <w:sz w:val="15"/>
          <w:szCs w:val="15"/>
        </w:rPr>
      </w:pPr>
    </w:p>
    <w:p>
      <w:pPr>
        <w:pStyle w:val="BodyText"/>
        <w:spacing w:line="272" w:lineRule="exact" w:before="64"/>
        <w:ind w:left="218" w:right="2731"/>
        <w:jc w:val="left"/>
      </w:pPr>
      <w:r>
        <w:rPr/>
        <w:t>确定该组合依据的说明：</w:t>
      </w:r>
      <w:r>
        <w:rPr>
          <w:w w:val="100"/>
        </w:rPr>
        <w:t> </w:t>
      </w:r>
      <w:r>
        <w:rPr/>
        <w:t>本公司以账龄为信用风险特征组合的确定依据。</w:t>
      </w:r>
    </w:p>
    <w:p>
      <w:pPr>
        <w:spacing w:line="240" w:lineRule="auto" w:before="10"/>
        <w:rPr>
          <w:rFonts w:ascii="宋体" w:hAnsi="宋体" w:cs="宋体" w:eastAsia="宋体" w:hint="default"/>
          <w:sz w:val="18"/>
          <w:szCs w:val="18"/>
        </w:rPr>
      </w:pPr>
    </w:p>
    <w:p>
      <w:pPr>
        <w:pStyle w:val="BodyText"/>
        <w:spacing w:line="273" w:lineRule="exact"/>
        <w:ind w:left="218" w:right="2731"/>
        <w:jc w:val="left"/>
      </w:pPr>
      <w:r>
        <w:rPr/>
        <w:t>组合中，采用余额百分比法计提坏账准备的其他应收款：</w:t>
      </w:r>
    </w:p>
    <w:p>
      <w:pPr>
        <w:pStyle w:val="BodyText"/>
        <w:spacing w:line="240" w:lineRule="auto"/>
        <w:ind w:left="218" w:right="2731"/>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8"/>
        <w:ind w:left="638" w:right="124"/>
        <w:jc w:val="left"/>
      </w:pPr>
      <w:r>
        <w:rPr/>
        <w:t>本期计提坏账准备金额</w:t>
      </w:r>
      <w:r>
        <w:rPr>
          <w:spacing w:val="-55"/>
        </w:rPr>
        <w:t> </w:t>
      </w:r>
      <w:r>
        <w:rPr>
          <w:rFonts w:ascii="宋体" w:hAnsi="宋体" w:cs="宋体" w:eastAsia="宋体" w:hint="default"/>
        </w:rPr>
        <w:t>1,362,870.64</w:t>
      </w:r>
      <w:r>
        <w:rPr>
          <w:rFonts w:ascii="宋体" w:hAnsi="宋体" w:cs="宋体" w:eastAsia="宋体" w:hint="default"/>
          <w:spacing w:val="-56"/>
        </w:rPr>
        <w:t> </w:t>
      </w:r>
      <w:r>
        <w:rPr/>
        <w:t>元；本期收回或转回坏账准备金额</w:t>
      </w:r>
      <w:r>
        <w:rPr>
          <w:spacing w:val="-55"/>
        </w:rPr>
        <w:t> </w:t>
      </w:r>
      <w:r>
        <w:rPr>
          <w:rFonts w:ascii="宋体" w:hAnsi="宋体" w:cs="宋体" w:eastAsia="宋体" w:hint="default"/>
        </w:rPr>
        <w:t>2,000,000.00</w:t>
      </w:r>
      <w:r>
        <w:rPr>
          <w:rFonts w:ascii="宋体" w:hAnsi="宋体" w:cs="宋体" w:eastAsia="宋体" w:hint="default"/>
          <w:spacing w:val="-58"/>
        </w:rPr>
        <w:t> </w:t>
      </w:r>
      <w:r>
        <w:rPr/>
        <w:t>元，</w:t>
      </w:r>
    </w:p>
    <w:p>
      <w:pPr>
        <w:pStyle w:val="BodyText"/>
        <w:spacing w:line="400" w:lineRule="atLeast" w:before="8"/>
        <w:ind w:left="218" w:right="4536"/>
        <w:jc w:val="left"/>
      </w:pPr>
      <w:r>
        <w:rPr/>
        <w:t>因合并范围变更减少坏账准备金额</w:t>
      </w:r>
      <w:r>
        <w:rPr>
          <w:spacing w:val="-53"/>
        </w:rPr>
        <w:t> </w:t>
      </w:r>
      <w:r>
        <w:rPr>
          <w:rFonts w:ascii="宋体" w:hAnsi="宋体" w:cs="宋体" w:eastAsia="宋体" w:hint="default"/>
        </w:rPr>
        <w:t>2,008.80</w:t>
      </w:r>
      <w:r>
        <w:rPr>
          <w:rFonts w:ascii="宋体" w:hAnsi="宋体" w:cs="宋体" w:eastAsia="宋体" w:hint="default"/>
          <w:spacing w:val="-55"/>
        </w:rPr>
        <w:t> </w:t>
      </w:r>
      <w:r>
        <w:rPr/>
        <w:t>元。</w:t>
      </w:r>
      <w:r>
        <w:rPr>
          <w:w w:val="100"/>
        </w:rPr>
        <w:t> </w:t>
      </w:r>
      <w:r>
        <w:rPr/>
        <w:t>其中本期坏账准备转回或收回金额重要的：</w:t>
      </w:r>
    </w:p>
    <w:p>
      <w:pPr>
        <w:pStyle w:val="BodyText"/>
        <w:spacing w:line="274" w:lineRule="exact"/>
        <w:ind w:left="218" w:right="2731"/>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2768"/>
        <w:gridCol w:w="3044"/>
      </w:tblGrid>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深圳市永联科技股份有限公司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银行汇款</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4"/>
              <w:jc w:val="center"/>
              <w:rPr>
                <w:rFonts w:ascii="宋体" w:hAnsi="宋体" w:cs="宋体" w:eastAsia="宋体" w:hint="default"/>
                <w:sz w:val="21"/>
                <w:szCs w:val="21"/>
              </w:rPr>
            </w:pPr>
            <w:r>
              <w:rPr>
                <w:rFonts w:ascii="宋体" w:hAnsi="宋体" w:cs="宋体" w:eastAsia="宋体" w:hint="default"/>
                <w:sz w:val="21"/>
                <w:szCs w:val="21"/>
              </w:rPr>
              <w:t>合计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2" w:lineRule="exact" w:before="86"/>
        <w:ind w:left="218" w:right="4688"/>
        <w:jc w:val="left"/>
      </w:pPr>
      <w:r>
        <w:rPr/>
        <w:t>□适用</w:t>
      </w:r>
      <w:r>
        <w:rPr>
          <w:spacing w:val="-2"/>
        </w:rPr>
        <w:t> </w:t>
      </w:r>
      <w:r>
        <w:rPr/>
        <w:t>√不适用</w:t>
      </w:r>
      <w:r>
        <w:rPr>
          <w:w w:val="100"/>
        </w:rPr>
        <w:t> </w:t>
      </w:r>
      <w:r>
        <w:rPr>
          <w:spacing w:val="-2"/>
        </w:rPr>
        <w:t>其中重要的其他应收款核销情况：</w:t>
      </w:r>
    </w:p>
    <w:p>
      <w:pPr>
        <w:pStyle w:val="BodyText"/>
        <w:spacing w:line="272" w:lineRule="exact" w:before="2"/>
        <w:ind w:left="218" w:right="6323"/>
        <w:jc w:val="left"/>
      </w:pPr>
      <w:r>
        <w:rPr/>
        <w:t>□适用</w:t>
      </w:r>
      <w:r>
        <w:rPr>
          <w:spacing w:val="-2"/>
        </w:rPr>
        <w:t> </w:t>
      </w:r>
      <w:r>
        <w:rPr/>
        <w:t>√不适用</w:t>
      </w:r>
      <w:r>
        <w:rPr>
          <w:w w:val="100"/>
        </w:rPr>
        <w:t> </w:t>
      </w:r>
      <w:r>
        <w:rPr>
          <w:spacing w:val="-2"/>
        </w:rPr>
        <w:t>其他应收款核销说明：</w:t>
      </w:r>
    </w:p>
    <w:p>
      <w:pPr>
        <w:pStyle w:val="BodyText"/>
        <w:spacing w:line="249" w:lineRule="exact"/>
        <w:ind w:left="218" w:right="2731"/>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before="175"/>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64,915,445.09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10,417,669.01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3,473,652.89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1,954,547.64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4,672,168.84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5,987,897.49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4,539,842.66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4,534,186.68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1,651,353.45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代付社保与公积金款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927,473.54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1,039,108.79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135,733.44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592,124.59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78,664,316.46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26,176,887.65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82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62.68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493,100.00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7,760,000.00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9.86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77,600.00</w:t>
            </w:r>
          </w:p>
        </w:tc>
      </w:tr>
      <w:tr>
        <w:trPr>
          <w:trHeight w:val="28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7,072,753.53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8.99</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989,215.84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1.26</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613,760.00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0.78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613,760.00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65,745,729.37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83.57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1,184,460.00</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60" w:val="left" w:leader="none"/>
        </w:tabs>
        <w:spacing w:line="272" w:lineRule="exact" w:before="86"/>
        <w:ind w:left="218"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9" w:lineRule="exact"/>
        <w:ind w:left="218" w:right="273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849" w:val="left" w:leader="none"/>
          <w:tab w:pos="1057" w:val="left" w:leader="none"/>
        </w:tabs>
        <w:spacing w:line="290" w:lineRule="auto" w:before="36"/>
        <w:ind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98"/>
        <w:gridCol w:w="1433"/>
        <w:gridCol w:w="1044"/>
        <w:gridCol w:w="1433"/>
        <w:gridCol w:w="1327"/>
        <w:gridCol w:w="1033"/>
        <w:gridCol w:w="1327"/>
      </w:tblGrid>
      <w:tr>
        <w:trPr>
          <w:trHeight w:val="283" w:hRule="exact"/>
        </w:trPr>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98"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13,240,401.53</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13,240,401.53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5,760,311.77</w:t>
            </w:r>
          </w:p>
        </w:tc>
        <w:tc>
          <w:tcPr>
            <w:tcW w:w="10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5,760,311.77</w:t>
            </w: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3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115,660.70</w:t>
            </w:r>
          </w:p>
        </w:tc>
        <w:tc>
          <w:tcPr>
            <w:tcW w:w="10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115,660.70</w:t>
            </w: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1,361,644.62</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1,361,644.62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1,414,431.00</w:t>
            </w:r>
          </w:p>
        </w:tc>
        <w:tc>
          <w:tcPr>
            <w:tcW w:w="10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1,414,431.00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298"/>
        <w:gridCol w:w="1433"/>
        <w:gridCol w:w="1044"/>
        <w:gridCol w:w="1433"/>
        <w:gridCol w:w="1327"/>
        <w:gridCol w:w="1033"/>
        <w:gridCol w:w="1327"/>
      </w:tblGrid>
      <w:tr>
        <w:trPr>
          <w:trHeight w:val="284"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14,602,046.15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14,602,046.15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7,290,403.47</w:t>
            </w:r>
          </w:p>
        </w:tc>
        <w:tc>
          <w:tcPr>
            <w:tcW w:w="10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7,290,403.47</w:t>
            </w:r>
          </w:p>
        </w:tc>
      </w:tr>
    </w:tbl>
    <w:p>
      <w:pPr>
        <w:spacing w:line="240" w:lineRule="auto" w:before="2"/>
        <w:rPr>
          <w:rFonts w:ascii="宋体" w:hAnsi="宋体" w:cs="宋体" w:eastAsia="宋体" w:hint="default"/>
          <w:sz w:val="20"/>
          <w:szCs w:val="20"/>
        </w:rPr>
      </w:pPr>
    </w:p>
    <w:p>
      <w:pPr>
        <w:pStyle w:val="Heading2"/>
        <w:tabs>
          <w:tab w:pos="849" w:val="left" w:leader="none"/>
        </w:tabs>
        <w:spacing w:line="240" w:lineRule="auto" w:before="36"/>
        <w:ind w:right="2731"/>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ind w:right="2731"/>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ind w:right="2731"/>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tabs>
          <w:tab w:pos="1060" w:val="left" w:leader="none"/>
        </w:tabs>
        <w:spacing w:line="272" w:lineRule="exact"/>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left="218" w:right="2731"/>
        <w:jc w:val="left"/>
      </w:pPr>
      <w:r>
        <w:rPr/>
        <w:t>□适用</w:t>
      </w:r>
      <w:r>
        <w:rPr>
          <w:spacing w:val="8"/>
        </w:rPr>
        <w:t> </w:t>
      </w:r>
      <w:r>
        <w:rPr>
          <w:spacing w:val="-3"/>
        </w:rPr>
        <w:t>√不适用</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1,464,500,000.00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1,595,900,000.00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将于一年内摊销的长期待摊费用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13,656,115.13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1,526,404.55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2,186,050.59</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118,262.48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178,986.31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预发薪金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6,169,788.31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7,202,113.70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影视合作</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9,436,893.20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1,472,814,455.34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1,628,560,158.93</w:t>
            </w: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9"/>
          <w:footerReference w:type="default" r:id="rId70"/>
          <w:pgSz w:w="16840" w:h="11910" w:orient="landscape"/>
          <w:pgMar w:header="882" w:footer="1195" w:top="1120" w:bottom="1380" w:left="280" w:right="300"/>
          <w:pgNumType w:start="11"/>
        </w:sectPr>
      </w:pPr>
    </w:p>
    <w:p>
      <w:pPr>
        <w:spacing w:line="240" w:lineRule="auto" w:before="4"/>
        <w:rPr>
          <w:rFonts w:ascii="宋体" w:hAnsi="宋体" w:cs="宋体" w:eastAsia="宋体" w:hint="default"/>
          <w:sz w:val="14"/>
          <w:szCs w:val="14"/>
        </w:rPr>
      </w:pPr>
    </w:p>
    <w:p>
      <w:pPr>
        <w:pStyle w:val="Heading2"/>
        <w:spacing w:line="240" w:lineRule="auto"/>
        <w:ind w:left="1244" w:right="-8"/>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Heading2"/>
        <w:tabs>
          <w:tab w:pos="1887" w:val="left" w:leader="none"/>
        </w:tabs>
        <w:spacing w:line="240" w:lineRule="auto" w:before="58"/>
        <w:ind w:left="1244" w:right="-8"/>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6"/>
        <w:ind w:left="1244"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2295" w:val="left" w:leader="none"/>
        </w:tabs>
        <w:spacing w:line="240" w:lineRule="auto"/>
        <w:ind w:left="1244" w:right="0"/>
        <w:jc w:val="left"/>
      </w:pPr>
      <w:r>
        <w:rPr>
          <w:spacing w:val="-1"/>
        </w:rPr>
        <w:t>单位：元</w:t>
        <w:tab/>
        <w:t>币种：人民币</w:t>
      </w:r>
    </w:p>
    <w:p>
      <w:pPr>
        <w:spacing w:after="0" w:line="240" w:lineRule="auto"/>
        <w:jc w:val="left"/>
        <w:sectPr>
          <w:type w:val="continuous"/>
          <w:pgSz w:w="16840" w:h="11910" w:orient="landscape"/>
          <w:pgMar w:top="1120" w:bottom="1380" w:left="280" w:right="300"/>
          <w:cols w:num="2" w:equalWidth="0">
            <w:col w:w="3998" w:space="7565"/>
            <w:col w:w="4697"/>
          </w:cols>
        </w:sectPr>
      </w:pPr>
    </w:p>
    <w:p>
      <w:pPr>
        <w:spacing w:line="240" w:lineRule="auto" w:before="4"/>
        <w:rPr>
          <w:rFonts w:ascii="宋体" w:hAnsi="宋体" w:cs="宋体" w:eastAsia="宋体" w:hint="default"/>
          <w:sz w:val="2"/>
          <w:szCs w:val="2"/>
        </w:rPr>
      </w:pPr>
    </w:p>
    <w:tbl>
      <w:tblPr>
        <w:tblW w:w="0" w:type="auto"/>
        <w:jc w:val="left"/>
        <w:tblInd w:w="1208" w:type="dxa"/>
        <w:tblLayout w:type="fixed"/>
        <w:tblCellMar>
          <w:top w:w="0" w:type="dxa"/>
          <w:left w:w="0" w:type="dxa"/>
          <w:bottom w:w="0" w:type="dxa"/>
          <w:right w:w="0" w:type="dxa"/>
        </w:tblCellMar>
        <w:tblLook w:val="01E0"/>
      </w:tblPr>
      <w:tblGrid>
        <w:gridCol w:w="3411"/>
        <w:gridCol w:w="1805"/>
        <w:gridCol w:w="1781"/>
        <w:gridCol w:w="1733"/>
        <w:gridCol w:w="1714"/>
        <w:gridCol w:w="1738"/>
        <w:gridCol w:w="1755"/>
      </w:tblGrid>
      <w:tr>
        <w:trPr>
          <w:trHeight w:val="283" w:hRule="exact"/>
        </w:trPr>
        <w:tc>
          <w:tcPr>
            <w:tcW w:w="3411"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1"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134,400,000.00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sz w:val="21"/>
              </w:rPr>
              <w:t>9,500,000.00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124,900,000.00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97,880,000.00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sz w:val="21"/>
              </w:rPr>
              <w:t>9,500,000.00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88,380,000.00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45,000,000.00</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33,480,000.00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33,480,000.00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89,400,000.00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9,500,000.00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64,400,000.00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sz w:val="21"/>
              </w:rPr>
              <w:t>9,500,000.00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54,900,000.00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134,400,000.00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9,500,000.00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124,900,000.00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97,880,000.00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sz w:val="21"/>
              </w:rPr>
              <w:t>9,500,000.00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88,380,000.00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280" w:right="300"/>
        </w:sectPr>
      </w:pPr>
    </w:p>
    <w:p>
      <w:pPr>
        <w:pStyle w:val="Heading2"/>
        <w:tabs>
          <w:tab w:pos="1887" w:val="left" w:leader="none"/>
        </w:tabs>
        <w:spacing w:line="240" w:lineRule="auto" w:before="36"/>
        <w:ind w:left="1244"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left="124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95" w:val="left" w:leader="none"/>
        </w:tabs>
        <w:spacing w:line="240" w:lineRule="auto"/>
        <w:ind w:left="1244" w:right="0"/>
        <w:jc w:val="left"/>
      </w:pPr>
      <w:r>
        <w:rPr>
          <w:spacing w:val="-1"/>
        </w:rPr>
        <w:t>单位：元</w:t>
        <w:tab/>
        <w:t>币种：人民币</w:t>
      </w:r>
    </w:p>
    <w:p>
      <w:pPr>
        <w:spacing w:after="0" w:line="240" w:lineRule="auto"/>
        <w:jc w:val="left"/>
        <w:sectPr>
          <w:type w:val="continuous"/>
          <w:pgSz w:w="16840" w:h="11910" w:orient="landscape"/>
          <w:pgMar w:top="1120" w:bottom="1380" w:left="280" w:right="300"/>
          <w:cols w:num="2" w:equalWidth="0">
            <w:col w:w="5685" w:space="5878"/>
            <w:col w:w="4697"/>
          </w:cols>
        </w:sectPr>
      </w:pPr>
    </w:p>
    <w:p>
      <w:pPr>
        <w:spacing w:line="240" w:lineRule="auto" w:before="4"/>
        <w:rPr>
          <w:rFonts w:ascii="宋体" w:hAnsi="宋体" w:cs="宋体" w:eastAsia="宋体" w:hint="default"/>
          <w:sz w:val="2"/>
          <w:szCs w:val="2"/>
        </w:rPr>
      </w:pPr>
    </w:p>
    <w:tbl>
      <w:tblPr>
        <w:tblW w:w="0" w:type="auto"/>
        <w:jc w:val="left"/>
        <w:tblInd w:w="1131" w:type="dxa"/>
        <w:tblLayout w:type="fixed"/>
        <w:tblCellMar>
          <w:top w:w="0" w:type="dxa"/>
          <w:left w:w="0" w:type="dxa"/>
          <w:bottom w:w="0" w:type="dxa"/>
          <w:right w:w="0" w:type="dxa"/>
        </w:tblCellMar>
        <w:tblLook w:val="01E0"/>
      </w:tblPr>
      <w:tblGrid>
        <w:gridCol w:w="4844"/>
        <w:gridCol w:w="3144"/>
        <w:gridCol w:w="3068"/>
        <w:gridCol w:w="3034"/>
      </w:tblGrid>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18,630,000.00</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18,630,000.00</w:t>
            </w:r>
          </w:p>
        </w:tc>
      </w:tr>
      <w:tr>
        <w:trPr>
          <w:trHeight w:val="284"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45,000,000.00</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45,000,000.00</w:t>
            </w:r>
          </w:p>
        </w:tc>
      </w:tr>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26,370,000.00</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26,370,000.00</w:t>
            </w:r>
          </w:p>
        </w:tc>
      </w:tr>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3144"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280" w:right="300"/>
        </w:sectPr>
      </w:pPr>
    </w:p>
    <w:p>
      <w:pPr>
        <w:pStyle w:val="Heading2"/>
        <w:tabs>
          <w:tab w:pos="1887" w:val="left" w:leader="none"/>
        </w:tabs>
        <w:spacing w:line="240" w:lineRule="auto" w:before="36"/>
        <w:ind w:left="1244" w:right="-2"/>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6"/>
        <w:ind w:left="1244"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95" w:val="left" w:leader="none"/>
        </w:tabs>
        <w:spacing w:line="240" w:lineRule="auto"/>
        <w:ind w:left="1244" w:right="0"/>
        <w:jc w:val="left"/>
      </w:pPr>
      <w:r>
        <w:rPr>
          <w:spacing w:val="-1"/>
        </w:rPr>
        <w:t>单位：元</w:t>
        <w:tab/>
        <w:t>币种：人民币</w:t>
      </w:r>
    </w:p>
    <w:p>
      <w:pPr>
        <w:spacing w:after="0" w:line="240" w:lineRule="auto"/>
        <w:jc w:val="left"/>
        <w:sectPr>
          <w:type w:val="continuous"/>
          <w:pgSz w:w="16840" w:h="11910" w:orient="landscape"/>
          <w:pgMar w:top="1120" w:bottom="1380" w:left="280" w:right="300"/>
          <w:cols w:num="2" w:equalWidth="0">
            <w:col w:w="5263" w:space="6300"/>
            <w:col w:w="469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64"/>
        <w:gridCol w:w="1705"/>
        <w:gridCol w:w="1702"/>
        <w:gridCol w:w="1560"/>
        <w:gridCol w:w="1702"/>
        <w:gridCol w:w="1561"/>
        <w:gridCol w:w="708"/>
        <w:gridCol w:w="708"/>
        <w:gridCol w:w="1560"/>
        <w:gridCol w:w="847"/>
        <w:gridCol w:w="706"/>
      </w:tblGrid>
      <w:tr>
        <w:trPr>
          <w:trHeight w:val="718" w:hRule="exact"/>
        </w:trPr>
        <w:tc>
          <w:tcPr>
            <w:tcW w:w="32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313" w:right="1305"/>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66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3"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47" w:type="dxa"/>
            <w:vMerge w:val="restart"/>
            <w:tcBorders>
              <w:top w:val="single" w:sz="4" w:space="0" w:color="000000"/>
              <w:left w:val="single" w:sz="4" w:space="0" w:color="000000"/>
              <w:right w:val="single" w:sz="4" w:space="0" w:color="000000"/>
            </w:tcBorders>
          </w:tcPr>
          <w:p>
            <w:pPr>
              <w:pStyle w:val="TableParagraph"/>
              <w:spacing w:line="237" w:lineRule="auto" w:before="81"/>
              <w:ind w:left="103" w:right="9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39" w:right="13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05" w:hRule="exact"/>
        </w:trPr>
        <w:tc>
          <w:tcPr>
            <w:tcW w:w="3264"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636" w:right="631"/>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563" w:right="562"/>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39" w:right="13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39" w:right="13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4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人民搜索网络股份公司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9,500,000.00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sz w:val="21"/>
              </w:rPr>
              <w:t>9,500,000.00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 w:right="0"/>
              <w:jc w:val="center"/>
              <w:rPr>
                <w:rFonts w:ascii="宋体" w:hAnsi="宋体" w:cs="宋体" w:eastAsia="宋体" w:hint="default"/>
                <w:sz w:val="21"/>
                <w:szCs w:val="21"/>
              </w:rPr>
            </w:pPr>
            <w:r>
              <w:rPr>
                <w:rFonts w:ascii="宋体"/>
                <w:sz w:val="21"/>
              </w:rPr>
              <w:t>9,500,000.00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9,500,000.00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19.00</w:t>
            </w: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280" w:right="300"/>
        </w:sectPr>
      </w:pP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264"/>
        <w:gridCol w:w="1705"/>
        <w:gridCol w:w="1702"/>
        <w:gridCol w:w="1560"/>
        <w:gridCol w:w="1702"/>
        <w:gridCol w:w="1561"/>
        <w:gridCol w:w="708"/>
        <w:gridCol w:w="708"/>
        <w:gridCol w:w="1560"/>
        <w:gridCol w:w="847"/>
        <w:gridCol w:w="706"/>
      </w:tblGrid>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重庆华龙网集团股份有限公司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4.99</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深圳市人民金台股权投资有限公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司（注①）</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宁波梅山港保税港区人民网壹号</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文化产业股权投资基金合伙企业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（有限合伙）（注②）</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15.00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9,500,000.00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9,500,000.00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left="1664" w:right="0"/>
        <w:jc w:val="left"/>
      </w:pPr>
      <w:r>
        <w:rPr/>
        <w:t>注：①本公司之子公司金台创业投资有限公司与上海振愿实业投资中心（有限合伙）于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22</w:t>
      </w:r>
      <w:r>
        <w:rPr>
          <w:rFonts w:ascii="宋体" w:hAnsi="宋体" w:cs="宋体" w:eastAsia="宋体" w:hint="default"/>
          <w:spacing w:val="-53"/>
        </w:rPr>
        <w:t> </w:t>
      </w:r>
      <w:r>
        <w:rPr/>
        <w:t>日签订《股东会及董事会一致行动协议》决</w:t>
      </w:r>
    </w:p>
    <w:p>
      <w:pPr>
        <w:pStyle w:val="BodyText"/>
        <w:spacing w:line="355" w:lineRule="auto" w:before="133"/>
        <w:ind w:left="1244" w:right="1133"/>
        <w:jc w:val="both"/>
      </w:pPr>
      <w:r>
        <w:rPr>
          <w:spacing w:val="-3"/>
        </w:rPr>
        <w:t>议约定金台创投按照与上海振愿协商一致的意见表决，如意见出现分歧则应当以上海振愿意见为准，此协议于</w:t>
      </w:r>
      <w:r>
        <w:rPr>
          <w:spacing w:val="-37"/>
        </w:rPr>
        <w:t> </w:t>
      </w:r>
      <w:r>
        <w:rPr>
          <w:rFonts w:ascii="宋体" w:hAnsi="宋体" w:cs="宋体" w:eastAsia="宋体" w:hint="default"/>
        </w:rPr>
        <w:t>2017</w:t>
      </w:r>
      <w:r>
        <w:rPr>
          <w:rFonts w:ascii="宋体" w:hAnsi="宋体" w:cs="宋体" w:eastAsia="宋体" w:hint="default"/>
          <w:spacing w:val="-41"/>
        </w:rPr>
        <w:t> </w:t>
      </w:r>
      <w:r>
        <w:rPr/>
        <w:t>年</w:t>
      </w:r>
      <w:r>
        <w:rPr>
          <w:spacing w:val="-38"/>
        </w:rPr>
        <w:t> </w:t>
      </w:r>
      <w:r>
        <w:rPr>
          <w:rFonts w:ascii="宋体" w:hAnsi="宋体" w:cs="宋体" w:eastAsia="宋体" w:hint="default"/>
        </w:rPr>
        <w:t>10</w:t>
      </w:r>
      <w:r>
        <w:rPr>
          <w:rFonts w:ascii="宋体" w:hAnsi="宋体" w:cs="宋体" w:eastAsia="宋体" w:hint="default"/>
          <w:spacing w:val="-41"/>
        </w:rPr>
        <w:t> </w:t>
      </w:r>
      <w:r>
        <w:rPr/>
        <w:t>月</w:t>
      </w:r>
      <w:r>
        <w:rPr>
          <w:spacing w:val="-38"/>
        </w:rPr>
        <w:t> </w:t>
      </w:r>
      <w:r>
        <w:rPr>
          <w:rFonts w:ascii="宋体" w:hAnsi="宋体" w:cs="宋体" w:eastAsia="宋体" w:hint="default"/>
        </w:rPr>
        <w:t>19</w:t>
      </w:r>
      <w:r>
        <w:rPr>
          <w:rFonts w:ascii="宋体" w:hAnsi="宋体" w:cs="宋体" w:eastAsia="宋体" w:hint="default"/>
          <w:spacing w:val="-41"/>
        </w:rPr>
        <w:t> </w:t>
      </w:r>
      <w:r>
        <w:rPr>
          <w:spacing w:val="-5"/>
        </w:rPr>
        <w:t>日解除，金台创业投资有</w:t>
      </w:r>
      <w:r>
        <w:rPr>
          <w:spacing w:val="-98"/>
        </w:rPr>
        <w:t> </w:t>
      </w:r>
      <w:r>
        <w:rPr>
          <w:spacing w:val="-98"/>
        </w:rPr>
      </w:r>
      <w:r>
        <w:rPr>
          <w:spacing w:val="-2"/>
        </w:rPr>
        <w:t>限公司对深圳市人民金台股权投资有限公司期末持股比例为</w:t>
      </w:r>
      <w:r>
        <w:rPr>
          <w:spacing w:val="28"/>
        </w:rPr>
        <w:t> </w:t>
      </w:r>
      <w:r>
        <w:rPr>
          <w:rFonts w:ascii="宋体" w:hAnsi="宋体" w:cs="宋体" w:eastAsia="宋体" w:hint="default"/>
          <w:spacing w:val="-2"/>
        </w:rPr>
        <w:t>50%</w:t>
      </w:r>
      <w:r>
        <w:rPr>
          <w:spacing w:val="-2"/>
        </w:rPr>
        <w:t>，可对深圳金台施加重大影响。</w:t>
      </w:r>
    </w:p>
    <w:p>
      <w:pPr>
        <w:pStyle w:val="BodyText"/>
        <w:spacing w:line="240" w:lineRule="auto" w:before="32"/>
        <w:ind w:left="1664" w:right="0"/>
        <w:jc w:val="left"/>
      </w:pPr>
      <w:r>
        <w:rPr>
          <w:w w:val="100"/>
        </w:rPr>
        <w:t>②本</w:t>
      </w:r>
      <w:r>
        <w:rPr>
          <w:spacing w:val="-3"/>
          <w:w w:val="100"/>
        </w:rPr>
        <w:t>公</w:t>
      </w:r>
      <w:r>
        <w:rPr>
          <w:w w:val="100"/>
        </w:rPr>
        <w:t>司</w:t>
      </w:r>
      <w:r>
        <w:rPr>
          <w:spacing w:val="-3"/>
          <w:w w:val="100"/>
        </w:rPr>
        <w:t>之</w:t>
      </w:r>
      <w:r>
        <w:rPr>
          <w:w w:val="100"/>
        </w:rPr>
        <w:t>子</w:t>
      </w:r>
      <w:r>
        <w:rPr>
          <w:spacing w:val="-3"/>
          <w:w w:val="100"/>
        </w:rPr>
        <w:t>公</w:t>
      </w:r>
      <w:r>
        <w:rPr>
          <w:w w:val="100"/>
        </w:rPr>
        <w:t>司</w:t>
      </w:r>
      <w:r>
        <w:rPr>
          <w:spacing w:val="-3"/>
          <w:w w:val="100"/>
        </w:rPr>
        <w:t>金</w:t>
      </w:r>
      <w:r>
        <w:rPr>
          <w:w w:val="100"/>
        </w:rPr>
        <w:t>台</w:t>
      </w:r>
      <w:r>
        <w:rPr>
          <w:spacing w:val="-3"/>
          <w:w w:val="100"/>
        </w:rPr>
        <w:t>创</w:t>
      </w:r>
      <w:r>
        <w:rPr>
          <w:w w:val="100"/>
        </w:rPr>
        <w:t>业投</w:t>
      </w:r>
      <w:r>
        <w:rPr>
          <w:spacing w:val="-3"/>
          <w:w w:val="100"/>
        </w:rPr>
        <w:t>资</w:t>
      </w:r>
      <w:r>
        <w:rPr>
          <w:w w:val="100"/>
        </w:rPr>
        <w:t>有</w:t>
      </w:r>
      <w:r>
        <w:rPr>
          <w:spacing w:val="-3"/>
          <w:w w:val="100"/>
        </w:rPr>
        <w:t>限</w:t>
      </w:r>
      <w:r>
        <w:rPr>
          <w:w w:val="100"/>
        </w:rPr>
        <w:t>公</w:t>
      </w:r>
      <w:r>
        <w:rPr>
          <w:spacing w:val="-3"/>
          <w:w w:val="100"/>
        </w:rPr>
        <w:t>司</w:t>
      </w:r>
      <w:r>
        <w:rPr>
          <w:w w:val="100"/>
        </w:rPr>
        <w:t>于</w:t>
      </w:r>
      <w:r>
        <w:rPr>
          <w:spacing w:val="-79"/>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79"/>
        </w:rPr>
        <w:t> </w:t>
      </w:r>
      <w:r>
        <w:rPr>
          <w:w w:val="100"/>
        </w:rPr>
        <w:t>年</w:t>
      </w:r>
      <w:r>
        <w:rPr>
          <w:spacing w:val="-79"/>
        </w:rPr>
        <w:t> </w:t>
      </w:r>
      <w:r>
        <w:rPr>
          <w:rFonts w:ascii="宋体" w:hAnsi="宋体" w:cs="宋体" w:eastAsia="宋体" w:hint="default"/>
          <w:w w:val="100"/>
        </w:rPr>
        <w:t>4</w:t>
      </w:r>
      <w:r>
        <w:rPr>
          <w:rFonts w:ascii="宋体" w:hAnsi="宋体" w:cs="宋体" w:eastAsia="宋体" w:hint="default"/>
          <w:spacing w:val="-79"/>
        </w:rPr>
        <w:t> </w:t>
      </w:r>
      <w:r>
        <w:rPr>
          <w:w w:val="100"/>
        </w:rPr>
        <w:t>月</w:t>
      </w:r>
      <w:r>
        <w:rPr>
          <w:spacing w:val="-77"/>
        </w:rPr>
        <w:t> </w:t>
      </w:r>
      <w:r>
        <w:rPr>
          <w:rFonts w:ascii="宋体" w:hAnsi="宋体" w:cs="宋体" w:eastAsia="宋体" w:hint="default"/>
          <w:w w:val="100"/>
        </w:rPr>
        <w:t>13</w:t>
      </w:r>
      <w:r>
        <w:rPr>
          <w:rFonts w:ascii="宋体" w:hAnsi="宋体" w:cs="宋体" w:eastAsia="宋体" w:hint="default"/>
          <w:spacing w:val="-79"/>
        </w:rPr>
        <w:t> </w:t>
      </w:r>
      <w:r>
        <w:rPr>
          <w:w w:val="100"/>
        </w:rPr>
        <w:t>日</w:t>
      </w:r>
      <w:r>
        <w:rPr>
          <w:spacing w:val="-3"/>
          <w:w w:val="100"/>
        </w:rPr>
        <w:t>出</w:t>
      </w:r>
      <w:r>
        <w:rPr>
          <w:w w:val="100"/>
        </w:rPr>
        <w:t>资</w:t>
      </w:r>
      <w:r>
        <w:rPr>
          <w:spacing w:val="-77"/>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76"/>
        </w:rPr>
        <w:t> </w:t>
      </w:r>
      <w:r>
        <w:rPr>
          <w:spacing w:val="-3"/>
          <w:w w:val="100"/>
        </w:rPr>
        <w:t>万</w:t>
      </w:r>
      <w:r>
        <w:rPr>
          <w:w w:val="100"/>
        </w:rPr>
        <w:t>元</w:t>
      </w:r>
      <w:r>
        <w:rPr>
          <w:spacing w:val="-2"/>
        </w:rPr>
        <w:t> </w:t>
      </w:r>
      <w:r>
        <w:rPr>
          <w:w w:val="100"/>
        </w:rPr>
        <w:t>设立</w:t>
      </w:r>
      <w:r>
        <w:rPr>
          <w:spacing w:val="-3"/>
          <w:w w:val="100"/>
        </w:rPr>
        <w:t>宁</w:t>
      </w:r>
      <w:r>
        <w:rPr>
          <w:w w:val="100"/>
        </w:rPr>
        <w:t>波</w:t>
      </w:r>
      <w:r>
        <w:rPr>
          <w:spacing w:val="-3"/>
          <w:w w:val="100"/>
        </w:rPr>
        <w:t>梅</w:t>
      </w:r>
      <w:r>
        <w:rPr>
          <w:w w:val="100"/>
        </w:rPr>
        <w:t>山</w:t>
      </w:r>
      <w:r>
        <w:rPr>
          <w:spacing w:val="-3"/>
          <w:w w:val="100"/>
        </w:rPr>
        <w:t>保</w:t>
      </w:r>
      <w:r>
        <w:rPr>
          <w:w w:val="100"/>
        </w:rPr>
        <w:t>税</w:t>
      </w:r>
      <w:r>
        <w:rPr>
          <w:spacing w:val="-3"/>
          <w:w w:val="100"/>
        </w:rPr>
        <w:t>港</w:t>
      </w:r>
      <w:r>
        <w:rPr>
          <w:w w:val="100"/>
        </w:rPr>
        <w:t>区</w:t>
      </w:r>
      <w:r>
        <w:rPr>
          <w:spacing w:val="-3"/>
          <w:w w:val="100"/>
        </w:rPr>
        <w:t>人</w:t>
      </w:r>
      <w:r>
        <w:rPr>
          <w:w w:val="100"/>
        </w:rPr>
        <w:t>民网</w:t>
      </w:r>
      <w:r>
        <w:rPr>
          <w:spacing w:val="-3"/>
          <w:w w:val="100"/>
        </w:rPr>
        <w:t>壹</w:t>
      </w:r>
      <w:r>
        <w:rPr>
          <w:w w:val="100"/>
        </w:rPr>
        <w:t>号</w:t>
      </w:r>
      <w:r>
        <w:rPr>
          <w:spacing w:val="-3"/>
          <w:w w:val="100"/>
        </w:rPr>
        <w:t>文</w:t>
      </w:r>
      <w:r>
        <w:rPr>
          <w:w w:val="100"/>
        </w:rPr>
        <w:t>化</w:t>
      </w:r>
      <w:r>
        <w:rPr>
          <w:spacing w:val="-3"/>
          <w:w w:val="100"/>
        </w:rPr>
        <w:t>产</w:t>
      </w:r>
      <w:r>
        <w:rPr>
          <w:w w:val="100"/>
        </w:rPr>
        <w:t>业</w:t>
      </w:r>
      <w:r>
        <w:rPr>
          <w:spacing w:val="-3"/>
          <w:w w:val="100"/>
        </w:rPr>
        <w:t>股</w:t>
      </w:r>
      <w:r>
        <w:rPr>
          <w:w w:val="100"/>
        </w:rPr>
        <w:t>权</w:t>
      </w:r>
      <w:r>
        <w:rPr>
          <w:spacing w:val="-3"/>
          <w:w w:val="100"/>
        </w:rPr>
        <w:t>投</w:t>
      </w:r>
      <w:r>
        <w:rPr>
          <w:w w:val="100"/>
        </w:rPr>
        <w:t>资基</w:t>
      </w:r>
      <w:r>
        <w:rPr>
          <w:spacing w:val="-3"/>
          <w:w w:val="100"/>
        </w:rPr>
        <w:t>金</w:t>
      </w:r>
      <w:r>
        <w:rPr>
          <w:w w:val="100"/>
        </w:rPr>
        <w:t>合</w:t>
      </w:r>
      <w:r>
        <w:rPr>
          <w:spacing w:val="-3"/>
          <w:w w:val="100"/>
        </w:rPr>
        <w:t>伙</w:t>
      </w:r>
      <w:r>
        <w:rPr>
          <w:w w:val="100"/>
        </w:rPr>
        <w:t>企</w:t>
      </w:r>
      <w:r>
        <w:rPr>
          <w:spacing w:val="-108"/>
          <w:w w:val="100"/>
        </w:rPr>
        <w:t>业</w:t>
      </w:r>
      <w:r>
        <w:rPr>
          <w:spacing w:val="-3"/>
          <w:w w:val="100"/>
        </w:rPr>
        <w:t>（</w:t>
      </w:r>
      <w:r>
        <w:rPr>
          <w:w w:val="100"/>
        </w:rPr>
        <w:t>有</w:t>
      </w:r>
    </w:p>
    <w:p>
      <w:pPr>
        <w:pStyle w:val="BodyText"/>
        <w:spacing w:line="355" w:lineRule="auto" w:before="135"/>
        <w:ind w:left="1244" w:right="1133"/>
        <w:jc w:val="both"/>
      </w:pPr>
      <w:r>
        <w:rPr/>
        <w:t>限合伙），出资比例为</w:t>
      </w:r>
      <w:r>
        <w:rPr>
          <w:spacing w:val="-55"/>
        </w:rPr>
        <w:t> </w:t>
      </w:r>
      <w:r>
        <w:rPr>
          <w:rFonts w:ascii="宋体" w:hAnsi="宋体" w:cs="宋体" w:eastAsia="宋体" w:hint="default"/>
        </w:rPr>
        <w:t>15%</w:t>
      </w:r>
      <w:r>
        <w:rPr/>
        <w:t>；该基金认缴出资总额为</w:t>
      </w:r>
      <w:r>
        <w:rPr>
          <w:spacing w:val="-54"/>
        </w:rPr>
        <w:t> </w:t>
      </w:r>
      <w:r>
        <w:rPr>
          <w:rFonts w:ascii="宋体" w:hAnsi="宋体" w:cs="宋体" w:eastAsia="宋体" w:hint="default"/>
        </w:rPr>
        <w:t>2</w:t>
      </w:r>
      <w:r>
        <w:rPr>
          <w:rFonts w:ascii="宋体" w:hAnsi="宋体" w:cs="宋体" w:eastAsia="宋体" w:hint="default"/>
          <w:spacing w:val="-55"/>
        </w:rPr>
        <w:t> </w:t>
      </w:r>
      <w:r>
        <w:rPr/>
        <w:t>亿元，已实缴</w:t>
      </w:r>
      <w:r>
        <w:rPr>
          <w:spacing w:val="-55"/>
        </w:rPr>
        <w:t> </w:t>
      </w:r>
      <w:r>
        <w:rPr>
          <w:rFonts w:ascii="宋体" w:hAnsi="宋体" w:cs="宋体" w:eastAsia="宋体" w:hint="default"/>
        </w:rPr>
        <w:t>1</w:t>
      </w:r>
      <w:r>
        <w:rPr>
          <w:rFonts w:ascii="宋体" w:hAnsi="宋体" w:cs="宋体" w:eastAsia="宋体" w:hint="default"/>
          <w:spacing w:val="-57"/>
        </w:rPr>
        <w:t> </w:t>
      </w:r>
      <w:r>
        <w:rPr/>
        <w:t>亿</w:t>
      </w:r>
      <w:r>
        <w:rPr>
          <w:spacing w:val="-54"/>
        </w:rPr>
        <w:t> </w:t>
      </w:r>
      <w:r>
        <w:rPr>
          <w:rFonts w:ascii="宋体" w:hAnsi="宋体" w:cs="宋体" w:eastAsia="宋体" w:hint="default"/>
        </w:rPr>
        <w:t>5,600</w:t>
      </w:r>
      <w:r>
        <w:rPr>
          <w:rFonts w:ascii="宋体" w:hAnsi="宋体" w:cs="宋体" w:eastAsia="宋体" w:hint="default"/>
          <w:spacing w:val="-55"/>
        </w:rPr>
        <w:t> </w:t>
      </w:r>
      <w:r>
        <w:rPr/>
        <w:t>万元，除金台创投外，《环球时报》社出资</w:t>
      </w:r>
      <w:r>
        <w:rPr>
          <w:spacing w:val="-55"/>
        </w:rPr>
        <w:t> </w:t>
      </w:r>
      <w:r>
        <w:rPr>
          <w:rFonts w:ascii="宋体" w:hAnsi="宋体" w:cs="宋体" w:eastAsia="宋体" w:hint="default"/>
        </w:rPr>
        <w:t>1,500</w:t>
      </w:r>
      <w:r>
        <w:rPr>
          <w:rFonts w:ascii="宋体" w:hAnsi="宋体" w:cs="宋体" w:eastAsia="宋体" w:hint="default"/>
          <w:spacing w:val="-55"/>
        </w:rPr>
        <w:t> </w:t>
      </w:r>
      <w:r>
        <w:rPr/>
        <w:t>万元，占比</w:t>
      </w:r>
      <w:r>
        <w:rPr>
          <w:spacing w:val="-57"/>
        </w:rPr>
        <w:t> </w:t>
      </w:r>
      <w:r>
        <w:rPr>
          <w:rFonts w:ascii="宋体" w:hAnsi="宋体" w:cs="宋体" w:eastAsia="宋体" w:hint="default"/>
        </w:rPr>
        <w:t>7.5%</w:t>
      </w:r>
      <w:r>
        <w:rPr/>
        <w:t>；金</w:t>
      </w:r>
      <w:r>
        <w:rPr>
          <w:w w:val="100"/>
        </w:rPr>
        <w:t> </w:t>
      </w:r>
      <w:r>
        <w:rPr/>
        <w:t>色环球传媒股份有限公司出资</w:t>
      </w:r>
      <w:r>
        <w:rPr>
          <w:spacing w:val="-55"/>
        </w:rPr>
        <w:t> </w:t>
      </w:r>
      <w:r>
        <w:rPr>
          <w:rFonts w:ascii="宋体" w:hAnsi="宋体" w:cs="宋体" w:eastAsia="宋体" w:hint="default"/>
        </w:rPr>
        <w:t>1,500</w:t>
      </w:r>
      <w:r>
        <w:rPr>
          <w:rFonts w:ascii="宋体" w:hAnsi="宋体" w:cs="宋体" w:eastAsia="宋体" w:hint="default"/>
          <w:spacing w:val="-56"/>
        </w:rPr>
        <w:t> </w:t>
      </w:r>
      <w:r>
        <w:rPr/>
        <w:t>万元，占比</w:t>
      </w:r>
      <w:r>
        <w:rPr>
          <w:spacing w:val="-55"/>
        </w:rPr>
        <w:t> </w:t>
      </w:r>
      <w:r>
        <w:rPr>
          <w:rFonts w:ascii="宋体" w:hAnsi="宋体" w:cs="宋体" w:eastAsia="宋体" w:hint="default"/>
        </w:rPr>
        <w:t>7.5%</w:t>
      </w:r>
      <w:r>
        <w:rPr/>
        <w:t>；深南资产管理江苏有限公司出资</w:t>
      </w:r>
      <w:r>
        <w:rPr>
          <w:spacing w:val="-55"/>
        </w:rPr>
        <w:t> </w:t>
      </w:r>
      <w:r>
        <w:rPr>
          <w:rFonts w:ascii="宋体" w:hAnsi="宋体" w:cs="宋体" w:eastAsia="宋体" w:hint="default"/>
        </w:rPr>
        <w:t>8,000</w:t>
      </w:r>
      <w:r>
        <w:rPr>
          <w:rFonts w:ascii="宋体" w:hAnsi="宋体" w:cs="宋体" w:eastAsia="宋体" w:hint="default"/>
          <w:spacing w:val="-55"/>
        </w:rPr>
        <w:t> </w:t>
      </w:r>
      <w:r>
        <w:rPr/>
        <w:t>万元，占比</w:t>
      </w:r>
      <w:r>
        <w:rPr>
          <w:spacing w:val="-55"/>
        </w:rPr>
        <w:t> </w:t>
      </w:r>
      <w:r>
        <w:rPr>
          <w:rFonts w:ascii="宋体" w:hAnsi="宋体" w:cs="宋体" w:eastAsia="宋体" w:hint="default"/>
        </w:rPr>
        <w:t>40%</w:t>
      </w:r>
      <w:r>
        <w:rPr/>
        <w:t>；上海振愿实业投资中心（有限合伙）出</w:t>
      </w:r>
      <w:r>
        <w:rPr>
          <w:w w:val="100"/>
        </w:rPr>
        <w:t> </w:t>
      </w:r>
      <w:r>
        <w:rPr/>
        <w:t>资</w:t>
      </w:r>
      <w:r>
        <w:rPr>
          <w:spacing w:val="-49"/>
        </w:rPr>
        <w:t> </w:t>
      </w:r>
      <w:r>
        <w:rPr>
          <w:rFonts w:ascii="宋体" w:hAnsi="宋体" w:cs="宋体" w:eastAsia="宋体" w:hint="default"/>
        </w:rPr>
        <w:t>1,000</w:t>
      </w:r>
      <w:r>
        <w:rPr>
          <w:rFonts w:ascii="宋体" w:hAnsi="宋体" w:cs="宋体" w:eastAsia="宋体" w:hint="default"/>
          <w:spacing w:val="-50"/>
        </w:rPr>
        <w:t> </w:t>
      </w:r>
      <w:r>
        <w:rPr>
          <w:spacing w:val="-3"/>
        </w:rPr>
        <w:t>万元，占比</w:t>
      </w:r>
      <w:r>
        <w:rPr>
          <w:spacing w:val="-50"/>
        </w:rPr>
        <w:t> </w:t>
      </w:r>
      <w:r>
        <w:rPr>
          <w:rFonts w:ascii="宋体" w:hAnsi="宋体" w:cs="宋体" w:eastAsia="宋体" w:hint="default"/>
        </w:rPr>
        <w:t>5%</w:t>
      </w:r>
      <w:r>
        <w:rPr/>
        <w:t>；深圳中投港融资本管理有限公司出资</w:t>
      </w:r>
      <w:r>
        <w:rPr>
          <w:spacing w:val="-50"/>
        </w:rPr>
        <w:t> </w:t>
      </w:r>
      <w:r>
        <w:rPr>
          <w:rFonts w:ascii="宋体" w:hAnsi="宋体" w:cs="宋体" w:eastAsia="宋体" w:hint="default"/>
        </w:rPr>
        <w:t>100</w:t>
      </w:r>
      <w:r>
        <w:rPr>
          <w:rFonts w:ascii="宋体" w:hAnsi="宋体" w:cs="宋体" w:eastAsia="宋体" w:hint="default"/>
          <w:spacing w:val="-52"/>
        </w:rPr>
        <w:t> </w:t>
      </w:r>
      <w:r>
        <w:rPr>
          <w:spacing w:val="-3"/>
        </w:rPr>
        <w:t>万元，占比</w:t>
      </w:r>
      <w:r>
        <w:rPr>
          <w:spacing w:val="-49"/>
        </w:rPr>
        <w:t> </w:t>
      </w:r>
      <w:r>
        <w:rPr>
          <w:rFonts w:ascii="宋体" w:hAnsi="宋体" w:cs="宋体" w:eastAsia="宋体" w:hint="default"/>
          <w:spacing w:val="-2"/>
        </w:rPr>
        <w:t>0.5%</w:t>
      </w:r>
      <w:r>
        <w:rPr>
          <w:spacing w:val="-2"/>
        </w:rPr>
        <w:t>；杨帆出资</w:t>
      </w:r>
      <w:r>
        <w:rPr>
          <w:spacing w:val="-50"/>
        </w:rPr>
        <w:t> </w:t>
      </w:r>
      <w:r>
        <w:rPr>
          <w:rFonts w:ascii="宋体" w:hAnsi="宋体" w:cs="宋体" w:eastAsia="宋体" w:hint="default"/>
        </w:rPr>
        <w:t>100</w:t>
      </w:r>
      <w:r>
        <w:rPr>
          <w:rFonts w:ascii="宋体" w:hAnsi="宋体" w:cs="宋体" w:eastAsia="宋体" w:hint="default"/>
          <w:spacing w:val="-52"/>
        </w:rPr>
        <w:t> </w:t>
      </w:r>
      <w:r>
        <w:rPr>
          <w:spacing w:val="-3"/>
        </w:rPr>
        <w:t>万元，尚有</w:t>
      </w:r>
      <w:r>
        <w:rPr>
          <w:spacing w:val="-52"/>
        </w:rPr>
        <w:t> </w:t>
      </w:r>
      <w:r>
        <w:rPr>
          <w:rFonts w:ascii="宋体" w:hAnsi="宋体" w:cs="宋体" w:eastAsia="宋体" w:hint="default"/>
        </w:rPr>
        <w:t>3,900</w:t>
      </w:r>
      <w:r>
        <w:rPr>
          <w:rFonts w:ascii="宋体" w:hAnsi="宋体" w:cs="宋体" w:eastAsia="宋体" w:hint="default"/>
          <w:spacing w:val="-50"/>
        </w:rPr>
        <w:t> </w:t>
      </w:r>
      <w:r>
        <w:rPr>
          <w:spacing w:val="-3"/>
        </w:rPr>
        <w:t>万元未实缴，占比</w:t>
      </w:r>
      <w:r>
        <w:rPr>
          <w:spacing w:val="-52"/>
        </w:rPr>
        <w:t> </w:t>
      </w:r>
      <w:r>
        <w:rPr>
          <w:rFonts w:ascii="宋体" w:hAnsi="宋体" w:cs="宋体" w:eastAsia="宋体" w:hint="default"/>
        </w:rPr>
        <w:t>20%</w:t>
      </w:r>
      <w:r>
        <w:rPr/>
        <w:t>；深圳市人</w:t>
      </w:r>
    </w:p>
    <w:p>
      <w:pPr>
        <w:pStyle w:val="BodyText"/>
        <w:spacing w:line="357" w:lineRule="auto" w:before="32"/>
        <w:ind w:left="1244" w:right="1036"/>
        <w:jc w:val="both"/>
      </w:pPr>
      <w:r>
        <w:rPr/>
        <w:t>民金台股权投资有限公司出资</w:t>
      </w:r>
      <w:r>
        <w:rPr>
          <w:spacing w:val="-44"/>
        </w:rPr>
        <w:t> </w:t>
      </w:r>
      <w:r>
        <w:rPr>
          <w:rFonts w:ascii="宋体" w:hAnsi="宋体" w:cs="宋体" w:eastAsia="宋体" w:hint="default"/>
        </w:rPr>
        <w:t>400</w:t>
      </w:r>
      <w:r>
        <w:rPr>
          <w:rFonts w:ascii="宋体" w:hAnsi="宋体" w:cs="宋体" w:eastAsia="宋体" w:hint="default"/>
          <w:spacing w:val="-44"/>
        </w:rPr>
        <w:t> </w:t>
      </w:r>
      <w:r>
        <w:rPr/>
        <w:t>万元，尚有</w:t>
      </w:r>
      <w:r>
        <w:rPr>
          <w:spacing w:val="-43"/>
        </w:rPr>
        <w:t> </w:t>
      </w:r>
      <w:r>
        <w:rPr>
          <w:rFonts w:ascii="宋体" w:hAnsi="宋体" w:cs="宋体" w:eastAsia="宋体" w:hint="default"/>
        </w:rPr>
        <w:t>500</w:t>
      </w:r>
      <w:r>
        <w:rPr>
          <w:rFonts w:ascii="宋体" w:hAnsi="宋体" w:cs="宋体" w:eastAsia="宋体" w:hint="default"/>
          <w:spacing w:val="-46"/>
        </w:rPr>
        <w:t> </w:t>
      </w:r>
      <w:r>
        <w:rPr/>
        <w:t>万元未实缴，占比</w:t>
      </w:r>
      <w:r>
        <w:rPr>
          <w:spacing w:val="-44"/>
        </w:rPr>
        <w:t> </w:t>
      </w:r>
      <w:r>
        <w:rPr>
          <w:rFonts w:ascii="宋体" w:hAnsi="宋体" w:cs="宋体" w:eastAsia="宋体" w:hint="default"/>
        </w:rPr>
        <w:t>4.5%</w:t>
      </w:r>
      <w:r>
        <w:rPr/>
        <w:t>，为该基金普通合伙人；协议约定有限合伙人以出资金额为限承担有限义务，</w:t>
      </w:r>
      <w:r>
        <w:rPr>
          <w:spacing w:val="-102"/>
        </w:rPr>
        <w:t> </w:t>
      </w:r>
      <w:r>
        <w:rPr>
          <w:spacing w:val="-102"/>
        </w:rPr>
      </w:r>
      <w:r>
        <w:rPr/>
        <w:t>收益及亏损按实缴比例分担，因此人民网对一号文化基金不构成重大影响，故在可供出售金融资产中核算。</w:t>
      </w:r>
    </w:p>
    <w:p>
      <w:pPr>
        <w:spacing w:after="0" w:line="357" w:lineRule="auto"/>
        <w:jc w:val="both"/>
        <w:sectPr>
          <w:pgSz w:w="16840" w:h="11910" w:orient="landscape"/>
          <w:pgMar w:header="882" w:footer="1195" w:top="1120" w:bottom="1380" w:left="280" w:right="300"/>
        </w:sectPr>
      </w:pPr>
    </w:p>
    <w:p>
      <w:pPr>
        <w:spacing w:before="28"/>
        <w:ind w:left="0" w:right="34"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1"/>
          <w:footerReference w:type="default" r:id="rId72"/>
          <w:pgSz w:w="11910" w:h="16840"/>
          <w:pgMar w:header="0" w:footer="0" w:top="780" w:bottom="280" w:left="1580" w:right="1040"/>
        </w:sectPr>
      </w:pPr>
    </w:p>
    <w:p>
      <w:pPr>
        <w:pStyle w:val="Heading2"/>
        <w:tabs>
          <w:tab w:pos="861" w:val="left" w:leader="none"/>
        </w:tabs>
        <w:spacing w:line="240" w:lineRule="auto" w:before="169"/>
        <w:ind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70" w:space="165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5"/>
        <w:gridCol w:w="2088"/>
        <w:gridCol w:w="2117"/>
        <w:gridCol w:w="2000"/>
      </w:tblGrid>
      <w:tr>
        <w:trPr>
          <w:trHeight w:val="55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9,500,000.00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9,500,000.00</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回</w:t>
            </w:r>
            <w:r>
              <w:rPr>
                <w:rFonts w:ascii="宋体" w:hAnsi="宋体" w:cs="宋体" w:eastAsia="宋体" w:hint="default"/>
                <w:spacing w:val="-3"/>
                <w:w w:val="100"/>
                <w:sz w:val="21"/>
                <w:szCs w:val="21"/>
              </w:rPr>
              <w:t>升转</w:t>
            </w:r>
            <w:r>
              <w:rPr>
                <w:rFonts w:ascii="宋体" w:hAnsi="宋体" w:cs="宋体" w:eastAsia="宋体" w:hint="default"/>
                <w:w w:val="100"/>
                <w:sz w:val="21"/>
                <w:szCs w:val="21"/>
              </w:rPr>
              <w:t>回</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9,500,000.00</w:t>
            </w:r>
          </w:p>
        </w:tc>
      </w:tr>
    </w:tbl>
    <w:p>
      <w:pPr>
        <w:spacing w:line="240" w:lineRule="auto" w:before="12"/>
        <w:rPr>
          <w:rFonts w:ascii="宋体" w:hAnsi="宋体" w:cs="宋体" w:eastAsia="宋体" w:hint="default"/>
          <w:sz w:val="19"/>
          <w:szCs w:val="19"/>
        </w:rPr>
      </w:pPr>
    </w:p>
    <w:p>
      <w:pPr>
        <w:pStyle w:val="Heading2"/>
        <w:tabs>
          <w:tab w:pos="861" w:val="left" w:leader="none"/>
        </w:tabs>
        <w:spacing w:line="240" w:lineRule="auto" w:before="36"/>
        <w:ind w:right="124"/>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9" w:lineRule="exact"/>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7"/>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9" w:lineRule="exact"/>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58"/>
        <w:gridCol w:w="1418"/>
        <w:gridCol w:w="566"/>
        <w:gridCol w:w="1265"/>
        <w:gridCol w:w="1428"/>
        <w:gridCol w:w="634"/>
        <w:gridCol w:w="1426"/>
      </w:tblGrid>
      <w:tr>
        <w:trPr>
          <w:trHeight w:val="286" w:hRule="exact"/>
        </w:trPr>
        <w:tc>
          <w:tcPr>
            <w:tcW w:w="2158"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2" w:hRule="exact"/>
        </w:trPr>
        <w:tc>
          <w:tcPr>
            <w:tcW w:w="2158"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6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韩国首尔可变现债券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56,355.53</w:t>
            </w:r>
          </w:p>
        </w:tc>
        <w:tc>
          <w:tcPr>
            <w:tcW w:w="56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56,355.53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53,108.33</w:t>
            </w:r>
          </w:p>
        </w:tc>
        <w:tc>
          <w:tcPr>
            <w:tcW w:w="63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53,108.33</w:t>
            </w:r>
          </w:p>
        </w:tc>
      </w:tr>
      <w:tr>
        <w:trPr>
          <w:trHeight w:val="28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开放式资产管理计划</w:t>
            </w: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52,198,400.00</w:t>
            </w:r>
          </w:p>
        </w:tc>
        <w:tc>
          <w:tcPr>
            <w:tcW w:w="63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52,198,400.00</w:t>
            </w:r>
          </w:p>
        </w:tc>
      </w:tr>
      <w:tr>
        <w:trPr>
          <w:trHeight w:val="28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56,355.53</w:t>
            </w:r>
          </w:p>
        </w:tc>
        <w:tc>
          <w:tcPr>
            <w:tcW w:w="56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56,355.53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52,251,508.33</w:t>
            </w:r>
          </w:p>
        </w:tc>
        <w:tc>
          <w:tcPr>
            <w:tcW w:w="63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52,251,508.33</w:t>
            </w:r>
          </w:p>
        </w:tc>
      </w:tr>
    </w:tbl>
    <w:p>
      <w:pPr>
        <w:spacing w:line="240" w:lineRule="auto" w:before="7"/>
        <w:rPr>
          <w:rFonts w:ascii="宋体" w:hAnsi="宋体" w:cs="宋体" w:eastAsia="宋体" w:hint="default"/>
          <w:sz w:val="15"/>
          <w:szCs w:val="15"/>
        </w:rPr>
      </w:pPr>
    </w:p>
    <w:p>
      <w:pPr>
        <w:pStyle w:val="Heading2"/>
        <w:spacing w:line="273" w:lineRule="exact" w:before="36"/>
        <w:ind w:right="2731"/>
        <w:jc w:val="left"/>
        <w:rPr>
          <w:b w:val="0"/>
          <w:bCs w:val="0"/>
        </w:rPr>
      </w:pPr>
      <w:r>
        <w:rPr>
          <w:rFonts w:ascii="宋体" w:hAnsi="宋体" w:cs="宋体" w:eastAsia="宋体" w:hint="default"/>
        </w:rPr>
        <w:t>(2).</w:t>
      </w:r>
      <w:r>
        <w:rPr/>
        <w:t>期末重要的持有至到期投资：</w:t>
      </w:r>
      <w:r>
        <w:rPr>
          <w:b w:val="0"/>
          <w:bCs w:val="0"/>
        </w:rPr>
      </w:r>
    </w:p>
    <w:p>
      <w:pPr>
        <w:pStyle w:val="BodyText"/>
        <w:spacing w:line="273" w:lineRule="exact"/>
        <w:ind w:left="218" w:right="273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3" w:lineRule="exact"/>
        <w:ind w:right="2731"/>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1060" w:val="left" w:leader="none"/>
        </w:tabs>
        <w:spacing w:line="240" w:lineRule="auto"/>
        <w:ind w:left="218" w:right="7383"/>
        <w:jc w:val="left"/>
      </w:pPr>
      <w:r>
        <w:rPr>
          <w:spacing w:val="-1"/>
        </w:rPr>
        <w:t>□适用</w:t>
        <w:tab/>
      </w:r>
      <w:r>
        <w:rPr>
          <w:spacing w:val="-2"/>
        </w:rPr>
        <w:t>√不适用</w:t>
      </w:r>
      <w:r>
        <w:rPr>
          <w:spacing w:val="-99"/>
        </w:rPr>
        <w:t> </w:t>
      </w:r>
      <w:r>
        <w:rPr>
          <w:spacing w:val="-99"/>
        </w:rPr>
      </w:r>
      <w:r>
        <w:rPr/>
        <w:t>其他说明：</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58"/>
        <w:ind w:right="2731"/>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218" w:right="2731"/>
        <w:jc w:val="left"/>
      </w:pPr>
      <w:r>
        <w:rPr/>
        <w:t>□适用</w:t>
      </w:r>
      <w:r>
        <w:rPr>
          <w:spacing w:val="-1"/>
        </w:rPr>
        <w:t> </w:t>
      </w:r>
      <w:r>
        <w:rPr/>
        <w:t>√不适用</w:t>
      </w:r>
    </w:p>
    <w:p>
      <w:pPr>
        <w:pStyle w:val="Heading2"/>
        <w:spacing w:line="240" w:lineRule="auto" w:before="58"/>
        <w:ind w:right="2731"/>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060" w:val="left" w:leader="none"/>
        </w:tabs>
        <w:spacing w:line="272" w:lineRule="exact" w:before="87"/>
        <w:ind w:left="218" w:right="738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left="218" w:right="2731"/>
        <w:jc w:val="left"/>
      </w:pPr>
      <w:r>
        <w:rPr/>
        <w:t>□适用</w:t>
      </w:r>
      <w:r>
        <w:rPr>
          <w:spacing w:val="-1"/>
        </w:rPr>
        <w:t> </w:t>
      </w:r>
      <w:r>
        <w:rPr/>
        <w:t>√不适用</w:t>
      </w:r>
    </w:p>
    <w:p>
      <w:pPr>
        <w:spacing w:before="149"/>
        <w:ind w:left="0" w:right="17" w:firstLine="0"/>
        <w:jc w:val="center"/>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3"/>
          <w:footerReference w:type="default" r:id="rId74"/>
          <w:pgSz w:w="16840" w:h="11910" w:orient="landscape"/>
          <w:pgMar w:header="882" w:footer="1195" w:top="1120" w:bottom="1380" w:left="140" w:right="160"/>
          <w:pgNumType w:start="122"/>
        </w:sectPr>
      </w:pPr>
    </w:p>
    <w:p>
      <w:pPr>
        <w:spacing w:line="240" w:lineRule="auto" w:before="9"/>
        <w:rPr>
          <w:rFonts w:ascii="Calibri" w:hAnsi="Calibri" w:cs="Calibri" w:eastAsia="Calibri" w:hint="default"/>
          <w:b/>
          <w:bCs/>
          <w:sz w:val="16"/>
          <w:szCs w:val="16"/>
        </w:rPr>
      </w:pPr>
    </w:p>
    <w:p>
      <w:pPr>
        <w:pStyle w:val="Heading2"/>
        <w:spacing w:line="240" w:lineRule="auto"/>
        <w:ind w:left="1384"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8"/>
        <w:ind w:left="138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2435" w:val="left" w:leader="none"/>
        </w:tabs>
        <w:spacing w:line="240" w:lineRule="auto"/>
        <w:ind w:left="1384" w:right="0"/>
        <w:jc w:val="left"/>
      </w:pPr>
      <w:r>
        <w:rPr>
          <w:spacing w:val="-1"/>
        </w:rPr>
        <w:t>单位：元</w:t>
        <w:tab/>
        <w:t>币种：人民币</w:t>
      </w:r>
    </w:p>
    <w:p>
      <w:pPr>
        <w:spacing w:after="0" w:line="240" w:lineRule="auto"/>
        <w:jc w:val="left"/>
        <w:sectPr>
          <w:type w:val="continuous"/>
          <w:pgSz w:w="16840" w:h="11910" w:orient="landscape"/>
          <w:pgMar w:top="1120" w:bottom="1380" w:left="140" w:right="160"/>
          <w:cols w:num="2" w:equalWidth="0">
            <w:col w:w="3156" w:space="8407"/>
            <w:col w:w="497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28"/>
        <w:gridCol w:w="1561"/>
        <w:gridCol w:w="1558"/>
        <w:gridCol w:w="1136"/>
        <w:gridCol w:w="1558"/>
        <w:gridCol w:w="708"/>
        <w:gridCol w:w="571"/>
        <w:gridCol w:w="1419"/>
        <w:gridCol w:w="706"/>
        <w:gridCol w:w="571"/>
        <w:gridCol w:w="1558"/>
        <w:gridCol w:w="1130"/>
      </w:tblGrid>
      <w:tr>
        <w:trPr>
          <w:trHeight w:val="281" w:hRule="exact"/>
        </w:trPr>
        <w:tc>
          <w:tcPr>
            <w:tcW w:w="3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566" w:right="560"/>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564" w:right="56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41" w:right="134"/>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1645" w:hRule="exact"/>
        </w:trPr>
        <w:tc>
          <w:tcPr>
            <w:tcW w:w="382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减少投资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7" w:right="139" w:hanging="104"/>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1" w:right="132"/>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7" w:right="176"/>
              <w:jc w:val="center"/>
              <w:rPr>
                <w:rFonts w:ascii="宋体" w:hAnsi="宋体" w:cs="宋体" w:eastAsia="宋体" w:hint="default"/>
                <w:sz w:val="21"/>
                <w:szCs w:val="21"/>
              </w:rPr>
            </w:pPr>
            <w:r>
              <w:rPr>
                <w:rFonts w:ascii="宋体" w:hAnsi="宋体" w:cs="宋体" w:eastAsia="宋体" w:hint="default"/>
                <w:sz w:val="21"/>
                <w:szCs w:val="21"/>
              </w:rPr>
              <w:t>宣告发放现</w:t>
            </w:r>
            <w:r>
              <w:rPr>
                <w:rFonts w:ascii="宋体" w:hAnsi="宋体" w:cs="宋体" w:eastAsia="宋体" w:hint="default"/>
                <w:w w:val="100"/>
                <w:sz w:val="21"/>
                <w:szCs w:val="21"/>
              </w:rPr>
              <w:t> </w:t>
            </w:r>
            <w:r>
              <w:rPr>
                <w:rFonts w:ascii="宋体" w:hAnsi="宋体" w:cs="宋体" w:eastAsia="宋体" w:hint="default"/>
                <w:sz w:val="21"/>
                <w:szCs w:val="21"/>
              </w:rPr>
              <w:t>金股利或利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9" w:right="132"/>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17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58"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r>
      <w:tr>
        <w:trPr>
          <w:trHeight w:val="283" w:hRule="exact"/>
        </w:trPr>
        <w:tc>
          <w:tcPr>
            <w:tcW w:w="1630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25,268,778.81</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103,947.45</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25,372,726.26</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-2,824,526.77</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1,175,473.23</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深圳市人民金台股权投资有限公司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-254,930.04</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4,745,069.96</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黑龙江龙教数媒科技有限公司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444,280.88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444,280.88</w:t>
            </w: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25,713,059.69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 w:right="0"/>
              <w:jc w:val="center"/>
              <w:rPr>
                <w:rFonts w:ascii="宋体" w:hAnsi="宋体" w:cs="宋体" w:eastAsia="宋体" w:hint="default"/>
                <w:sz w:val="18"/>
                <w:szCs w:val="18"/>
              </w:rPr>
            </w:pPr>
            <w:r>
              <w:rPr>
                <w:rFonts w:ascii="宋体"/>
                <w:sz w:val="18"/>
              </w:rPr>
              <w:t>444,280.88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-2,975,509.36</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31,293,269.45</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30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8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87,333,024.64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2,869,309.80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90,202,334.44</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411,397.28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411,397.28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411,397.28</w:t>
            </w:r>
          </w:p>
        </w:tc>
      </w:tr>
      <w:tr>
        <w:trPr>
          <w:trHeight w:val="28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63,920,511.98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8,288,757.27</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67,309,269.25</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-1,641,351.14</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4,358,648.86</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188,604,314.00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19,697,001.91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208,301,315.91</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-1,146,297.70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38,853,702.30</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华茂金台（北京）投资管理有限公司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6,707,107.10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-356,513.67</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6,350,593.43</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深圳市高捷金台创业投资管理有限公司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303,971.78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56,041.94</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360,013.72</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上海阅客信息科技有限公司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18,378,544.83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-10,667,428.81</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7,711,116.02</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177,054,557.61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234,604,314.00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17,099,519.60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423,858,391.21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411,397.28</w:t>
            </w:r>
          </w:p>
        </w:tc>
      </w:tr>
      <w:tr>
        <w:trPr>
          <w:trHeight w:val="28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202,767,617.30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243,604,314.00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444,280.88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14,124,010.24</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455,151,660.66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411,397.28</w:t>
            </w:r>
          </w:p>
        </w:tc>
      </w:tr>
    </w:tbl>
    <w:p>
      <w:pPr>
        <w:spacing w:line="240" w:lineRule="auto" w:before="5"/>
        <w:rPr>
          <w:rFonts w:ascii="宋体" w:hAnsi="宋体" w:cs="宋体" w:eastAsia="宋体" w:hint="default"/>
          <w:sz w:val="15"/>
          <w:szCs w:val="15"/>
        </w:rPr>
      </w:pPr>
    </w:p>
    <w:p>
      <w:pPr>
        <w:pStyle w:val="BodyText"/>
        <w:spacing w:line="240" w:lineRule="auto" w:before="36"/>
        <w:ind w:left="1384" w:right="0"/>
        <w:jc w:val="left"/>
      </w:pPr>
      <w:r>
        <w:rPr/>
        <w:t>其他说明</w:t>
      </w:r>
    </w:p>
    <w:p>
      <w:pPr>
        <w:spacing w:after="0" w:line="240" w:lineRule="auto"/>
        <w:jc w:val="left"/>
        <w:sectPr>
          <w:type w:val="continuous"/>
          <w:pgSz w:w="16840" w:h="11910" w:orient="landscape"/>
          <w:pgMar w:top="1120" w:bottom="1380" w:left="140" w:right="160"/>
        </w:sectPr>
      </w:pPr>
    </w:p>
    <w:p>
      <w:pPr>
        <w:pStyle w:val="BodyText"/>
        <w:spacing w:line="355" w:lineRule="auto" w:before="117"/>
        <w:ind w:left="144" w:right="0" w:firstLine="420"/>
        <w:jc w:val="left"/>
      </w:pPr>
      <w:r>
        <w:rPr/>
        <w:t>注：①本公司以成都古羌科技有限公司减值后全部股权易股阿尔山市金辉文化传媒股份有限公司，易股时点为</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日。同时，黑龙江龙</w:t>
      </w:r>
      <w:r>
        <w:rPr>
          <w:w w:val="100"/>
        </w:rPr>
        <w:t> </w:t>
      </w:r>
      <w:r>
        <w:rPr/>
        <w:t>教数媒科技有限公司作为成都古羌科技有限公司的合营企业，也在本年度随之处置。</w:t>
      </w:r>
    </w:p>
    <w:p>
      <w:pPr>
        <w:pStyle w:val="BodyText"/>
        <w:spacing w:line="240" w:lineRule="auto" w:before="32"/>
        <w:ind w:left="564" w:right="0"/>
        <w:jc w:val="left"/>
      </w:pPr>
      <w:r>
        <w:rPr/>
        <w:t>②本公司于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日，出资</w:t>
      </w:r>
      <w:r>
        <w:rPr>
          <w:spacing w:val="-55"/>
        </w:rPr>
        <w:t> </w:t>
      </w:r>
      <w:r>
        <w:rPr>
          <w:rFonts w:ascii="宋体" w:hAnsi="宋体" w:cs="宋体" w:eastAsia="宋体" w:hint="default"/>
        </w:rPr>
        <w:t>400</w:t>
      </w:r>
      <w:r>
        <w:rPr>
          <w:rFonts w:ascii="宋体" w:hAnsi="宋体" w:cs="宋体" w:eastAsia="宋体" w:hint="default"/>
          <w:spacing w:val="-55"/>
        </w:rPr>
        <w:t> </w:t>
      </w:r>
      <w:r>
        <w:rPr/>
        <w:t>万元设立合营企业北京金台恒达科技发展有限公司，持股比例为</w:t>
      </w:r>
      <w:r>
        <w:rPr>
          <w:spacing w:val="-53"/>
        </w:rPr>
        <w:t> </w:t>
      </w:r>
      <w:r>
        <w:rPr>
          <w:rFonts w:ascii="宋体" w:hAnsi="宋体" w:cs="宋体" w:eastAsia="宋体" w:hint="default"/>
        </w:rPr>
        <w:t>40%</w:t>
      </w:r>
      <w:r>
        <w:rPr/>
        <w:t>。</w:t>
      </w:r>
    </w:p>
    <w:p>
      <w:pPr>
        <w:pStyle w:val="BodyText"/>
        <w:spacing w:line="240" w:lineRule="auto" w:before="133"/>
        <w:ind w:left="564" w:right="0"/>
        <w:jc w:val="left"/>
      </w:pPr>
      <w:r>
        <w:rPr/>
        <w:t>③本公司于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日，出资</w:t>
      </w:r>
      <w:r>
        <w:rPr>
          <w:spacing w:val="-55"/>
        </w:rPr>
        <w:t> </w:t>
      </w:r>
      <w:r>
        <w:rPr>
          <w:rFonts w:ascii="宋体" w:hAnsi="宋体" w:cs="宋体" w:eastAsia="宋体" w:hint="default"/>
        </w:rPr>
        <w:t>600</w:t>
      </w:r>
      <w:r>
        <w:rPr>
          <w:rFonts w:ascii="宋体" w:hAnsi="宋体" w:cs="宋体" w:eastAsia="宋体" w:hint="default"/>
          <w:spacing w:val="-55"/>
        </w:rPr>
        <w:t> </w:t>
      </w:r>
      <w:r>
        <w:rPr/>
        <w:t>万元设立联营企业北京百代文华信息科技有限公司，持股比例为</w:t>
      </w:r>
      <w:r>
        <w:rPr>
          <w:spacing w:val="-53"/>
        </w:rPr>
        <w:t> </w:t>
      </w:r>
      <w:r>
        <w:rPr>
          <w:rFonts w:ascii="宋体" w:hAnsi="宋体" w:cs="宋体" w:eastAsia="宋体" w:hint="default"/>
        </w:rPr>
        <w:t>30%</w:t>
      </w:r>
      <w:r>
        <w:rPr/>
        <w:t>。</w:t>
      </w:r>
    </w:p>
    <w:p>
      <w:pPr>
        <w:pStyle w:val="BodyText"/>
        <w:spacing w:line="240" w:lineRule="auto" w:before="135"/>
        <w:ind w:left="564" w:right="0"/>
        <w:jc w:val="left"/>
      </w:pPr>
      <w:r>
        <w:rPr/>
        <w:t>④本公司于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6"/>
        </w:rPr>
        <w:t> </w:t>
      </w:r>
      <w:r>
        <w:rPr/>
        <w:t>日，向西部新业实业股份有限公司实缴注册资本</w:t>
      </w:r>
      <w:r>
        <w:rPr>
          <w:spacing w:val="-54"/>
        </w:rPr>
        <w:t> </w:t>
      </w:r>
      <w:r>
        <w:rPr>
          <w:rFonts w:ascii="宋体" w:hAnsi="宋体" w:cs="宋体" w:eastAsia="宋体" w:hint="default"/>
        </w:rPr>
        <w:t>4000</w:t>
      </w:r>
      <w:r>
        <w:rPr>
          <w:rFonts w:ascii="宋体" w:hAnsi="宋体" w:cs="宋体" w:eastAsia="宋体" w:hint="default"/>
          <w:spacing w:val="-54"/>
        </w:rPr>
        <w:t> </w:t>
      </w:r>
      <w:r>
        <w:rPr/>
        <w:t>万元</w:t>
      </w:r>
      <w:r>
        <w:rPr>
          <w:rFonts w:ascii="宋体" w:hAnsi="宋体" w:cs="宋体" w:eastAsia="宋体" w:hint="default"/>
        </w:rPr>
        <w:t>,</w:t>
      </w:r>
      <w:r>
        <w:rPr/>
        <w:t>持股比例为</w:t>
      </w:r>
      <w:r>
        <w:rPr>
          <w:spacing w:val="-56"/>
        </w:rPr>
        <w:t> </w:t>
      </w:r>
      <w:r>
        <w:rPr>
          <w:rFonts w:ascii="宋体" w:hAnsi="宋体" w:cs="宋体" w:eastAsia="宋体" w:hint="default"/>
        </w:rPr>
        <w:t>40%</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ind w:left="144" w:right="0"/>
        <w:jc w:val="left"/>
        <w:rPr>
          <w:b w:val="0"/>
          <w:bCs w:val="0"/>
        </w:rPr>
      </w:pPr>
      <w:r>
        <w:rPr>
          <w:rFonts w:ascii="宋体" w:hAnsi="宋体" w:cs="宋体" w:eastAsia="宋体" w:hint="default"/>
        </w:rPr>
        <w:t>18</w:t>
      </w:r>
      <w:r>
        <w:rPr/>
        <w:t>、</w:t>
      </w:r>
      <w:r>
        <w:rPr>
          <w:spacing w:val="-23"/>
        </w:rPr>
        <w:t> </w:t>
      </w:r>
      <w:r>
        <w:rPr/>
        <w:t>投资性房地产</w:t>
      </w:r>
      <w:r>
        <w:rPr>
          <w:b w:val="0"/>
          <w:bCs w:val="0"/>
        </w:rPr>
      </w:r>
    </w:p>
    <w:p>
      <w:pPr>
        <w:pStyle w:val="BodyText"/>
        <w:spacing w:line="272" w:lineRule="exact" w:before="86"/>
        <w:ind w:left="144" w:right="11304"/>
        <w:jc w:val="left"/>
      </w:pPr>
      <w:r>
        <w:rPr>
          <w:spacing w:val="-2"/>
        </w:rPr>
        <w:t>投资性房地产计量模式</w:t>
      </w:r>
      <w:r>
        <w:rPr>
          <w:spacing w:val="-85"/>
        </w:rPr>
        <w:t> </w:t>
      </w:r>
      <w:r>
        <w:rPr>
          <w:spacing w:val="-85"/>
        </w:rPr>
      </w:r>
      <w:r>
        <w:rPr/>
        <w:t>不适用</w:t>
      </w:r>
    </w:p>
    <w:p>
      <w:pPr>
        <w:spacing w:after="0" w:line="272" w:lineRule="exact"/>
        <w:jc w:val="left"/>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5"/>
          <w:footerReference w:type="default" r:id="rId76"/>
          <w:pgSz w:w="11910" w:h="16840"/>
          <w:pgMar w:header="882" w:footer="1195" w:top="1120" w:bottom="1380" w:left="1660" w:right="1120"/>
          <w:pgNumType w:start="124"/>
        </w:sectPr>
      </w:pPr>
    </w:p>
    <w:p>
      <w:pPr>
        <w:pStyle w:val="Heading2"/>
        <w:spacing w:line="240" w:lineRule="auto" w:before="175"/>
        <w:ind w:left="13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994" w:space="452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5"/>
        <w:gridCol w:w="1474"/>
        <w:gridCol w:w="1644"/>
        <w:gridCol w:w="1561"/>
        <w:gridCol w:w="1632"/>
      </w:tblGrid>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电子及办公设备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276,269,675.66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43,102,349.13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329,272,024.79</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25,011,118.34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2,823,221.17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27,834,339.51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24,947,076.85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2,778,560.46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27,725,637.31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64,041.49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44,660.71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108,702.20</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17,236,327.07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1,838,564.52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19,074,891.59</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6,336,279.42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1,793,323.73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8,129,603.15</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）企业合并减少</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10,792,177.54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10,792,177.54</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107,870.11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45,240.79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153,110.90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284,044,466.93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44,087,005.78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338,031,472.71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276,178.56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156,277,983.72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15,651,543.11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172,205,705.39</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134,357.16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37,279,306.01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6,030,603.76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43,444,266.93</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134,357.16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37,221,623.81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6,021,460.11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43,377,441.08</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57,682.20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9,143.65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66,825.85</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12,727,214.55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1,069,297.86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13,796,512.41</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4,583,380.79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1,034,351.44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5,617,732.23</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）企业合并减少</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8,036,674.72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8,036,674.72</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107,159.04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34,946.42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142,105.46</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410,535.72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180,830,075.18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20,612,849.01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201,853,459.91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9,489,464.28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103,214,391.75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23,474,156.77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136,178,012.80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9,623,821.44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119,991,691.94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27,450,806.02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157,066,319.40</w:t>
            </w:r>
          </w:p>
        </w:tc>
      </w:tr>
    </w:tbl>
    <w:p>
      <w:pPr>
        <w:spacing w:line="240" w:lineRule="auto" w:before="13"/>
        <w:rPr>
          <w:rFonts w:ascii="宋体" w:hAnsi="宋体" w:cs="宋体" w:eastAsia="宋体" w:hint="default"/>
          <w:sz w:val="19"/>
          <w:szCs w:val="19"/>
        </w:rPr>
      </w:pPr>
    </w:p>
    <w:p>
      <w:pPr>
        <w:pStyle w:val="Heading2"/>
        <w:spacing w:line="240" w:lineRule="auto" w:before="36"/>
        <w:ind w:left="138" w:right="505"/>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right="505"/>
        <w:jc w:val="left"/>
      </w:pPr>
      <w:r>
        <w:rPr/>
        <w:t>□适用</w:t>
      </w:r>
      <w:r>
        <w:rPr>
          <w:spacing w:val="-1"/>
        </w:rPr>
        <w:t> </w:t>
      </w:r>
      <w:r>
        <w:rPr/>
        <w:t>√不适用</w:t>
      </w:r>
    </w:p>
    <w:p>
      <w:pPr>
        <w:pStyle w:val="Heading2"/>
        <w:spacing w:line="240" w:lineRule="auto" w:before="56"/>
        <w:ind w:left="138" w:right="505"/>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right="505"/>
        <w:jc w:val="left"/>
      </w:pPr>
      <w:r>
        <w:rPr/>
        <w:t>□适用</w:t>
      </w:r>
      <w:r>
        <w:rPr>
          <w:spacing w:val="-1"/>
        </w:rPr>
        <w:t> </w:t>
      </w:r>
      <w:r>
        <w:rPr/>
        <w:t>√不适用</w:t>
      </w:r>
    </w:p>
    <w:p>
      <w:pPr>
        <w:pStyle w:val="Heading2"/>
        <w:spacing w:line="240" w:lineRule="auto" w:before="56"/>
        <w:ind w:left="138" w:right="505"/>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right="505"/>
        <w:jc w:val="left"/>
      </w:pPr>
      <w:r>
        <w:rPr/>
        <w:t>□适用</w:t>
      </w:r>
      <w:r>
        <w:rPr>
          <w:spacing w:val="-1"/>
        </w:rPr>
        <w:t> </w:t>
      </w:r>
      <w:r>
        <w:rPr/>
        <w:t>√不适用</w:t>
      </w:r>
    </w:p>
    <w:p>
      <w:pPr>
        <w:pStyle w:val="Heading2"/>
        <w:spacing w:line="240" w:lineRule="auto" w:before="58"/>
        <w:ind w:left="138" w:right="505"/>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right="7394"/>
        <w:jc w:val="left"/>
      </w:pPr>
      <w:r>
        <w:rPr/>
        <w:t>□适用</w:t>
      </w:r>
      <w:r>
        <w:rPr>
          <w:spacing w:val="-1"/>
        </w:rPr>
        <w:t> </w:t>
      </w:r>
      <w:r>
        <w:rPr/>
        <w:t>√不适用</w:t>
      </w:r>
      <w:r>
        <w:rPr>
          <w:w w:val="100"/>
        </w:rPr>
        <w:t> </w:t>
      </w:r>
      <w:r>
        <w:rPr/>
        <w:t>其他说明：</w:t>
      </w:r>
    </w:p>
    <w:p>
      <w:pPr>
        <w:pStyle w:val="BodyText"/>
        <w:spacing w:line="272" w:lineRule="exact"/>
        <w:ind w:right="505"/>
        <w:jc w:val="left"/>
      </w:pPr>
      <w:r>
        <w:rPr/>
        <w:t>□适用</w:t>
      </w:r>
      <w:r>
        <w:rPr>
          <w:spacing w:val="-1"/>
        </w:rPr>
        <w:t> </w:t>
      </w:r>
      <w:r>
        <w:rPr/>
        <w:t>√不适用</w:t>
      </w:r>
    </w:p>
    <w:p>
      <w:pPr>
        <w:spacing w:after="0" w:line="272"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spacing w:line="240" w:lineRule="auto" w:before="36"/>
        <w:ind w:right="2731"/>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2"/>
        <w:spacing w:line="240" w:lineRule="auto" w:before="58"/>
        <w:ind w:right="2731"/>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6"/>
        <w:ind w:left="218" w:right="2731"/>
        <w:jc w:val="left"/>
      </w:pPr>
      <w:r>
        <w:rPr/>
        <w:t>□适用</w:t>
      </w:r>
      <w:r>
        <w:rPr>
          <w:spacing w:val="-1"/>
        </w:rPr>
        <w:t> </w:t>
      </w:r>
      <w:r>
        <w:rPr/>
        <w:t>√不适用</w:t>
      </w:r>
    </w:p>
    <w:p>
      <w:pPr>
        <w:pStyle w:val="Heading2"/>
        <w:spacing w:line="240" w:lineRule="auto" w:before="58"/>
        <w:ind w:right="2731"/>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218" w:right="2731"/>
        <w:jc w:val="left"/>
      </w:pPr>
      <w:r>
        <w:rPr/>
        <w:t>□适用</w:t>
      </w:r>
      <w:r>
        <w:rPr>
          <w:spacing w:val="-1"/>
        </w:rPr>
        <w:t> </w:t>
      </w:r>
      <w:r>
        <w:rPr/>
        <w:t>√不适用</w:t>
      </w:r>
    </w:p>
    <w:p>
      <w:pPr>
        <w:pStyle w:val="Heading2"/>
        <w:spacing w:line="240" w:lineRule="auto" w:before="58"/>
        <w:ind w:right="2731"/>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9"/>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2"/>
        <w:spacing w:line="240" w:lineRule="auto" w:before="58"/>
        <w:ind w:right="2731"/>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left="218" w:right="2731"/>
        <w:jc w:val="left"/>
      </w:pPr>
      <w:r>
        <w:rPr/>
        <w:t>□适用</w:t>
      </w:r>
      <w:r>
        <w:rPr>
          <w:spacing w:val="-1"/>
        </w:rPr>
        <w:t> </w:t>
      </w:r>
      <w:r>
        <w:rPr/>
        <w:t>√不适用</w:t>
      </w:r>
    </w:p>
    <w:p>
      <w:pPr>
        <w:pStyle w:val="Heading2"/>
        <w:spacing w:line="240" w:lineRule="auto" w:before="56"/>
        <w:ind w:right="2731"/>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9"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60" w:val="left" w:leader="none"/>
        </w:tabs>
        <w:spacing w:line="240" w:lineRule="auto" w:before="56"/>
        <w:ind w:left="2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658"/>
        <w:gridCol w:w="1582"/>
        <w:gridCol w:w="1582"/>
        <w:gridCol w:w="1709"/>
      </w:tblGrid>
      <w:tr>
        <w:trPr>
          <w:trHeight w:val="35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版权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软件</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43,008,188.11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57,292,406.21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55,821,103.88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156,121,698.20</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2,675,394.95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2,675,394.95</w:t>
            </w:r>
          </w:p>
        </w:tc>
      </w:tr>
      <w:tr>
        <w:trPr>
          <w:trHeight w:val="34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2,675,394.95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2,675,394.95</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43,008,188.11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57,292,406.21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1,431,557.27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101,732,151.59</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1,091,591.46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1,091,591.46</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企业合并减少</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43,008,188.11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57,292,406.21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339,965.81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100,640,560.13</w:t>
            </w:r>
          </w:p>
        </w:tc>
      </w:tr>
      <w:tr>
        <w:trPr>
          <w:trHeight w:val="35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57,064,941.56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57,064,941.56</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8"/>
        <w:gridCol w:w="1658"/>
        <w:gridCol w:w="1582"/>
        <w:gridCol w:w="1582"/>
        <w:gridCol w:w="1709"/>
      </w:tblGrid>
      <w:tr>
        <w:trPr>
          <w:trHeight w:val="35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16,176,619.84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25,655,391.64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28,421,494.61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70,253,506.09</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5,686,291.12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1,117,314.40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9,894,349.76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16,697,955.28</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5,686,291.12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1,117,314.40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9,894,349.76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16,697,955.28</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21,862,910.96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26,772,706.04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334,198.86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48,969,815.86</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17,641,832.04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17,641,832.04</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企业合并减少</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4,221,078.92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26,772,706.04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334,198.86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31,327,983.82</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37,981,645.51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37,981,645.51</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914,093.13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914,093.13</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914,093.13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914,093.13</w:t>
            </w:r>
          </w:p>
        </w:tc>
      </w:tr>
      <w:tr>
        <w:trPr>
          <w:trHeight w:val="34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914,093.13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914,093.13</w:t>
            </w: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19,083,296.05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19,083,296.05</w:t>
            </w:r>
          </w:p>
        </w:tc>
      </w:tr>
      <w:tr>
        <w:trPr>
          <w:trHeight w:val="35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25,917,475.14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31,637,014.57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27,399,609.27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84,954,098.98</w:t>
            </w:r>
          </w:p>
        </w:tc>
      </w:tr>
    </w:tbl>
    <w:p>
      <w:pPr>
        <w:spacing w:line="240" w:lineRule="auto" w:before="7"/>
        <w:rPr>
          <w:rFonts w:ascii="宋体" w:hAnsi="宋体" w:cs="宋体" w:eastAsia="宋体" w:hint="default"/>
          <w:sz w:val="15"/>
          <w:szCs w:val="15"/>
        </w:rPr>
      </w:pPr>
    </w:p>
    <w:p>
      <w:pPr>
        <w:pStyle w:val="BodyText"/>
        <w:spacing w:line="240" w:lineRule="auto" w:before="36"/>
        <w:ind w:left="218" w:right="227"/>
        <w:jc w:val="left"/>
        <w:rPr>
          <w:rFonts w:ascii="宋体" w:hAnsi="宋体" w:cs="宋体" w:eastAsia="宋体" w:hint="default"/>
        </w:rPr>
      </w:pPr>
      <w:r>
        <w:rPr>
          <w:spacing w:val="-2"/>
        </w:rPr>
        <w:t>本期末通过公司内部研发形成的无形资产占无形资产余额的比例</w:t>
      </w:r>
      <w:r>
        <w:rPr>
          <w:spacing w:val="5"/>
        </w:rPr>
        <w:t> </w:t>
      </w:r>
      <w:r>
        <w:rPr>
          <w:rFonts w:ascii="宋体" w:hAnsi="宋体" w:cs="宋体" w:eastAsia="宋体" w:hint="default"/>
          <w:spacing w:val="-1"/>
        </w:rPr>
        <w:t>0.00%</w:t>
      </w:r>
    </w:p>
    <w:p>
      <w:pPr>
        <w:spacing w:line="240" w:lineRule="auto" w:before="8"/>
        <w:rPr>
          <w:rFonts w:ascii="宋体" w:hAnsi="宋体" w:cs="宋体" w:eastAsia="宋体" w:hint="default"/>
          <w:sz w:val="20"/>
          <w:szCs w:val="20"/>
        </w:rPr>
      </w:pPr>
    </w:p>
    <w:p>
      <w:pPr>
        <w:pStyle w:val="BodyText"/>
        <w:spacing w:line="355" w:lineRule="auto"/>
        <w:ind w:left="218" w:right="227" w:firstLine="419"/>
        <w:jc w:val="left"/>
      </w:pPr>
      <w:r>
        <w:rPr>
          <w:spacing w:val="-2"/>
        </w:rPr>
        <w:t>注：企业合并减少金额为处置子公司网际星辰文化传媒（北京）有限公司、成都古羌科技有</w:t>
      </w:r>
      <w:r>
        <w:rPr>
          <w:w w:val="100"/>
        </w:rPr>
        <w:t> </w:t>
      </w:r>
      <w:r>
        <w:rPr/>
        <w:t>限公司及人民澳客传媒科技有限公司所导致。</w:t>
      </w:r>
    </w:p>
    <w:p>
      <w:pPr>
        <w:spacing w:line="240" w:lineRule="auto" w:before="13"/>
        <w:rPr>
          <w:rFonts w:ascii="宋体" w:hAnsi="宋体" w:cs="宋体" w:eastAsia="宋体" w:hint="default"/>
          <w:sz w:val="27"/>
          <w:szCs w:val="27"/>
        </w:rPr>
      </w:pPr>
    </w:p>
    <w:p>
      <w:pPr>
        <w:pStyle w:val="Heading2"/>
        <w:spacing w:line="240" w:lineRule="auto"/>
        <w:ind w:right="2731"/>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1560"/>
        <w:gridCol w:w="1274"/>
        <w:gridCol w:w="1561"/>
        <w:gridCol w:w="1142"/>
      </w:tblGrid>
      <w:tr>
        <w:trPr>
          <w:trHeight w:val="293" w:hRule="exact"/>
        </w:trPr>
        <w:tc>
          <w:tcPr>
            <w:tcW w:w="351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351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142" w:type="dxa"/>
            <w:vMerge/>
            <w:tcBorders>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507,084.76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507,084.76</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197,516,318.36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197,516,318.36</w:t>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1560"/>
        <w:gridCol w:w="1274"/>
        <w:gridCol w:w="1561"/>
        <w:gridCol w:w="1142"/>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网际星辰文化传媒（北京）有限公司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9,953,970.07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9,953,970.07</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207,977,373.19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207,470,288.43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507,084.76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90"/>
        <w:gridCol w:w="1582"/>
        <w:gridCol w:w="1274"/>
        <w:gridCol w:w="1561"/>
        <w:gridCol w:w="1142"/>
      </w:tblGrid>
      <w:tr>
        <w:trPr>
          <w:trHeight w:val="281" w:hRule="exact"/>
        </w:trPr>
        <w:tc>
          <w:tcPr>
            <w:tcW w:w="3490" w:type="dxa"/>
            <w:vMerge w:val="restart"/>
            <w:tcBorders>
              <w:top w:val="single" w:sz="4" w:space="0" w:color="000000"/>
              <w:left w:val="single" w:sz="4" w:space="0" w:color="000000"/>
              <w:right w:val="single" w:sz="4" w:space="0" w:color="000000"/>
            </w:tcBorders>
          </w:tcPr>
          <w:p>
            <w:pPr>
              <w:pStyle w:val="TableParagraph"/>
              <w:spacing w:line="240" w:lineRule="auto" w:before="119"/>
              <w:ind w:left="163"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19"/>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119"/>
              <w:ind w:left="14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349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142" w:type="dxa"/>
            <w:vMerge/>
            <w:tcBorders>
              <w:left w:val="single" w:sz="4" w:space="0" w:color="000000"/>
              <w:bottom w:val="single" w:sz="4" w:space="0" w:color="000000"/>
              <w:right w:val="single" w:sz="4" w:space="0" w:color="000000"/>
            </w:tcBorders>
          </w:tcPr>
          <w:p>
            <w:pPr/>
          </w:p>
        </w:tc>
      </w:tr>
      <w:tr>
        <w:trPr>
          <w:trHeight w:val="281"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507,084.76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507,084.76</w:t>
            </w:r>
          </w:p>
        </w:tc>
      </w:tr>
      <w:tr>
        <w:trPr>
          <w:trHeight w:val="283"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72,425,303.17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72,425,303.17</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72,932,387.93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72,425,303.17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507,084.76</w:t>
            </w:r>
          </w:p>
        </w:tc>
      </w:tr>
    </w:tbl>
    <w:p>
      <w:pPr>
        <w:spacing w:line="240" w:lineRule="auto" w:before="5"/>
        <w:rPr>
          <w:rFonts w:ascii="宋体" w:hAnsi="宋体" w:cs="宋体" w:eastAsia="宋体" w:hint="default"/>
          <w:sz w:val="15"/>
          <w:szCs w:val="15"/>
        </w:rPr>
      </w:pPr>
    </w:p>
    <w:p>
      <w:pPr>
        <w:pStyle w:val="BodyText"/>
        <w:spacing w:line="274" w:lineRule="exact" w:before="36"/>
        <w:ind w:left="218" w:right="2731"/>
        <w:jc w:val="left"/>
      </w:pPr>
      <w:r>
        <w:rPr/>
        <w:t>说明商誉减值测试过程、参数及商誉减值损失的确认方法</w:t>
      </w:r>
    </w:p>
    <w:p>
      <w:pPr>
        <w:pStyle w:val="BodyText"/>
        <w:spacing w:line="272" w:lineRule="exact" w:before="27"/>
        <w:ind w:left="218" w:right="7474"/>
        <w:jc w:val="left"/>
      </w:pPr>
      <w:r>
        <w:rPr/>
        <w:t>□适用</w:t>
      </w:r>
      <w:r>
        <w:rPr>
          <w:spacing w:val="-1"/>
        </w:rPr>
        <w:t> </w:t>
      </w:r>
      <w:r>
        <w:rPr/>
        <w:t>√不适用</w:t>
      </w:r>
      <w:r>
        <w:rPr>
          <w:w w:val="100"/>
        </w:rPr>
        <w:t> </w:t>
      </w:r>
      <w:r>
        <w:rPr/>
        <w:t>其他说明</w:t>
      </w:r>
    </w:p>
    <w:p>
      <w:pPr>
        <w:pStyle w:val="BodyText"/>
        <w:spacing w:line="249" w:lineRule="exact"/>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45"/>
        <w:gridCol w:w="1580"/>
        <w:gridCol w:w="1476"/>
        <w:gridCol w:w="1582"/>
        <w:gridCol w:w="1688"/>
        <w:gridCol w:w="1579"/>
      </w:tblGrid>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hAnsi="宋体" w:cs="宋体" w:eastAsia="宋体" w:hint="default"/>
                <w:sz w:val="21"/>
                <w:szCs w:val="21"/>
              </w:rPr>
              <w:t>装修费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34,361,420.67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6,008,857.11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13,302,373.89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-10,012,561.74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37,080,465.63</w:t>
            </w:r>
          </w:p>
        </w:tc>
      </w:tr>
      <w:tr>
        <w:trPr>
          <w:trHeight w:val="28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96"/>
              <w:jc w:val="right"/>
              <w:rPr>
                <w:rFonts w:ascii="宋体" w:hAnsi="宋体" w:cs="宋体" w:eastAsia="宋体" w:hint="default"/>
                <w:sz w:val="21"/>
                <w:szCs w:val="21"/>
              </w:rPr>
            </w:pPr>
            <w:r>
              <w:rPr>
                <w:rFonts w:ascii="宋体" w:hAnsi="宋体" w:cs="宋体" w:eastAsia="宋体" w:hint="default"/>
                <w:sz w:val="21"/>
                <w:szCs w:val="21"/>
              </w:rPr>
              <w:t>版权费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1,691,149.34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430,814.86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870,125.43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-812,123.78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2,063,962.55</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36,052,570.01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6,439,671.97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14,172,499.32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-10,824,685.52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39,144,428.18</w:t>
            </w:r>
          </w:p>
        </w:tc>
      </w:tr>
    </w:tbl>
    <w:p>
      <w:pPr>
        <w:spacing w:line="240" w:lineRule="auto" w:before="5"/>
        <w:rPr>
          <w:rFonts w:ascii="宋体" w:hAnsi="宋体" w:cs="宋体" w:eastAsia="宋体" w:hint="default"/>
          <w:sz w:val="15"/>
          <w:szCs w:val="15"/>
        </w:rPr>
      </w:pPr>
    </w:p>
    <w:p>
      <w:pPr>
        <w:pStyle w:val="BodyText"/>
        <w:spacing w:line="240" w:lineRule="auto" w:before="36"/>
        <w:ind w:left="218"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7,934,655.69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1,311,667.52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10,165,698.18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1,739,590.16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加速摊销的无形资产</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4,292,682.81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647,391.09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22,908,644.83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3,429,275.48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1,254,326.33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313,581.58</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9,139.20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2,284.80</w:t>
            </w:r>
          </w:p>
        </w:tc>
      </w:tr>
      <w:tr>
        <w:trPr>
          <w:trHeight w:val="298"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13,481,664.83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2,272,640.19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33,083,482.21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5,171,150.44</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273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332,340.62</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62,918,629.10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53,107,692.97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62,918,629.10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53,440,033.59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4,512,911.70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6,819,886.02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10,498,606.09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10,498,606.09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15,671,344.06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15,671,344.06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19,336,093.48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19,336,093.48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12,899,673.77</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62,918,629.10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52,325,929.65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8" w:right="2731"/>
        <w:jc w:val="left"/>
      </w:pPr>
      <w:r>
        <w:rPr/>
        <w:t>其他说明：</w:t>
      </w:r>
    </w:p>
    <w:p>
      <w:pPr>
        <w:pStyle w:val="BodyText"/>
        <w:spacing w:line="274" w:lineRule="exact"/>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房屋置换</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8,216,875.39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7,589,516.91</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预付工程项目款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338,967,760.22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338,132,417.09</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347,184,635.61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345,721,934.00</w:t>
            </w:r>
          </w:p>
        </w:tc>
      </w:tr>
    </w:tbl>
    <w:p>
      <w:pPr>
        <w:spacing w:line="240" w:lineRule="auto" w:before="5"/>
        <w:rPr>
          <w:rFonts w:ascii="宋体" w:hAnsi="宋体" w:cs="宋体" w:eastAsia="宋体" w:hint="default"/>
          <w:sz w:val="15"/>
          <w:szCs w:val="15"/>
        </w:rPr>
      </w:pPr>
    </w:p>
    <w:p>
      <w:pPr>
        <w:pStyle w:val="BodyText"/>
        <w:spacing w:line="240" w:lineRule="auto" w:before="36"/>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849" w:val="left" w:leader="none"/>
        </w:tabs>
        <w:spacing w:line="240" w:lineRule="auto" w:before="57"/>
        <w:ind w:right="2731"/>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left="218" w:right="2731"/>
        <w:jc w:val="left"/>
      </w:pPr>
      <w:r>
        <w:rPr/>
        <w:t>□适用</w:t>
      </w:r>
      <w:r>
        <w:rPr>
          <w:spacing w:val="-1"/>
        </w:rPr>
        <w:t> </w:t>
      </w:r>
      <w:r>
        <w:rPr/>
        <w:t>√不适用</w:t>
      </w:r>
    </w:p>
    <w:p>
      <w:pPr>
        <w:pStyle w:val="Heading2"/>
        <w:tabs>
          <w:tab w:pos="849" w:val="left" w:leader="none"/>
        </w:tabs>
        <w:spacing w:line="240" w:lineRule="auto" w:before="56"/>
        <w:ind w:right="2731"/>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72" w:lineRule="exact" w:before="86"/>
        <w:ind w:left="218" w:right="4408"/>
        <w:jc w:val="left"/>
      </w:pPr>
      <w:r>
        <w:rPr/>
        <w:t>□适用</w:t>
      </w:r>
      <w:r>
        <w:rPr>
          <w:spacing w:val="-2"/>
        </w:rPr>
        <w:t> </w:t>
      </w:r>
      <w:r>
        <w:rPr/>
        <w:t>√不适用</w:t>
      </w:r>
      <w:r>
        <w:rPr>
          <w:w w:val="100"/>
        </w:rPr>
        <w:t> </w:t>
      </w:r>
      <w:r>
        <w:rPr>
          <w:spacing w:val="-2"/>
        </w:rPr>
        <w:t>其中重要的已逾期未偿还的短期借款情况如下：</w:t>
      </w:r>
    </w:p>
    <w:p>
      <w:pPr>
        <w:pStyle w:val="BodyText"/>
        <w:spacing w:line="272" w:lineRule="exact" w:before="1"/>
        <w:ind w:left="218" w:right="7474"/>
        <w:jc w:val="left"/>
      </w:pPr>
      <w:r>
        <w:rPr/>
        <w:t>□适用</w:t>
      </w:r>
      <w:r>
        <w:rPr>
          <w:spacing w:val="-1"/>
        </w:rPr>
        <w:t> </w:t>
      </w:r>
      <w:r>
        <w:rPr/>
        <w:t>√不适用</w:t>
      </w:r>
      <w:r>
        <w:rPr>
          <w:w w:val="100"/>
        </w:rPr>
        <w:t> </w:t>
      </w:r>
      <w:r>
        <w:rPr/>
        <w:t>其他说明</w:t>
      </w:r>
    </w:p>
    <w:p>
      <w:pPr>
        <w:pStyle w:val="BodyText"/>
        <w:spacing w:line="249"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left="218" w:right="273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731"/>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122,861,897.26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146,209,248.74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14,778,714.85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12,514,573.21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26,327,230.27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21,181,871.48</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3,333,770.73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519,969.16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1,430,761.76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1,604,336.79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7,998,727.87</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168,905,949.90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189,855,152.22</w:t>
            </w:r>
          </w:p>
        </w:tc>
      </w:tr>
    </w:tbl>
    <w:p>
      <w:pPr>
        <w:spacing w:line="240" w:lineRule="auto" w:before="2"/>
        <w:rPr>
          <w:rFonts w:ascii="宋体" w:hAnsi="宋体" w:cs="宋体" w:eastAsia="宋体" w:hint="default"/>
          <w:sz w:val="20"/>
          <w:szCs w:val="20"/>
        </w:rPr>
      </w:pPr>
    </w:p>
    <w:p>
      <w:pPr>
        <w:pStyle w:val="Heading2"/>
        <w:spacing w:line="240" w:lineRule="auto" w:before="36"/>
        <w:ind w:right="2731"/>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7474"/>
        <w:jc w:val="left"/>
      </w:pPr>
      <w:r>
        <w:rPr/>
        <w:t>□适用</w:t>
      </w:r>
      <w:r>
        <w:rPr>
          <w:spacing w:val="-1"/>
        </w:rPr>
        <w:t> </w:t>
      </w:r>
      <w:r>
        <w:rPr/>
        <w:t>√不适用</w:t>
      </w:r>
      <w:r>
        <w:rPr>
          <w:w w:val="100"/>
        </w:rPr>
        <w:t> </w:t>
      </w:r>
      <w:r>
        <w:rPr/>
        <w:t>其他说明</w:t>
      </w:r>
    </w:p>
    <w:p>
      <w:pPr>
        <w:pStyle w:val="BodyText"/>
        <w:spacing w:line="272" w:lineRule="exact"/>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广告及宣传服务费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148,172,023.42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86,500,230.04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238,179,176.55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106,248,680.69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25,262,882.08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19,934,361.76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9,124,802.57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5,997,490.92</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196,534.00</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689,679.25</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421,428,563.87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218,877,297.41</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left="218" w:right="2731"/>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9" w:lineRule="exact"/>
        <w:ind w:left="218" w:right="2731"/>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7"/>
          <w:pgSz w:w="11910" w:h="16840"/>
          <w:pgMar w:footer="1195" w:header="882" w:top="1120" w:bottom="1380" w:left="1580" w:right="1000"/>
        </w:sectPr>
      </w:pPr>
    </w:p>
    <w:p>
      <w:pPr>
        <w:pStyle w:val="Heading2"/>
        <w:spacing w:line="290" w:lineRule="auto" w:before="36"/>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00"/>
          <w:cols w:num="2" w:equalWidth="0">
            <w:col w:w="2544" w:space="3978"/>
            <w:col w:w="280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416"/>
        <w:gridCol w:w="1563"/>
        <w:gridCol w:w="1558"/>
        <w:gridCol w:w="1426"/>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20,981,862.95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518,753,678.27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521,670,090.38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18,065,450.84</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1,446,468.70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59,030,535.15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59,133,920.15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1,343,083.70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22,432,331.65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577,784,213.42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580,808,010.53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19,408,534.54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00"/>
        </w:sectPr>
      </w:pPr>
    </w:p>
    <w:p>
      <w:pPr>
        <w:pStyle w:val="Heading2"/>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9"/>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00"/>
          <w:cols w:num="2" w:equalWidth="0">
            <w:col w:w="2122" w:space="4506"/>
            <w:col w:w="270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416"/>
        <w:gridCol w:w="1560"/>
        <w:gridCol w:w="1558"/>
        <w:gridCol w:w="1476"/>
      </w:tblGrid>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13,368,912.05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443,975,971.01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441,854,847.51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15,490,035.55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1,980,508.81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1,957,188.81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23,320.00</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707,549.31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32,721,357.42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32,790,805.88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638,100.85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638,711.45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29,354,232.27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29,418,663.14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574,280.58</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22,775.58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1,139,167.62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1,139,286.00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22,657.20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46,062.28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2,227,957.53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2,232,856.74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41,163.07</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1,586,016.37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34,413,437.69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34,464,946.45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1,534,507.61</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5,308,673.32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5,527,680.47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10,469,180.12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367,173.67</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10,711.90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134,722.87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133,121.61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12,313.16</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20,981,862.95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518,753,678.27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521,670,090.38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18,065,450.84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00"/>
        </w:sectPr>
      </w:pPr>
    </w:p>
    <w:p>
      <w:pPr>
        <w:pStyle w:val="Heading2"/>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00"/>
          <w:cols w:num="2" w:equalWidth="0">
            <w:col w:w="2333" w:space="4189"/>
            <w:col w:w="28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87"/>
        <w:gridCol w:w="1418"/>
        <w:gridCol w:w="1560"/>
        <w:gridCol w:w="1558"/>
        <w:gridCol w:w="1426"/>
      </w:tblGrid>
      <w:tr>
        <w:trPr>
          <w:trHeight w:val="288"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418"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1,266,247.65</w:t>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56,807,289.01</w:t>
            </w:r>
          </w:p>
        </w:tc>
        <w:tc>
          <w:tcPr>
            <w:tcW w:w="155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56,903,503.67</w:t>
            </w:r>
          </w:p>
        </w:tc>
        <w:tc>
          <w:tcPr>
            <w:tcW w:w="1426"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1,170,032.99</w:t>
            </w:r>
          </w:p>
        </w:tc>
      </w:tr>
      <w:tr>
        <w:trPr>
          <w:trHeight w:val="28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180,221.05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2,223,246.14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2,230,416.48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173,050.71</w:t>
            </w:r>
          </w:p>
        </w:tc>
      </w:tr>
      <w:tr>
        <w:trPr>
          <w:trHeight w:val="289"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1,446,468.70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59,030,535.15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59,133,920.15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1,343,083.70</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其他说明：</w:t>
      </w:r>
    </w:p>
    <w:p>
      <w:pPr>
        <w:pStyle w:val="BodyText"/>
        <w:spacing w:line="240" w:lineRule="auto"/>
        <w:ind w:left="638" w:right="0" w:hanging="420"/>
        <w:jc w:val="left"/>
      </w:pPr>
      <w:r>
        <w:rPr/>
        <w:t>√适用</w:t>
      </w:r>
      <w:r>
        <w:rPr>
          <w:spacing w:val="-2"/>
        </w:rPr>
        <w:t> </w:t>
      </w:r>
      <w:r>
        <w:rPr/>
        <w:t>□不适用</w:t>
      </w:r>
      <w:r>
        <w:rPr>
          <w:w w:val="100"/>
        </w:rPr>
        <w:t> </w:t>
      </w:r>
      <w:r>
        <w:rPr>
          <w:spacing w:val="-2"/>
        </w:rPr>
        <w:t>本公司按规定参加由政府机构设立的养老保险、失业保险计划，根据该等计划，本公司分别</w:t>
      </w:r>
    </w:p>
    <w:p>
      <w:pPr>
        <w:pStyle w:val="BodyText"/>
        <w:spacing w:line="355" w:lineRule="auto" w:before="133"/>
        <w:ind w:left="218" w:right="0"/>
        <w:jc w:val="left"/>
      </w:pPr>
      <w:r>
        <w:rPr>
          <w:spacing w:val="-2"/>
        </w:rPr>
        <w:t>按各地员工所在地的法定社保基数和比例每月向该等计划缴存费用。除上述每月缴存费用外，本</w:t>
      </w:r>
      <w:r>
        <w:rPr>
          <w:spacing w:val="-25"/>
        </w:rPr>
        <w:t> </w:t>
      </w:r>
      <w:r>
        <w:rPr>
          <w:spacing w:val="-25"/>
        </w:rPr>
      </w:r>
      <w:r>
        <w:rPr/>
        <w:t>公司不再承担进一步支付义务。相应的支出于发生时计入当期损益或相关资产的成本。</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00"/>
        </w:sectPr>
      </w:pPr>
    </w:p>
    <w:p>
      <w:pPr>
        <w:pStyle w:val="Heading2"/>
        <w:spacing w:line="240" w:lineRule="auto" w:before="36"/>
        <w:ind w:right="96"/>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00"/>
          <w:cols w:num="2" w:equalWidth="0">
            <w:col w:w="1795" w:space="4726"/>
            <w:col w:w="2809"/>
          </w:cols>
        </w:sectPr>
      </w:pPr>
    </w:p>
    <w:p>
      <w:pPr>
        <w:spacing w:line="240" w:lineRule="auto" w:before="5"/>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8" w:right="0"/>
              <w:jc w:val="left"/>
              <w:rPr>
                <w:rFonts w:ascii="宋体" w:hAnsi="宋体" w:cs="宋体" w:eastAsia="宋体" w:hint="default"/>
                <w:sz w:val="21"/>
                <w:szCs w:val="21"/>
              </w:rPr>
            </w:pPr>
            <w:r>
              <w:rPr>
                <w:rFonts w:ascii="宋体"/>
                <w:sz w:val="21"/>
              </w:rPr>
              <w:t>10,695,073.01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3" w:right="0"/>
              <w:jc w:val="left"/>
              <w:rPr>
                <w:rFonts w:ascii="宋体" w:hAnsi="宋体" w:cs="宋体" w:eastAsia="宋体" w:hint="default"/>
                <w:sz w:val="21"/>
                <w:szCs w:val="21"/>
              </w:rPr>
            </w:pPr>
            <w:r>
              <w:rPr>
                <w:rFonts w:ascii="宋体"/>
                <w:sz w:val="21"/>
              </w:rPr>
              <w:t>8,168,464.86</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5,709,066.90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28,453,717.86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3,049,406.19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2,819,538.39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2,411,919.79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1,702,253.94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798,457.74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876,394.99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611,371.57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812,979.04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270,470.77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359,230.75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182,264.09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239,299.42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1,424.28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1,771.90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23,729,454.34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43,433,651.15</w:t>
            </w:r>
          </w:p>
        </w:tc>
      </w:tr>
    </w:tbl>
    <w:p>
      <w:pPr>
        <w:spacing w:line="240" w:lineRule="auto" w:before="7"/>
        <w:rPr>
          <w:rFonts w:ascii="宋体" w:hAnsi="宋体" w:cs="宋体" w:eastAsia="宋体" w:hint="default"/>
          <w:sz w:val="15"/>
          <w:szCs w:val="15"/>
        </w:rPr>
      </w:pPr>
    </w:p>
    <w:p>
      <w:pPr>
        <w:pStyle w:val="BodyText"/>
        <w:spacing w:line="272" w:lineRule="exact" w:before="64"/>
        <w:ind w:left="218" w:right="7998"/>
        <w:jc w:val="left"/>
      </w:pPr>
      <w:r>
        <w:rPr/>
        <w:t>其他说明：</w:t>
      </w:r>
      <w:r>
        <w:rPr>
          <w:spacing w:val="-102"/>
        </w:rPr>
        <w:t> </w:t>
      </w:r>
      <w:r>
        <w:rPr>
          <w:spacing w:val="-102"/>
        </w:rPr>
      </w:r>
      <w:r>
        <w:rPr/>
        <w:t>无</w:t>
      </w:r>
    </w:p>
    <w:p>
      <w:pPr>
        <w:spacing w:line="240" w:lineRule="auto" w:before="5"/>
        <w:rPr>
          <w:rFonts w:ascii="宋体" w:hAnsi="宋体" w:cs="宋体" w:eastAsia="宋体" w:hint="default"/>
          <w:sz w:val="23"/>
          <w:szCs w:val="23"/>
        </w:rPr>
      </w:pPr>
    </w:p>
    <w:p>
      <w:pPr>
        <w:pStyle w:val="Heading2"/>
        <w:spacing w:line="240" w:lineRule="auto"/>
        <w:ind w:right="2731"/>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72" w:lineRule="exact" w:before="86"/>
        <w:ind w:left="218" w:right="4688"/>
        <w:jc w:val="left"/>
      </w:pPr>
      <w:r>
        <w:rPr/>
        <w:t>□适用</w:t>
      </w:r>
      <w:r>
        <w:rPr>
          <w:spacing w:val="-2"/>
        </w:rPr>
        <w:t> </w:t>
      </w:r>
      <w:r>
        <w:rPr/>
        <w:t>√不适用</w:t>
      </w:r>
      <w:r>
        <w:rPr>
          <w:w w:val="100"/>
        </w:rPr>
        <w:t> </w:t>
      </w:r>
      <w:r>
        <w:rPr>
          <w:spacing w:val="-2"/>
        </w:rPr>
        <w:t>重要的已逾期未支付的利息情况：</w:t>
      </w:r>
    </w:p>
    <w:p>
      <w:pPr>
        <w:pStyle w:val="BodyText"/>
        <w:spacing w:line="249" w:lineRule="exact"/>
        <w:ind w:left="218" w:right="2731"/>
        <w:jc w:val="left"/>
      </w:pPr>
      <w:r>
        <w:rPr/>
        <w:t>□适用</w:t>
      </w:r>
      <w:r>
        <w:rPr>
          <w:spacing w:val="-1"/>
        </w:rPr>
        <w:t> </w:t>
      </w:r>
      <w:r>
        <w:rPr/>
        <w:t>√不适用</w:t>
      </w:r>
    </w:p>
    <w:p>
      <w:pPr>
        <w:pStyle w:val="BodyText"/>
        <w:spacing w:line="240" w:lineRule="auto" w:before="56"/>
        <w:ind w:left="218" w:right="2731"/>
        <w:jc w:val="left"/>
      </w:pPr>
      <w:r>
        <w:rPr/>
        <w:t>其他说明：</w:t>
      </w:r>
    </w:p>
    <w:p>
      <w:pPr>
        <w:pStyle w:val="BodyText"/>
        <w:spacing w:line="240" w:lineRule="auto" w:before="58"/>
        <w:ind w:left="218" w:right="2731"/>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731"/>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8"/>
          <w:pgSz w:w="11910" w:h="16840"/>
          <w:pgMar w:footer="1195" w:header="882" w:top="1120" w:bottom="1380" w:left="1580" w:right="1040"/>
          <w:pgNumType w:start="131"/>
        </w:sectPr>
      </w:pPr>
    </w:p>
    <w:p>
      <w:pPr>
        <w:pStyle w:val="Heading2"/>
        <w:spacing w:line="240" w:lineRule="auto" w:before="36"/>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22,765,284.66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18,092,414.80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1,235,218.10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1,074,259.36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431,807.54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531,132.48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343,284.77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392,384.77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218,881.10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245,565.56</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6,521,059.92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会员充值</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8,897,734.38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782,088.70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2,642,813.77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3,012,726.13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27,637,289.94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39,549,366.10</w:t>
            </w:r>
          </w:p>
        </w:tc>
      </w:tr>
    </w:tbl>
    <w:p>
      <w:pPr>
        <w:spacing w:line="240" w:lineRule="auto" w:before="2"/>
        <w:rPr>
          <w:rFonts w:ascii="宋体" w:hAnsi="宋体" w:cs="宋体" w:eastAsia="宋体" w:hint="default"/>
          <w:sz w:val="20"/>
          <w:szCs w:val="20"/>
        </w:rPr>
      </w:pPr>
    </w:p>
    <w:p>
      <w:pPr>
        <w:pStyle w:val="Heading2"/>
        <w:spacing w:line="240" w:lineRule="auto" w:before="36"/>
        <w:ind w:right="2731"/>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8" w:right="7474"/>
        <w:jc w:val="left"/>
      </w:pPr>
      <w:r>
        <w:rPr/>
        <w:t>□适用</w:t>
      </w:r>
      <w:r>
        <w:rPr>
          <w:spacing w:val="-1"/>
        </w:rPr>
        <w:t> </w:t>
      </w:r>
      <w:r>
        <w:rPr/>
        <w:t>√不适用</w:t>
      </w:r>
      <w:r>
        <w:rPr>
          <w:w w:val="100"/>
        </w:rPr>
        <w:t> </w:t>
      </w:r>
      <w:r>
        <w:rPr/>
        <w:t>其他说明</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left="218" w:right="273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731"/>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9" w:lineRule="exact"/>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未消耗金币递延收益</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3,637,978.97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政府补助递延收益</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2,465,897.21</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6,103,876.18</w:t>
            </w:r>
          </w:p>
        </w:tc>
      </w:tr>
    </w:tbl>
    <w:p>
      <w:pPr>
        <w:spacing w:line="240" w:lineRule="auto" w:before="8"/>
        <w:rPr>
          <w:rFonts w:ascii="宋体" w:hAnsi="宋体" w:cs="宋体" w:eastAsia="宋体" w:hint="default"/>
          <w:sz w:val="15"/>
          <w:szCs w:val="15"/>
        </w:rPr>
      </w:pPr>
    </w:p>
    <w:p>
      <w:pPr>
        <w:pStyle w:val="BodyText"/>
        <w:spacing w:line="273" w:lineRule="exact" w:before="36"/>
        <w:ind w:left="218" w:right="2731"/>
        <w:jc w:val="left"/>
      </w:pPr>
      <w:r>
        <w:rPr/>
        <w:t>短期应付债券的增减变动：</w:t>
      </w:r>
    </w:p>
    <w:p>
      <w:pPr>
        <w:pStyle w:val="BodyText"/>
        <w:spacing w:line="290" w:lineRule="auto"/>
        <w:ind w:left="218" w:right="7474"/>
        <w:jc w:val="left"/>
      </w:pPr>
      <w:r>
        <w:rPr/>
        <w:t>□适用</w:t>
      </w:r>
      <w:r>
        <w:rPr>
          <w:spacing w:val="-1"/>
        </w:rPr>
        <w:t> </w:t>
      </w:r>
      <w:r>
        <w:rPr/>
        <w:t>√不适用</w:t>
      </w:r>
      <w:r>
        <w:rPr>
          <w:w w:val="100"/>
        </w:rPr>
        <w:t> </w:t>
      </w:r>
      <w:r>
        <w:rPr/>
        <w:t>其他说明：</w:t>
      </w:r>
    </w:p>
    <w:p>
      <w:pPr>
        <w:pStyle w:val="BodyText"/>
        <w:spacing w:line="240" w:lineRule="auto" w:before="12"/>
        <w:ind w:left="218" w:right="2731"/>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731"/>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849" w:val="left" w:leader="none"/>
        </w:tabs>
        <w:spacing w:line="240" w:lineRule="auto" w:before="58"/>
        <w:ind w:right="2731"/>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6"/>
        <w:ind w:left="218" w:right="6323"/>
        <w:jc w:val="left"/>
      </w:pPr>
      <w:r>
        <w:rPr/>
        <w:t>□适用</w:t>
      </w:r>
      <w:r>
        <w:rPr>
          <w:spacing w:val="-2"/>
        </w:rPr>
        <w:t> </w:t>
      </w:r>
      <w:r>
        <w:rPr/>
        <w:t>√不适用</w:t>
      </w:r>
      <w:r>
        <w:rPr>
          <w:w w:val="100"/>
        </w:rPr>
        <w:t> </w:t>
      </w:r>
      <w:r>
        <w:rPr>
          <w:spacing w:val="-2"/>
        </w:rPr>
        <w:t>其他说明，包括利率区间：</w:t>
      </w:r>
    </w:p>
    <w:p>
      <w:pPr>
        <w:pStyle w:val="BodyText"/>
        <w:spacing w:line="271"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89" w:val="left" w:leader="none"/>
        </w:tabs>
        <w:spacing w:line="290" w:lineRule="auto"/>
        <w:ind w:right="75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left="218" w:right="2731"/>
        <w:jc w:val="left"/>
      </w:pPr>
      <w:r>
        <w:rPr/>
        <w:t>□适用</w:t>
      </w:r>
      <w:r>
        <w:rPr>
          <w:spacing w:val="-1"/>
        </w:rPr>
        <w:t> </w:t>
      </w:r>
      <w:r>
        <w:rPr/>
        <w:t>√不适用</w:t>
      </w:r>
    </w:p>
    <w:p>
      <w:pPr>
        <w:pStyle w:val="Heading2"/>
        <w:tabs>
          <w:tab w:pos="889" w:val="left" w:leader="none"/>
        </w:tabs>
        <w:spacing w:line="240" w:lineRule="auto" w:before="58"/>
        <w:ind w:right="227"/>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left="218" w:right="2731"/>
        <w:jc w:val="left"/>
      </w:pPr>
      <w:r>
        <w:rPr/>
        <w:t>□适用</w:t>
      </w:r>
      <w:r>
        <w:rPr>
          <w:spacing w:val="-1"/>
        </w:rPr>
        <w:t> </w:t>
      </w:r>
      <w:r>
        <w:rPr/>
        <w:t>√不适用</w:t>
      </w:r>
    </w:p>
    <w:p>
      <w:pPr>
        <w:pStyle w:val="Heading2"/>
        <w:tabs>
          <w:tab w:pos="889" w:val="left" w:leader="none"/>
        </w:tabs>
        <w:spacing w:line="240" w:lineRule="auto" w:before="58"/>
        <w:ind w:right="2731"/>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tabs>
          <w:tab w:pos="889" w:val="left" w:leader="none"/>
        </w:tabs>
        <w:spacing w:line="290" w:lineRule="auto" w:before="58"/>
        <w:ind w:left="218" w:right="38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left="218" w:right="2731"/>
        <w:jc w:val="left"/>
      </w:pPr>
      <w:r>
        <w:rPr/>
        <w:t>□适用</w:t>
      </w:r>
      <w:r>
        <w:rPr>
          <w:spacing w:val="-1"/>
        </w:rPr>
        <w:t> </w:t>
      </w:r>
      <w:r>
        <w:rPr/>
        <w:t>√不适用</w:t>
      </w:r>
    </w:p>
    <w:p>
      <w:pPr>
        <w:pStyle w:val="BodyText"/>
        <w:spacing w:line="271" w:lineRule="exact"/>
        <w:ind w:left="218" w:right="2731"/>
        <w:jc w:val="left"/>
      </w:pPr>
      <w:r>
        <w:rPr/>
        <w:t>期末发行在外的优先股、永续债等金融工具变动情况表</w:t>
      </w:r>
    </w:p>
    <w:p>
      <w:pPr>
        <w:pStyle w:val="BodyText"/>
        <w:spacing w:line="290" w:lineRule="auto"/>
        <w:ind w:left="218" w:right="4688"/>
        <w:jc w:val="left"/>
      </w:pPr>
      <w:r>
        <w:rPr/>
        <w:t>□适用</w:t>
      </w:r>
      <w:r>
        <w:rPr>
          <w:spacing w:val="-2"/>
        </w:rPr>
        <w:t> </w:t>
      </w:r>
      <w:r>
        <w:rPr/>
        <w:t>√不适用</w:t>
      </w:r>
      <w:r>
        <w:rPr>
          <w:w w:val="100"/>
        </w:rPr>
        <w:t> </w:t>
      </w:r>
      <w:r>
        <w:rPr>
          <w:spacing w:val="-2"/>
        </w:rPr>
        <w:t>其他金融工具划分为金融负债的依据说明</w:t>
      </w:r>
    </w:p>
    <w:p>
      <w:pPr>
        <w:pStyle w:val="BodyText"/>
        <w:spacing w:line="290" w:lineRule="auto" w:before="12"/>
        <w:ind w:left="218" w:right="7474"/>
        <w:jc w:val="left"/>
      </w:pPr>
      <w:r>
        <w:rPr/>
        <w:t>□适用</w:t>
      </w:r>
      <w:r>
        <w:rPr>
          <w:spacing w:val="-1"/>
        </w:rPr>
        <w:t> </w:t>
      </w:r>
      <w:r>
        <w:rPr/>
        <w:t>√不适用</w:t>
      </w:r>
      <w:r>
        <w:rPr>
          <w:w w:val="100"/>
        </w:rPr>
        <w:t> </w:t>
      </w:r>
      <w:r>
        <w:rPr/>
        <w:t>其他说明：</w:t>
      </w:r>
    </w:p>
    <w:p>
      <w:pPr>
        <w:pStyle w:val="BodyText"/>
        <w:spacing w:line="240" w:lineRule="auto" w:before="12"/>
        <w:ind w:left="218" w:right="2731"/>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731"/>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2"/>
        <w:spacing w:line="273" w:lineRule="exact" w:before="58"/>
        <w:ind w:right="2731"/>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3" w:lineRule="exact"/>
        <w:ind w:left="218" w:right="2731"/>
        <w:jc w:val="left"/>
      </w:pPr>
      <w:r>
        <w:rPr/>
        <w:t>□适用</w:t>
      </w:r>
      <w:r>
        <w:rPr>
          <w:spacing w:val="-1"/>
        </w:rPr>
        <w:t> </w:t>
      </w:r>
      <w:r>
        <w:rPr/>
        <w:t>√不适用</w:t>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2543"/>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right="2543"/>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9"/>
          <w:footerReference w:type="default" r:id="rId80"/>
          <w:pgSz w:w="16840" w:h="11910" w:orient="landscape"/>
          <w:pgMar w:header="882" w:footer="1195" w:top="1120" w:bottom="1380" w:left="800" w:right="700"/>
          <w:pgNumType w:start="134"/>
        </w:sectPr>
      </w:pPr>
    </w:p>
    <w:p>
      <w:pPr>
        <w:spacing w:line="240" w:lineRule="auto" w:before="4"/>
        <w:rPr>
          <w:rFonts w:ascii="宋体" w:hAnsi="宋体" w:cs="宋体" w:eastAsia="宋体" w:hint="default"/>
          <w:sz w:val="14"/>
          <w:szCs w:val="14"/>
        </w:rPr>
      </w:pPr>
    </w:p>
    <w:p>
      <w:pPr>
        <w:spacing w:line="290" w:lineRule="auto" w:before="0"/>
        <w:ind w:left="724"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566" w:val="left" w:leader="none"/>
        </w:tabs>
        <w:spacing w:line="227" w:lineRule="exact"/>
        <w:ind w:left="724"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775" w:val="left" w:leader="none"/>
        </w:tabs>
        <w:spacing w:line="240" w:lineRule="auto"/>
        <w:ind w:left="724" w:right="0"/>
        <w:jc w:val="left"/>
      </w:pPr>
      <w:r>
        <w:rPr>
          <w:spacing w:val="-1"/>
        </w:rPr>
        <w:t>单位：元</w:t>
        <w:tab/>
        <w:t>币种：人民币</w:t>
      </w:r>
    </w:p>
    <w:p>
      <w:pPr>
        <w:spacing w:after="0" w:line="240" w:lineRule="auto"/>
        <w:jc w:val="left"/>
        <w:sectPr>
          <w:type w:val="continuous"/>
          <w:pgSz w:w="16840" w:h="11910" w:orient="landscape"/>
          <w:pgMar w:top="1120" w:bottom="1380" w:left="800" w:right="700"/>
          <w:cols w:num="2" w:equalWidth="0">
            <w:col w:w="2407" w:space="9155"/>
            <w:col w:w="3778"/>
          </w:cols>
        </w:sectPr>
      </w:pPr>
    </w:p>
    <w:p>
      <w:pPr>
        <w:spacing w:line="240" w:lineRule="auto" w:before="4"/>
        <w:rPr>
          <w:rFonts w:ascii="宋体" w:hAnsi="宋体" w:cs="宋体" w:eastAsia="宋体" w:hint="default"/>
          <w:sz w:val="2"/>
          <w:szCs w:val="2"/>
        </w:rPr>
      </w:pPr>
    </w:p>
    <w:tbl>
      <w:tblPr>
        <w:tblW w:w="0" w:type="auto"/>
        <w:jc w:val="left"/>
        <w:tblInd w:w="688" w:type="dxa"/>
        <w:tblLayout w:type="fixed"/>
        <w:tblCellMar>
          <w:top w:w="0" w:type="dxa"/>
          <w:left w:w="0" w:type="dxa"/>
          <w:bottom w:w="0" w:type="dxa"/>
          <w:right w:w="0" w:type="dxa"/>
        </w:tblCellMar>
        <w:tblLook w:val="01E0"/>
      </w:tblPr>
      <w:tblGrid>
        <w:gridCol w:w="2355"/>
        <w:gridCol w:w="2259"/>
        <w:gridCol w:w="2283"/>
        <w:gridCol w:w="2256"/>
        <w:gridCol w:w="2329"/>
        <w:gridCol w:w="2456"/>
      </w:tblGrid>
      <w:tr>
        <w:trPr>
          <w:trHeight w:val="34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59"/>
              <w:jc w:val="right"/>
              <w:rPr>
                <w:rFonts w:ascii="宋体" w:hAnsi="宋体" w:cs="宋体" w:eastAsia="宋体" w:hint="default"/>
                <w:sz w:val="21"/>
                <w:szCs w:val="21"/>
              </w:rPr>
            </w:pPr>
            <w:r>
              <w:rPr>
                <w:rFonts w:ascii="宋体" w:hAnsi="宋体" w:cs="宋体" w:eastAsia="宋体" w:hint="default"/>
                <w:sz w:val="21"/>
                <w:szCs w:val="21"/>
              </w:rPr>
              <w:t>项目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3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03"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35,466,163.09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9,425,897.21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11,788,051.92</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33,104,008.38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项目拨款</w:t>
            </w:r>
          </w:p>
        </w:tc>
      </w:tr>
      <w:tr>
        <w:trPr>
          <w:trHeight w:val="28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35,466,163.09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9,425,897.21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11,788,051.92</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33,104,008.38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800" w:right="700"/>
        </w:sectPr>
      </w:pPr>
    </w:p>
    <w:p>
      <w:pPr>
        <w:pStyle w:val="BodyText"/>
        <w:spacing w:line="240" w:lineRule="auto" w:before="36"/>
        <w:ind w:left="724" w:right="0"/>
        <w:jc w:val="left"/>
      </w:pPr>
      <w:r>
        <w:rPr>
          <w:spacing w:val="-2"/>
        </w:rPr>
        <w:t>涉及政府补助的项目：</w:t>
      </w:r>
    </w:p>
    <w:p>
      <w:pPr>
        <w:pStyle w:val="BodyText"/>
        <w:spacing w:line="240" w:lineRule="auto" w:before="56"/>
        <w:ind w:left="7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75" w:val="left" w:leader="none"/>
        </w:tabs>
        <w:spacing w:line="240" w:lineRule="auto" w:before="177"/>
        <w:ind w:left="724" w:right="0"/>
        <w:jc w:val="left"/>
      </w:pPr>
      <w:r>
        <w:rPr>
          <w:spacing w:val="-1"/>
        </w:rPr>
        <w:t>单位：元</w:t>
        <w:tab/>
        <w:t>币种：人民币</w:t>
      </w:r>
    </w:p>
    <w:p>
      <w:pPr>
        <w:spacing w:after="0" w:line="240" w:lineRule="auto"/>
        <w:jc w:val="left"/>
        <w:sectPr>
          <w:type w:val="continuous"/>
          <w:pgSz w:w="16840" w:h="11910" w:orient="landscape"/>
          <w:pgMar w:top="1120" w:bottom="1380" w:left="800" w:right="700"/>
          <w:cols w:num="2" w:equalWidth="0">
            <w:col w:w="2827" w:space="8736"/>
            <w:col w:w="3777"/>
          </w:cols>
        </w:sectPr>
      </w:pP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6947"/>
        <w:gridCol w:w="1560"/>
        <w:gridCol w:w="1416"/>
        <w:gridCol w:w="1426"/>
        <w:gridCol w:w="569"/>
        <w:gridCol w:w="569"/>
        <w:gridCol w:w="1436"/>
        <w:gridCol w:w="1190"/>
      </w:tblGrid>
      <w:tr>
        <w:trPr>
          <w:trHeight w:val="164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4" w:right="67"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0" w:right="72" w:hanging="212"/>
              <w:jc w:val="left"/>
              <w:rPr>
                <w:rFonts w:ascii="宋体" w:hAnsi="宋体" w:cs="宋体" w:eastAsia="宋体" w:hint="default"/>
                <w:sz w:val="21"/>
                <w:szCs w:val="21"/>
              </w:rPr>
            </w:pPr>
            <w:r>
              <w:rPr>
                <w:rFonts w:ascii="宋体" w:hAnsi="宋体" w:cs="宋体" w:eastAsia="宋体" w:hint="default"/>
                <w:sz w:val="21"/>
                <w:szCs w:val="21"/>
              </w:rPr>
              <w:t>本期计入其他</w:t>
            </w:r>
            <w:r>
              <w:rPr>
                <w:rFonts w:ascii="宋体" w:hAnsi="宋体" w:cs="宋体" w:eastAsia="宋体" w:hint="default"/>
                <w:w w:val="100"/>
                <w:sz w:val="21"/>
                <w:szCs w:val="21"/>
              </w:rPr>
              <w:t> </w:t>
            </w:r>
            <w:r>
              <w:rPr>
                <w:rFonts w:ascii="宋体" w:hAnsi="宋体" w:cs="宋体" w:eastAsia="宋体" w:hint="default"/>
                <w:sz w:val="21"/>
                <w:szCs w:val="21"/>
              </w:rPr>
              <w:t>收益金额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69" w:right="65"/>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 w:right="65"/>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64"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6"/>
              <w:ind w:left="484" w:right="113"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面向“互联网+”的未来媒体传播力大数据智能分析与评估平台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2,420,000.00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1,751,026.00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668,974.00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全媒体优化新闻传播链建设项目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面向“互联网+”的未来媒体传播计算北京市工程实验室创新能力建设项目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7,231,026.00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206,379.44</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7,024,646.56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人民网福建频道采编网络系统升级改造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1,066,666.76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399,999.96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666,666.80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ipv6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13,428,590.56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1,811,154.41</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11,617,436.15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全媒体传播效果评估与指标体系</w:t>
            </w:r>
            <w:r>
              <w:rPr>
                <w:rFonts w:ascii="宋体" w:hAnsi="宋体" w:cs="宋体" w:eastAsia="宋体" w:hint="default"/>
                <w:sz w:val="21"/>
                <w:szCs w:val="21"/>
              </w:rPr>
              <w:t>-</w:t>
            </w:r>
            <w:r>
              <w:rPr>
                <w:rFonts w:ascii="宋体" w:hAnsi="宋体" w:cs="宋体" w:eastAsia="宋体" w:hint="default"/>
                <w:sz w:val="21"/>
                <w:szCs w:val="21"/>
              </w:rPr>
              <w:t>全媒体传播分析平台</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1,733,075.00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371,230.77</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1,361,844.23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大数据环境下的人民在线网络舆情监测系统研发及推广项目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732,822.21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184,032.52</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548,789.69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中共河北省委宣传部支持人民网河北频道演播室装修款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63,866.68</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896,133.32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年度文化产业发展专项资金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华文新媒体技术支撑与内容共享大数据平台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3,949,516.66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3,949,516.66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海外舆情数据服务平台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6,470,363.11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2,850,845.48</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3,619,517.63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高新技术产业发展资金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800" w:right="700"/>
        </w:sectPr>
      </w:pP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6947"/>
        <w:gridCol w:w="1560"/>
        <w:gridCol w:w="1416"/>
        <w:gridCol w:w="1426"/>
        <w:gridCol w:w="569"/>
        <w:gridCol w:w="569"/>
        <w:gridCol w:w="1436"/>
        <w:gridCol w:w="1190"/>
      </w:tblGrid>
      <w:tr>
        <w:trPr>
          <w:trHeight w:val="290"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35,466,163.09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9,425,897.21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11,788,051.92</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sz w:val="21"/>
              </w:rPr>
              <w:t>33,104,008.38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left="724" w:right="0"/>
        <w:jc w:val="left"/>
      </w:pPr>
      <w:r>
        <w:rPr/>
        <w:t>其他说明：</w:t>
      </w:r>
    </w:p>
    <w:p>
      <w:pPr>
        <w:pStyle w:val="BodyText"/>
        <w:spacing w:line="240" w:lineRule="auto" w:before="58"/>
        <w:ind w:left="724" w:right="0"/>
        <w:jc w:val="left"/>
      </w:pPr>
      <w:r>
        <w:rPr/>
        <w:t>□适用 √不适用</w:t>
      </w:r>
    </w:p>
    <w:p>
      <w:pPr>
        <w:spacing w:after="0" w:line="240" w:lineRule="auto"/>
        <w:jc w:val="left"/>
        <w:sectPr>
          <w:pgSz w:w="16840" w:h="11910" w:orient="landscape"/>
          <w:pgMar w:header="882" w:footer="1195" w:top="1120" w:bottom="1380" w:left="8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398" w:right="443"/>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left="398" w:right="44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81"/>
          <w:footerReference w:type="default" r:id="rId82"/>
          <w:pgSz w:w="11910" w:h="16840"/>
          <w:pgMar w:header="882" w:footer="0" w:top="1120" w:bottom="280" w:left="1400" w:right="1040"/>
        </w:sectPr>
      </w:pPr>
    </w:p>
    <w:p>
      <w:pPr>
        <w:pStyle w:val="Heading2"/>
        <w:spacing w:line="240" w:lineRule="auto" w:before="36"/>
        <w:ind w:left="398"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1975" w:space="4546"/>
            <w:col w:w="2949"/>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47"/>
        <w:gridCol w:w="1897"/>
        <w:gridCol w:w="811"/>
        <w:gridCol w:w="816"/>
        <w:gridCol w:w="886"/>
        <w:gridCol w:w="900"/>
        <w:gridCol w:w="871"/>
        <w:gridCol w:w="1897"/>
      </w:tblGrid>
      <w:tr>
        <w:trPr>
          <w:trHeight w:val="281" w:hRule="exact"/>
        </w:trPr>
        <w:tc>
          <w:tcPr>
            <w:tcW w:w="1147" w:type="dxa"/>
            <w:vMerge w:val="restart"/>
            <w:tcBorders>
              <w:top w:val="single" w:sz="4" w:space="0" w:color="000000"/>
              <w:left w:val="single" w:sz="4" w:space="0" w:color="000000"/>
              <w:right w:val="single" w:sz="4" w:space="0" w:color="000000"/>
            </w:tcBorders>
          </w:tcPr>
          <w:p>
            <w:pP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147"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vMerge/>
            <w:tcBorders>
              <w:left w:val="single" w:sz="4" w:space="0" w:color="000000"/>
              <w:bottom w:val="single" w:sz="4" w:space="0" w:color="000000"/>
              <w:right w:val="single" w:sz="4" w:space="0" w:color="000000"/>
            </w:tcBorders>
          </w:tcPr>
          <w:p>
            <w:pPr/>
          </w:p>
        </w:tc>
      </w:tr>
      <w:tr>
        <w:trPr>
          <w:trHeight w:val="281"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1,105,691,056.00</w:t>
            </w:r>
          </w:p>
        </w:tc>
        <w:tc>
          <w:tcPr>
            <w:tcW w:w="811"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1,105,691,056.00</w:t>
            </w:r>
          </w:p>
        </w:tc>
      </w:tr>
    </w:tbl>
    <w:p>
      <w:pPr>
        <w:spacing w:line="240" w:lineRule="auto" w:before="2"/>
        <w:rPr>
          <w:rFonts w:ascii="宋体" w:hAnsi="宋体" w:cs="宋体" w:eastAsia="宋体" w:hint="default"/>
          <w:sz w:val="20"/>
          <w:szCs w:val="20"/>
        </w:rPr>
      </w:pPr>
    </w:p>
    <w:p>
      <w:pPr>
        <w:pStyle w:val="BodyText"/>
        <w:spacing w:line="290" w:lineRule="auto" w:before="36"/>
        <w:ind w:left="398"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2"/>
        <w:spacing w:line="240" w:lineRule="auto"/>
        <w:ind w:left="398" w:right="443"/>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2"/>
        <w:spacing w:line="240" w:lineRule="auto" w:before="58"/>
        <w:ind w:left="398" w:right="443"/>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left="398" w:right="443"/>
        <w:jc w:val="left"/>
      </w:pPr>
      <w:r>
        <w:rPr/>
        <w:t>□适用</w:t>
      </w:r>
      <w:r>
        <w:rPr>
          <w:spacing w:val="-1"/>
        </w:rPr>
        <w:t> </w:t>
      </w:r>
      <w:r>
        <w:rPr/>
        <w:t>√不适用</w:t>
      </w:r>
    </w:p>
    <w:p>
      <w:pPr>
        <w:pStyle w:val="Heading2"/>
        <w:spacing w:line="240" w:lineRule="auto" w:before="58"/>
        <w:ind w:left="398" w:right="443"/>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6"/>
        <w:ind w:left="398" w:right="443"/>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74" w:lineRule="exact" w:before="23"/>
        <w:ind w:left="398" w:right="7474"/>
        <w:jc w:val="left"/>
        <w:rPr>
          <w:rFonts w:ascii="宋体" w:hAnsi="宋体" w:cs="宋体" w:eastAsia="宋体" w:hint="default"/>
        </w:rPr>
      </w:pPr>
      <w:r>
        <w:rPr/>
        <w:t>□适用</w:t>
      </w:r>
      <w:r>
        <w:rPr>
          <w:spacing w:val="-1"/>
        </w:rPr>
        <w:t> </w:t>
      </w:r>
      <w:r>
        <w:rPr/>
        <w:t>√不适用</w:t>
      </w:r>
      <w:r>
        <w:rPr>
          <w:w w:val="100"/>
        </w:rPr>
        <w:t> </w:t>
      </w:r>
      <w:r>
        <w:rPr/>
        <w:t>其他说明</w:t>
      </w:r>
      <w:r>
        <w:rPr>
          <w:rFonts w:ascii="宋体" w:hAnsi="宋体" w:cs="宋体" w:eastAsia="宋体" w:hint="default"/>
        </w:rPr>
        <w:t>:</w:t>
      </w:r>
    </w:p>
    <w:p>
      <w:pPr>
        <w:pStyle w:val="BodyText"/>
        <w:spacing w:line="246" w:lineRule="exact"/>
        <w:ind w:left="398" w:right="44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400" w:right="1040"/>
        </w:sectPr>
      </w:pPr>
    </w:p>
    <w:p>
      <w:pPr>
        <w:pStyle w:val="Heading2"/>
        <w:spacing w:line="240" w:lineRule="auto" w:before="36"/>
        <w:ind w:left="39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1975" w:space="4546"/>
            <w:col w:w="2949"/>
          </w:cols>
        </w:sectPr>
      </w:pPr>
    </w:p>
    <w:p>
      <w:pPr>
        <w:spacing w:line="240" w:lineRule="auto" w:before="4"/>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2300"/>
        <w:gridCol w:w="1843"/>
        <w:gridCol w:w="1419"/>
        <w:gridCol w:w="1529"/>
        <w:gridCol w:w="1805"/>
      </w:tblGrid>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738,952,235.16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738,952,235.16</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6,052,915.21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6,052,915.21</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745,005,150.37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745,005,150.37</w:t>
            </w:r>
          </w:p>
        </w:tc>
      </w:tr>
    </w:tbl>
    <w:p>
      <w:pPr>
        <w:spacing w:line="240" w:lineRule="auto" w:before="8"/>
        <w:rPr>
          <w:rFonts w:ascii="宋体" w:hAnsi="宋体" w:cs="宋体" w:eastAsia="宋体" w:hint="default"/>
          <w:sz w:val="15"/>
          <w:szCs w:val="15"/>
        </w:rPr>
      </w:pPr>
    </w:p>
    <w:p>
      <w:pPr>
        <w:pStyle w:val="BodyText"/>
        <w:spacing w:line="272" w:lineRule="exact" w:before="64"/>
        <w:ind w:left="398" w:right="4094"/>
        <w:jc w:val="left"/>
      </w:pPr>
      <w:r>
        <w:rPr>
          <w:spacing w:val="-2"/>
        </w:rPr>
        <w:t>其他说明，包括本期增减变动情况、变动原因说明：</w:t>
      </w:r>
      <w:r>
        <w:rPr>
          <w:spacing w:val="-62"/>
        </w:rPr>
        <w:t> </w:t>
      </w:r>
      <w:r>
        <w:rPr>
          <w:spacing w:val="-62"/>
        </w:rPr>
      </w:r>
      <w:r>
        <w:rPr/>
        <w:t>无</w:t>
      </w:r>
    </w:p>
    <w:p>
      <w:pPr>
        <w:spacing w:line="240" w:lineRule="auto" w:before="4"/>
        <w:rPr>
          <w:rFonts w:ascii="宋体" w:hAnsi="宋体" w:cs="宋体" w:eastAsia="宋体" w:hint="default"/>
          <w:sz w:val="23"/>
          <w:szCs w:val="23"/>
        </w:rPr>
      </w:pPr>
    </w:p>
    <w:p>
      <w:pPr>
        <w:pStyle w:val="Heading2"/>
        <w:spacing w:line="240" w:lineRule="auto"/>
        <w:ind w:left="398" w:right="443"/>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398" w:right="4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4446" w:right="4286" w:firstLine="0"/>
        <w:jc w:val="center"/>
        <w:rPr>
          <w:rFonts w:ascii="Calibri" w:hAnsi="Calibri" w:cs="Calibri" w:eastAsia="Calibri" w:hint="default"/>
          <w:sz w:val="18"/>
          <w:szCs w:val="18"/>
        </w:rPr>
      </w:pPr>
      <w:r>
        <w:rPr>
          <w:rFonts w:ascii="Calibri"/>
          <w:b/>
          <w:sz w:val="18"/>
        </w:rPr>
        <w:t>136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400" w:right="1040"/>
        </w:sectPr>
      </w:pPr>
    </w:p>
    <w:p>
      <w:pPr>
        <w:spacing w:before="20"/>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3"/>
          <w:footerReference w:type="default" r:id="rId84"/>
          <w:pgSz w:w="16840" w:h="11910" w:orient="landscape"/>
          <w:pgMar w:header="0" w:footer="0" w:top="800" w:bottom="280" w:left="1380" w:right="1320"/>
        </w:sectPr>
      </w:pPr>
    </w:p>
    <w:p>
      <w:pPr>
        <w:spacing w:line="240" w:lineRule="auto" w:before="11"/>
        <w:rPr>
          <w:rFonts w:ascii="宋体" w:hAnsi="宋体" w:cs="宋体" w:eastAsia="宋体" w:hint="default"/>
          <w:sz w:val="13"/>
          <w:szCs w:val="13"/>
        </w:rPr>
      </w:pPr>
    </w:p>
    <w:p>
      <w:pPr>
        <w:pStyle w:val="Heading2"/>
        <w:spacing w:line="240" w:lineRule="auto"/>
        <w:ind w:left="144" w:right="-19"/>
        <w:jc w:val="left"/>
        <w:rPr>
          <w:b w:val="0"/>
          <w:bCs w:val="0"/>
        </w:rPr>
      </w:pPr>
      <w:r>
        <w:rPr>
          <w:rFonts w:ascii="宋体" w:hAnsi="宋体" w:cs="宋体" w:eastAsia="宋体" w:hint="default"/>
        </w:rPr>
        <w:t>57</w:t>
      </w:r>
      <w:r>
        <w:rPr/>
        <w:t>、</w:t>
      </w:r>
      <w:r>
        <w:rPr>
          <w:spacing w:val="-23"/>
        </w:rPr>
        <w:t> </w:t>
      </w:r>
      <w:r>
        <w:rPr/>
        <w:t>其他综合收益</w:t>
      </w:r>
      <w:r>
        <w:rPr>
          <w:b w:val="0"/>
          <w:bCs w:val="0"/>
        </w:rPr>
      </w:r>
    </w:p>
    <w:p>
      <w:pPr>
        <w:pStyle w:val="BodyText"/>
        <w:spacing w:line="240" w:lineRule="auto" w:before="58"/>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320"/>
          <w:cols w:num="2" w:equalWidth="0">
            <w:col w:w="1916" w:space="9647"/>
            <w:col w:w="257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60"/>
        <w:gridCol w:w="1582"/>
        <w:gridCol w:w="1582"/>
        <w:gridCol w:w="1798"/>
        <w:gridCol w:w="1519"/>
        <w:gridCol w:w="1683"/>
        <w:gridCol w:w="1615"/>
        <w:gridCol w:w="1582"/>
      </w:tblGrid>
      <w:tr>
        <w:trPr>
          <w:trHeight w:val="281" w:hRule="exact"/>
        </w:trPr>
        <w:tc>
          <w:tcPr>
            <w:tcW w:w="2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78" w:right="56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76" w:right="57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8" w:hRule="exact"/>
        </w:trPr>
        <w:tc>
          <w:tcPr>
            <w:tcW w:w="246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151"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6"/>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1"/>
                <w:w w:val="100"/>
                <w:sz w:val="21"/>
                <w:szCs w:val="21"/>
              </w:rPr>
              <w:t>：</w:t>
            </w:r>
            <w:r>
              <w:rPr>
                <w:rFonts w:ascii="宋体" w:hAnsi="宋体" w:cs="宋体" w:eastAsia="宋体" w:hint="default"/>
                <w:w w:val="100"/>
                <w:sz w:val="21"/>
                <w:szCs w:val="21"/>
              </w:rPr>
              <w:t>前</w:t>
            </w:r>
            <w:r>
              <w:rPr>
                <w:rFonts w:ascii="宋体" w:hAnsi="宋体" w:cs="宋体" w:eastAsia="宋体" w:hint="default"/>
                <w:spacing w:val="-3"/>
                <w:w w:val="100"/>
                <w:sz w:val="21"/>
                <w:szCs w:val="21"/>
              </w:rPr>
              <w:t>期</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其他</w:t>
            </w:r>
          </w:p>
          <w:p>
            <w:pPr>
              <w:pStyle w:val="TableParagraph"/>
              <w:spacing w:line="272" w:lineRule="exact" w:before="27"/>
              <w:ind w:left="578" w:right="154" w:hanging="420"/>
              <w:jc w:val="left"/>
              <w:rPr>
                <w:rFonts w:ascii="宋体" w:hAnsi="宋体" w:cs="宋体" w:eastAsia="宋体" w:hint="default"/>
                <w:sz w:val="21"/>
                <w:szCs w:val="21"/>
              </w:rPr>
            </w:pPr>
            <w:r>
              <w:rPr>
                <w:rFonts w:ascii="宋体" w:hAnsi="宋体" w:cs="宋体" w:eastAsia="宋体" w:hint="default"/>
                <w:sz w:val="21"/>
                <w:szCs w:val="21"/>
              </w:rPr>
              <w:t>综合收益当期转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8" w:right="120" w:hanging="524"/>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202"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165"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p>
        </w:tc>
        <w:tc>
          <w:tcPr>
            <w:tcW w:w="1582" w:type="dxa"/>
            <w:vMerge/>
            <w:tcBorders>
              <w:left w:val="single" w:sz="4" w:space="0" w:color="000000"/>
              <w:bottom w:val="single" w:sz="4" w:space="0" w:color="000000"/>
              <w:right w:val="single" w:sz="4" w:space="0" w:color="000000"/>
            </w:tcBorders>
          </w:tcPr>
          <w:p>
            <w:pP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一、以后不能重分类进损</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其中：重新计算设定受益</w:t>
            </w:r>
          </w:p>
          <w:p>
            <w:pPr>
              <w:pStyle w:val="TableParagraph"/>
              <w:spacing w:line="272" w:lineRule="exact" w:before="27"/>
              <w:ind w:left="105" w:right="240"/>
              <w:jc w:val="left"/>
              <w:rPr>
                <w:rFonts w:ascii="宋体" w:hAnsi="宋体" w:cs="宋体" w:eastAsia="宋体" w:hint="default"/>
                <w:sz w:val="21"/>
                <w:szCs w:val="21"/>
              </w:rPr>
            </w:pPr>
            <w:r>
              <w:rPr>
                <w:rFonts w:ascii="宋体" w:hAnsi="宋体" w:cs="宋体" w:eastAsia="宋体" w:hint="default"/>
                <w:spacing w:val="-2"/>
                <w:sz w:val="21"/>
                <w:szCs w:val="21"/>
              </w:rPr>
              <w:t>计划净负债和净资产的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变动</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firstLine="211"/>
              <w:jc w:val="left"/>
              <w:rPr>
                <w:rFonts w:ascii="宋体" w:hAnsi="宋体" w:cs="宋体" w:eastAsia="宋体" w:hint="default"/>
                <w:sz w:val="21"/>
                <w:szCs w:val="21"/>
              </w:rPr>
            </w:pPr>
            <w:r>
              <w:rPr>
                <w:rFonts w:ascii="宋体" w:hAnsi="宋体" w:cs="宋体" w:eastAsia="宋体" w:hint="default"/>
                <w:sz w:val="21"/>
                <w:szCs w:val="21"/>
              </w:rPr>
              <w:t>权益法下在被投资单</w:t>
            </w:r>
          </w:p>
          <w:p>
            <w:pPr>
              <w:pStyle w:val="TableParagraph"/>
              <w:spacing w:line="237" w:lineRule="auto"/>
              <w:ind w:left="105" w:right="240"/>
              <w:jc w:val="both"/>
              <w:rPr>
                <w:rFonts w:ascii="宋体" w:hAnsi="宋体" w:cs="宋体" w:eastAsia="宋体" w:hint="default"/>
                <w:sz w:val="21"/>
                <w:szCs w:val="21"/>
              </w:rPr>
            </w:pPr>
            <w:r>
              <w:rPr>
                <w:rFonts w:ascii="宋体" w:hAnsi="宋体" w:cs="宋体" w:eastAsia="宋体" w:hint="default"/>
                <w:spacing w:val="-2"/>
                <w:sz w:val="21"/>
                <w:szCs w:val="21"/>
              </w:rPr>
              <w:t>位不能重分类进损益的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其他综合收益中享有的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份额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二、以后将重分类进损益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9,960,987.78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11,299,541.73</w:t>
            </w: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11,279,595.33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19,946.40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21,240,583.11</w:t>
            </w:r>
          </w:p>
        </w:tc>
      </w:tr>
      <w:tr>
        <w:trPr>
          <w:trHeight w:val="1099"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pacing w:val="-8"/>
                <w:sz w:val="21"/>
                <w:szCs w:val="21"/>
              </w:rPr>
              <w:t>其中：权益法下在被投资</w:t>
            </w:r>
          </w:p>
          <w:p>
            <w:pPr>
              <w:pStyle w:val="TableParagraph"/>
              <w:spacing w:line="237" w:lineRule="auto"/>
              <w:ind w:left="105" w:right="240"/>
              <w:jc w:val="both"/>
              <w:rPr>
                <w:rFonts w:ascii="宋体" w:hAnsi="宋体" w:cs="宋体" w:eastAsia="宋体" w:hint="default"/>
                <w:sz w:val="21"/>
                <w:szCs w:val="21"/>
              </w:rPr>
            </w:pPr>
            <w:r>
              <w:rPr>
                <w:rFonts w:ascii="宋体" w:hAnsi="宋体" w:cs="宋体" w:eastAsia="宋体" w:hint="default"/>
                <w:spacing w:val="-2"/>
                <w:sz w:val="21"/>
                <w:szCs w:val="21"/>
              </w:rPr>
              <w:t>单位以后将重分类进损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益的其他综合收益中享</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有的份额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7"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11,520,000.00</w:t>
            </w: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11,520,000.00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26,370,000.00</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外币财务报表折算差</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-4,889,012.22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-220,458.27</w:t>
            </w: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-240,404.67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19,946.40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-5,129,416.89</w:t>
            </w:r>
          </w:p>
        </w:tc>
      </w:tr>
      <w:tr>
        <w:trPr>
          <w:trHeight w:val="28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9,960,987.78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11,299,541.73</w:t>
            </w: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11,279,595.33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19,946.40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21,240,583.11</w:t>
            </w:r>
          </w:p>
        </w:tc>
      </w:tr>
    </w:tbl>
    <w:p>
      <w:pPr>
        <w:spacing w:line="240" w:lineRule="auto" w:before="12"/>
        <w:rPr>
          <w:rFonts w:ascii="宋体" w:hAnsi="宋体" w:cs="宋体" w:eastAsia="宋体" w:hint="default"/>
          <w:sz w:val="19"/>
          <w:szCs w:val="19"/>
        </w:rPr>
      </w:pPr>
    </w:p>
    <w:p>
      <w:pPr>
        <w:pStyle w:val="BodyText"/>
        <w:spacing w:line="290" w:lineRule="auto" w:before="36"/>
        <w:ind w:left="144" w:right="6108"/>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0"/>
        <w:rPr>
          <w:rFonts w:ascii="宋体" w:hAnsi="宋体" w:cs="宋体" w:eastAsia="宋体" w:hint="default"/>
          <w:sz w:val="25"/>
          <w:szCs w:val="25"/>
        </w:rPr>
      </w:pPr>
    </w:p>
    <w:p>
      <w:pPr>
        <w:spacing w:before="63"/>
        <w:ind w:left="6397" w:right="6376" w:firstLine="0"/>
        <w:jc w:val="center"/>
        <w:rPr>
          <w:rFonts w:ascii="Calibri" w:hAnsi="Calibri" w:cs="Calibri" w:eastAsia="Calibri" w:hint="default"/>
          <w:sz w:val="18"/>
          <w:szCs w:val="18"/>
        </w:rPr>
      </w:pPr>
      <w:r>
        <w:rPr>
          <w:rFonts w:ascii="Calibri"/>
          <w:b/>
          <w:sz w:val="18"/>
        </w:rPr>
        <w:t>137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2"/>
        <w:spacing w:line="240" w:lineRule="auto"/>
        <w:ind w:left="138" w:right="2543"/>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right="2543"/>
        <w:jc w:val="left"/>
      </w:pPr>
      <w:r>
        <w:rPr/>
        <w:t>□适用</w:t>
      </w:r>
      <w:r>
        <w:rPr>
          <w:spacing w:val="-1"/>
        </w:rPr>
        <w:t> </w:t>
      </w:r>
      <w:r>
        <w:rPr/>
        <w:t>√不适用</w:t>
      </w:r>
    </w:p>
    <w:p>
      <w:pPr>
        <w:spacing w:after="0" w:line="240" w:lineRule="auto"/>
        <w:jc w:val="left"/>
        <w:sectPr>
          <w:footerReference w:type="default" r:id="rId85"/>
          <w:pgSz w:w="11910" w:h="16840"/>
          <w:pgMar w:footer="1195" w:header="0" w:top="1120" w:bottom="1380" w:left="1660" w:right="1140"/>
          <w:pgNumType w:start="13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040"/>
        </w:sectPr>
      </w:pPr>
    </w:p>
    <w:p>
      <w:pPr>
        <w:pStyle w:val="Heading2"/>
        <w:spacing w:line="240" w:lineRule="auto" w:before="175"/>
        <w:ind w:left="1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1715" w:space="4806"/>
            <w:col w:w="26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145,170,857.97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11,081,456.35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156,252,314.32</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145,170,857.97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11,081,456.35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156,252,314.32</w:t>
            </w:r>
          </w:p>
        </w:tc>
      </w:tr>
    </w:tbl>
    <w:p>
      <w:pPr>
        <w:spacing w:line="240" w:lineRule="auto" w:before="2"/>
        <w:rPr>
          <w:rFonts w:ascii="宋体" w:hAnsi="宋体" w:cs="宋体" w:eastAsia="宋体" w:hint="default"/>
          <w:sz w:val="20"/>
          <w:szCs w:val="20"/>
        </w:rPr>
      </w:pPr>
    </w:p>
    <w:p>
      <w:pPr>
        <w:pStyle w:val="BodyText"/>
        <w:spacing w:line="290" w:lineRule="auto" w:before="36"/>
        <w:ind w:left="558" w:right="290" w:hanging="420"/>
        <w:jc w:val="left"/>
      </w:pPr>
      <w:r>
        <w:rPr/>
        <w:t>盈余公积说明，包括本期增减变动情况、变动原因说明：</w:t>
      </w:r>
      <w:r>
        <w:rPr>
          <w:w w:val="100"/>
        </w:rPr>
        <w:t> </w:t>
      </w:r>
      <w:r>
        <w:rPr>
          <w:spacing w:val="-2"/>
        </w:rPr>
        <w:t>注：根据公司法、章程的规定，本公司按净利润的</w:t>
      </w:r>
      <w:r>
        <w:rPr>
          <w:spacing w:val="20"/>
        </w:rPr>
        <w:t> </w:t>
      </w:r>
      <w:r>
        <w:rPr>
          <w:rFonts w:ascii="宋体" w:hAnsi="宋体" w:cs="宋体" w:eastAsia="宋体" w:hint="default"/>
          <w:spacing w:val="-2"/>
        </w:rPr>
        <w:t>10%</w:t>
      </w:r>
      <w:r>
        <w:rPr>
          <w:spacing w:val="-2"/>
        </w:rPr>
        <w:t>提取法定盈余公积金。法定盈余公积</w:t>
      </w:r>
    </w:p>
    <w:p>
      <w:pPr>
        <w:pStyle w:val="BodyText"/>
        <w:spacing w:line="357" w:lineRule="auto" w:before="91"/>
        <w:ind w:left="558" w:right="0" w:hanging="420"/>
        <w:jc w:val="left"/>
      </w:pPr>
      <w:r>
        <w:rPr/>
        <w:t>累计额为本公司注册资本</w:t>
      </w:r>
      <w:r>
        <w:rPr>
          <w:spacing w:val="-56"/>
        </w:rPr>
        <w:t> </w:t>
      </w:r>
      <w:r>
        <w:rPr>
          <w:rFonts w:ascii="宋体" w:hAnsi="宋体" w:cs="宋体" w:eastAsia="宋体" w:hint="default"/>
        </w:rPr>
        <w:t>50%</w:t>
      </w:r>
      <w:r>
        <w:rPr/>
        <w:t>以上的，可不再提取。</w:t>
      </w:r>
      <w:r>
        <w:rPr>
          <w:w w:val="100"/>
        </w:rPr>
        <w:t> </w:t>
      </w:r>
      <w:r>
        <w:rPr>
          <w:spacing w:val="-2"/>
        </w:rPr>
        <w:t>本公司在提取法定盈余公积金后，可提取任意盈余公积金。经批准，任意盈余公积金可用于</w:t>
      </w:r>
    </w:p>
    <w:p>
      <w:pPr>
        <w:pStyle w:val="BodyText"/>
        <w:spacing w:line="240" w:lineRule="auto" w:before="30"/>
        <w:ind w:right="290"/>
        <w:jc w:val="left"/>
      </w:pPr>
      <w:r>
        <w:rPr/>
        <w:t>弥补以前年度亏损或增加股本。</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040"/>
        </w:sectPr>
      </w:pPr>
    </w:p>
    <w:p>
      <w:pPr>
        <w:spacing w:line="240" w:lineRule="auto" w:before="9"/>
        <w:rPr>
          <w:rFonts w:ascii="宋体" w:hAnsi="宋体" w:cs="宋体" w:eastAsia="宋体" w:hint="default"/>
          <w:sz w:val="15"/>
          <w:szCs w:val="15"/>
        </w:rPr>
      </w:pPr>
    </w:p>
    <w:p>
      <w:pPr>
        <w:pStyle w:val="Heading2"/>
        <w:spacing w:line="240" w:lineRule="auto"/>
        <w:ind w:left="138" w:right="-1"/>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1715" w:space="4806"/>
            <w:col w:w="26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43"/>
        <w:gridCol w:w="2410"/>
        <w:gridCol w:w="2343"/>
      </w:tblGrid>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728,122,463.21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722,985,440.45</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调整期初未分配利润合计数（调增</w:t>
            </w:r>
            <w:r>
              <w:rPr>
                <w:rFonts w:ascii="宋体" w:hAnsi="宋体" w:cs="宋体" w:eastAsia="宋体" w:hint="default"/>
                <w:spacing w:val="-8"/>
                <w:sz w:val="21"/>
                <w:szCs w:val="21"/>
              </w:rPr>
              <w:t>+</w:t>
            </w:r>
            <w:r>
              <w:rPr>
                <w:rFonts w:ascii="宋体" w:hAnsi="宋体" w:cs="宋体" w:eastAsia="宋体" w:hint="default"/>
                <w:spacing w:val="-8"/>
                <w:sz w:val="21"/>
                <w:szCs w:val="21"/>
              </w:rPr>
              <w:t>，调减－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728,122,463.21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722,985,440.45</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89,408,428.42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106,002,915.63</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11,081,456.35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17,939,063.67</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49,756,097.52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82,926,829.20</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所有者减少资本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756,693,337.76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728,122,463.21</w:t>
            </w:r>
          </w:p>
        </w:tc>
      </w:tr>
    </w:tbl>
    <w:p>
      <w:pPr>
        <w:spacing w:line="240" w:lineRule="auto" w:before="2"/>
        <w:rPr>
          <w:rFonts w:ascii="宋体" w:hAnsi="宋体" w:cs="宋体" w:eastAsia="宋体" w:hint="default"/>
          <w:sz w:val="20"/>
          <w:szCs w:val="20"/>
        </w:rPr>
      </w:pPr>
    </w:p>
    <w:p>
      <w:pPr>
        <w:pStyle w:val="BodyText"/>
        <w:spacing w:line="290" w:lineRule="auto" w:before="36"/>
        <w:ind w:right="112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7" w:lineRule="exact"/>
        <w:ind w:right="29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right="29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right="29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4" w:lineRule="exact"/>
        <w:ind w:right="290"/>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040"/>
        </w:sectPr>
      </w:pPr>
    </w:p>
    <w:p>
      <w:pPr>
        <w:pStyle w:val="Heading2"/>
        <w:spacing w:line="240" w:lineRule="auto" w:before="36"/>
        <w:ind w:left="13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2543" w:space="3978"/>
            <w:col w:w="2689"/>
          </w:cols>
        </w:sectPr>
      </w:pP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283"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1,400,225,817.58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913,616,657.81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1,431,792,603.50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823,113,045.13</w:t>
            </w:r>
          </w:p>
        </w:tc>
      </w:tr>
      <w:tr>
        <w:trPr>
          <w:trHeight w:val="28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416,442.19</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1,400,642,259.77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913,616,657.81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1,431,792,603.50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823,113,045.13</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6"/>
          <w:pgSz w:w="11910" w:h="16840"/>
          <w:pgMar w:footer="1195" w:header="0" w:top="1120" w:bottom="1380" w:left="1580" w:right="1040"/>
        </w:sectPr>
      </w:pPr>
    </w:p>
    <w:p>
      <w:pPr>
        <w:pStyle w:val="Heading2"/>
        <w:spacing w:line="240" w:lineRule="auto" w:before="175"/>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293"/>
        <w:gridCol w:w="2835"/>
        <w:gridCol w:w="2835"/>
      </w:tblGrid>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10,808,136.13</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8,464,312.32</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5,394,838.71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5,195,760.19</w:t>
            </w:r>
          </w:p>
        </w:tc>
      </w:tr>
      <w:tr>
        <w:trPr>
          <w:trHeight w:val="286"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3,303,185.88</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3,016,497.89</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1,418,353.51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1,313,097.18</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944,137.29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891,498.38</w:t>
            </w:r>
          </w:p>
        </w:tc>
      </w:tr>
      <w:tr>
        <w:trPr>
          <w:trHeight w:val="286"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896,092.45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783,851.30</w:t>
            </w:r>
          </w:p>
        </w:tc>
      </w:tr>
      <w:tr>
        <w:trPr>
          <w:trHeight w:val="289"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45,322.71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47,594.25</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17,772.89</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94,642.44</w:t>
            </w:r>
          </w:p>
        </w:tc>
      </w:tr>
      <w:tr>
        <w:trPr>
          <w:trHeight w:val="286"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2,852.85</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103,144.80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79,420.16</w:t>
            </w:r>
          </w:p>
        </w:tc>
      </w:tr>
      <w:tr>
        <w:trPr>
          <w:trHeight w:val="288" w:hRule="exact"/>
        </w:trPr>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22,913,271.48</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19,907,299.85</w:t>
            </w:r>
          </w:p>
        </w:tc>
      </w:tr>
    </w:tbl>
    <w:p>
      <w:pPr>
        <w:spacing w:line="240" w:lineRule="auto" w:before="12"/>
        <w:rPr>
          <w:rFonts w:ascii="宋体" w:hAnsi="宋体" w:cs="宋体" w:eastAsia="宋体" w:hint="default"/>
          <w:sz w:val="19"/>
          <w:szCs w:val="19"/>
        </w:rPr>
      </w:pPr>
    </w:p>
    <w:p>
      <w:pPr>
        <w:pStyle w:val="BodyText"/>
        <w:spacing w:line="290" w:lineRule="auto" w:before="36"/>
        <w:ind w:left="218" w:right="3809"/>
        <w:jc w:val="left"/>
      </w:pPr>
      <w:r>
        <w:rPr/>
        <w:t>其他说明：</w:t>
      </w:r>
      <w:r>
        <w:rPr>
          <w:spacing w:val="-102"/>
        </w:rPr>
        <w:t> </w:t>
      </w:r>
      <w:r>
        <w:rPr>
          <w:spacing w:val="-102"/>
        </w:rPr>
      </w:r>
      <w:r>
        <w:rPr>
          <w:spacing w:val="-2"/>
        </w:rPr>
        <w:t>注：各项税金及附加的计缴标准详见附注六、税项。</w:t>
      </w: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2"/>
        <w:spacing w:line="240" w:lineRule="auto" w:before="36"/>
        <w:ind w:right="96"/>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182,360,135.11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168,632,077.16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25,920,441.43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29,303,351.01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22,693,605.95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69,355,806.00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8,029,291.23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1,610,645.74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4,979,268.06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7,237,698.77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4,393,409.91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705,096.66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3,978,316.47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3,796,960.42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2,937,909.60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5,175,407.60</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2,488,435.14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6,574,059.54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200,072.86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5,697,838.24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307,599.26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11,599,733.19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258,288,485.02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309,688,674.33</w:t>
            </w:r>
          </w:p>
        </w:tc>
      </w:tr>
    </w:tbl>
    <w:p>
      <w:pPr>
        <w:spacing w:line="240" w:lineRule="auto" w:before="12"/>
        <w:rPr>
          <w:rFonts w:ascii="宋体" w:hAnsi="宋体" w:cs="宋体" w:eastAsia="宋体" w:hint="default"/>
          <w:sz w:val="19"/>
          <w:szCs w:val="19"/>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96"/>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845"/>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116,558,165.15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sz w:val="21"/>
              </w:rPr>
              <w:t>116,827,510.96</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845"/>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24,179,074.40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27,229,124.94</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11,883,965.44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13,998,347.97</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9,376,010.47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10,294,667.90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7,741,111.48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10,468,542.30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3,835,085.86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4,081,625.38</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3,381,169.66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3,423,129.01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2,442,263.41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7,068,129.29</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544,674.78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3,670,918.43</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239,080.19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1,017,615.51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9,397,790.70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9,788,941.52</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189,578,391.54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207,868,553.21</w:t>
            </w:r>
          </w:p>
        </w:tc>
      </w:tr>
    </w:tbl>
    <w:p>
      <w:pPr>
        <w:spacing w:line="240" w:lineRule="auto" w:before="5"/>
        <w:rPr>
          <w:rFonts w:ascii="宋体" w:hAnsi="宋体" w:cs="宋体" w:eastAsia="宋体" w:hint="default"/>
          <w:sz w:val="15"/>
          <w:szCs w:val="15"/>
        </w:rPr>
      </w:pPr>
    </w:p>
    <w:p>
      <w:pPr>
        <w:pStyle w:val="BodyText"/>
        <w:spacing w:line="240" w:lineRule="auto" w:before="36"/>
        <w:ind w:left="218"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7"/>
          <w:pgSz w:w="11910" w:h="16840"/>
          <w:pgMar w:footer="1195" w:header="0" w:top="1120" w:bottom="1380" w:left="1580" w:right="1040"/>
          <w:pgNumType w:start="141"/>
        </w:sectPr>
      </w:pPr>
    </w:p>
    <w:p>
      <w:pPr>
        <w:pStyle w:val="Heading2"/>
        <w:spacing w:line="240" w:lineRule="auto" w:before="36"/>
        <w:ind w:right="96"/>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-2,423,046.79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-2,464,930.55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332,512.71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429,453.17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1,216,115.71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-1,783,906.56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-874,418.37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-3,819,383.94</w:t>
            </w:r>
          </w:p>
        </w:tc>
      </w:tr>
    </w:tbl>
    <w:p>
      <w:pPr>
        <w:spacing w:line="240" w:lineRule="auto" w:before="7"/>
        <w:rPr>
          <w:rFonts w:ascii="宋体" w:hAnsi="宋体" w:cs="宋体" w:eastAsia="宋体" w:hint="default"/>
          <w:sz w:val="15"/>
          <w:szCs w:val="15"/>
        </w:rPr>
      </w:pPr>
    </w:p>
    <w:p>
      <w:pPr>
        <w:pStyle w:val="BodyText"/>
        <w:spacing w:line="272" w:lineRule="exact" w:before="64"/>
        <w:ind w:left="218"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06"/>
        <w:gridCol w:w="284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6,689,542.35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11,878,293.92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411,397.28</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914,093.13</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72,932,387.93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6,689,542.35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86,136,172.26</w:t>
            </w:r>
          </w:p>
        </w:tc>
      </w:tr>
    </w:tbl>
    <w:p>
      <w:pPr>
        <w:spacing w:line="240" w:lineRule="auto" w:before="12"/>
        <w:rPr>
          <w:rFonts w:ascii="宋体" w:hAnsi="宋体" w:cs="宋体" w:eastAsia="宋体" w:hint="default"/>
          <w:sz w:val="19"/>
          <w:szCs w:val="19"/>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2"/>
        <w:spacing w:line="240" w:lineRule="auto"/>
        <w:ind w:right="2731"/>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96"/>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7"/>
        <w:gridCol w:w="1844"/>
        <w:gridCol w:w="1709"/>
      </w:tblGrid>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497"/>
        <w:gridCol w:w="1844"/>
        <w:gridCol w:w="1709"/>
      </w:tblGrid>
      <w:tr>
        <w:trPr>
          <w:trHeight w:val="28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20,146,195.67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9,116,335.76</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9,072,808.08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134,935,395.03</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59,111,203.07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37,692,820.28</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452,657.53</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1,373,060.03</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28,063,091.62</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629,416.19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88,959,623.01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211,633,360.25</w:t>
            </w:r>
          </w:p>
        </w:tc>
      </w:tr>
    </w:tbl>
    <w:p>
      <w:pPr>
        <w:spacing w:line="240" w:lineRule="auto" w:before="11"/>
        <w:rPr>
          <w:rFonts w:ascii="宋体" w:hAnsi="宋体" w:cs="宋体" w:eastAsia="宋体" w:hint="default"/>
          <w:sz w:val="25"/>
          <w:szCs w:val="25"/>
        </w:rPr>
      </w:pPr>
    </w:p>
    <w:p>
      <w:pPr>
        <w:pStyle w:val="BodyText"/>
        <w:spacing w:line="240" w:lineRule="auto" w:before="36"/>
        <w:ind w:left="218" w:right="2731"/>
        <w:jc w:val="left"/>
      </w:pPr>
      <w:r>
        <w:rPr/>
        <w:t>其他说明：</w:t>
      </w:r>
    </w:p>
    <w:p>
      <w:pPr>
        <w:pStyle w:val="BodyText"/>
        <w:spacing w:line="240" w:lineRule="auto" w:before="68"/>
        <w:ind w:left="638" w:right="227"/>
        <w:jc w:val="left"/>
      </w:pPr>
      <w:r>
        <w:rPr>
          <w:spacing w:val="-7"/>
        </w:rPr>
        <w:t>注：其他为浙江东阳天沐影业股份有限公司归还《学生兵》拍摄投资款本息确认的投资收益。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9"/>
        <w:rPr>
          <w:rFonts w:ascii="宋体" w:hAnsi="宋体" w:cs="宋体" w:eastAsia="宋体" w:hint="default"/>
          <w:sz w:val="15"/>
          <w:szCs w:val="15"/>
        </w:rPr>
      </w:pPr>
    </w:p>
    <w:p>
      <w:pPr>
        <w:spacing w:line="290" w:lineRule="auto" w:before="0"/>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29" w:lineRule="exact"/>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983"/>
        <w:gridCol w:w="1946"/>
        <w:gridCol w:w="2317"/>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68,802.50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11,022.78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68,802.50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68,802.50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11,022.78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68,802.50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176,604.00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176,604.00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15,021,088.29</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17,251,840.08</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969,167.13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1,083,960.92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969,167.13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pacing w:val="-1"/>
                <w:sz w:val="21"/>
              </w:rPr>
              <w:t>1,214,573.63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33,367,912.07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1,214,573.63</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left="218" w:right="0"/>
        <w:jc w:val="left"/>
      </w:pPr>
      <w:r>
        <w:rPr>
          <w:spacing w:val="-2"/>
        </w:rPr>
        <w:t>计入当期损益的政府补助</w:t>
      </w:r>
    </w:p>
    <w:p>
      <w:pPr>
        <w:pStyle w:val="BodyText"/>
        <w:spacing w:line="274"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27"/>
        <w:gridCol w:w="1983"/>
        <w:gridCol w:w="1906"/>
        <w:gridCol w:w="2281"/>
      </w:tblGrid>
      <w:tr>
        <w:trPr>
          <w:trHeight w:val="566"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6"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与资产相关的项目补助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971,408.68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与收益相关的项目补助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14,049,679.61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15,021,088.29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25"/>
          <w:szCs w:val="25"/>
        </w:rPr>
      </w:pPr>
    </w:p>
    <w:p>
      <w:pPr>
        <w:pStyle w:val="BodyText"/>
        <w:spacing w:line="240" w:lineRule="auto" w:before="36"/>
        <w:ind w:left="218" w:right="2731"/>
        <w:jc w:val="left"/>
      </w:pPr>
      <w:r>
        <w:rPr/>
        <w:t>其他说明：</w:t>
      </w:r>
    </w:p>
    <w:p>
      <w:pPr>
        <w:pStyle w:val="BodyText"/>
        <w:spacing w:line="240" w:lineRule="auto" w:before="145"/>
        <w:ind w:left="218" w:right="273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before="175"/>
        <w:ind w:right="-12"/>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60" w:val="left" w:leader="none"/>
        </w:tabs>
        <w:spacing w:line="240" w:lineRule="auto" w:before="56"/>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983"/>
        <w:gridCol w:w="1946"/>
        <w:gridCol w:w="2317"/>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233,615.02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147,631.57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233,615.02</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233,615.02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147,631.57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233,615.02</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352,187.00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352,187.00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351,563.57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136,211.81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351,563.57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937,365.59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576,843.38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937,365.59</w:t>
            </w:r>
          </w:p>
        </w:tc>
      </w:tr>
    </w:tbl>
    <w:p>
      <w:pPr>
        <w:spacing w:line="240" w:lineRule="auto" w:before="13"/>
        <w:rPr>
          <w:rFonts w:ascii="宋体" w:hAnsi="宋体" w:cs="宋体" w:eastAsia="宋体" w:hint="default"/>
          <w:sz w:val="19"/>
          <w:szCs w:val="19"/>
        </w:rPr>
      </w:pPr>
    </w:p>
    <w:p>
      <w:pPr>
        <w:pStyle w:val="BodyText"/>
        <w:spacing w:line="290" w:lineRule="auto" w:before="36"/>
        <w:ind w:left="218" w:right="7998"/>
        <w:jc w:val="left"/>
      </w:pPr>
      <w:r>
        <w:rPr/>
        <w:t>其他说明：</w:t>
      </w:r>
      <w:r>
        <w:rPr>
          <w:spacing w:val="-102"/>
        </w:rPr>
        <w:t> </w:t>
      </w:r>
      <w:r>
        <w:rPr>
          <w:spacing w:val="-102"/>
        </w:rPr>
      </w:r>
      <w:r>
        <w:rPr/>
        <w:t>无</w:t>
      </w:r>
    </w:p>
    <w:p>
      <w:pPr>
        <w:spacing w:after="0" w:line="29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40" w:right="1120"/>
        </w:sectPr>
      </w:pPr>
    </w:p>
    <w:p>
      <w:pPr>
        <w:pStyle w:val="Heading2"/>
        <w:spacing w:line="290" w:lineRule="auto" w:before="175"/>
        <w:ind w:left="158"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left="1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851" w:space="4671"/>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7,808,744.51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31,199,707.04</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-469,820.46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-1,267,240.62</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7,338,924.05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29,932,466.42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40" w:right="1120"/>
        </w:sectPr>
      </w:pPr>
    </w:p>
    <w:p>
      <w:pPr>
        <w:pStyle w:val="Heading2"/>
        <w:spacing w:line="240" w:lineRule="auto" w:before="36"/>
        <w:ind w:left="15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3747" w:space="2774"/>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555"/>
        <w:gridCol w:w="2338"/>
      </w:tblGrid>
      <w:tr>
        <w:trPr>
          <w:trHeight w:val="283"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3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115,005,553.42</w:t>
            </w:r>
          </w:p>
        </w:tc>
      </w:tr>
      <w:tr>
        <w:trPr>
          <w:trHeight w:val="286"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33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33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-2,295,594.34</w:t>
            </w:r>
          </w:p>
        </w:tc>
      </w:tr>
      <w:tr>
        <w:trPr>
          <w:trHeight w:val="288"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33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132,661.72</w:t>
            </w:r>
          </w:p>
        </w:tc>
      </w:tr>
      <w:tr>
        <w:trPr>
          <w:trHeight w:val="286"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33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50,457.15</w:t>
            </w:r>
          </w:p>
        </w:tc>
      </w:tr>
      <w:tr>
        <w:trPr>
          <w:trHeight w:val="288"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3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170,380.40</w:t>
            </w:r>
          </w:p>
        </w:tc>
      </w:tr>
      <w:tr>
        <w:trPr>
          <w:trHeight w:val="288"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3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-241,516.06</w:t>
            </w:r>
          </w:p>
        </w:tc>
      </w:tr>
      <w:tr>
        <w:trPr>
          <w:trHeight w:val="288" w:hRule="exact"/>
        </w:trPr>
        <w:tc>
          <w:tcPr>
            <w:tcW w:w="65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3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9,784,589.87</w:t>
            </w:r>
          </w:p>
        </w:tc>
      </w:tr>
      <w:tr>
        <w:trPr>
          <w:trHeight w:val="288" w:hRule="exact"/>
        </w:trPr>
        <w:tc>
          <w:tcPr>
            <w:tcW w:w="655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w:t>
            </w:r>
            <w:r>
              <w:rPr>
                <w:rFonts w:ascii="宋体" w:hAnsi="宋体" w:cs="宋体" w:eastAsia="宋体" w:hint="default"/>
                <w:sz w:val="21"/>
                <w:szCs w:val="21"/>
              </w:rPr>
              <w:t>/</w:t>
            </w:r>
            <w:r>
              <w:rPr>
                <w:rFonts w:ascii="宋体" w:hAnsi="宋体" w:cs="宋体" w:eastAsia="宋体" w:hint="default"/>
                <w:sz w:val="21"/>
                <w:szCs w:val="21"/>
              </w:rPr>
              <w:t>负债余额的变化</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-262,054.69</w:t>
            </w:r>
          </w:p>
        </w:tc>
      </w:tr>
      <w:tr>
        <w:trPr>
          <w:trHeight w:val="288" w:hRule="exact"/>
        </w:trPr>
        <w:tc>
          <w:tcPr>
            <w:tcW w:w="65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研发费用加计扣除</w:t>
            </w:r>
          </w:p>
        </w:tc>
        <w:tc>
          <w:tcPr>
            <w:tcW w:w="233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655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3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7,338,924.05</w:t>
            </w:r>
          </w:p>
        </w:tc>
      </w:tr>
    </w:tbl>
    <w:p>
      <w:pPr>
        <w:spacing w:line="240" w:lineRule="auto" w:before="2"/>
        <w:rPr>
          <w:rFonts w:ascii="宋体" w:hAnsi="宋体" w:cs="宋体" w:eastAsia="宋体" w:hint="default"/>
          <w:sz w:val="20"/>
          <w:szCs w:val="20"/>
        </w:rPr>
      </w:pPr>
    </w:p>
    <w:p>
      <w:pPr>
        <w:pStyle w:val="BodyText"/>
        <w:spacing w:line="240" w:lineRule="auto" w:before="36"/>
        <w:ind w:left="158" w:right="4315"/>
        <w:jc w:val="left"/>
      </w:pPr>
      <w:r>
        <w:rPr/>
        <w:t>其他说明：</w:t>
      </w:r>
    </w:p>
    <w:p>
      <w:pPr>
        <w:pStyle w:val="BodyText"/>
        <w:spacing w:line="240" w:lineRule="auto" w:before="58"/>
        <w:ind w:left="158" w:right="431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158" w:right="4315"/>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40" w:lineRule="auto" w:before="56"/>
        <w:ind w:left="158" w:right="4315"/>
        <w:jc w:val="left"/>
      </w:pPr>
      <w:r>
        <w:rPr/>
        <w:t>√适用</w:t>
      </w:r>
      <w:r>
        <w:rPr>
          <w:spacing w:val="-2"/>
        </w:rPr>
        <w:t> </w:t>
      </w:r>
      <w:r>
        <w:rPr/>
        <w:t>□不适用</w:t>
      </w:r>
      <w:r>
        <w:rPr>
          <w:w w:val="100"/>
        </w:rPr>
        <w:t> </w:t>
      </w:r>
      <w:r>
        <w:rPr>
          <w:spacing w:val="-2"/>
        </w:rPr>
        <w:t>详见附注七、“其他综合收益”。</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120"/>
        </w:sectPr>
      </w:pPr>
    </w:p>
    <w:p>
      <w:pPr>
        <w:pStyle w:val="Heading2"/>
        <w:spacing w:line="240" w:lineRule="auto" w:before="36"/>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10,392,290.09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25,855,770.53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收单位往来款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12,153,014.92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17,807,512.11</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收到的退款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5,099,578.10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2,360,264.20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4,708,474.55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4,720,719.05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4,608,536.58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2,106,456.56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3,887,468.13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8,403,735.50</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收回备用金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2,774,317.72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1,728,555.67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2,279,393.80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2,975,444.50</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赔款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524,417.40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198,377.31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3,061,643.67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2,685,995.50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49,489,134.96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68,842,830.93</w:t>
            </w:r>
          </w:p>
        </w:tc>
      </w:tr>
    </w:tbl>
    <w:p>
      <w:pPr>
        <w:spacing w:line="240" w:lineRule="auto" w:before="12"/>
        <w:rPr>
          <w:rFonts w:ascii="宋体" w:hAnsi="宋体" w:cs="宋体" w:eastAsia="宋体" w:hint="default"/>
          <w:sz w:val="19"/>
          <w:szCs w:val="19"/>
        </w:rPr>
      </w:pPr>
    </w:p>
    <w:p>
      <w:pPr>
        <w:pStyle w:val="BodyText"/>
        <w:spacing w:line="290" w:lineRule="auto" w:before="36"/>
        <w:ind w:right="5054"/>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660" w:right="1120"/>
        </w:sectPr>
      </w:pPr>
    </w:p>
    <w:p>
      <w:pPr>
        <w:pStyle w:val="Heading2"/>
        <w:tabs>
          <w:tab w:pos="838" w:val="left" w:leader="none"/>
        </w:tabs>
        <w:spacing w:line="240" w:lineRule="auto" w:before="36"/>
        <w:ind w:left="13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98,843,847.02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97,212,815.42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19,593,778.81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26,415,918.21</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17,174,950.45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20,586,231.78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信息及技术服务费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16,450,021.87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15,443,247.02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付单位往来款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16,275,453.45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56,243,951.80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6,459,967.89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8,868,490.27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4,982,113.68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10,986,006.29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制作服务费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3,675,783.19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5,215,941.00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3,135,401.27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4,269,306.69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1,107,113.13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2,166,997.44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18,546,131.66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15,414,021.79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206,244,562.42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262,822,927.71</w:t>
            </w:r>
          </w:p>
        </w:tc>
      </w:tr>
    </w:tbl>
    <w:p>
      <w:pPr>
        <w:spacing w:line="240" w:lineRule="auto" w:before="2"/>
        <w:rPr>
          <w:rFonts w:ascii="宋体" w:hAnsi="宋体" w:cs="宋体" w:eastAsia="宋体" w:hint="default"/>
          <w:sz w:val="20"/>
          <w:szCs w:val="20"/>
        </w:rPr>
      </w:pPr>
    </w:p>
    <w:p>
      <w:pPr>
        <w:pStyle w:val="BodyText"/>
        <w:spacing w:line="290" w:lineRule="auto" w:before="36"/>
        <w:ind w:right="5054"/>
        <w:jc w:val="left"/>
      </w:pPr>
      <w:r>
        <w:rPr>
          <w:spacing w:val="-2"/>
        </w:rPr>
        <w:t>支付的其他与经营活动有关的现金说明：</w:t>
      </w:r>
      <w:r>
        <w:rPr>
          <w:spacing w:val="-69"/>
        </w:rPr>
        <w:t> </w:t>
      </w:r>
      <w:r>
        <w:rPr>
          <w:spacing w:val="-69"/>
        </w:rPr>
      </w:r>
      <w:r>
        <w:rPr/>
        <w:t>无</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660" w:right="1120"/>
        </w:sectPr>
      </w:pPr>
    </w:p>
    <w:p>
      <w:pPr>
        <w:pStyle w:val="Heading2"/>
        <w:tabs>
          <w:tab w:pos="865" w:val="left" w:leader="none"/>
        </w:tabs>
        <w:spacing w:line="240" w:lineRule="auto" w:before="36"/>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6"/>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029" w:space="2598"/>
            <w:col w:w="250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1,493,060.03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1,493,060.03</w:t>
            </w:r>
          </w:p>
        </w:tc>
      </w:tr>
    </w:tbl>
    <w:p>
      <w:pPr>
        <w:spacing w:line="240" w:lineRule="auto" w:before="2"/>
        <w:rPr>
          <w:rFonts w:ascii="宋体" w:hAnsi="宋体" w:cs="宋体" w:eastAsia="宋体" w:hint="default"/>
          <w:sz w:val="20"/>
          <w:szCs w:val="20"/>
        </w:rPr>
      </w:pPr>
    </w:p>
    <w:p>
      <w:pPr>
        <w:pStyle w:val="BodyText"/>
        <w:spacing w:line="290" w:lineRule="auto" w:before="36"/>
        <w:ind w:right="5054"/>
        <w:jc w:val="left"/>
      </w:pPr>
      <w:r>
        <w:rPr>
          <w:spacing w:val="-2"/>
        </w:rPr>
        <w:t>收到的其他与投资活动有关的现金说明：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pStyle w:val="Heading2"/>
        <w:tabs>
          <w:tab w:pos="865" w:val="left" w:leader="none"/>
        </w:tabs>
        <w:spacing w:line="240" w:lineRule="auto" w:before="36"/>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029" w:space="2493"/>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影视制作投资款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7,000,000.00</w:t>
            </w:r>
          </w:p>
        </w:tc>
      </w:tr>
    </w:tbl>
    <w:p>
      <w:pPr>
        <w:spacing w:line="240" w:lineRule="auto" w:before="13"/>
        <w:rPr>
          <w:rFonts w:ascii="宋体" w:hAnsi="宋体" w:cs="宋体" w:eastAsia="宋体" w:hint="default"/>
          <w:sz w:val="19"/>
          <w:szCs w:val="19"/>
        </w:rPr>
      </w:pPr>
    </w:p>
    <w:p>
      <w:pPr>
        <w:pStyle w:val="BodyText"/>
        <w:spacing w:line="290" w:lineRule="auto" w:before="36"/>
        <w:ind w:right="5054"/>
        <w:jc w:val="left"/>
      </w:pPr>
      <w:r>
        <w:rPr>
          <w:spacing w:val="-2"/>
        </w:rPr>
        <w:t>支付的其他与投资活动有关的现金说明：</w:t>
      </w:r>
      <w:r>
        <w:rPr>
          <w:spacing w:val="-69"/>
        </w:rPr>
        <w:t> </w:t>
      </w:r>
      <w:r>
        <w:rPr>
          <w:spacing w:val="-69"/>
        </w:rPr>
      </w:r>
      <w:r>
        <w:rPr/>
        <w:t>无</w:t>
      </w:r>
    </w:p>
    <w:p>
      <w:pPr>
        <w:spacing w:after="0" w:line="29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tabs>
          <w:tab w:pos="1057" w:val="left" w:leader="none"/>
        </w:tabs>
        <w:spacing w:line="240" w:lineRule="auto" w:before="175"/>
        <w:ind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21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股利分配个税</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1,590,512.39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股利分配保证金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3,590,512.39</w:t>
            </w:r>
          </w:p>
        </w:tc>
      </w:tr>
    </w:tbl>
    <w:p>
      <w:pPr>
        <w:spacing w:line="240" w:lineRule="auto" w:before="2"/>
        <w:rPr>
          <w:rFonts w:ascii="宋体" w:hAnsi="宋体" w:cs="宋体" w:eastAsia="宋体" w:hint="default"/>
          <w:sz w:val="20"/>
          <w:szCs w:val="20"/>
        </w:rPr>
      </w:pPr>
    </w:p>
    <w:p>
      <w:pPr>
        <w:pStyle w:val="BodyText"/>
        <w:spacing w:line="290" w:lineRule="auto" w:before="36"/>
        <w:ind w:left="218" w:right="5134"/>
        <w:jc w:val="left"/>
      </w:pPr>
      <w:r>
        <w:rPr>
          <w:spacing w:val="-2"/>
        </w:rPr>
        <w:t>收到的其他与筹资活动有关的现金说明：</w:t>
      </w:r>
      <w:r>
        <w:rPr>
          <w:spacing w:val="-69"/>
        </w:rPr>
        <w:t> </w:t>
      </w:r>
      <w:r>
        <w:rPr>
          <w:spacing w:val="-69"/>
        </w:rPr>
      </w:r>
      <w:r>
        <w:rPr/>
        <w:t>无</w:t>
      </w:r>
    </w:p>
    <w:p>
      <w:pPr>
        <w:spacing w:line="240" w:lineRule="auto" w:before="12"/>
        <w:rPr>
          <w:rFonts w:ascii="宋体" w:hAnsi="宋体" w:cs="宋体" w:eastAsia="宋体" w:hint="default"/>
          <w:sz w:val="21"/>
          <w:szCs w:val="21"/>
        </w:rPr>
      </w:pPr>
    </w:p>
    <w:p>
      <w:pPr>
        <w:pStyle w:val="Heading2"/>
        <w:tabs>
          <w:tab w:pos="1057" w:val="left" w:leader="none"/>
        </w:tabs>
        <w:spacing w:line="240" w:lineRule="auto"/>
        <w:ind w:right="2731"/>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12"/>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1985"/>
        <w:gridCol w:w="1993"/>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85"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93"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85" w:type="dxa"/>
            <w:tcBorders>
              <w:top w:val="single" w:sz="4" w:space="0" w:color="000000"/>
              <w:left w:val="single" w:sz="4" w:space="0" w:color="000000"/>
              <w:bottom w:val="single" w:sz="6" w:space="0" w:color="000000"/>
              <w:right w:val="single" w:sz="6" w:space="0" w:color="000000"/>
            </w:tcBorders>
          </w:tcPr>
          <w:p>
            <w:pPr/>
          </w:p>
        </w:tc>
        <w:tc>
          <w:tcPr>
            <w:tcW w:w="1993"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107,666,629.37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203,391,392.82</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6,689,542.35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86,166,806.50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43,377,441.08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41,867,830.54</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16,697,955.28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18,796,815.40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14,172,499.32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15,165,383.06</w:t>
            </w:r>
          </w:p>
        </w:tc>
      </w:tr>
      <w:tr>
        <w:trPr>
          <w:trHeight w:val="55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-118,050.42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66,313.92</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164,812.52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69,107.23</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28,791.39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-165,130.69</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-88,959,623.01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-211,321,489.02</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-191,141.39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-1,267,240.62</w:t>
            </w:r>
          </w:p>
        </w:tc>
      </w:tr>
      <w:tr>
        <w:trPr>
          <w:trHeight w:val="28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-10,284,325.53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-2,321,797.36</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-15,423,151.87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34,708,125.95</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232,513,882.59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55,024,297.94</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306,335,261.68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240,180,415.67</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526,444,293.21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427,244,538.71</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427,244,538.71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1,251,352,636.22</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2"/>
        <w:gridCol w:w="1985"/>
        <w:gridCol w:w="1993"/>
      </w:tblGrid>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504" w:right="0"/>
              <w:jc w:val="left"/>
              <w:rPr>
                <w:rFonts w:ascii="宋体" w:hAnsi="宋体" w:cs="宋体" w:eastAsia="宋体" w:hint="default"/>
                <w:sz w:val="21"/>
                <w:szCs w:val="21"/>
              </w:rPr>
            </w:pPr>
            <w:r>
              <w:rPr>
                <w:rFonts w:ascii="宋体"/>
                <w:sz w:val="21"/>
              </w:rPr>
              <w:t>99,199,754.50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2" w:right="0"/>
              <w:jc w:val="left"/>
              <w:rPr>
                <w:rFonts w:ascii="宋体" w:hAnsi="宋体" w:cs="宋体" w:eastAsia="宋体" w:hint="default"/>
                <w:sz w:val="21"/>
                <w:szCs w:val="21"/>
              </w:rPr>
            </w:pPr>
            <w:r>
              <w:rPr>
                <w:rFonts w:ascii="宋体"/>
                <w:sz w:val="21"/>
              </w:rPr>
              <w:t>-824,108,097.51</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其中：北京百代文华信息科技有限公司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40,000,000.00</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3,604,000.00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其中：微屏软件科技（上海）有限公司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3,604,000.00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53,604,000.00</w:t>
            </w:r>
          </w:p>
        </w:tc>
      </w:tr>
    </w:tbl>
    <w:p>
      <w:pPr>
        <w:spacing w:line="240" w:lineRule="auto" w:before="5"/>
        <w:rPr>
          <w:rFonts w:ascii="宋体" w:hAnsi="宋体" w:cs="宋体" w:eastAsia="宋体" w:hint="default"/>
          <w:sz w:val="15"/>
          <w:szCs w:val="15"/>
        </w:rPr>
      </w:pPr>
    </w:p>
    <w:p>
      <w:pPr>
        <w:pStyle w:val="BodyText"/>
        <w:spacing w:line="240" w:lineRule="auto" w:before="36"/>
        <w:ind w:left="218" w:right="8103"/>
        <w:jc w:val="left"/>
      </w:pPr>
      <w:r>
        <w:rPr/>
        <w:t>其他说明</w:t>
      </w:r>
      <w:r>
        <w:rPr>
          <w:rFonts w:ascii="宋体" w:hAnsi="宋体" w:cs="宋体" w:eastAsia="宋体" w:hint="default"/>
        </w:rPr>
        <w:t>:</w:t>
      </w:r>
      <w:r>
        <w:rPr>
          <w:rFonts w:ascii="宋体" w:hAnsi="宋体" w:cs="宋体" w:eastAsia="宋体" w:hint="default"/>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68,445,708.72</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其中：网际星辰文化传媒（北京）有限公司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18,440,000.00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人民网江苏省有限公司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5,708.72</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48,804,613.93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其中：网际星辰文化传媒（北京）有限公司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12,993,937.81</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1,975,740.92</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33,834,935.20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19,641,094.79</w:t>
            </w:r>
          </w:p>
        </w:tc>
      </w:tr>
    </w:tbl>
    <w:p>
      <w:pPr>
        <w:spacing w:line="240" w:lineRule="auto" w:before="5"/>
        <w:rPr>
          <w:rFonts w:ascii="宋体" w:hAnsi="宋体" w:cs="宋体" w:eastAsia="宋体" w:hint="default"/>
          <w:sz w:val="15"/>
          <w:szCs w:val="15"/>
        </w:rPr>
      </w:pPr>
    </w:p>
    <w:p>
      <w:pPr>
        <w:pStyle w:val="BodyText"/>
        <w:spacing w:line="240" w:lineRule="auto" w:before="36"/>
        <w:ind w:left="218" w:right="8103"/>
        <w:jc w:val="left"/>
      </w:pPr>
      <w:r>
        <w:rPr/>
        <w:t>其他说明</w:t>
      </w:r>
      <w:r>
        <w:rPr>
          <w:rFonts w:ascii="宋体" w:hAnsi="宋体" w:cs="宋体" w:eastAsia="宋体" w:hint="default"/>
        </w:rPr>
        <w:t>:</w:t>
      </w:r>
      <w:r>
        <w:rPr>
          <w:rFonts w:ascii="宋体" w:hAnsi="宋体" w:cs="宋体" w:eastAsia="宋体" w:hint="default"/>
          <w:w w:val="100"/>
        </w:rPr>
        <w:t> </w:t>
      </w:r>
      <w:r>
        <w:rPr/>
        <w:t>无</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5" w:space="355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552"/>
        <w:gridCol w:w="2561"/>
      </w:tblGrid>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526,444,293.21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427,244,538.71</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517,135.48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708,197.77</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525,800,978.88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400,146,000.44</w:t>
            </w:r>
          </w:p>
        </w:tc>
      </w:tr>
      <w:tr>
        <w:trPr>
          <w:trHeight w:val="29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126,178.85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26,390,340.50</w:t>
            </w:r>
          </w:p>
        </w:tc>
      </w:tr>
      <w:tr>
        <w:trPr>
          <w:trHeight w:val="29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7"/>
        <w:gridCol w:w="2552"/>
        <w:gridCol w:w="2561"/>
      </w:tblGrid>
      <w:tr>
        <w:trPr>
          <w:trHeight w:val="29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67" w:right="0"/>
              <w:jc w:val="left"/>
              <w:rPr>
                <w:rFonts w:ascii="宋体" w:hAnsi="宋体" w:cs="宋体" w:eastAsia="宋体" w:hint="default"/>
                <w:sz w:val="21"/>
                <w:szCs w:val="21"/>
              </w:rPr>
            </w:pPr>
            <w:r>
              <w:rPr>
                <w:rFonts w:ascii="宋体"/>
                <w:sz w:val="21"/>
              </w:rPr>
              <w:t>526,444,293.21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77" w:right="0"/>
              <w:jc w:val="left"/>
              <w:rPr>
                <w:rFonts w:ascii="宋体" w:hAnsi="宋体" w:cs="宋体" w:eastAsia="宋体" w:hint="default"/>
                <w:sz w:val="21"/>
                <w:szCs w:val="21"/>
              </w:rPr>
            </w:pPr>
            <w:r>
              <w:rPr>
                <w:rFonts w:ascii="宋体"/>
                <w:sz w:val="21"/>
              </w:rPr>
              <w:t>427,244,538.71</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其中：母公司或集团内子公司使用受限制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18" w:right="2731"/>
        <w:jc w:val="left"/>
      </w:pPr>
      <w:r>
        <w:rPr/>
        <w:t>其他说明：</w:t>
      </w:r>
    </w:p>
    <w:p>
      <w:pPr>
        <w:pStyle w:val="BodyText"/>
        <w:spacing w:line="290" w:lineRule="auto" w:before="58"/>
        <w:ind w:left="638" w:right="227" w:hanging="420"/>
        <w:jc w:val="left"/>
      </w:pPr>
      <w:r>
        <w:rPr/>
        <w:t>√适用</w:t>
      </w:r>
      <w:r>
        <w:rPr>
          <w:spacing w:val="-2"/>
        </w:rPr>
        <w:t> </w:t>
      </w:r>
      <w:r>
        <w:rPr/>
        <w:t>□不适用</w:t>
      </w:r>
      <w:r>
        <w:rPr>
          <w:w w:val="100"/>
        </w:rPr>
        <w:t> </w:t>
      </w:r>
      <w:r>
        <w:rPr>
          <w:spacing w:val="-2"/>
        </w:rPr>
        <w:t>注：①现金和现金等价物不含母公司或集团内子公司使用受限制的现金和现金等价物。</w:t>
      </w:r>
    </w:p>
    <w:p>
      <w:pPr>
        <w:pStyle w:val="BodyText"/>
        <w:spacing w:line="355" w:lineRule="auto" w:before="89"/>
        <w:ind w:left="218" w:right="121" w:firstLine="419"/>
        <w:jc w:val="left"/>
      </w:pPr>
      <w:r>
        <w:rPr/>
        <w:t>②本公司境外子公司共</w:t>
      </w:r>
      <w:r>
        <w:rPr>
          <w:spacing w:val="-51"/>
        </w:rPr>
        <w:t> </w:t>
      </w:r>
      <w:r>
        <w:rPr>
          <w:rFonts w:ascii="宋体" w:hAnsi="宋体" w:cs="宋体" w:eastAsia="宋体" w:hint="default"/>
        </w:rPr>
        <w:t>11</w:t>
      </w:r>
      <w:r>
        <w:rPr>
          <w:rFonts w:ascii="宋体" w:hAnsi="宋体" w:cs="宋体" w:eastAsia="宋体" w:hint="default"/>
          <w:spacing w:val="-54"/>
        </w:rPr>
        <w:t> </w:t>
      </w:r>
      <w:r>
        <w:rPr/>
        <w:t>家，现金及现金等价物年末余额合计为人民币</w:t>
      </w:r>
      <w:r>
        <w:rPr>
          <w:spacing w:val="-51"/>
        </w:rPr>
        <w:t> </w:t>
      </w:r>
      <w:r>
        <w:rPr>
          <w:rFonts w:ascii="宋体" w:hAnsi="宋体" w:cs="宋体" w:eastAsia="宋体" w:hint="default"/>
        </w:rPr>
        <w:t>26,544,830.43</w:t>
      </w:r>
      <w:r>
        <w:rPr>
          <w:rFonts w:ascii="宋体" w:hAnsi="宋体" w:cs="宋体" w:eastAsia="宋体" w:hint="default"/>
          <w:spacing w:val="-51"/>
        </w:rPr>
        <w:t> </w:t>
      </w:r>
      <w:r>
        <w:rPr/>
        <w:t>元，</w:t>
      </w:r>
      <w:r>
        <w:rPr>
          <w:spacing w:val="2"/>
          <w:w w:val="100"/>
        </w:rPr>
        <w:t> </w:t>
      </w:r>
      <w:r>
        <w:rPr/>
        <w:t>所有境外子公司向母公司汇出该等现金及现金等价物的能力未受到限制。</w:t>
      </w:r>
    </w:p>
    <w:p>
      <w:pPr>
        <w:spacing w:line="240" w:lineRule="auto" w:before="0"/>
        <w:rPr>
          <w:rFonts w:ascii="宋体" w:hAnsi="宋体" w:cs="宋体" w:eastAsia="宋体" w:hint="default"/>
          <w:sz w:val="28"/>
          <w:szCs w:val="28"/>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4,973,637.07</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投标保证金、履约保证金</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4,973,637.07</w:t>
            </w:r>
          </w:p>
        </w:tc>
        <w:tc>
          <w:tcPr>
            <w:tcW w:w="2693" w:type="dxa"/>
            <w:tcBorders>
              <w:top w:val="single" w:sz="6" w:space="0" w:color="000000"/>
              <w:left w:val="single" w:sz="4" w:space="0" w:color="000000"/>
              <w:bottom w:val="single" w:sz="6"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tabs>
          <w:tab w:pos="918" w:val="left" w:leader="none"/>
        </w:tabs>
        <w:spacing w:line="290" w:lineRule="auto" w:before="36"/>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4"/>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26,442,297.99</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163,476,425.00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9,462,505.91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1,221,169.52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6.534200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7,979,365.85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547,341,615.00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0.006109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3,343,709.93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13,947.67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7.802300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108,823.91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29,500.85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0.792100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23,367.63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492,363.17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0.835900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411,566.37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5,677,550.52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0.527700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2,996,043.41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澳大利亚元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385,967.82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5.092800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1,965,656.91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8,733.84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8.779200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76,676.11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657,109.82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0.113500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74,581.96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90,028.03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1,555,345.00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90,028.03</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2,677,184.17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7,929.97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31,451.72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6.534200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205,511.83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0.006109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916,350.00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55,261.00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7.802300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431,162.90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437,000.00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0.792100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346,147.70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536,666.07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0.835900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448,599.17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83,107.71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0.527700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43,855.94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澳大利亚元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940.80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5.092800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4,791.31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26,186.96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8.779200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229,900.56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378,280.05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0.113500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42,934.79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76,764.31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5,388.00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7.802300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42,038.79</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5,800.00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0.835900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4,848.22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50,020.34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0.527700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26,395.73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396.57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8.779200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3,481.57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3,734,175.00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548,571.31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6.534200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3,584,474.64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2,519,218.00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145,819.90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7,353.54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0.527700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3,880.46</w:t>
            </w:r>
          </w:p>
        </w:tc>
      </w:tr>
    </w:tbl>
    <w:p>
      <w:pPr>
        <w:spacing w:line="240" w:lineRule="auto" w:before="2"/>
        <w:rPr>
          <w:rFonts w:ascii="宋体" w:hAnsi="宋体" w:cs="宋体" w:eastAsia="宋体" w:hint="default"/>
          <w:sz w:val="20"/>
          <w:szCs w:val="20"/>
        </w:rPr>
      </w:pPr>
    </w:p>
    <w:p>
      <w:pPr>
        <w:pStyle w:val="BodyText"/>
        <w:spacing w:line="290" w:lineRule="auto" w:before="36"/>
        <w:ind w:left="318" w:right="807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2"/>
        <w:tabs>
          <w:tab w:pos="1018" w:val="left" w:leader="none"/>
        </w:tabs>
        <w:spacing w:line="240" w:lineRule="auto"/>
        <w:ind w:left="738" w:right="30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left="318" w:right="443"/>
        <w:jc w:val="left"/>
      </w:pPr>
      <w:r>
        <w:rPr/>
        <w:pict>
          <v:shape style="position:absolute;margin-left:241.729996pt;margin-top:33.183681pt;width:.48pt;height:.12pt;mso-position-horizontal-relative:page;mso-position-vertical-relative:paragraph;z-index:-800272" type="#_x0000_t75" stroked="false">
            <v:imagedata r:id="rId88" o:title=""/>
          </v:shape>
        </w:pict>
      </w:r>
      <w:r>
        <w:rPr/>
        <w:pict>
          <v:shape style="position:absolute;margin-left:341.829987pt;margin-top:33.183681pt;width:.48001pt;height:.12pt;mso-position-horizontal-relative:page;mso-position-vertical-relative:paragraph;z-index:-800248" type="#_x0000_t75" stroked="false">
            <v:imagedata r:id="rId88" o:title=""/>
          </v:shape>
        </w:pict>
      </w:r>
      <w:r>
        <w:rPr/>
        <w:pict>
          <v:shape style="position:absolute;margin-left:441.910004pt;margin-top:33.183681pt;width:.48001pt;height:.12pt;mso-position-horizontal-relative:page;mso-position-vertical-relative:paragraph;z-index:-800224" type="#_x0000_t75" stroked="false">
            <v:imagedata r:id="rId88" o:title=""/>
          </v:shape>
        </w:pict>
      </w:r>
      <w:r>
        <w:rPr/>
        <w:pict>
          <v:group style="position:absolute;margin-left:79.223999pt;margin-top:48.663662pt;width:463.05pt;height:5.05pt;mso-position-horizontal-relative:page;mso-position-vertical-relative:paragraph;z-index:-800200" coordorigin="1584,973" coordsize="9261,101">
            <v:shape style="position:absolute;left:1584;top:973;width:5271;height:101" type="#_x0000_t75" stroked="false">
              <v:imagedata r:id="rId89" o:title=""/>
            </v:shape>
            <v:shape style="position:absolute;left:6832;top:1064;width:2006;height:10" type="#_x0000_t75" stroked="false">
              <v:imagedata r:id="rId90" o:title=""/>
            </v:shape>
            <v:shape style="position:absolute;left:8833;top:1064;width:2012;height:10" type="#_x0000_t75" stroked="false">
              <v:imagedata r:id="rId91" o:title=""/>
            </v:shape>
            <w10:wrap type="none"/>
          </v:group>
        </w:pict>
      </w:r>
      <w:r>
        <w:rPr/>
        <w:pict>
          <v:group style="position:absolute;margin-left:79.223999pt;margin-top:69.06366pt;width:463.05pt;height:5.2pt;mso-position-horizontal-relative:page;mso-position-vertical-relative:paragraph;z-index:-800176" coordorigin="1584,1381" coordsize="9261,104">
            <v:shape style="position:absolute;left:1584;top:1381;width:5271;height:103" type="#_x0000_t75" stroked="false">
              <v:imagedata r:id="rId92" o:title=""/>
            </v:shape>
            <v:shape style="position:absolute;left:6832;top:1475;width:2006;height:10" type="#_x0000_t75" stroked="false">
              <v:imagedata r:id="rId90" o:title=""/>
            </v:shape>
            <v:shape style="position:absolute;left:8833;top:1475;width:2012;height:10" type="#_x0000_t75" stroked="false">
              <v:imagedata r:id="rId91" o:title=""/>
            </v:shape>
            <w10:wrap type="none"/>
          </v:group>
        </w:pict>
      </w:r>
      <w:r>
        <w:rPr/>
        <w:pict>
          <v:group style="position:absolute;margin-left:79.223999pt;margin-top:89.583694pt;width:463.05pt;height:5.2pt;mso-position-horizontal-relative:page;mso-position-vertical-relative:paragraph;z-index:-800152" coordorigin="1584,1792" coordsize="9261,104">
            <v:shape style="position:absolute;left:1584;top:1792;width:5271;height:103" type="#_x0000_t75" stroked="false">
              <v:imagedata r:id="rId92" o:title=""/>
            </v:shape>
            <v:shape style="position:absolute;left:6832;top:1885;width:2006;height:10" type="#_x0000_t75" stroked="false">
              <v:imagedata r:id="rId90" o:title=""/>
            </v:shape>
            <v:shape style="position:absolute;left:8833;top:1885;width:2012;height:10" type="#_x0000_t75" stroked="false">
              <v:imagedata r:id="rId91" o:title=""/>
            </v:shape>
            <w10:wrap type="none"/>
          </v:group>
        </w:pict>
      </w:r>
      <w:r>
        <w:rPr/>
        <w:pict>
          <v:group style="position:absolute;margin-left:79.223999pt;margin-top:110.103661pt;width:463.05pt;height:5.2pt;mso-position-horizontal-relative:page;mso-position-vertical-relative:paragraph;z-index:-800128" coordorigin="1584,2202" coordsize="9261,104">
            <v:shape style="position:absolute;left:1584;top:2202;width:5271;height:103" type="#_x0000_t75" stroked="false">
              <v:imagedata r:id="rId92" o:title=""/>
            </v:shape>
            <v:shape style="position:absolute;left:6832;top:2296;width:2006;height:10" type="#_x0000_t75" stroked="false">
              <v:imagedata r:id="rId93" o:title=""/>
            </v:shape>
            <v:shape style="position:absolute;left:8833;top:2296;width:2012;height:10" type="#_x0000_t75" stroked="false">
              <v:imagedata r:id="rId94" o:title=""/>
            </v:shape>
            <w10:wrap type="none"/>
          </v:group>
        </w:pict>
      </w:r>
      <w:r>
        <w:rPr/>
        <w:pict>
          <v:group style="position:absolute;margin-left:79.223999pt;margin-top:130.623718pt;width:463.05pt;height:5.05pt;mso-position-horizontal-relative:page;mso-position-vertical-relative:paragraph;z-index:-800104" coordorigin="1584,2612" coordsize="9261,101">
            <v:shape style="position:absolute;left:1584;top:2612;width:5271;height:101" type="#_x0000_t75" stroked="false">
              <v:imagedata r:id="rId89" o:title=""/>
            </v:shape>
            <v:shape style="position:absolute;left:6832;top:2704;width:2006;height:10" type="#_x0000_t75" stroked="false">
              <v:imagedata r:id="rId90" o:title=""/>
            </v:shape>
            <v:shape style="position:absolute;left:8833;top:2704;width:2012;height:10" type="#_x0000_t75" stroked="false">
              <v:imagedata r:id="rId91" o:title=""/>
            </v:shape>
            <w10:wrap type="none"/>
          </v:group>
        </w:pict>
      </w:r>
      <w:r>
        <w:rPr/>
        <w:pict>
          <v:group style="position:absolute;margin-left:79.223999pt;margin-top:151.053726pt;width:463.05pt;height:5.2pt;mso-position-horizontal-relative:page;mso-position-vertical-relative:paragraph;z-index:-800080" coordorigin="1584,3021" coordsize="9261,104">
            <v:shape style="position:absolute;left:1584;top:3021;width:5271;height:103" type="#_x0000_t75" stroked="false">
              <v:imagedata r:id="rId92" o:title=""/>
            </v:shape>
            <v:shape style="position:absolute;left:6832;top:3115;width:2006;height:10" type="#_x0000_t75" stroked="false">
              <v:imagedata r:id="rId90" o:title=""/>
            </v:shape>
            <v:shape style="position:absolute;left:8833;top:3115;width:2012;height:10" type="#_x0000_t75" stroked="false">
              <v:imagedata r:id="rId91" o:title=""/>
            </v:shape>
            <w10:wrap type="none"/>
          </v:group>
        </w:pict>
      </w: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255"/>
        <w:gridCol w:w="2002"/>
        <w:gridCol w:w="2002"/>
        <w:gridCol w:w="2002"/>
      </w:tblGrid>
      <w:tr>
        <w:trPr>
          <w:trHeight w:val="367" w:hRule="exact"/>
        </w:trPr>
        <w:tc>
          <w:tcPr>
            <w:tcW w:w="3255" w:type="dxa"/>
            <w:tcBorders>
              <w:top w:val="single" w:sz="12" w:space="0" w:color="000000"/>
              <w:left w:val="nil" w:sz="6" w:space="0" w:color="auto"/>
              <w:bottom w:val="nil" w:sz="6" w:space="0" w:color="auto"/>
              <w:right w:val="single" w:sz="4"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right="396"/>
              <w:jc w:val="right"/>
              <w:rPr>
                <w:rFonts w:ascii="宋体" w:hAnsi="宋体" w:cs="宋体" w:eastAsia="宋体" w:hint="default"/>
                <w:sz w:val="24"/>
                <w:szCs w:val="24"/>
              </w:rPr>
            </w:pPr>
            <w:r>
              <w:rPr>
                <w:rFonts w:ascii="宋体" w:hAnsi="宋体" w:cs="宋体" w:eastAsia="宋体" w:hint="default"/>
                <w:sz w:val="24"/>
                <w:szCs w:val="24"/>
              </w:rPr>
              <w:t>主要经营地</w:t>
            </w:r>
          </w:p>
        </w:tc>
        <w:tc>
          <w:tcPr>
            <w:tcW w:w="20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right="396"/>
              <w:jc w:val="right"/>
              <w:rPr>
                <w:rFonts w:ascii="宋体" w:hAnsi="宋体" w:cs="宋体" w:eastAsia="宋体" w:hint="default"/>
                <w:sz w:val="24"/>
                <w:szCs w:val="24"/>
              </w:rPr>
            </w:pPr>
            <w:r>
              <w:rPr>
                <w:rFonts w:ascii="宋体" w:hAnsi="宋体" w:cs="宋体" w:eastAsia="宋体" w:hint="default"/>
                <w:sz w:val="24"/>
                <w:szCs w:val="24"/>
              </w:rPr>
              <w:t>记账本位币</w:t>
            </w:r>
          </w:p>
        </w:tc>
        <w:tc>
          <w:tcPr>
            <w:tcW w:w="2002" w:type="dxa"/>
            <w:tcBorders>
              <w:top w:val="single" w:sz="12" w:space="0" w:color="000000"/>
              <w:left w:val="single" w:sz="4" w:space="0" w:color="000000"/>
              <w:bottom w:val="nil" w:sz="6" w:space="0" w:color="auto"/>
              <w:right w:val="nil" w:sz="6" w:space="0" w:color="auto"/>
            </w:tcBorders>
          </w:tcPr>
          <w:p>
            <w:pPr>
              <w:pStyle w:val="TableParagraph"/>
              <w:spacing w:line="240" w:lineRule="auto" w:before="39"/>
              <w:ind w:left="514" w:right="0"/>
              <w:jc w:val="left"/>
              <w:rPr>
                <w:rFonts w:ascii="宋体" w:hAnsi="宋体" w:cs="宋体" w:eastAsia="宋体" w:hint="default"/>
                <w:sz w:val="24"/>
                <w:szCs w:val="24"/>
              </w:rPr>
            </w:pPr>
            <w:r>
              <w:rPr>
                <w:rFonts w:ascii="宋体" w:hAnsi="宋体" w:cs="宋体" w:eastAsia="宋体" w:hint="default"/>
                <w:sz w:val="24"/>
                <w:szCs w:val="24"/>
              </w:rPr>
              <w:t>选择依据</w:t>
            </w:r>
          </w:p>
        </w:tc>
      </w:tr>
      <w:tr>
        <w:trPr>
          <w:trHeight w:val="57"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悉尼</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468"/>
              <w:jc w:val="right"/>
              <w:rPr>
                <w:rFonts w:ascii="宋体" w:hAnsi="宋体" w:cs="宋体" w:eastAsia="宋体" w:hint="default"/>
                <w:sz w:val="21"/>
                <w:szCs w:val="21"/>
              </w:rPr>
            </w:pPr>
            <w:r>
              <w:rPr>
                <w:rFonts w:ascii="宋体" w:hAnsi="宋体" w:cs="宋体" w:eastAsia="宋体" w:hint="default"/>
                <w:spacing w:val="-1"/>
                <w:sz w:val="21"/>
                <w:szCs w:val="21"/>
              </w:rPr>
              <w:t>澳大利亚元</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61"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莫斯科</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卢布</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首尔</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韩元</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纽约</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59"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28"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旧金山</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59"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468"/>
              <w:jc w:val="right"/>
              <w:rPr>
                <w:rFonts w:ascii="宋体" w:hAnsi="宋体" w:cs="宋体" w:eastAsia="宋体" w:hint="default"/>
                <w:sz w:val="21"/>
                <w:szCs w:val="21"/>
              </w:rPr>
            </w:pPr>
            <w:r>
              <w:rPr>
                <w:rFonts w:ascii="宋体" w:hAnsi="宋体" w:cs="宋体" w:eastAsia="宋体" w:hint="default"/>
                <w:spacing w:val="-1"/>
                <w:sz w:val="21"/>
                <w:szCs w:val="21"/>
              </w:rPr>
              <w:t>约翰内斯堡</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兰特</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东京</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61"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61"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伦敦</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英镑</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5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人民网法国有限责任公司</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巴黎</w:t>
            </w:r>
          </w:p>
        </w:tc>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0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59" w:hRule="exact"/>
        </w:trPr>
        <w:tc>
          <w:tcPr>
            <w:tcW w:w="3255"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nil" w:sz="6" w:space="0" w:color="auto"/>
            </w:tcBorders>
          </w:tcPr>
          <w:p>
            <w:pPr/>
          </w:p>
        </w:tc>
      </w:tr>
      <w:tr>
        <w:trPr>
          <w:trHeight w:val="418" w:hRule="exact"/>
        </w:trPr>
        <w:tc>
          <w:tcPr>
            <w:tcW w:w="3255" w:type="dxa"/>
            <w:tcBorders>
              <w:top w:val="nil" w:sz="6" w:space="0" w:color="auto"/>
              <w:left w:val="nil" w:sz="6" w:space="0" w:color="auto"/>
              <w:bottom w:val="single" w:sz="12" w:space="0" w:color="000000"/>
              <w:right w:val="single" w:sz="4" w:space="0" w:color="000000"/>
            </w:tcBorders>
          </w:tcPr>
          <w:p>
            <w:pPr>
              <w:pStyle w:val="TableParagraph"/>
              <w:spacing w:line="240" w:lineRule="auto" w:before="76"/>
              <w:ind w:left="28" w:right="0"/>
              <w:jc w:val="left"/>
              <w:rPr>
                <w:rFonts w:ascii="宋体" w:hAnsi="宋体" w:cs="宋体" w:eastAsia="宋体" w:hint="default"/>
                <w:sz w:val="21"/>
                <w:szCs w:val="21"/>
              </w:rPr>
            </w:pPr>
            <w:r>
              <w:rPr>
                <w:rFonts w:ascii="宋体" w:hAnsi="宋体" w:cs="宋体" w:eastAsia="宋体" w:hint="default"/>
                <w:sz w:val="21"/>
                <w:szCs w:val="21"/>
              </w:rPr>
              <w:t>人民网北欧有限责任公司</w:t>
            </w:r>
          </w:p>
        </w:tc>
        <w:tc>
          <w:tcPr>
            <w:tcW w:w="20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468"/>
              <w:jc w:val="right"/>
              <w:rPr>
                <w:rFonts w:ascii="宋体" w:hAnsi="宋体" w:cs="宋体" w:eastAsia="宋体" w:hint="default"/>
                <w:sz w:val="21"/>
                <w:szCs w:val="21"/>
              </w:rPr>
            </w:pPr>
            <w:r>
              <w:rPr>
                <w:rFonts w:ascii="宋体" w:hAnsi="宋体" w:cs="宋体" w:eastAsia="宋体" w:hint="default"/>
                <w:spacing w:val="-1"/>
                <w:sz w:val="21"/>
                <w:szCs w:val="21"/>
              </w:rPr>
              <w:t>斯德哥尔摩</w:t>
            </w:r>
          </w:p>
        </w:tc>
        <w:tc>
          <w:tcPr>
            <w:tcW w:w="20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left="573"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02"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left="574" w:right="0"/>
              <w:jc w:val="left"/>
              <w:rPr>
                <w:rFonts w:ascii="宋体" w:hAnsi="宋体" w:cs="宋体" w:eastAsia="宋体" w:hint="default"/>
                <w:sz w:val="21"/>
                <w:szCs w:val="21"/>
              </w:rPr>
            </w:pPr>
            <w:r>
              <w:rPr>
                <w:rFonts w:ascii="宋体" w:hAnsi="宋体" w:cs="宋体" w:eastAsia="宋体" w:hint="default"/>
                <w:sz w:val="21"/>
                <w:szCs w:val="21"/>
              </w:rPr>
              <w:t>当地货币</w:t>
            </w:r>
          </w:p>
        </w:tc>
      </w:tr>
    </w:tbl>
    <w:p>
      <w:pPr>
        <w:spacing w:line="240" w:lineRule="auto" w:before="9"/>
        <w:rPr>
          <w:rFonts w:ascii="宋体" w:hAnsi="宋体" w:cs="宋体" w:eastAsia="宋体" w:hint="default"/>
          <w:sz w:val="22"/>
          <w:szCs w:val="22"/>
        </w:rPr>
      </w:pPr>
    </w:p>
    <w:p>
      <w:pPr>
        <w:pStyle w:val="Heading2"/>
        <w:spacing w:line="240" w:lineRule="auto"/>
        <w:ind w:left="318" w:right="443"/>
        <w:jc w:val="left"/>
        <w:rPr>
          <w:b w:val="0"/>
          <w:bCs w:val="0"/>
        </w:rPr>
      </w:pPr>
      <w:r>
        <w:rPr/>
        <w:pict>
          <v:group style="position:absolute;margin-left:79.223999pt;margin-top:-123.576347pt;width:463.05pt;height:5.2pt;mso-position-horizontal-relative:page;mso-position-vertical-relative:paragraph;z-index:-800056" coordorigin="1584,-2472" coordsize="9261,104">
            <v:shape style="position:absolute;left:1584;top:-2472;width:5271;height:103" type="#_x0000_t75" stroked="false">
              <v:imagedata r:id="rId92" o:title=""/>
            </v:shape>
            <v:shape style="position:absolute;left:6832;top:-2378;width:2006;height:10" type="#_x0000_t75" stroked="false">
              <v:imagedata r:id="rId93" o:title=""/>
            </v:shape>
            <v:shape style="position:absolute;left:8833;top:-2378;width:2012;height:10" type="#_x0000_t75" stroked="false">
              <v:imagedata r:id="rId94" o:title=""/>
            </v:shape>
            <w10:wrap type="none"/>
          </v:group>
        </w:pict>
      </w:r>
      <w:r>
        <w:rPr/>
        <w:pict>
          <v:group style="position:absolute;margin-left:79.223999pt;margin-top:-103.056351pt;width:463.05pt;height:5.2pt;mso-position-horizontal-relative:page;mso-position-vertical-relative:paragraph;z-index:-800032" coordorigin="1584,-2061" coordsize="9261,104">
            <v:shape style="position:absolute;left:1584;top:-2061;width:5271;height:103" type="#_x0000_t75" stroked="false">
              <v:imagedata r:id="rId92" o:title=""/>
            </v:shape>
            <v:shape style="position:absolute;left:6832;top:-1968;width:2006;height:10" type="#_x0000_t75" stroked="false">
              <v:imagedata r:id="rId90" o:title=""/>
            </v:shape>
            <v:shape style="position:absolute;left:8833;top:-1968;width:2012;height:10" type="#_x0000_t75" stroked="false">
              <v:imagedata r:id="rId91" o:title=""/>
            </v:shape>
            <w10:wrap type="none"/>
          </v:group>
        </w:pict>
      </w:r>
      <w:r>
        <w:rPr/>
        <w:pict>
          <v:group style="position:absolute;margin-left:79.223999pt;margin-top:-82.536293pt;width:463.05pt;height:5.2pt;mso-position-horizontal-relative:page;mso-position-vertical-relative:paragraph;z-index:-800008" coordorigin="1584,-1651" coordsize="9261,104">
            <v:shape style="position:absolute;left:1584;top:-1651;width:5271;height:103" type="#_x0000_t75" stroked="false">
              <v:imagedata r:id="rId92" o:title=""/>
            </v:shape>
            <v:shape style="position:absolute;left:6832;top:-1557;width:2006;height:10" type="#_x0000_t75" stroked="false">
              <v:imagedata r:id="rId90" o:title=""/>
            </v:shape>
            <v:shape style="position:absolute;left:8833;top:-1557;width:2012;height:10" type="#_x0000_t75" stroked="false">
              <v:imagedata r:id="rId91" o:title=""/>
            </v:shape>
            <w10:wrap type="none"/>
          </v:group>
        </w:pict>
      </w:r>
      <w:r>
        <w:rPr/>
        <w:pict>
          <v:group style="position:absolute;margin-left:79.223999pt;margin-top:-62.01635pt;width:463.05pt;height:5.2pt;mso-position-horizontal-relative:page;mso-position-vertical-relative:paragraph;z-index:-799984" coordorigin="1584,-1240" coordsize="9261,104">
            <v:shape style="position:absolute;left:1584;top:-1240;width:5271;height:103" type="#_x0000_t75" stroked="false">
              <v:imagedata r:id="rId92" o:title=""/>
            </v:shape>
            <v:shape style="position:absolute;left:6832;top:-1147;width:2006;height:10" type="#_x0000_t75" stroked="false">
              <v:imagedata r:id="rId93" o:title=""/>
            </v:shape>
            <v:shape style="position:absolute;left:8833;top:-1147;width:2012;height:10" type="#_x0000_t75" stroked="false">
              <v:imagedata r:id="rId94" o:title=""/>
            </v:shape>
            <w10:wrap type="none"/>
          </v:group>
        </w:pict>
      </w:r>
      <w:r>
        <w:rPr/>
        <w:pict>
          <v:group style="position:absolute;margin-left:79.223999pt;margin-top:-41.496349pt;width:463.05pt;height:5.05pt;mso-position-horizontal-relative:page;mso-position-vertical-relative:paragraph;z-index:-799960" coordorigin="1584,-830" coordsize="9261,101">
            <v:shape style="position:absolute;left:1584;top:-830;width:5271;height:101" type="#_x0000_t75" stroked="false">
              <v:imagedata r:id="rId89" o:title=""/>
            </v:shape>
            <v:shape style="position:absolute;left:6832;top:-739;width:2006;height:10" type="#_x0000_t75" stroked="false">
              <v:imagedata r:id="rId90" o:title=""/>
            </v:shape>
            <v:shape style="position:absolute;left:8833;top:-739;width:2012;height:10" type="#_x0000_t75" stroked="false">
              <v:imagedata r:id="rId91" o:title=""/>
            </v:shape>
            <w10:wrap type="none"/>
          </v:group>
        </w:pict>
      </w: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9"/>
        <w:ind w:left="318" w:right="443"/>
        <w:jc w:val="left"/>
      </w:pPr>
      <w:r>
        <w:rPr/>
        <w:t>□适用</w:t>
      </w:r>
      <w:r>
        <w:rPr>
          <w:spacing w:val="-1"/>
        </w:rPr>
        <w:t> </w:t>
      </w:r>
      <w:r>
        <w:rPr/>
        <w:t>√不适用</w:t>
      </w:r>
    </w:p>
    <w:p>
      <w:pPr>
        <w:spacing w:after="0" w:line="240" w:lineRule="auto"/>
        <w:jc w:val="left"/>
        <w:sectPr>
          <w:pgSz w:w="11910" w:h="16840"/>
          <w:pgMar w:header="0" w:footer="1195" w:top="1120" w:bottom="1380" w:left="1480" w:right="9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5"/>
          <w:footerReference w:type="default" r:id="rId96"/>
          <w:pgSz w:w="16840" w:h="11910" w:orient="landscape"/>
          <w:pgMar w:header="882" w:footer="1195" w:top="1120" w:bottom="1380" w:left="1300" w:right="1220"/>
          <w:pgNumType w:start="150"/>
        </w:sectPr>
      </w:pPr>
    </w:p>
    <w:p>
      <w:pPr>
        <w:spacing w:line="240" w:lineRule="auto" w:before="4"/>
        <w:rPr>
          <w:rFonts w:ascii="宋体" w:hAnsi="宋体" w:cs="宋体" w:eastAsia="宋体" w:hint="default"/>
          <w:sz w:val="14"/>
          <w:szCs w:val="14"/>
        </w:rPr>
      </w:pPr>
    </w:p>
    <w:p>
      <w:pPr>
        <w:pStyle w:val="Heading2"/>
        <w:spacing w:line="240" w:lineRule="auto"/>
        <w:ind w:left="224" w:right="-17"/>
        <w:jc w:val="left"/>
        <w:rPr>
          <w:b w:val="0"/>
          <w:bCs w:val="0"/>
        </w:rPr>
      </w:pPr>
      <w:r>
        <w:rPr>
          <w:rFonts w:ascii="宋体" w:hAnsi="宋体" w:cs="宋体" w:eastAsia="宋体" w:hint="default"/>
        </w:rPr>
        <w:t>79</w:t>
      </w:r>
      <w:r>
        <w:rPr/>
        <w:t>、</w:t>
      </w:r>
      <w:r>
        <w:rPr>
          <w:spacing w:val="-24"/>
        </w:rPr>
        <w:t> </w:t>
      </w:r>
      <w:r>
        <w:rPr/>
        <w:t>政府补助</w:t>
      </w:r>
      <w:r>
        <w:rPr>
          <w:b w:val="0"/>
          <w:bCs w:val="0"/>
        </w:rPr>
      </w:r>
    </w:p>
    <w:p>
      <w:pPr>
        <w:pStyle w:val="Heading2"/>
        <w:tabs>
          <w:tab w:pos="649" w:val="left" w:leader="none"/>
        </w:tabs>
        <w:spacing w:line="240" w:lineRule="auto" w:before="58"/>
        <w:ind w:left="224"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66" w:val="left" w:leader="none"/>
        </w:tabs>
        <w:spacing w:line="240" w:lineRule="auto" w:before="56"/>
        <w:ind w:left="224"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2339" w:space="9223"/>
            <w:col w:w="275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907"/>
        <w:gridCol w:w="1985"/>
        <w:gridCol w:w="1985"/>
        <w:gridCol w:w="2213"/>
      </w:tblGrid>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ipv6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1,811,154.41</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海外舆情数据服务平台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2,850,845.48</w:t>
            </w:r>
          </w:p>
        </w:tc>
      </w:tr>
      <w:tr>
        <w:trPr>
          <w:trHeight w:val="284"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面向“互联网+”的未来媒体传播计算北京市工程实验室创新能力建设项目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206,379.44</w:t>
            </w:r>
          </w:p>
        </w:tc>
      </w:tr>
      <w:tr>
        <w:trPr>
          <w:trHeight w:val="281"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华文新媒体技术支撑与内容共享大数据平台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3,949,516.66</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全媒体传播效果评估与指标体系</w:t>
            </w:r>
            <w:r>
              <w:rPr>
                <w:rFonts w:ascii="宋体" w:hAnsi="宋体" w:cs="宋体" w:eastAsia="宋体" w:hint="default"/>
                <w:sz w:val="21"/>
                <w:szCs w:val="21"/>
              </w:rPr>
              <w:t>-</w:t>
            </w:r>
            <w:r>
              <w:rPr>
                <w:rFonts w:ascii="宋体" w:hAnsi="宋体" w:cs="宋体" w:eastAsia="宋体" w:hint="default"/>
                <w:sz w:val="21"/>
                <w:szCs w:val="21"/>
              </w:rPr>
              <w:t>全媒体传播分析平台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371,230.77</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面向“互联网+”的未来媒体传播力大数据智能分析与评估平台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1,751,026.00</w:t>
            </w:r>
          </w:p>
        </w:tc>
      </w:tr>
      <w:tr>
        <w:trPr>
          <w:trHeight w:val="281"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人民网福建频道采编网络系统升级改造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399,999.96</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武汉东湖新技术开发区管理委员会扶持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1,877,000.00</w:t>
            </w:r>
          </w:p>
        </w:tc>
      </w:tr>
      <w:tr>
        <w:trPr>
          <w:trHeight w:val="281"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大数据环境下的人民在线网络舆情监测系统研发及推广项目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184,032.52</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北京市朝阳区、西城区社会保险基金管理中心稳岗补贴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560,290.09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560,290.09</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中共福建省委宣传部政府补助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r>
      <w:tr>
        <w:trPr>
          <w:trHeight w:val="281"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全媒体优化新闻传播链建设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中关村科技园区西城园管理委员会西城园自主创新政策资金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213,900.00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213,900.00</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中共河北省委宣传部重双基强双责经费补贴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r>
      <w:tr>
        <w:trPr>
          <w:trHeight w:val="281"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中共河北省委宣传部支持人民网河北频道演播室装修款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63,866.68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63,866.68</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41,100.00</w:t>
            </w:r>
          </w:p>
        </w:tc>
      </w:tr>
      <w:tr>
        <w:trPr>
          <w:trHeight w:val="283" w:hRule="exact"/>
        </w:trPr>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朝阳区“凤凰计划”专项资金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w:t>
            </w:r>
          </w:p>
        </w:tc>
      </w:tr>
    </w:tbl>
    <w:p>
      <w:pPr>
        <w:spacing w:line="240" w:lineRule="auto" w:before="12"/>
        <w:rPr>
          <w:rFonts w:ascii="宋体" w:hAnsi="宋体" w:cs="宋体" w:eastAsia="宋体" w:hint="default"/>
          <w:sz w:val="19"/>
          <w:szCs w:val="19"/>
        </w:rPr>
      </w:pPr>
    </w:p>
    <w:p>
      <w:pPr>
        <w:pStyle w:val="Heading2"/>
        <w:tabs>
          <w:tab w:pos="649" w:val="left" w:leader="none"/>
        </w:tabs>
        <w:spacing w:line="240" w:lineRule="auto" w:before="36"/>
        <w:ind w:left="224" w:right="77"/>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2" w:lineRule="exact" w:before="86"/>
        <w:ind w:left="224" w:right="12499"/>
        <w:jc w:val="left"/>
      </w:pPr>
      <w:r>
        <w:rPr/>
        <w:t>□适用 √不适用</w:t>
      </w:r>
      <w:r>
        <w:rPr>
          <w:w w:val="100"/>
        </w:rPr>
        <w:t> </w:t>
      </w:r>
      <w:r>
        <w:rPr/>
        <w:t>其他说明</w:t>
      </w:r>
    </w:p>
    <w:p>
      <w:pPr>
        <w:pStyle w:val="BodyText"/>
        <w:spacing w:line="249" w:lineRule="exact"/>
        <w:ind w:left="224" w:right="77"/>
        <w:jc w:val="left"/>
      </w:pPr>
      <w:r>
        <w:rPr>
          <w:w w:val="100"/>
        </w:rPr>
        <w:t>无</w:t>
      </w:r>
    </w:p>
    <w:p>
      <w:pPr>
        <w:spacing w:after="0" w:line="249" w:lineRule="exact"/>
        <w:jc w:val="left"/>
        <w:sectPr>
          <w:type w:val="continuous"/>
          <w:pgSz w:w="16840" w:h="11910" w:orient="landscape"/>
          <w:pgMar w:top="1120" w:bottom="1380" w:left="1300" w:right="1220"/>
        </w:sectPr>
      </w:pPr>
    </w:p>
    <w:p>
      <w:pPr>
        <w:pStyle w:val="Heading2"/>
        <w:spacing w:line="240" w:lineRule="auto" w:before="117"/>
        <w:ind w:left="144" w:right="0"/>
        <w:jc w:val="left"/>
        <w:rPr>
          <w:b w:val="0"/>
          <w:bCs w:val="0"/>
        </w:rPr>
      </w:pPr>
      <w:r>
        <w:rPr>
          <w:rFonts w:ascii="宋体" w:hAnsi="宋体" w:cs="宋体" w:eastAsia="宋体" w:hint="default"/>
        </w:rPr>
        <w:t>80</w:t>
      </w:r>
      <w:r>
        <w:rPr/>
        <w:t>、</w:t>
      </w:r>
      <w:r>
        <w:rPr>
          <w:spacing w:val="-25"/>
        </w:rPr>
        <w:t> </w:t>
      </w:r>
      <w:r>
        <w:rPr/>
        <w:t>其他</w:t>
      </w:r>
      <w:r>
        <w:rPr>
          <w:b w:val="0"/>
          <w:bCs w:val="0"/>
        </w:rPr>
      </w:r>
    </w:p>
    <w:p>
      <w:pPr>
        <w:pStyle w:val="BodyText"/>
        <w:spacing w:line="240" w:lineRule="auto" w:before="56"/>
        <w:ind w:left="14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4" w:right="0"/>
        <w:jc w:val="left"/>
        <w:rPr>
          <w:b w:val="0"/>
          <w:bCs w:val="0"/>
        </w:rPr>
      </w:pPr>
      <w:r>
        <w:rPr/>
        <w:t>八、合并范围的变更</w:t>
      </w:r>
      <w:r>
        <w:rPr>
          <w:b w:val="0"/>
          <w:bCs w:val="0"/>
        </w:rPr>
      </w:r>
    </w:p>
    <w:p>
      <w:pPr>
        <w:pStyle w:val="Heading2"/>
        <w:spacing w:line="240" w:lineRule="auto" w:before="58"/>
        <w:ind w:left="144"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14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4"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7"/>
        <w:ind w:left="14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4"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144" w:right="0"/>
        <w:jc w:val="left"/>
      </w:pPr>
      <w:r>
        <w:rPr/>
        <w:t>□适用 √不适用</w:t>
      </w:r>
    </w:p>
    <w:p>
      <w:pPr>
        <w:spacing w:after="0" w:line="240" w:lineRule="auto"/>
        <w:jc w:val="left"/>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700" w:right="440"/>
        </w:sectPr>
      </w:pPr>
    </w:p>
    <w:p>
      <w:pPr>
        <w:spacing w:line="240" w:lineRule="auto" w:before="4"/>
        <w:rPr>
          <w:rFonts w:ascii="宋体" w:hAnsi="宋体" w:cs="宋体" w:eastAsia="宋体" w:hint="default"/>
          <w:sz w:val="14"/>
          <w:szCs w:val="14"/>
        </w:rPr>
      </w:pPr>
    </w:p>
    <w:p>
      <w:pPr>
        <w:spacing w:line="290" w:lineRule="auto" w:before="0"/>
        <w:ind w:left="82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8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769" w:val="left" w:leader="none"/>
        </w:tabs>
        <w:spacing w:line="240" w:lineRule="auto"/>
        <w:ind w:left="8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700" w:right="440"/>
          <w:cols w:num="2" w:equalWidth="0">
            <w:col w:w="5659" w:space="6115"/>
            <w:col w:w="3926"/>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924"/>
        <w:gridCol w:w="1481"/>
        <w:gridCol w:w="710"/>
        <w:gridCol w:w="989"/>
        <w:gridCol w:w="992"/>
        <w:gridCol w:w="989"/>
        <w:gridCol w:w="1274"/>
        <w:gridCol w:w="850"/>
        <w:gridCol w:w="106"/>
        <w:gridCol w:w="744"/>
        <w:gridCol w:w="847"/>
        <w:gridCol w:w="845"/>
        <w:gridCol w:w="852"/>
        <w:gridCol w:w="850"/>
      </w:tblGrid>
      <w:tr>
        <w:trPr>
          <w:trHeight w:val="2463" w:hRule="exact"/>
        </w:trPr>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股权处置价款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5" w:right="29"/>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置比例</w:t>
            </w:r>
          </w:p>
          <w:p>
            <w:pPr>
              <w:pStyle w:val="TableParagraph"/>
              <w:spacing w:line="249" w:lineRule="exact"/>
              <w:ind w:left="8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78" w:right="65"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2" w:right="65"/>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9" w:right="65"/>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权时点的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 w:right="-3"/>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right="-2"/>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1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 w:right="98"/>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股权的</w:t>
            </w:r>
            <w:r>
              <w:rPr>
                <w:rFonts w:ascii="宋体" w:hAnsi="宋体" w:cs="宋体" w:eastAsia="宋体" w:hint="default"/>
                <w:w w:val="100"/>
                <w:sz w:val="21"/>
                <w:szCs w:val="21"/>
              </w:rPr>
              <w:t> </w:t>
            </w:r>
            <w:r>
              <w:rPr>
                <w:rFonts w:ascii="宋体" w:hAnsi="宋体" w:cs="宋体" w:eastAsia="宋体" w:hint="default"/>
                <w:sz w:val="21"/>
                <w:szCs w:val="21"/>
              </w:rPr>
              <w:t>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股权的</w:t>
            </w:r>
            <w:r>
              <w:rPr>
                <w:rFonts w:ascii="宋体" w:hAnsi="宋体" w:cs="宋体" w:eastAsia="宋体" w:hint="default"/>
                <w:w w:val="100"/>
                <w:sz w:val="21"/>
                <w:szCs w:val="21"/>
              </w:rPr>
              <w:t> </w:t>
            </w:r>
            <w:r>
              <w:rPr>
                <w:rFonts w:ascii="宋体" w:hAnsi="宋体" w:cs="宋体" w:eastAsia="宋体" w:hint="default"/>
                <w:sz w:val="21"/>
                <w:szCs w:val="21"/>
              </w:rPr>
              <w:t>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center"/>
              <w:rPr>
                <w:rFonts w:ascii="宋体" w:hAnsi="宋体" w:cs="宋体" w:eastAsia="宋体" w:hint="default"/>
                <w:sz w:val="21"/>
                <w:szCs w:val="21"/>
              </w:rPr>
            </w:pPr>
            <w:r>
              <w:rPr>
                <w:rFonts w:ascii="宋体" w:hAnsi="宋体" w:cs="宋体" w:eastAsia="宋体" w:hint="default"/>
                <w:sz w:val="21"/>
                <w:szCs w:val="21"/>
              </w:rPr>
              <w:t>按照公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重新计</w:t>
            </w:r>
            <w:r>
              <w:rPr>
                <w:rFonts w:ascii="宋体" w:hAnsi="宋体" w:cs="宋体" w:eastAsia="宋体" w:hint="default"/>
                <w:w w:val="100"/>
                <w:sz w:val="21"/>
                <w:szCs w:val="21"/>
              </w:rPr>
              <w:t> </w:t>
            </w:r>
            <w:r>
              <w:rPr>
                <w:rFonts w:ascii="宋体" w:hAnsi="宋体" w:cs="宋体" w:eastAsia="宋体" w:hint="default"/>
                <w:sz w:val="21"/>
                <w:szCs w:val="21"/>
              </w:rPr>
              <w:t>量剩余</w:t>
            </w:r>
            <w:r>
              <w:rPr>
                <w:rFonts w:ascii="宋体" w:hAnsi="宋体" w:cs="宋体" w:eastAsia="宋体" w:hint="default"/>
                <w:w w:val="100"/>
                <w:sz w:val="21"/>
                <w:szCs w:val="21"/>
              </w:rPr>
              <w:t> </w:t>
            </w:r>
            <w:r>
              <w:rPr>
                <w:rFonts w:ascii="宋体" w:hAnsi="宋体" w:cs="宋体" w:eastAsia="宋体" w:hint="default"/>
                <w:sz w:val="21"/>
                <w:szCs w:val="21"/>
              </w:rPr>
              <w:t>股权产</w:t>
            </w:r>
            <w:r>
              <w:rPr>
                <w:rFonts w:ascii="宋体" w:hAnsi="宋体" w:cs="宋体" w:eastAsia="宋体" w:hint="default"/>
                <w:w w:val="100"/>
                <w:sz w:val="21"/>
                <w:szCs w:val="21"/>
              </w:rPr>
              <w:t> </w:t>
            </w:r>
            <w:r>
              <w:rPr>
                <w:rFonts w:ascii="宋体" w:hAnsi="宋体" w:cs="宋体" w:eastAsia="宋体" w:hint="default"/>
                <w:sz w:val="21"/>
                <w:szCs w:val="21"/>
              </w:rPr>
              <w:t>生的利</w:t>
            </w:r>
            <w:r>
              <w:rPr>
                <w:rFonts w:ascii="宋体" w:hAnsi="宋体" w:cs="宋体" w:eastAsia="宋体" w:hint="default"/>
                <w:w w:val="100"/>
                <w:sz w:val="21"/>
                <w:szCs w:val="21"/>
              </w:rPr>
              <w:t> </w:t>
            </w:r>
            <w:r>
              <w:rPr>
                <w:rFonts w:ascii="宋体" w:hAnsi="宋体" w:cs="宋体" w:eastAsia="宋体" w:hint="default"/>
                <w:sz w:val="21"/>
                <w:szCs w:val="21"/>
              </w:rPr>
              <w:t>得或损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 w:right="-3"/>
              <w:jc w:val="center"/>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余股权公</w:t>
            </w:r>
            <w:r>
              <w:rPr>
                <w:rFonts w:ascii="宋体" w:hAnsi="宋体" w:cs="宋体" w:eastAsia="宋体" w:hint="default"/>
                <w:w w:val="100"/>
                <w:sz w:val="21"/>
                <w:szCs w:val="21"/>
              </w:rPr>
              <w:t> </w:t>
            </w:r>
            <w:r>
              <w:rPr>
                <w:rFonts w:ascii="宋体" w:hAnsi="宋体" w:cs="宋体" w:eastAsia="宋体" w:hint="default"/>
                <w:sz w:val="21"/>
                <w:szCs w:val="21"/>
              </w:rPr>
              <w:t>允价值的</w:t>
            </w:r>
            <w:r>
              <w:rPr>
                <w:rFonts w:ascii="宋体" w:hAnsi="宋体" w:cs="宋体" w:eastAsia="宋体" w:hint="default"/>
                <w:w w:val="100"/>
                <w:sz w:val="21"/>
                <w:szCs w:val="21"/>
              </w:rPr>
              <w:t> </w:t>
            </w:r>
            <w:r>
              <w:rPr>
                <w:rFonts w:ascii="宋体" w:hAnsi="宋体" w:cs="宋体" w:eastAsia="宋体" w:hint="default"/>
                <w:sz w:val="21"/>
                <w:szCs w:val="21"/>
              </w:rPr>
              <w:t>确定方法</w:t>
            </w:r>
            <w:r>
              <w:rPr>
                <w:rFonts w:ascii="宋体" w:hAnsi="宋体" w:cs="宋体" w:eastAsia="宋体" w:hint="default"/>
                <w:w w:val="100"/>
                <w:sz w:val="21"/>
                <w:szCs w:val="21"/>
              </w:rPr>
              <w:t> </w:t>
            </w:r>
            <w:r>
              <w:rPr>
                <w:rFonts w:ascii="宋体" w:hAnsi="宋体" w:cs="宋体" w:eastAsia="宋体" w:hint="default"/>
                <w:sz w:val="21"/>
                <w:szCs w:val="21"/>
              </w:rPr>
              <w:t>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r>
      <w:tr>
        <w:trPr>
          <w:trHeight w:val="281" w:hRule="exact"/>
        </w:trPr>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宋体" w:hAnsi="宋体" w:cs="宋体" w:eastAsia="宋体" w:hint="default"/>
                <w:sz w:val="21"/>
                <w:szCs w:val="21"/>
              </w:rPr>
              <w:t>成都古羌科技有限公司（注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5"/>
              <w:jc w:val="center"/>
              <w:rPr>
                <w:rFonts w:ascii="宋体" w:hAnsi="宋体" w:cs="宋体" w:eastAsia="宋体" w:hint="default"/>
                <w:sz w:val="21"/>
                <w:szCs w:val="21"/>
              </w:rPr>
            </w:pPr>
            <w:r>
              <w:rPr>
                <w:rFonts w:ascii="宋体"/>
                <w:spacing w:val="-1"/>
                <w:sz w:val="21"/>
              </w:rPr>
              <w:t>188,604,314.00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69.25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股权置换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2017/3/31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不再持股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网际星辰文化传媒（北京）有限公司（注</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5"/>
              <w:jc w:val="center"/>
              <w:rPr>
                <w:rFonts w:ascii="宋体" w:hAnsi="宋体" w:cs="宋体" w:eastAsia="宋体" w:hint="default"/>
                <w:sz w:val="21"/>
                <w:szCs w:val="21"/>
              </w:rPr>
            </w:pPr>
            <w:r>
              <w:rPr>
                <w:rFonts w:ascii="宋体"/>
                <w:spacing w:val="-1"/>
                <w:sz w:val="21"/>
              </w:rPr>
              <w:t>26,200,000.00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2017/6/13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不再持股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5"/>
              <w:jc w:val="center"/>
              <w:rPr>
                <w:rFonts w:ascii="宋体" w:hAnsi="宋体" w:cs="宋体" w:eastAsia="宋体" w:hint="default"/>
                <w:sz w:val="21"/>
                <w:szCs w:val="21"/>
              </w:rPr>
            </w:pPr>
            <w:r>
              <w:rPr>
                <w:rFonts w:ascii="宋体"/>
                <w:spacing w:val="-1"/>
                <w:sz w:val="21"/>
              </w:rPr>
              <w:t>5,443,494.49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5"/>
              <w:jc w:val="center"/>
              <w:rPr>
                <w:rFonts w:ascii="宋体" w:hAnsi="宋体" w:cs="宋体" w:eastAsia="宋体" w:hint="default"/>
                <w:sz w:val="21"/>
                <w:szCs w:val="21"/>
              </w:rPr>
            </w:pPr>
            <w:r>
              <w:rPr>
                <w:rFonts w:ascii="宋体"/>
                <w:spacing w:val="-1"/>
                <w:sz w:val="21"/>
              </w:rPr>
              <w:t>99,310,000.00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36.67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2017/12/1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不再持股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5"/>
              <w:jc w:val="center"/>
              <w:rPr>
                <w:rFonts w:ascii="宋体" w:hAnsi="宋体" w:cs="宋体" w:eastAsia="宋体" w:hint="default"/>
                <w:sz w:val="21"/>
                <w:szCs w:val="21"/>
              </w:rPr>
            </w:pPr>
            <w:r>
              <w:rPr>
                <w:rFonts w:ascii="宋体"/>
                <w:spacing w:val="-1"/>
                <w:sz w:val="21"/>
              </w:rPr>
              <w:t>3,629,313.59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824" w:right="681"/>
        <w:jc w:val="left"/>
      </w:pPr>
      <w:r>
        <w:rPr/>
        <w:t>其他说明：</w:t>
      </w:r>
    </w:p>
    <w:p>
      <w:pPr>
        <w:pStyle w:val="BodyText"/>
        <w:spacing w:line="272" w:lineRule="exact"/>
        <w:ind w:left="824" w:right="681"/>
        <w:jc w:val="left"/>
      </w:pPr>
      <w:r>
        <w:rPr/>
        <w:t>√适用 □不适用</w:t>
      </w:r>
    </w:p>
    <w:p>
      <w:pPr>
        <w:pStyle w:val="BodyText"/>
        <w:spacing w:line="357" w:lineRule="auto"/>
        <w:ind w:left="824" w:right="681" w:firstLine="420"/>
        <w:jc w:val="left"/>
      </w:pPr>
      <w:r>
        <w:rPr/>
        <w:t>注</w:t>
      </w:r>
      <w:r>
        <w:rPr>
          <w:spacing w:val="-54"/>
        </w:rPr>
        <w:t> </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日本公司以所持控股子公司成都古羌科技有限公司</w:t>
      </w:r>
      <w:r>
        <w:rPr>
          <w:spacing w:val="-54"/>
        </w:rPr>
        <w:t> </w:t>
      </w:r>
      <w:r>
        <w:rPr>
          <w:rFonts w:ascii="宋体" w:hAnsi="宋体" w:cs="宋体" w:eastAsia="宋体" w:hint="default"/>
        </w:rPr>
        <w:t>69.25%</w:t>
      </w:r>
      <w:r>
        <w:rPr/>
        <w:t>的股权作为对价认购阿尔山市金辉文化传媒股份有限公司新增</w:t>
      </w:r>
      <w:r>
        <w:rPr>
          <w:w w:val="100"/>
        </w:rPr>
        <w:t> </w:t>
      </w:r>
      <w:r>
        <w:rPr>
          <w:rFonts w:ascii="宋体" w:hAnsi="宋体" w:cs="宋体" w:eastAsia="宋体" w:hint="default"/>
        </w:rPr>
        <w:t>1,922.76 </w:t>
      </w:r>
      <w:r>
        <w:rPr>
          <w:spacing w:val="-4"/>
        </w:rPr>
        <w:t>万股股份。本次交易完成后，公司将不再直接持有古羌科技股权，转而成为金辉文化的股东，持有其 </w:t>
      </w:r>
      <w:r>
        <w:rPr>
          <w:rFonts w:ascii="宋体" w:hAnsi="宋体" w:cs="宋体" w:eastAsia="宋体" w:hint="default"/>
          <w:spacing w:val="-3"/>
        </w:rPr>
        <w:t>30.78%</w:t>
      </w:r>
      <w:r>
        <w:rPr>
          <w:spacing w:val="-3"/>
        </w:rPr>
        <w:t>的股权，因公司在金辉文化董事会</w:t>
      </w:r>
      <w:r>
        <w:rPr>
          <w:spacing w:val="-74"/>
        </w:rPr>
        <w:t> </w:t>
      </w:r>
      <w:r>
        <w:rPr>
          <w:spacing w:val="-74"/>
        </w:rPr>
      </w:r>
      <w:r>
        <w:rPr>
          <w:spacing w:val="-2"/>
        </w:rPr>
        <w:t>所占席位不足以构成实际控制，公司将仅作为金辉文化参股股东，古羌科技及其下属子公司北京丹鼎四海文化传播有限公司、北京书香文府数字技术有</w:t>
      </w:r>
      <w:r>
        <w:rPr>
          <w:spacing w:val="19"/>
        </w:rPr>
        <w:t> </w:t>
      </w:r>
      <w:r>
        <w:rPr>
          <w:spacing w:val="19"/>
        </w:rPr>
      </w:r>
      <w:r>
        <w:rPr/>
        <w:t>限公司、北京聚点艺盛文化传播有限责任公司、衡阳天言信息技术有限公司将不再纳入合并财务报表范围。</w:t>
      </w:r>
    </w:p>
    <w:p>
      <w:pPr>
        <w:pStyle w:val="BodyText"/>
        <w:spacing w:line="357" w:lineRule="auto" w:before="30"/>
        <w:ind w:left="824" w:right="1053" w:firstLine="420"/>
        <w:jc w:val="both"/>
      </w:pPr>
      <w:r>
        <w:rPr/>
        <w:t>注</w:t>
      </w:r>
      <w:r>
        <w:rPr>
          <w:spacing w:val="-54"/>
        </w:rPr>
        <w:t> </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6"/>
        </w:rPr>
        <w:t> </w:t>
      </w:r>
      <w:r>
        <w:rPr/>
        <w:t>日，公司通过北京产权交易所挂牌转让了所持控股子公司网际星辰文化传媒（北京）有限公司</w:t>
      </w:r>
      <w:r>
        <w:rPr>
          <w:spacing w:val="-53"/>
        </w:rPr>
        <w:t> </w:t>
      </w:r>
      <w:r>
        <w:rPr>
          <w:rFonts w:ascii="宋体" w:hAnsi="宋体" w:cs="宋体" w:eastAsia="宋体" w:hint="default"/>
        </w:rPr>
        <w:t>40%</w:t>
      </w:r>
      <w:r>
        <w:rPr/>
        <w:t>的股权，交易价格</w:t>
      </w:r>
      <w:r>
        <w:rPr>
          <w:spacing w:val="-54"/>
        </w:rPr>
        <w:t> </w:t>
      </w:r>
      <w:r>
        <w:rPr>
          <w:rFonts w:ascii="宋体" w:hAnsi="宋体" w:cs="宋体" w:eastAsia="宋体" w:hint="default"/>
        </w:rPr>
        <w:t>2,620</w:t>
      </w:r>
      <w:r>
        <w:rPr>
          <w:rFonts w:ascii="宋体" w:hAnsi="宋体" w:cs="宋体" w:eastAsia="宋体" w:hint="default"/>
          <w:spacing w:val="-53"/>
        </w:rPr>
        <w:t> </w:t>
      </w:r>
      <w:r>
        <w:rPr/>
        <w:t>万</w:t>
      </w:r>
      <w:r>
        <w:rPr>
          <w:w w:val="100"/>
        </w:rPr>
        <w:t> </w:t>
      </w:r>
      <w:r>
        <w:rPr/>
        <w:t>元。</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日，北京产权交易所审核通过了本次交易。交易完成后，网际星辰及其下属子公司芜湖阶梯网络技术有限公司不再纳入合并财务报</w:t>
      </w:r>
      <w:r>
        <w:rPr>
          <w:w w:val="100"/>
        </w:rPr>
        <w:t> </w:t>
      </w:r>
      <w:r>
        <w:rPr/>
        <w:t>表范围。</w:t>
      </w:r>
    </w:p>
    <w:p>
      <w:pPr>
        <w:spacing w:after="0" w:line="357" w:lineRule="auto"/>
        <w:jc w:val="both"/>
        <w:sectPr>
          <w:type w:val="continuous"/>
          <w:pgSz w:w="16840" w:h="11910" w:orient="landscape"/>
          <w:pgMar w:top="1120" w:bottom="1380" w:left="700" w:right="440"/>
        </w:sectPr>
      </w:pPr>
    </w:p>
    <w:p>
      <w:pPr>
        <w:pStyle w:val="BodyText"/>
        <w:spacing w:line="240" w:lineRule="auto" w:before="117"/>
        <w:ind w:left="564" w:right="0"/>
        <w:jc w:val="left"/>
        <w:rPr>
          <w:rFonts w:ascii="宋体" w:hAnsi="宋体" w:cs="宋体" w:eastAsia="宋体" w:hint="default"/>
        </w:rPr>
      </w:pPr>
      <w:r>
        <w:rPr/>
        <w:t>注</w:t>
      </w:r>
      <w:r>
        <w:rPr>
          <w:spacing w:val="-54"/>
        </w:rPr>
        <w:t> </w:t>
      </w:r>
      <w:r>
        <w:rPr>
          <w:rFonts w:ascii="宋体" w:hAnsi="宋体" w:cs="宋体" w:eastAsia="宋体" w:hint="default"/>
        </w:rPr>
        <w:t>3</w:t>
      </w:r>
      <w:r>
        <w:rPr/>
        <w:t>：</w:t>
      </w:r>
      <w:r>
        <w:rPr>
          <w:spacing w:val="-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spacing w:val="-56"/>
        </w:rPr>
        <w:t> </w:t>
      </w:r>
      <w:r>
        <w:rPr/>
        <w:t>日，公司通过上海联合产权交易所挂牌转让了所持控股子公司人民澳客传媒科技有限公司</w:t>
      </w:r>
      <w:r>
        <w:rPr>
          <w:spacing w:val="-53"/>
        </w:rPr>
        <w:t> </w:t>
      </w:r>
      <w:r>
        <w:rPr>
          <w:rFonts w:ascii="宋体" w:hAnsi="宋体" w:cs="宋体" w:eastAsia="宋体" w:hint="default"/>
        </w:rPr>
        <w:t>36.67%</w:t>
      </w:r>
      <w:r>
        <w:rPr/>
        <w:t>的股权，挂牌价格</w:t>
      </w:r>
      <w:r>
        <w:rPr>
          <w:spacing w:val="-54"/>
        </w:rPr>
        <w:t> </w:t>
      </w:r>
      <w:r>
        <w:rPr>
          <w:rFonts w:ascii="宋体" w:hAnsi="宋体" w:cs="宋体" w:eastAsia="宋体" w:hint="default"/>
        </w:rPr>
        <w:t>9,931</w:t>
      </w:r>
    </w:p>
    <w:p>
      <w:pPr>
        <w:pStyle w:val="BodyText"/>
        <w:spacing w:line="240" w:lineRule="auto" w:before="133"/>
        <w:ind w:left="144" w:right="0"/>
        <w:jc w:val="left"/>
      </w:pPr>
      <w:r>
        <w:rPr/>
        <w:t>万元。</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w:t>
      </w:r>
      <w:r>
        <w:rPr>
          <w:rFonts w:ascii="宋体" w:hAnsi="宋体" w:cs="宋体" w:eastAsia="宋体" w:hint="default"/>
        </w:rPr>
        <w:t>,</w:t>
      </w:r>
      <w:r>
        <w:rPr/>
        <w:t>上海联合产权交易所审核通过了本次交易。交易完成后，人民澳客不再纳入合并财务报表范围。</w:t>
      </w:r>
    </w:p>
    <w:p>
      <w:pPr>
        <w:spacing w:line="240" w:lineRule="auto" w:before="0"/>
        <w:rPr>
          <w:rFonts w:ascii="宋体" w:hAnsi="宋体" w:cs="宋体" w:eastAsia="宋体" w:hint="default"/>
          <w:sz w:val="20"/>
          <w:szCs w:val="20"/>
        </w:rPr>
      </w:pPr>
    </w:p>
    <w:p>
      <w:pPr>
        <w:pStyle w:val="BodyText"/>
        <w:spacing w:line="273" w:lineRule="exact" w:before="145"/>
        <w:ind w:left="144" w:right="0"/>
        <w:jc w:val="left"/>
      </w:pPr>
      <w:r>
        <w:rPr/>
        <w:t>是否存在通过多次交易分步处置对子公司投资且在本期丧失控制权的情形</w:t>
      </w:r>
    </w:p>
    <w:p>
      <w:pPr>
        <w:pStyle w:val="BodyText"/>
        <w:spacing w:line="273" w:lineRule="exact"/>
        <w:ind w:left="144" w:right="0"/>
        <w:jc w:val="left"/>
      </w:pPr>
      <w:r>
        <w:rPr/>
        <w:t>□适用√不适用</w:t>
      </w:r>
    </w:p>
    <w:p>
      <w:pPr>
        <w:spacing w:line="240" w:lineRule="auto" w:before="12"/>
        <w:rPr>
          <w:rFonts w:ascii="宋体" w:hAnsi="宋体" w:cs="宋体" w:eastAsia="宋体" w:hint="default"/>
          <w:sz w:val="23"/>
          <w:szCs w:val="23"/>
        </w:rPr>
      </w:pPr>
    </w:p>
    <w:p>
      <w:pPr>
        <w:spacing w:line="290" w:lineRule="auto" w:before="0"/>
        <w:ind w:left="144" w:right="34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left="144" w:right="0"/>
        <w:jc w:val="left"/>
      </w:pPr>
      <w:r>
        <w:rPr/>
        <w:t>√适用 □不适用</w:t>
      </w:r>
    </w:p>
    <w:p>
      <w:pPr>
        <w:pStyle w:val="BodyText"/>
        <w:spacing w:line="274" w:lineRule="exact"/>
        <w:ind w:left="564" w:right="0"/>
        <w:jc w:val="left"/>
      </w:pPr>
      <w:r>
        <w:rPr/>
        <w:t>与上年末相比，本期新增纳入合并财务报表范围的子公司</w:t>
      </w:r>
      <w:r>
        <w:rPr>
          <w:spacing w:val="-55"/>
        </w:rPr>
        <w:t> </w:t>
      </w:r>
      <w:r>
        <w:rPr>
          <w:rFonts w:ascii="宋体" w:hAnsi="宋体" w:cs="宋体" w:eastAsia="宋体" w:hint="default"/>
        </w:rPr>
        <w:t>3</w:t>
      </w:r>
      <w:r>
        <w:rPr>
          <w:rFonts w:ascii="宋体" w:hAnsi="宋体" w:cs="宋体" w:eastAsia="宋体" w:hint="default"/>
          <w:spacing w:val="-55"/>
        </w:rPr>
        <w:t> </w:t>
      </w:r>
      <w:r>
        <w:rPr/>
        <w:t>家、孙公司</w:t>
      </w:r>
      <w:r>
        <w:rPr>
          <w:spacing w:val="-54"/>
        </w:rPr>
        <w:t> </w:t>
      </w:r>
      <w:r>
        <w:rPr>
          <w:rFonts w:ascii="宋体" w:hAnsi="宋体" w:cs="宋体" w:eastAsia="宋体" w:hint="default"/>
        </w:rPr>
        <w:t>2</w:t>
      </w:r>
      <w:r>
        <w:rPr>
          <w:rFonts w:ascii="宋体" w:hAnsi="宋体" w:cs="宋体" w:eastAsia="宋体" w:hint="default"/>
          <w:spacing w:val="-55"/>
        </w:rPr>
        <w:t> </w:t>
      </w:r>
      <w:r>
        <w:rPr/>
        <w:t>家：</w:t>
      </w:r>
    </w:p>
    <w:p>
      <w:pPr>
        <w:pStyle w:val="BodyText"/>
        <w:spacing w:line="240" w:lineRule="auto" w:before="133"/>
        <w:ind w:left="564" w:right="0"/>
        <w:jc w:val="left"/>
      </w:pPr>
      <w:r>
        <w:rPr/>
        <w:t>人民视讯（新疆）文化有限公司为本公司之子公司人民视讯文化有限公司于</w:t>
      </w:r>
      <w:r>
        <w:rPr>
          <w:spacing w:val="-56"/>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日设立，持股比例</w:t>
      </w:r>
      <w:r>
        <w:rPr>
          <w:spacing w:val="-53"/>
        </w:rPr>
        <w:t> </w:t>
      </w:r>
      <w:r>
        <w:rPr>
          <w:rFonts w:ascii="宋体" w:hAnsi="宋体" w:cs="宋体" w:eastAsia="宋体" w:hint="default"/>
        </w:rPr>
        <w:t>100%</w:t>
      </w:r>
      <w:r>
        <w:rPr/>
        <w:t>。</w:t>
      </w:r>
    </w:p>
    <w:p>
      <w:pPr>
        <w:pStyle w:val="BodyText"/>
        <w:spacing w:line="355" w:lineRule="auto" w:before="133"/>
        <w:ind w:left="144" w:right="0" w:firstLine="420"/>
        <w:jc w:val="left"/>
      </w:pPr>
      <w:r>
        <w:rPr/>
        <w:t>人民网重庆政微网络科技有限公司为本公司与重庆文化产业投资集团有限公司于</w:t>
      </w:r>
      <w:r>
        <w:rPr>
          <w:spacing w:val="-46"/>
        </w:rPr>
        <w:t> </w:t>
      </w:r>
      <w:r>
        <w:rPr>
          <w:rFonts w:ascii="宋体" w:hAnsi="宋体" w:cs="宋体" w:eastAsia="宋体" w:hint="default"/>
        </w:rPr>
        <w:t>2017</w:t>
      </w:r>
      <w:r>
        <w:rPr>
          <w:rFonts w:ascii="宋体" w:hAnsi="宋体" w:cs="宋体" w:eastAsia="宋体" w:hint="default"/>
          <w:spacing w:val="-48"/>
        </w:rPr>
        <w:t> </w:t>
      </w:r>
      <w:r>
        <w:rPr/>
        <w:t>年</w:t>
      </w:r>
      <w:r>
        <w:rPr>
          <w:spacing w:val="-46"/>
        </w:rPr>
        <w:t> </w:t>
      </w:r>
      <w:r>
        <w:rPr>
          <w:rFonts w:ascii="宋体" w:hAnsi="宋体" w:cs="宋体" w:eastAsia="宋体" w:hint="default"/>
        </w:rPr>
        <w:t>5</w:t>
      </w:r>
      <w:r>
        <w:rPr>
          <w:rFonts w:ascii="宋体" w:hAnsi="宋体" w:cs="宋体" w:eastAsia="宋体" w:hint="default"/>
          <w:spacing w:val="-48"/>
        </w:rPr>
        <w:t> </w:t>
      </w:r>
      <w:r>
        <w:rPr/>
        <w:t>月</w:t>
      </w:r>
      <w:r>
        <w:rPr>
          <w:spacing w:val="-46"/>
        </w:rPr>
        <w:t> </w:t>
      </w:r>
      <w:r>
        <w:rPr>
          <w:rFonts w:ascii="宋体" w:hAnsi="宋体" w:cs="宋体" w:eastAsia="宋体" w:hint="default"/>
        </w:rPr>
        <w:t>15</w:t>
      </w:r>
      <w:r>
        <w:rPr>
          <w:rFonts w:ascii="宋体" w:hAnsi="宋体" w:cs="宋体" w:eastAsia="宋体" w:hint="default"/>
          <w:spacing w:val="-48"/>
        </w:rPr>
        <w:t> </w:t>
      </w:r>
      <w:r>
        <w:rPr/>
        <w:t>日共同出资设立，本公司持股</w:t>
      </w:r>
      <w:r>
        <w:rPr>
          <w:spacing w:val="-43"/>
        </w:rPr>
        <w:t> </w:t>
      </w:r>
      <w:r>
        <w:rPr>
          <w:rFonts w:ascii="宋体" w:hAnsi="宋体" w:cs="宋体" w:eastAsia="宋体" w:hint="default"/>
        </w:rPr>
        <w:t>60.00%</w:t>
      </w:r>
      <w:r>
        <w:rPr/>
        <w:t>，达到控制。</w:t>
      </w:r>
      <w:r>
        <w:rPr>
          <w:w w:val="100"/>
        </w:rPr>
        <w:t> </w:t>
      </w:r>
      <w:r>
        <w:rPr/>
        <w:t>自设立之日起纳入合并财务报表范围。</w:t>
      </w:r>
    </w:p>
    <w:p>
      <w:pPr>
        <w:pStyle w:val="BodyText"/>
        <w:spacing w:line="240" w:lineRule="auto" w:before="34"/>
        <w:ind w:left="564" w:right="0"/>
        <w:jc w:val="left"/>
      </w:pPr>
      <w:r>
        <w:rPr/>
        <w:t>人民体育（北京）有限公司为本公司于</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5"/>
        </w:rPr>
        <w:t> </w:t>
      </w:r>
      <w:r>
        <w:rPr>
          <w:rFonts w:ascii="宋体" w:hAnsi="宋体" w:cs="宋体" w:eastAsia="宋体" w:hint="default"/>
        </w:rPr>
        <w:t>7</w:t>
      </w:r>
      <w:r>
        <w:rPr>
          <w:rFonts w:ascii="宋体" w:hAnsi="宋体" w:cs="宋体" w:eastAsia="宋体" w:hint="default"/>
          <w:spacing w:val="-56"/>
        </w:rPr>
        <w:t> </w:t>
      </w:r>
      <w:r>
        <w:rPr/>
        <w:t>月</w:t>
      </w:r>
      <w:r>
        <w:rPr>
          <w:spacing w:val="-55"/>
        </w:rPr>
        <w:t> </w:t>
      </w:r>
      <w:r>
        <w:rPr>
          <w:rFonts w:ascii="宋体" w:hAnsi="宋体" w:cs="宋体" w:eastAsia="宋体" w:hint="default"/>
        </w:rPr>
        <w:t>4</w:t>
      </w:r>
      <w:r>
        <w:rPr>
          <w:rFonts w:ascii="宋体" w:hAnsi="宋体" w:cs="宋体" w:eastAsia="宋体" w:hint="default"/>
          <w:spacing w:val="-55"/>
        </w:rPr>
        <w:t> </w:t>
      </w:r>
      <w:r>
        <w:rPr/>
        <w:t>日出资设立，持股比例</w:t>
      </w:r>
      <w:r>
        <w:rPr>
          <w:spacing w:val="-55"/>
        </w:rPr>
        <w:t> </w:t>
      </w:r>
      <w:r>
        <w:rPr>
          <w:rFonts w:ascii="宋体" w:hAnsi="宋体" w:cs="宋体" w:eastAsia="宋体" w:hint="default"/>
        </w:rPr>
        <w:t>100%</w:t>
      </w:r>
      <w:r>
        <w:rPr/>
        <w:t>。自成立之日起纳入合并财务报表范围。</w:t>
      </w:r>
    </w:p>
    <w:p>
      <w:pPr>
        <w:pStyle w:val="BodyText"/>
        <w:spacing w:line="355" w:lineRule="auto" w:before="133"/>
        <w:ind w:left="144" w:right="0" w:firstLine="420"/>
        <w:jc w:val="left"/>
      </w:pPr>
      <w:r>
        <w:rPr/>
        <w:t>人民网科技（北京）有限公司为本公司之子公司金台创业投资有限公司与北京采悠科技中心（有限合伙）于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4"/>
        </w:rPr>
        <w:t> </w:t>
      </w:r>
      <w:r>
        <w:rPr/>
        <w:t>日共同出资设立，金台</w:t>
      </w:r>
      <w:r>
        <w:rPr>
          <w:w w:val="100"/>
        </w:rPr>
        <w:t> </w:t>
      </w:r>
      <w:r>
        <w:rPr>
          <w:spacing w:val="-1"/>
        </w:rPr>
        <w:t>创投持股</w:t>
      </w:r>
      <w:r>
        <w:rPr>
          <w:spacing w:val="1"/>
        </w:rPr>
        <w:t> </w:t>
      </w:r>
      <w:r>
        <w:rPr>
          <w:rFonts w:ascii="宋体" w:hAnsi="宋体" w:cs="宋体" w:eastAsia="宋体" w:hint="default"/>
          <w:spacing w:val="-2"/>
        </w:rPr>
        <w:t>80%</w:t>
      </w:r>
      <w:r>
        <w:rPr>
          <w:spacing w:val="-2"/>
        </w:rPr>
        <w:t>，达到控制。自设立之日起纳入合并财务报表范围。</w:t>
      </w:r>
    </w:p>
    <w:p>
      <w:pPr>
        <w:pStyle w:val="BodyText"/>
        <w:spacing w:line="355" w:lineRule="auto" w:before="32"/>
        <w:ind w:left="144" w:right="0" w:firstLine="420"/>
        <w:jc w:val="left"/>
      </w:pPr>
      <w:r>
        <w:rPr/>
        <w:t>人民健康网络有限公司为本公司与中国人民健康保险股份有限公司于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日共同出资设立，本公司持股</w:t>
      </w:r>
      <w:r>
        <w:rPr>
          <w:spacing w:val="-54"/>
        </w:rPr>
        <w:t> </w:t>
      </w:r>
      <w:r>
        <w:rPr>
          <w:rFonts w:ascii="宋体" w:hAnsi="宋体" w:cs="宋体" w:eastAsia="宋体" w:hint="default"/>
        </w:rPr>
        <w:t>51%</w:t>
      </w:r>
      <w:r>
        <w:rPr/>
        <w:t>，达到控制。自设立之日起</w:t>
      </w:r>
      <w:r>
        <w:rPr>
          <w:w w:val="100"/>
        </w:rPr>
        <w:t> </w:t>
      </w:r>
      <w:r>
        <w:rPr/>
        <w:t>纳入合并财务报表范围。</w:t>
      </w:r>
    </w:p>
    <w:p>
      <w:pPr>
        <w:pStyle w:val="BodyText"/>
        <w:spacing w:line="240" w:lineRule="auto" w:before="34"/>
        <w:ind w:left="564" w:right="0"/>
        <w:jc w:val="left"/>
      </w:pPr>
      <w:r>
        <w:rPr/>
        <w:t>与上年末相比，本期减少纳入合并财务报表范围的子公司</w:t>
      </w:r>
      <w:r>
        <w:rPr>
          <w:spacing w:val="-55"/>
        </w:rPr>
        <w:t> </w:t>
      </w:r>
      <w:r>
        <w:rPr>
          <w:rFonts w:ascii="宋体" w:hAnsi="宋体" w:cs="宋体" w:eastAsia="宋体" w:hint="default"/>
        </w:rPr>
        <w:t>1</w:t>
      </w:r>
      <w:r>
        <w:rPr>
          <w:rFonts w:ascii="宋体" w:hAnsi="宋体" w:cs="宋体" w:eastAsia="宋体" w:hint="default"/>
          <w:spacing w:val="-55"/>
        </w:rPr>
        <w:t> </w:t>
      </w:r>
      <w:r>
        <w:rPr/>
        <w:t>家：</w:t>
      </w:r>
    </w:p>
    <w:p>
      <w:pPr>
        <w:pStyle w:val="BodyText"/>
        <w:spacing w:line="240" w:lineRule="auto" w:before="133"/>
        <w:ind w:left="564" w:right="0"/>
        <w:jc w:val="left"/>
      </w:pPr>
      <w:r>
        <w:rPr/>
        <w:t>人民网江苏有限公司是本公司之全资子公司，于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t>日工商注销，自注销之日起不再纳入合并财务报表范围。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left="144"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6" w:val="left" w:leader="none"/>
        </w:tabs>
        <w:spacing w:line="240" w:lineRule="auto" w:before="56"/>
        <w:ind w:left="144" w:right="0"/>
        <w:jc w:val="left"/>
      </w:pPr>
      <w:r>
        <w:rPr/>
        <w:t>□适用</w:t>
        <w:tab/>
        <w:t>√不适用</w:t>
      </w:r>
    </w:p>
    <w:p>
      <w:pPr>
        <w:spacing w:after="0" w:line="240" w:lineRule="auto"/>
        <w:jc w:val="left"/>
        <w:sectPr>
          <w:pgSz w:w="16840" w:h="11910" w:orient="landscape"/>
          <w:pgMar w:header="882" w:footer="1195" w:top="1120" w:bottom="1380" w:left="138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tabs>
          <w:tab w:pos="867" w:val="left" w:leader="none"/>
        </w:tabs>
        <w:spacing w:line="290" w:lineRule="auto"/>
        <w:ind w:left="224" w:right="11766"/>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4"/>
        <w:ind w:left="224" w:right="7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4"/>
        <w:gridCol w:w="1416"/>
        <w:gridCol w:w="1419"/>
        <w:gridCol w:w="2124"/>
        <w:gridCol w:w="1558"/>
        <w:gridCol w:w="1562"/>
        <w:gridCol w:w="1647"/>
      </w:tblGrid>
      <w:tr>
        <w:trPr>
          <w:trHeight w:val="283" w:hRule="exact"/>
        </w:trPr>
        <w:tc>
          <w:tcPr>
            <w:tcW w:w="4364"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10"/>
              <w:ind w:left="17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10"/>
              <w:ind w:left="38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124" w:type="dxa"/>
            <w:vMerge w:val="restart"/>
            <w:tcBorders>
              <w:top w:val="single" w:sz="4" w:space="0" w:color="000000"/>
              <w:left w:val="single" w:sz="4" w:space="0" w:color="000000"/>
              <w:right w:val="single" w:sz="4" w:space="0" w:color="000000"/>
            </w:tcBorders>
          </w:tcPr>
          <w:p>
            <w:pPr>
              <w:pStyle w:val="TableParagraph"/>
              <w:spacing w:line="240" w:lineRule="auto" w:before="110"/>
              <w:ind w:left="63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647" w:type="dxa"/>
            <w:vMerge w:val="restart"/>
            <w:tcBorders>
              <w:top w:val="single" w:sz="4" w:space="0" w:color="000000"/>
              <w:left w:val="single" w:sz="4" w:space="0" w:color="000000"/>
              <w:right w:val="single" w:sz="4"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436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12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647" w:type="dxa"/>
            <w:vMerge/>
            <w:tcBorders>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人民网科技（北京）有限公司（注</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51.00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人民视讯（新疆）文化有限公司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伊犁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伊犁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300" w:right="122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4"/>
        <w:gridCol w:w="1416"/>
        <w:gridCol w:w="1419"/>
        <w:gridCol w:w="2124"/>
        <w:gridCol w:w="1558"/>
        <w:gridCol w:w="1562"/>
        <w:gridCol w:w="1647"/>
      </w:tblGrid>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人民网南中有限责任公司（注</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51.00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斯德哥尔摩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斯德哥尔摩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5"/>
        <w:rPr>
          <w:rFonts w:ascii="宋体" w:hAnsi="宋体" w:cs="宋体" w:eastAsia="宋体" w:hint="default"/>
          <w:sz w:val="15"/>
          <w:szCs w:val="15"/>
        </w:rPr>
      </w:pPr>
    </w:p>
    <w:p>
      <w:pPr>
        <w:pStyle w:val="BodyText"/>
        <w:spacing w:line="240" w:lineRule="auto" w:before="36"/>
        <w:ind w:left="224" w:right="9536"/>
        <w:jc w:val="left"/>
      </w:pPr>
      <w:r>
        <w:rPr>
          <w:spacing w:val="-2"/>
        </w:rPr>
        <w:t>在子公司的持股比例不同于表决权比例的说明：</w:t>
      </w:r>
      <w:r>
        <w:rPr>
          <w:spacing w:val="-65"/>
        </w:rPr>
        <w:t> </w:t>
      </w:r>
      <w:r>
        <w:rPr>
          <w:spacing w:val="-65"/>
        </w:rPr>
      </w:r>
      <w:r>
        <w:rPr/>
        <w:t>无</w:t>
      </w:r>
    </w:p>
    <w:p>
      <w:pPr>
        <w:spacing w:line="240" w:lineRule="auto" w:before="10"/>
        <w:rPr>
          <w:rFonts w:ascii="宋体" w:hAnsi="宋体" w:cs="宋体" w:eastAsia="宋体" w:hint="default"/>
          <w:sz w:val="22"/>
          <w:szCs w:val="22"/>
        </w:rPr>
      </w:pPr>
    </w:p>
    <w:p>
      <w:pPr>
        <w:pStyle w:val="BodyText"/>
        <w:spacing w:line="272" w:lineRule="exact"/>
        <w:ind w:left="224" w:right="4752"/>
        <w:jc w:val="left"/>
      </w:pPr>
      <w:r>
        <w:rPr>
          <w:spacing w:val="-2"/>
        </w:rPr>
        <w:t>持有半数或以下表决权但仍控制被投资单位、以及持有半数以上表决权但不控制被投资单位的依据：</w:t>
      </w:r>
      <w:r>
        <w:rPr>
          <w:spacing w:val="-21"/>
        </w:rPr>
        <w:t> </w:t>
      </w:r>
      <w:r>
        <w:rPr>
          <w:spacing w:val="-21"/>
        </w:rPr>
      </w:r>
      <w:r>
        <w:rPr/>
        <w:t>无</w:t>
      </w:r>
    </w:p>
    <w:p>
      <w:pPr>
        <w:spacing w:line="240" w:lineRule="auto" w:before="10"/>
        <w:rPr>
          <w:rFonts w:ascii="宋体" w:hAnsi="宋体" w:cs="宋体" w:eastAsia="宋体" w:hint="default"/>
          <w:sz w:val="18"/>
          <w:szCs w:val="18"/>
        </w:rPr>
      </w:pPr>
    </w:p>
    <w:p>
      <w:pPr>
        <w:pStyle w:val="BodyText"/>
        <w:spacing w:line="240" w:lineRule="auto"/>
        <w:ind w:left="224" w:right="8912"/>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22"/>
          <w:szCs w:val="22"/>
        </w:rPr>
      </w:pPr>
    </w:p>
    <w:p>
      <w:pPr>
        <w:pStyle w:val="BodyText"/>
        <w:spacing w:line="272" w:lineRule="exact"/>
        <w:ind w:left="224" w:right="10368"/>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18"/>
          <w:szCs w:val="18"/>
        </w:rPr>
      </w:pPr>
    </w:p>
    <w:p>
      <w:pPr>
        <w:pStyle w:val="BodyText"/>
        <w:spacing w:line="274" w:lineRule="exact"/>
        <w:ind w:left="224" w:right="77"/>
        <w:jc w:val="left"/>
      </w:pPr>
      <w:r>
        <w:rPr/>
        <w:t>其他说明：</w:t>
      </w:r>
    </w:p>
    <w:p>
      <w:pPr>
        <w:pStyle w:val="BodyText"/>
        <w:spacing w:line="274" w:lineRule="exact"/>
        <w:ind w:left="644" w:right="77"/>
        <w:jc w:val="left"/>
      </w:pPr>
      <w:r>
        <w:rPr/>
        <w:t>注</w:t>
      </w:r>
      <w:r>
        <w:rPr>
          <w:spacing w:val="-57"/>
        </w:rPr>
        <w:t> </w:t>
      </w:r>
      <w:r>
        <w:rPr>
          <w:rFonts w:ascii="宋体" w:hAnsi="宋体" w:cs="宋体" w:eastAsia="宋体" w:hint="default"/>
        </w:rPr>
        <w:t>1</w:t>
      </w:r>
      <w:r>
        <w:rPr/>
        <w:t>：武汉人民在线信息科技有限公司为本公司之子公司北京人民在线网络有限公司出资设立，持股比例为</w:t>
      </w:r>
      <w:r>
        <w:rPr>
          <w:spacing w:val="-57"/>
        </w:rPr>
        <w:t> </w:t>
      </w:r>
      <w:r>
        <w:rPr>
          <w:rFonts w:ascii="宋体" w:hAnsi="宋体" w:cs="宋体" w:eastAsia="宋体" w:hint="default"/>
        </w:rPr>
        <w:t>100.00%</w:t>
      </w:r>
      <w:r>
        <w:rPr/>
        <w:t>。</w:t>
      </w:r>
    </w:p>
    <w:p>
      <w:pPr>
        <w:pStyle w:val="BodyText"/>
        <w:spacing w:line="240" w:lineRule="auto" w:before="133"/>
        <w:ind w:left="644" w:right="77"/>
        <w:jc w:val="left"/>
      </w:pPr>
      <w:r>
        <w:rPr/>
        <w:t>注 </w:t>
      </w:r>
      <w:r>
        <w:rPr>
          <w:rFonts w:ascii="宋体" w:hAnsi="宋体" w:cs="宋体" w:eastAsia="宋体" w:hint="default"/>
          <w:spacing w:val="-2"/>
        </w:rPr>
        <w:t>2</w:t>
      </w:r>
      <w:r>
        <w:rPr>
          <w:spacing w:val="-2"/>
        </w:rPr>
        <w:t>：大连龙飞华翔科技有限公司为本公司之子公司环球时报在线</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文化传播有限公司出资购买，持股比例为</w:t>
      </w:r>
      <w:r>
        <w:rPr>
          <w:spacing w:val="-6"/>
        </w:rPr>
        <w:t> </w:t>
      </w:r>
      <w:r>
        <w:rPr>
          <w:rFonts w:ascii="宋体" w:hAnsi="宋体" w:cs="宋体" w:eastAsia="宋体" w:hint="default"/>
          <w:spacing w:val="-1"/>
        </w:rPr>
        <w:t>100.00%</w:t>
      </w:r>
      <w:r>
        <w:rPr>
          <w:spacing w:val="-1"/>
        </w:rPr>
        <w:t>。</w:t>
      </w:r>
    </w:p>
    <w:p>
      <w:pPr>
        <w:pStyle w:val="BodyText"/>
        <w:spacing w:line="240" w:lineRule="auto" w:before="133"/>
        <w:ind w:left="644" w:right="77"/>
        <w:jc w:val="left"/>
      </w:pPr>
      <w:r>
        <w:rPr/>
        <w:t>注 </w:t>
      </w:r>
      <w:r>
        <w:rPr>
          <w:rFonts w:ascii="宋体" w:hAnsi="宋体" w:cs="宋体" w:eastAsia="宋体" w:hint="default"/>
          <w:spacing w:val="-2"/>
        </w:rPr>
        <w:t>3</w:t>
      </w:r>
      <w:r>
        <w:rPr>
          <w:spacing w:val="-2"/>
        </w:rPr>
        <w:t>：北京中盛卓越国际文化传媒有限公司为本公司之子公司环球时报在线</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文化传播有限公司出资购买，持股比例为</w:t>
      </w:r>
      <w:r>
        <w:rPr>
          <w:spacing w:val="-6"/>
        </w:rPr>
        <w:t> </w:t>
      </w:r>
      <w:r>
        <w:rPr>
          <w:rFonts w:ascii="宋体" w:hAnsi="宋体" w:cs="宋体" w:eastAsia="宋体" w:hint="default"/>
          <w:spacing w:val="-1"/>
        </w:rPr>
        <w:t>100.00%</w:t>
      </w:r>
      <w:r>
        <w:rPr>
          <w:spacing w:val="-1"/>
        </w:rPr>
        <w:t>。</w:t>
      </w:r>
    </w:p>
    <w:p>
      <w:pPr>
        <w:pStyle w:val="BodyText"/>
        <w:spacing w:line="360" w:lineRule="auto" w:before="133"/>
        <w:ind w:left="644" w:right="77"/>
        <w:jc w:val="left"/>
      </w:pPr>
      <w:r>
        <w:rPr/>
        <w:t>注 </w:t>
      </w:r>
      <w:r>
        <w:rPr>
          <w:rFonts w:ascii="宋体" w:hAnsi="宋体" w:cs="宋体" w:eastAsia="宋体" w:hint="default"/>
          <w:spacing w:val="-9"/>
        </w:rPr>
        <w:t>4</w:t>
      </w:r>
      <w:r>
        <w:rPr>
          <w:spacing w:val="-9"/>
        </w:rPr>
        <w:t>：人民网科技（北京）有限公司为本公司之子公司金台创业投资有限公司与北京采悠科技中心（有限合伙）共同出资设立，金台创投持股 </w:t>
      </w:r>
      <w:r>
        <w:rPr>
          <w:rFonts w:ascii="宋体" w:hAnsi="宋体" w:cs="宋体" w:eastAsia="宋体" w:hint="default"/>
        </w:rPr>
        <w:t>80.00%</w:t>
      </w:r>
      <w:r>
        <w:rPr/>
        <w:t>。</w:t>
      </w:r>
      <w:r>
        <w:rPr>
          <w:spacing w:val="-81"/>
        </w:rPr>
        <w:t> </w:t>
      </w:r>
      <w:r>
        <w:rPr/>
        <w:t>注</w:t>
      </w:r>
      <w:r>
        <w:rPr>
          <w:spacing w:val="-57"/>
        </w:rPr>
        <w:t> </w:t>
      </w:r>
      <w:r>
        <w:rPr>
          <w:rFonts w:ascii="宋体" w:hAnsi="宋体" w:cs="宋体" w:eastAsia="宋体" w:hint="default"/>
        </w:rPr>
        <w:t>5</w:t>
      </w:r>
      <w:r>
        <w:rPr/>
        <w:t>：人民视讯（上海）文化有限公司为本公司之子公司人民视讯文化有限公司出资设立，持股比例为</w:t>
      </w:r>
      <w:r>
        <w:rPr>
          <w:spacing w:val="-57"/>
        </w:rPr>
        <w:t> </w:t>
      </w:r>
      <w:r>
        <w:rPr>
          <w:rFonts w:ascii="宋体" w:hAnsi="宋体" w:cs="宋体" w:eastAsia="宋体" w:hint="default"/>
        </w:rPr>
        <w:t>100.00%</w:t>
      </w:r>
      <w:r>
        <w:rPr/>
        <w:t>。</w:t>
      </w:r>
    </w:p>
    <w:p>
      <w:pPr>
        <w:pStyle w:val="BodyText"/>
        <w:spacing w:line="355" w:lineRule="auto" w:before="28"/>
        <w:ind w:left="644" w:right="3265"/>
        <w:jc w:val="left"/>
      </w:pPr>
      <w:r>
        <w:rPr/>
        <w:t>注</w:t>
      </w:r>
      <w:r>
        <w:rPr>
          <w:spacing w:val="-56"/>
        </w:rPr>
        <w:t> </w:t>
      </w:r>
      <w:r>
        <w:rPr>
          <w:rFonts w:ascii="宋体" w:hAnsi="宋体" w:cs="宋体" w:eastAsia="宋体" w:hint="default"/>
        </w:rPr>
        <w:t>6</w:t>
      </w:r>
      <w:r>
        <w:rPr/>
        <w:t>：人民视讯（新疆）文化有限公司为本公司之子公司人民视讯文化有限公司出资设立，持股比例为</w:t>
      </w:r>
      <w:r>
        <w:rPr>
          <w:spacing w:val="-55"/>
        </w:rPr>
        <w:t> </w:t>
      </w:r>
      <w:r>
        <w:rPr>
          <w:rFonts w:ascii="宋体" w:hAnsi="宋体" w:cs="宋体" w:eastAsia="宋体" w:hint="default"/>
        </w:rPr>
        <w:t>100.00%</w:t>
      </w:r>
      <w:r>
        <w:rPr/>
        <w:t>。</w:t>
      </w:r>
      <w:r>
        <w:rPr>
          <w:w w:val="100"/>
        </w:rPr>
        <w:t> </w:t>
      </w:r>
      <w:r>
        <w:rPr/>
        <w:t>注</w:t>
      </w:r>
      <w:r>
        <w:rPr>
          <w:spacing w:val="-57"/>
        </w:rPr>
        <w:t> </w:t>
      </w:r>
      <w:r>
        <w:rPr>
          <w:rFonts w:ascii="宋体" w:hAnsi="宋体" w:cs="宋体" w:eastAsia="宋体" w:hint="default"/>
        </w:rPr>
        <w:t>7</w:t>
      </w:r>
      <w:r>
        <w:rPr/>
        <w:t>：人民网南中有限责任公司为本公司之子公司人民网南非有限责任公司出资设立，持股比例为</w:t>
      </w:r>
      <w:r>
        <w:rPr>
          <w:spacing w:val="-57"/>
        </w:rPr>
        <w:t> </w:t>
      </w:r>
      <w:r>
        <w:rPr>
          <w:rFonts w:ascii="宋体" w:hAnsi="宋体" w:cs="宋体" w:eastAsia="宋体" w:hint="default"/>
        </w:rPr>
        <w:t>51.00%</w:t>
      </w:r>
      <w:r>
        <w:rPr/>
        <w:t>。</w:t>
      </w:r>
    </w:p>
    <w:p>
      <w:pPr>
        <w:spacing w:after="0" w:line="355" w:lineRule="auto"/>
        <w:jc w:val="left"/>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0" w:right="20"/>
        </w:sectPr>
      </w:pPr>
    </w:p>
    <w:p>
      <w:pPr>
        <w:spacing w:line="240" w:lineRule="auto" w:before="4"/>
        <w:rPr>
          <w:rFonts w:ascii="宋体" w:hAnsi="宋体" w:cs="宋体" w:eastAsia="宋体" w:hint="default"/>
          <w:sz w:val="14"/>
          <w:szCs w:val="14"/>
        </w:rPr>
      </w:pPr>
    </w:p>
    <w:p>
      <w:pPr>
        <w:pStyle w:val="Heading2"/>
        <w:tabs>
          <w:tab w:pos="2167" w:val="left" w:leader="none"/>
        </w:tabs>
        <w:spacing w:line="240" w:lineRule="auto"/>
        <w:ind w:left="1524" w:right="-16"/>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1524"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2469" w:val="left" w:leader="none"/>
        </w:tabs>
        <w:spacing w:line="240" w:lineRule="auto"/>
        <w:ind w:left="15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0" w:right="20"/>
          <w:cols w:num="2" w:equalWidth="0">
            <w:col w:w="4069" w:space="7705"/>
            <w:col w:w="5046"/>
          </w:cols>
        </w:sectPr>
      </w:pPr>
    </w:p>
    <w:p>
      <w:pPr>
        <w:spacing w:line="240" w:lineRule="auto" w:before="7"/>
        <w:rPr>
          <w:rFonts w:ascii="宋体" w:hAnsi="宋体" w:cs="宋体" w:eastAsia="宋体" w:hint="default"/>
          <w:sz w:val="2"/>
          <w:szCs w:val="2"/>
        </w:rPr>
      </w:pPr>
    </w:p>
    <w:tbl>
      <w:tblPr>
        <w:tblW w:w="0" w:type="auto"/>
        <w:jc w:val="left"/>
        <w:tblInd w:w="1411" w:type="dxa"/>
        <w:tblLayout w:type="fixed"/>
        <w:tblCellMar>
          <w:top w:w="0" w:type="dxa"/>
          <w:left w:w="0" w:type="dxa"/>
          <w:bottom w:w="0" w:type="dxa"/>
          <w:right w:w="0" w:type="dxa"/>
        </w:tblCellMar>
        <w:tblLook w:val="01E0"/>
      </w:tblPr>
      <w:tblGrid>
        <w:gridCol w:w="4220"/>
        <w:gridCol w:w="1841"/>
        <w:gridCol w:w="2696"/>
        <w:gridCol w:w="2619"/>
        <w:gridCol w:w="2715"/>
      </w:tblGrid>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本期归属于少数股东的损</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本期向少数股东宣告分派</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的股利</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9"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4,294,665.93</w:t>
            </w:r>
          </w:p>
        </w:tc>
        <w:tc>
          <w:tcPr>
            <w:tcW w:w="2619"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40,615,995.61</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5,070,684.03</w:t>
            </w:r>
          </w:p>
        </w:tc>
        <w:tc>
          <w:tcPr>
            <w:tcW w:w="2619"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28,864,830.10</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18,974,994.30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6" w:right="0"/>
              <w:jc w:val="left"/>
              <w:rPr>
                <w:rFonts w:ascii="宋体" w:hAnsi="宋体" w:cs="宋体" w:eastAsia="宋体" w:hint="default"/>
                <w:sz w:val="21"/>
                <w:szCs w:val="21"/>
              </w:rPr>
            </w:pPr>
            <w:r>
              <w:rPr>
                <w:rFonts w:ascii="宋体"/>
                <w:sz w:val="21"/>
              </w:rPr>
              <w:t>9,800,000.00</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62,266,262.60</w:t>
            </w:r>
          </w:p>
        </w:tc>
      </w:tr>
    </w:tbl>
    <w:p>
      <w:pPr>
        <w:spacing w:line="240" w:lineRule="auto" w:before="5"/>
        <w:rPr>
          <w:rFonts w:ascii="宋体" w:hAnsi="宋体" w:cs="宋体" w:eastAsia="宋体" w:hint="default"/>
          <w:sz w:val="15"/>
          <w:szCs w:val="15"/>
        </w:rPr>
      </w:pPr>
    </w:p>
    <w:p>
      <w:pPr>
        <w:pStyle w:val="BodyText"/>
        <w:spacing w:line="274" w:lineRule="exact" w:before="36"/>
        <w:ind w:left="1524" w:right="0"/>
        <w:jc w:val="left"/>
      </w:pPr>
      <w:r>
        <w:rPr/>
        <w:t>子公司少数股东的持股比例不同于表决权比例的说明：</w:t>
      </w:r>
    </w:p>
    <w:p>
      <w:pPr>
        <w:pStyle w:val="BodyText"/>
        <w:spacing w:line="274" w:lineRule="exact"/>
        <w:ind w:left="1524"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524" w:right="0"/>
        <w:jc w:val="left"/>
      </w:pPr>
      <w:r>
        <w:rPr/>
        <w:t>其他说明：</w:t>
      </w:r>
    </w:p>
    <w:p>
      <w:pPr>
        <w:pStyle w:val="BodyText"/>
        <w:spacing w:line="273" w:lineRule="exact"/>
        <w:ind w:left="1524"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6840" w:h="11910" w:orient="landscape"/>
          <w:pgMar w:top="1120" w:bottom="1380" w:left="0" w:right="20"/>
        </w:sectPr>
      </w:pPr>
    </w:p>
    <w:p>
      <w:pPr>
        <w:pStyle w:val="Heading2"/>
        <w:tabs>
          <w:tab w:pos="2167" w:val="left" w:leader="none"/>
        </w:tabs>
        <w:spacing w:line="240" w:lineRule="auto" w:before="36"/>
        <w:ind w:left="1524"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9"/>
        <w:ind w:left="1524"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469" w:val="left" w:leader="none"/>
        </w:tabs>
        <w:spacing w:line="240" w:lineRule="auto"/>
        <w:ind w:left="15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0" w:right="20"/>
          <w:cols w:num="2" w:equalWidth="0">
            <w:col w:w="5331" w:space="6443"/>
            <w:col w:w="504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76"/>
        <w:gridCol w:w="1407"/>
        <w:gridCol w:w="1279"/>
        <w:gridCol w:w="1421"/>
        <w:gridCol w:w="1409"/>
        <w:gridCol w:w="1274"/>
        <w:gridCol w:w="1424"/>
        <w:gridCol w:w="1421"/>
        <w:gridCol w:w="1299"/>
        <w:gridCol w:w="1394"/>
        <w:gridCol w:w="1272"/>
        <w:gridCol w:w="1136"/>
        <w:gridCol w:w="1277"/>
      </w:tblGrid>
      <w:tr>
        <w:trPr>
          <w:trHeight w:val="281" w:hRule="exact"/>
        </w:trPr>
        <w:tc>
          <w:tcPr>
            <w:tcW w:w="576" w:type="dxa"/>
            <w:vMerge w:val="restart"/>
            <w:tcBorders>
              <w:top w:val="single" w:sz="4" w:space="0" w:color="000000"/>
              <w:left w:val="single" w:sz="4" w:space="0" w:color="000000"/>
              <w:right w:val="single" w:sz="4" w:space="0" w:color="000000"/>
            </w:tcBorders>
          </w:tcPr>
          <w:p>
            <w:pPr>
              <w:pStyle w:val="TableParagraph"/>
              <w:spacing w:line="239" w:lineRule="exact"/>
              <w:ind w:left="187"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37" w:lineRule="auto"/>
              <w:ind w:left="187" w:right="167"/>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82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7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576" w:type="dxa"/>
            <w:vMerge/>
            <w:tcBorders>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pacing w:val="-1"/>
                <w:sz w:val="21"/>
                <w:szCs w:val="21"/>
              </w:rPr>
              <w:t>非流动负债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87"/>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62" w:right="0"/>
              <w:jc w:val="center"/>
              <w:rPr>
                <w:rFonts w:ascii="宋体" w:hAnsi="宋体" w:cs="宋体" w:eastAsia="宋体" w:hint="default"/>
                <w:sz w:val="21"/>
                <w:szCs w:val="21"/>
              </w:rPr>
            </w:pPr>
            <w:r>
              <w:rPr>
                <w:rFonts w:ascii="宋体" w:hAnsi="宋体" w:cs="宋体" w:eastAsia="宋体" w:hint="default"/>
                <w:sz w:val="21"/>
                <w:szCs w:val="21"/>
              </w:rPr>
              <w:t>非流动负债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负债合计</w:t>
            </w:r>
          </w:p>
        </w:tc>
      </w:tr>
      <w:tr>
        <w:trPr>
          <w:trHeight w:val="125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37" w:lineRule="auto" w:before="1"/>
              <w:ind w:left="105" w:right="137"/>
              <w:jc w:val="both"/>
              <w:rPr>
                <w:rFonts w:ascii="宋体" w:hAnsi="宋体" w:cs="宋体" w:eastAsia="宋体" w:hint="default"/>
                <w:sz w:val="16"/>
                <w:szCs w:val="16"/>
              </w:rPr>
            </w:pPr>
            <w:r>
              <w:rPr>
                <w:rFonts w:ascii="宋体" w:hAnsi="宋体" w:cs="宋体" w:eastAsia="宋体" w:hint="default"/>
                <w:sz w:val="16"/>
                <w:szCs w:val="16"/>
              </w:rPr>
              <w:t>人民</w:t>
            </w:r>
            <w:r>
              <w:rPr>
                <w:rFonts w:ascii="宋体" w:hAnsi="宋体" w:cs="宋体" w:eastAsia="宋体" w:hint="default"/>
                <w:w w:val="100"/>
                <w:sz w:val="16"/>
                <w:szCs w:val="16"/>
              </w:rPr>
              <w:t> </w:t>
            </w:r>
            <w:r>
              <w:rPr>
                <w:rFonts w:ascii="宋体" w:hAnsi="宋体" w:cs="宋体" w:eastAsia="宋体" w:hint="default"/>
                <w:sz w:val="16"/>
                <w:szCs w:val="16"/>
              </w:rPr>
              <w:t>在线</w:t>
            </w:r>
            <w:r>
              <w:rPr>
                <w:rFonts w:ascii="宋体" w:hAnsi="宋体" w:cs="宋体" w:eastAsia="宋体" w:hint="default"/>
                <w:w w:val="100"/>
                <w:sz w:val="16"/>
                <w:szCs w:val="16"/>
              </w:rPr>
              <w:t> </w:t>
            </w:r>
            <w:r>
              <w:rPr>
                <w:rFonts w:ascii="宋体" w:hAnsi="宋体" w:cs="宋体" w:eastAsia="宋体" w:hint="default"/>
                <w:sz w:val="16"/>
                <w:szCs w:val="16"/>
              </w:rPr>
              <w:t>网络</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center"/>
              <w:rPr>
                <w:rFonts w:ascii="宋体" w:hAnsi="宋体" w:cs="宋体" w:eastAsia="宋体" w:hint="default"/>
                <w:sz w:val="16"/>
                <w:szCs w:val="16"/>
              </w:rPr>
            </w:pPr>
            <w:r>
              <w:rPr>
                <w:rFonts w:ascii="宋体"/>
                <w:sz w:val="16"/>
              </w:rPr>
              <w:t>195,049,417.85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16,193,179.95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211,242,597.80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100,098,354.30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9,604,254.48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109,702,608.78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4" w:right="0"/>
              <w:jc w:val="center"/>
              <w:rPr>
                <w:rFonts w:ascii="宋体" w:hAnsi="宋体" w:cs="宋体" w:eastAsia="宋体" w:hint="default"/>
                <w:sz w:val="16"/>
                <w:szCs w:val="16"/>
              </w:rPr>
            </w:pPr>
            <w:r>
              <w:rPr>
                <w:rFonts w:ascii="宋体"/>
                <w:sz w:val="16"/>
              </w:rPr>
              <w:t>134,592,020.88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33,136,643.03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8" w:right="0"/>
              <w:jc w:val="center"/>
              <w:rPr>
                <w:rFonts w:ascii="宋体" w:hAnsi="宋体" w:cs="宋体" w:eastAsia="宋体" w:hint="default"/>
                <w:sz w:val="16"/>
                <w:szCs w:val="16"/>
              </w:rPr>
            </w:pPr>
            <w:r>
              <w:rPr>
                <w:rFonts w:ascii="宋体"/>
                <w:sz w:val="16"/>
              </w:rPr>
              <w:t>167,728,663.91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6"/>
                <w:szCs w:val="16"/>
              </w:rPr>
            </w:pPr>
            <w:r>
              <w:rPr>
                <w:rFonts w:ascii="宋体"/>
                <w:sz w:val="16"/>
              </w:rPr>
              <w:t>67,074,313.72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9,851,026.0</w:t>
            </w:r>
          </w:p>
          <w:p>
            <w:pPr>
              <w:pStyle w:val="TableParagraph"/>
              <w:spacing w:line="240" w:lineRule="auto"/>
              <w:ind w:right="101"/>
              <w:jc w:val="right"/>
              <w:rPr>
                <w:rFonts w:ascii="宋体" w:hAnsi="宋体" w:cs="宋体" w:eastAsia="宋体" w:hint="default"/>
                <w:sz w:val="16"/>
                <w:szCs w:val="16"/>
              </w:rPr>
            </w:pPr>
            <w:r>
              <w:rPr>
                <w:rFonts w:ascii="宋体"/>
                <w:w w:val="100"/>
                <w:sz w:val="16"/>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6"/>
                <w:szCs w:val="16"/>
              </w:rPr>
            </w:pPr>
            <w:r>
              <w:rPr>
                <w:rFonts w:ascii="宋体"/>
                <w:sz w:val="16"/>
              </w:rPr>
              <w:t>76,925,339.72</w:t>
            </w: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环球</w:t>
            </w:r>
          </w:p>
          <w:p>
            <w:pPr>
              <w:pStyle w:val="TableParagraph"/>
              <w:spacing w:line="206" w:lineRule="exact" w:before="21"/>
              <w:ind w:left="105" w:right="137"/>
              <w:jc w:val="left"/>
              <w:rPr>
                <w:rFonts w:ascii="宋体" w:hAnsi="宋体" w:cs="宋体" w:eastAsia="宋体" w:hint="default"/>
                <w:sz w:val="16"/>
                <w:szCs w:val="16"/>
              </w:rPr>
            </w:pPr>
            <w:r>
              <w:rPr>
                <w:rFonts w:ascii="宋体" w:hAnsi="宋体" w:cs="宋体" w:eastAsia="宋体" w:hint="default"/>
                <w:sz w:val="16"/>
                <w:szCs w:val="16"/>
              </w:rPr>
              <w:t>时报</w:t>
            </w:r>
            <w:r>
              <w:rPr>
                <w:rFonts w:ascii="宋体" w:hAnsi="宋体" w:cs="宋体" w:eastAsia="宋体" w:hint="default"/>
                <w:w w:val="100"/>
                <w:sz w:val="16"/>
                <w:szCs w:val="16"/>
              </w:rPr>
              <w:t> </w:t>
            </w:r>
            <w:r>
              <w:rPr>
                <w:rFonts w:ascii="宋体" w:hAnsi="宋体" w:cs="宋体" w:eastAsia="宋体" w:hint="default"/>
                <w:sz w:val="16"/>
                <w:szCs w:val="16"/>
              </w:rPr>
              <w:t>在线</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9" w:right="0"/>
              <w:jc w:val="center"/>
              <w:rPr>
                <w:rFonts w:ascii="宋体" w:hAnsi="宋体" w:cs="宋体" w:eastAsia="宋体" w:hint="default"/>
                <w:sz w:val="16"/>
                <w:szCs w:val="16"/>
              </w:rPr>
            </w:pPr>
            <w:r>
              <w:rPr>
                <w:rFonts w:ascii="宋体"/>
                <w:sz w:val="16"/>
              </w:rPr>
              <w:t>115,353,585.78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9,303,237.94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124,656,823.72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51,794,748.45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700,000.00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52,494,748.45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4" w:right="0"/>
              <w:jc w:val="center"/>
              <w:rPr>
                <w:rFonts w:ascii="宋体" w:hAnsi="宋体" w:cs="宋体" w:eastAsia="宋体" w:hint="default"/>
                <w:sz w:val="16"/>
                <w:szCs w:val="16"/>
              </w:rPr>
            </w:pPr>
            <w:r>
              <w:rPr>
                <w:rFonts w:ascii="宋体"/>
                <w:sz w:val="16"/>
              </w:rPr>
              <w:t>103,495,433.82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8,234,427.46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8" w:right="0"/>
              <w:jc w:val="center"/>
              <w:rPr>
                <w:rFonts w:ascii="宋体" w:hAnsi="宋体" w:cs="宋体" w:eastAsia="宋体" w:hint="default"/>
                <w:sz w:val="16"/>
                <w:szCs w:val="16"/>
              </w:rPr>
            </w:pPr>
            <w:r>
              <w:rPr>
                <w:rFonts w:ascii="宋体"/>
                <w:sz w:val="16"/>
              </w:rPr>
              <w:t>111,729,861.28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6"/>
                <w:szCs w:val="16"/>
              </w:rPr>
            </w:pPr>
            <w:r>
              <w:rPr>
                <w:rFonts w:ascii="宋体"/>
                <w:sz w:val="16"/>
              </w:rPr>
              <w:t>51,544,496.09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0" w:right="0"/>
              <w:jc w:val="center"/>
              <w:rPr>
                <w:rFonts w:ascii="宋体" w:hAnsi="宋体" w:cs="宋体" w:eastAsia="宋体" w:hint="default"/>
                <w:sz w:val="16"/>
                <w:szCs w:val="16"/>
              </w:rPr>
            </w:pPr>
            <w:r>
              <w:rPr>
                <w:rFonts w:ascii="宋体"/>
                <w:sz w:val="16"/>
              </w:rPr>
              <w:t>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6"/>
                <w:szCs w:val="16"/>
              </w:rPr>
            </w:pPr>
            <w:r>
              <w:rPr>
                <w:rFonts w:ascii="宋体"/>
                <w:sz w:val="16"/>
              </w:rPr>
              <w:t>52,244,496.09</w:t>
            </w:r>
          </w:p>
        </w:tc>
      </w:tr>
    </w:tbl>
    <w:p>
      <w:pPr>
        <w:spacing w:after="0" w:line="240" w:lineRule="auto"/>
        <w:jc w:val="center"/>
        <w:rPr>
          <w:rFonts w:ascii="宋体" w:hAnsi="宋体" w:cs="宋体" w:eastAsia="宋体" w:hint="default"/>
          <w:sz w:val="16"/>
          <w:szCs w:val="16"/>
        </w:rPr>
        <w:sectPr>
          <w:type w:val="continuous"/>
          <w:pgSz w:w="16840" w:h="11910" w:orient="landscape"/>
          <w:pgMar w:top="1120" w:bottom="1380" w:left="0" w:right="20"/>
        </w:sectPr>
      </w:pP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576"/>
        <w:gridCol w:w="1407"/>
        <w:gridCol w:w="1279"/>
        <w:gridCol w:w="1421"/>
        <w:gridCol w:w="1409"/>
        <w:gridCol w:w="1274"/>
        <w:gridCol w:w="1424"/>
        <w:gridCol w:w="1421"/>
        <w:gridCol w:w="1299"/>
        <w:gridCol w:w="1394"/>
        <w:gridCol w:w="1272"/>
        <w:gridCol w:w="1136"/>
        <w:gridCol w:w="1277"/>
      </w:tblGrid>
      <w:tr>
        <w:trPr>
          <w:trHeight w:val="125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北</w:t>
            </w:r>
          </w:p>
          <w:p>
            <w:pPr>
              <w:pStyle w:val="TableParagraph"/>
              <w:spacing w:line="237" w:lineRule="auto"/>
              <w:ind w:left="105" w:right="137"/>
              <w:jc w:val="left"/>
              <w:rPr>
                <w:rFonts w:ascii="宋体" w:hAnsi="宋体" w:cs="宋体" w:eastAsia="宋体" w:hint="default"/>
                <w:sz w:val="16"/>
                <w:szCs w:val="16"/>
              </w:rPr>
            </w:pPr>
            <w:r>
              <w:rPr>
                <w:rFonts w:ascii="宋体" w:hAnsi="宋体" w:cs="宋体" w:eastAsia="宋体" w:hint="default"/>
                <w:sz w:val="16"/>
                <w:szCs w:val="16"/>
              </w:rPr>
              <w:t>京</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文化</w:t>
            </w:r>
            <w:r>
              <w:rPr>
                <w:rFonts w:ascii="宋体" w:hAnsi="宋体" w:cs="宋体" w:eastAsia="宋体" w:hint="default"/>
                <w:w w:val="100"/>
                <w:sz w:val="16"/>
                <w:szCs w:val="16"/>
              </w:rPr>
              <w:t> </w:t>
            </w:r>
            <w:r>
              <w:rPr>
                <w:rFonts w:ascii="宋体" w:hAnsi="宋体" w:cs="宋体" w:eastAsia="宋体" w:hint="default"/>
                <w:sz w:val="16"/>
                <w:szCs w:val="16"/>
              </w:rPr>
              <w:t>传播</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0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z w:val="16"/>
                <w:szCs w:val="16"/>
              </w:rPr>
              <w:t>人民</w:t>
            </w:r>
          </w:p>
          <w:p>
            <w:pPr>
              <w:pStyle w:val="TableParagraph"/>
              <w:spacing w:line="237" w:lineRule="auto"/>
              <w:ind w:left="105" w:right="137"/>
              <w:jc w:val="both"/>
              <w:rPr>
                <w:rFonts w:ascii="宋体" w:hAnsi="宋体" w:cs="宋体" w:eastAsia="宋体" w:hint="default"/>
                <w:sz w:val="16"/>
                <w:szCs w:val="16"/>
              </w:rPr>
            </w:pPr>
            <w:r>
              <w:rPr>
                <w:rFonts w:ascii="宋体" w:hAnsi="宋体" w:cs="宋体" w:eastAsia="宋体" w:hint="default"/>
                <w:sz w:val="16"/>
                <w:szCs w:val="16"/>
              </w:rPr>
              <w:t>视讯</w:t>
            </w:r>
            <w:r>
              <w:rPr>
                <w:rFonts w:ascii="宋体" w:hAnsi="宋体" w:cs="宋体" w:eastAsia="宋体" w:hint="default"/>
                <w:w w:val="100"/>
                <w:sz w:val="16"/>
                <w:szCs w:val="16"/>
              </w:rPr>
              <w:t> </w:t>
            </w:r>
            <w:r>
              <w:rPr>
                <w:rFonts w:ascii="宋体" w:hAnsi="宋体" w:cs="宋体" w:eastAsia="宋体" w:hint="default"/>
                <w:sz w:val="16"/>
                <w:szCs w:val="16"/>
              </w:rPr>
              <w:t>文化</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6"/>
                <w:szCs w:val="16"/>
              </w:rPr>
            </w:pPr>
            <w:r>
              <w:rPr>
                <w:rFonts w:ascii="宋体"/>
                <w:sz w:val="16"/>
              </w:rPr>
              <w:t>188,971,188.75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6"/>
                <w:szCs w:val="16"/>
              </w:rPr>
            </w:pPr>
            <w:r>
              <w:rPr>
                <w:rFonts w:ascii="宋体"/>
                <w:sz w:val="16"/>
              </w:rPr>
              <w:t>1,425,485.34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6"/>
                <w:szCs w:val="16"/>
              </w:rPr>
            </w:pPr>
            <w:r>
              <w:rPr>
                <w:rFonts w:ascii="宋体"/>
                <w:sz w:val="16"/>
              </w:rPr>
              <w:t>190,396,674.09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16"/>
                <w:szCs w:val="16"/>
              </w:rPr>
            </w:pPr>
            <w:r>
              <w:rPr>
                <w:rFonts w:ascii="宋体"/>
                <w:sz w:val="16"/>
              </w:rPr>
              <w:t>63,322,668.74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6"/>
                <w:szCs w:val="16"/>
              </w:rPr>
            </w:pPr>
            <w:r>
              <w:rPr>
                <w:rFonts w:ascii="宋体"/>
                <w:sz w:val="16"/>
              </w:rPr>
              <w:t>63,322,668.74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6"/>
                <w:szCs w:val="16"/>
              </w:rPr>
            </w:pPr>
            <w:r>
              <w:rPr>
                <w:rFonts w:ascii="宋体"/>
                <w:sz w:val="16"/>
              </w:rPr>
              <w:t>175,374,851.62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7" w:right="0"/>
              <w:jc w:val="left"/>
              <w:rPr>
                <w:rFonts w:ascii="宋体" w:hAnsi="宋体" w:cs="宋体" w:eastAsia="宋体" w:hint="default"/>
                <w:sz w:val="16"/>
                <w:szCs w:val="16"/>
              </w:rPr>
            </w:pPr>
            <w:r>
              <w:rPr>
                <w:rFonts w:ascii="宋体"/>
                <w:sz w:val="16"/>
              </w:rPr>
              <w:t>1,974,907.30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6"/>
                <w:szCs w:val="16"/>
              </w:rPr>
            </w:pPr>
            <w:r>
              <w:rPr>
                <w:rFonts w:ascii="宋体"/>
                <w:sz w:val="16"/>
              </w:rPr>
              <w:t>177,349,758.92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6"/>
                <w:szCs w:val="16"/>
              </w:rPr>
            </w:pPr>
            <w:r>
              <w:rPr>
                <w:rFonts w:ascii="宋体"/>
                <w:sz w:val="16"/>
              </w:rPr>
              <w:t>69,000,231.74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6"/>
                <w:szCs w:val="16"/>
              </w:rPr>
            </w:pPr>
            <w:r>
              <w:rPr>
                <w:rFonts w:ascii="宋体"/>
                <w:sz w:val="16"/>
              </w:rPr>
              <w:t>69,000,231.74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411" w:type="dxa"/>
        <w:tblLayout w:type="fixed"/>
        <w:tblCellMar>
          <w:top w:w="0" w:type="dxa"/>
          <w:left w:w="0" w:type="dxa"/>
          <w:bottom w:w="0" w:type="dxa"/>
          <w:right w:w="0" w:type="dxa"/>
        </w:tblCellMar>
        <w:tblLook w:val="01E0"/>
      </w:tblPr>
      <w:tblGrid>
        <w:gridCol w:w="3505"/>
        <w:gridCol w:w="1553"/>
        <w:gridCol w:w="1409"/>
        <w:gridCol w:w="987"/>
        <w:gridCol w:w="1411"/>
        <w:gridCol w:w="1477"/>
        <w:gridCol w:w="1414"/>
        <w:gridCol w:w="842"/>
        <w:gridCol w:w="1493"/>
      </w:tblGrid>
      <w:tr>
        <w:trPr>
          <w:trHeight w:val="324" w:hRule="exact"/>
        </w:trPr>
        <w:tc>
          <w:tcPr>
            <w:tcW w:w="35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6"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53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2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48" w:hRule="exact"/>
        </w:trPr>
        <w:tc>
          <w:tcPr>
            <w:tcW w:w="3505"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172" w:right="168"/>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386" w:right="170" w:hanging="212"/>
              <w:jc w:val="left"/>
              <w:rPr>
                <w:rFonts w:ascii="宋体" w:hAnsi="宋体" w:cs="宋体" w:eastAsia="宋体" w:hint="default"/>
                <w:sz w:val="21"/>
                <w:szCs w:val="21"/>
              </w:rPr>
            </w:pPr>
            <w:r>
              <w:rPr>
                <w:rFonts w:ascii="宋体" w:hAnsi="宋体" w:cs="宋体" w:eastAsia="宋体" w:hint="default"/>
                <w:sz w:val="21"/>
                <w:szCs w:val="21"/>
              </w:rPr>
              <w:t>经营活动现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金流量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73" w:lineRule="auto" w:before="37"/>
              <w:ind w:left="204" w:right="204"/>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532" w:right="106" w:hanging="420"/>
              <w:jc w:val="left"/>
              <w:rPr>
                <w:rFonts w:ascii="宋体" w:hAnsi="宋体" w:cs="宋体" w:eastAsia="宋体" w:hint="default"/>
                <w:sz w:val="21"/>
                <w:szCs w:val="21"/>
              </w:rPr>
            </w:pPr>
            <w:r>
              <w:rPr>
                <w:rFonts w:ascii="宋体" w:hAnsi="宋体" w:cs="宋体" w:eastAsia="宋体" w:hint="default"/>
                <w:sz w:val="21"/>
                <w:szCs w:val="21"/>
              </w:rPr>
              <w:t>经营活动现金</w:t>
            </w:r>
            <w:r>
              <w:rPr>
                <w:rFonts w:ascii="宋体" w:hAnsi="宋体" w:cs="宋体" w:eastAsia="宋体" w:hint="default"/>
                <w:w w:val="100"/>
                <w:sz w:val="21"/>
                <w:szCs w:val="21"/>
              </w:rPr>
              <w:t> </w:t>
            </w:r>
            <w:r>
              <w:rPr>
                <w:rFonts w:ascii="宋体" w:hAnsi="宋体" w:cs="宋体" w:eastAsia="宋体" w:hint="default"/>
                <w:sz w:val="21"/>
                <w:szCs w:val="21"/>
              </w:rPr>
              <w:t>流量</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北京人民在线网络有限公司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center"/>
              <w:rPr>
                <w:rFonts w:ascii="宋体" w:hAnsi="宋体" w:cs="宋体" w:eastAsia="宋体" w:hint="default"/>
                <w:sz w:val="18"/>
                <w:szCs w:val="18"/>
              </w:rPr>
            </w:pPr>
            <w:r>
              <w:rPr>
                <w:rFonts w:ascii="宋体"/>
                <w:sz w:val="18"/>
              </w:rPr>
              <w:t>193,625,036.99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10,736,664.83</w:t>
            </w:r>
          </w:p>
        </w:tc>
        <w:tc>
          <w:tcPr>
            <w:tcW w:w="98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39,566,538.44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165,844,714.42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2,908,349.60</w:t>
            </w:r>
          </w:p>
        </w:tc>
        <w:tc>
          <w:tcPr>
            <w:tcW w:w="8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20,136,412.65</w:t>
            </w:r>
          </w:p>
        </w:tc>
      </w:tr>
      <w:tr>
        <w:trPr>
          <w:trHeight w:val="27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环球时报在线</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文化传播有限公司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6" w:right="0"/>
              <w:jc w:val="center"/>
              <w:rPr>
                <w:rFonts w:ascii="宋体" w:hAnsi="宋体" w:cs="宋体" w:eastAsia="宋体" w:hint="default"/>
                <w:sz w:val="18"/>
                <w:szCs w:val="18"/>
              </w:rPr>
            </w:pPr>
            <w:r>
              <w:rPr>
                <w:rFonts w:ascii="宋体"/>
                <w:sz w:val="18"/>
              </w:rPr>
              <w:t>166,973,324.65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sz w:val="18"/>
              </w:rPr>
              <w:t>12,676,710.08</w:t>
            </w:r>
          </w:p>
        </w:tc>
        <w:tc>
          <w:tcPr>
            <w:tcW w:w="98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 w:right="0"/>
              <w:jc w:val="center"/>
              <w:rPr>
                <w:rFonts w:ascii="宋体" w:hAnsi="宋体" w:cs="宋体" w:eastAsia="宋体" w:hint="default"/>
                <w:sz w:val="18"/>
                <w:szCs w:val="18"/>
              </w:rPr>
            </w:pPr>
            <w:r>
              <w:rPr>
                <w:rFonts w:ascii="宋体"/>
                <w:sz w:val="18"/>
              </w:rPr>
              <w:t>22,287,996.85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sz w:val="18"/>
              </w:rPr>
              <w:t>154,761,907.98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25,621,463.90</w:t>
            </w:r>
          </w:p>
        </w:tc>
        <w:tc>
          <w:tcPr>
            <w:tcW w:w="8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宋体" w:hAnsi="宋体" w:cs="宋体" w:eastAsia="宋体" w:hint="default"/>
                <w:sz w:val="18"/>
                <w:szCs w:val="18"/>
              </w:rPr>
            </w:pPr>
            <w:r>
              <w:rPr>
                <w:rFonts w:ascii="宋体"/>
                <w:spacing w:val="-1"/>
                <w:sz w:val="18"/>
              </w:rPr>
              <w:t>38,310,351.38</w:t>
            </w:r>
          </w:p>
        </w:tc>
      </w:tr>
      <w:tr>
        <w:trPr>
          <w:trHeight w:val="27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人民视讯文化有限公司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6" w:right="0"/>
              <w:jc w:val="center"/>
              <w:rPr>
                <w:rFonts w:ascii="宋体" w:hAnsi="宋体" w:cs="宋体" w:eastAsia="宋体" w:hint="default"/>
                <w:sz w:val="18"/>
                <w:szCs w:val="18"/>
              </w:rPr>
            </w:pPr>
            <w:r>
              <w:rPr>
                <w:rFonts w:ascii="宋体"/>
                <w:sz w:val="18"/>
              </w:rPr>
              <w:t>175,019,640.74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sz w:val="18"/>
              </w:rPr>
              <w:t>38,724,478.17</w:t>
            </w:r>
          </w:p>
        </w:tc>
        <w:tc>
          <w:tcPr>
            <w:tcW w:w="98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 w:right="0"/>
              <w:jc w:val="center"/>
              <w:rPr>
                <w:rFonts w:ascii="宋体" w:hAnsi="宋体" w:cs="宋体" w:eastAsia="宋体" w:hint="default"/>
                <w:sz w:val="18"/>
                <w:szCs w:val="18"/>
              </w:rPr>
            </w:pPr>
            <w:r>
              <w:rPr>
                <w:rFonts w:ascii="宋体"/>
                <w:sz w:val="18"/>
              </w:rPr>
              <w:t>26,807,834.37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sz w:val="18"/>
              </w:rPr>
              <w:t>170,959,021.73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35,040,587.01</w:t>
            </w:r>
          </w:p>
        </w:tc>
        <w:tc>
          <w:tcPr>
            <w:tcW w:w="8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宋体" w:hAnsi="宋体" w:cs="宋体" w:eastAsia="宋体" w:hint="default"/>
                <w:sz w:val="18"/>
                <w:szCs w:val="18"/>
              </w:rPr>
            </w:pPr>
            <w:r>
              <w:rPr>
                <w:rFonts w:ascii="宋体"/>
                <w:spacing w:val="-1"/>
                <w:sz w:val="18"/>
              </w:rPr>
              <w:t>64,368,369.06</w:t>
            </w:r>
          </w:p>
        </w:tc>
      </w:tr>
    </w:tbl>
    <w:p>
      <w:pPr>
        <w:spacing w:line="240" w:lineRule="auto" w:before="5"/>
        <w:rPr>
          <w:rFonts w:ascii="宋体" w:hAnsi="宋体" w:cs="宋体" w:eastAsia="宋体" w:hint="default"/>
          <w:sz w:val="15"/>
          <w:szCs w:val="15"/>
        </w:rPr>
      </w:pPr>
    </w:p>
    <w:p>
      <w:pPr>
        <w:pStyle w:val="BodyText"/>
        <w:spacing w:line="240" w:lineRule="auto" w:before="36"/>
        <w:ind w:left="1524" w:right="14224"/>
        <w:jc w:val="left"/>
      </w:pPr>
      <w:r>
        <w:rPr/>
        <w:t>其他说明：</w:t>
      </w:r>
      <w:r>
        <w:rPr>
          <w:spacing w:val="-102"/>
        </w:rPr>
        <w:t> </w:t>
      </w:r>
      <w:r>
        <w:rPr>
          <w:spacing w:val="-102"/>
        </w:rPr>
      </w:r>
      <w:r>
        <w:rPr/>
        <w:t>无</w:t>
      </w:r>
    </w:p>
    <w:p>
      <w:pPr>
        <w:spacing w:line="240" w:lineRule="auto" w:before="3"/>
        <w:rPr>
          <w:rFonts w:ascii="宋体" w:hAnsi="宋体" w:cs="宋体" w:eastAsia="宋体" w:hint="default"/>
          <w:sz w:val="25"/>
          <w:szCs w:val="25"/>
        </w:rPr>
      </w:pPr>
    </w:p>
    <w:p>
      <w:pPr>
        <w:pStyle w:val="Heading2"/>
        <w:tabs>
          <w:tab w:pos="2167" w:val="left" w:leader="none"/>
        </w:tabs>
        <w:spacing w:line="240" w:lineRule="auto"/>
        <w:ind w:left="1524"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1524" w:right="0"/>
        <w:jc w:val="left"/>
      </w:pPr>
      <w:r>
        <w:rPr/>
        <w:t>□适用 √不适用</w:t>
      </w:r>
    </w:p>
    <w:p>
      <w:pPr>
        <w:spacing w:line="240" w:lineRule="auto" w:before="3"/>
        <w:rPr>
          <w:rFonts w:ascii="宋体" w:hAnsi="宋体" w:cs="宋体" w:eastAsia="宋体" w:hint="default"/>
          <w:sz w:val="25"/>
          <w:szCs w:val="25"/>
        </w:rPr>
      </w:pPr>
    </w:p>
    <w:p>
      <w:pPr>
        <w:pStyle w:val="Heading2"/>
        <w:tabs>
          <w:tab w:pos="2167" w:val="left" w:leader="none"/>
        </w:tabs>
        <w:spacing w:line="240" w:lineRule="auto"/>
        <w:ind w:left="1524"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2366" w:val="left" w:leader="none"/>
        </w:tabs>
        <w:spacing w:line="272" w:lineRule="exact" w:before="87"/>
        <w:ind w:left="1524" w:right="13609"/>
        <w:jc w:val="left"/>
      </w:pPr>
      <w:r>
        <w:rPr/>
        <w:t>□适用</w:t>
        <w:tab/>
      </w:r>
      <w:r>
        <w:rPr>
          <w:spacing w:val="-2"/>
        </w:rPr>
        <w:t>√不适用</w:t>
      </w:r>
      <w:r>
        <w:rPr>
          <w:spacing w:val="-99"/>
        </w:rPr>
        <w:t> </w:t>
      </w:r>
      <w:r>
        <w:rPr>
          <w:spacing w:val="-99"/>
        </w:rPr>
      </w:r>
      <w:r>
        <w:rPr/>
        <w:t>其他说明：</w:t>
      </w:r>
    </w:p>
    <w:p>
      <w:pPr>
        <w:pStyle w:val="BodyText"/>
        <w:spacing w:line="246" w:lineRule="exact"/>
        <w:ind w:left="1524" w:right="0"/>
        <w:jc w:val="left"/>
      </w:pPr>
      <w:r>
        <w:rPr/>
        <w:t>□适用 √不适用</w:t>
      </w:r>
    </w:p>
    <w:p>
      <w:pPr>
        <w:spacing w:after="0" w:line="246" w:lineRule="exact"/>
        <w:jc w:val="left"/>
        <w:sectPr>
          <w:pgSz w:w="16840" w:h="11910" w:orient="landscape"/>
          <w:pgMar w:header="882" w:footer="1195" w:top="1120" w:bottom="1380" w:left="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81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8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97"/>
          <w:footerReference w:type="default" r:id="rId98"/>
          <w:pgSz w:w="11910" w:h="16840"/>
          <w:pgMar w:header="882" w:footer="1195" w:top="1120" w:bottom="1380" w:left="980" w:right="640"/>
          <w:pgNumType w:start="158"/>
        </w:sectPr>
      </w:pPr>
    </w:p>
    <w:p>
      <w:pPr>
        <w:pStyle w:val="Heading2"/>
        <w:spacing w:line="240" w:lineRule="auto" w:before="36"/>
        <w:ind w:left="81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818" w:right="-18"/>
        <w:jc w:val="left"/>
      </w:pPr>
      <w:r>
        <w:rPr/>
        <w:t>√适用</w:t>
      </w:r>
      <w:r>
        <w:rPr>
          <w:spacing w:val="-1"/>
        </w:rPr>
        <w:t> </w:t>
      </w:r>
      <w:r>
        <w:rPr/>
        <w:t>□不适用</w:t>
      </w:r>
    </w:p>
    <w:p>
      <w:pPr>
        <w:pStyle w:val="Heading2"/>
        <w:tabs>
          <w:tab w:pos="1449" w:val="left" w:leader="none"/>
        </w:tabs>
        <w:spacing w:line="240" w:lineRule="auto" w:before="56"/>
        <w:ind w:left="818"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660" w:val="left" w:leader="none"/>
        </w:tabs>
        <w:spacing w:line="240" w:lineRule="auto" w:before="58"/>
        <w:ind w:left="8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764" w:val="left" w:leader="none"/>
        </w:tabs>
        <w:spacing w:line="240" w:lineRule="auto"/>
        <w:ind w:left="8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640"/>
          <w:cols w:num="2" w:equalWidth="0">
            <w:col w:w="4191" w:space="2542"/>
            <w:col w:w="355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685"/>
        <w:gridCol w:w="1135"/>
        <w:gridCol w:w="1133"/>
        <w:gridCol w:w="1560"/>
        <w:gridCol w:w="718"/>
        <w:gridCol w:w="701"/>
        <w:gridCol w:w="1133"/>
      </w:tblGrid>
      <w:tr>
        <w:trPr>
          <w:trHeight w:val="461" w:hRule="exact"/>
        </w:trPr>
        <w:tc>
          <w:tcPr>
            <w:tcW w:w="3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33" w:type="dxa"/>
            <w:vMerge w:val="restart"/>
            <w:tcBorders>
              <w:top w:val="single" w:sz="4" w:space="0" w:color="000000"/>
              <w:left w:val="single" w:sz="4" w:space="0" w:color="000000"/>
              <w:right w:val="single" w:sz="4" w:space="0" w:color="000000"/>
            </w:tcBorders>
          </w:tcPr>
          <w:p>
            <w:pPr>
              <w:pStyle w:val="TableParagraph"/>
              <w:spacing w:line="239" w:lineRule="exact"/>
              <w:ind w:left="141"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ind w:left="141" w:right="137"/>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0" w:hRule="exact"/>
        </w:trPr>
        <w:tc>
          <w:tcPr>
            <w:tcW w:w="368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z w:val="21"/>
                <w:szCs w:val="21"/>
              </w:rPr>
              <w:t>直接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33" w:type="dxa"/>
            <w:vMerge/>
            <w:tcBorders>
              <w:left w:val="single" w:sz="4" w:space="0" w:color="000000"/>
              <w:bottom w:val="single" w:sz="4" w:space="0" w:color="000000"/>
              <w:right w:val="single" w:sz="4" w:space="0" w:color="000000"/>
            </w:tcBorders>
          </w:tcPr>
          <w:p>
            <w:pP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45.00</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40.00</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1"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阿尔山市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影视策划</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30.78</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教育咨询服务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28.89</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z w:val="20"/>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5"/>
        <w:rPr>
          <w:rFonts w:ascii="宋体" w:hAnsi="宋体" w:cs="宋体" w:eastAsia="宋体" w:hint="default"/>
          <w:sz w:val="15"/>
          <w:szCs w:val="15"/>
        </w:rPr>
      </w:pPr>
    </w:p>
    <w:p>
      <w:pPr>
        <w:pStyle w:val="BodyText"/>
        <w:spacing w:line="240" w:lineRule="auto" w:before="36"/>
        <w:ind w:left="818" w:right="3662"/>
        <w:jc w:val="left"/>
      </w:pPr>
      <w:r>
        <w:rPr>
          <w:spacing w:val="-2"/>
        </w:rPr>
        <w:t>在合营企业或联营企业的持股比例不同于表决权比例的说明：</w:t>
      </w:r>
      <w:r>
        <w:rPr>
          <w:spacing w:val="-52"/>
        </w:rPr>
        <w:t> </w:t>
      </w:r>
      <w:r>
        <w:rPr>
          <w:spacing w:val="-52"/>
        </w:rPr>
      </w:r>
      <w:r>
        <w:rPr/>
        <w:t>无</w:t>
      </w:r>
    </w:p>
    <w:p>
      <w:pPr>
        <w:spacing w:line="240" w:lineRule="auto" w:before="10"/>
        <w:rPr>
          <w:rFonts w:ascii="宋体" w:hAnsi="宋体" w:cs="宋体" w:eastAsia="宋体" w:hint="default"/>
          <w:sz w:val="22"/>
          <w:szCs w:val="22"/>
        </w:rPr>
      </w:pPr>
    </w:p>
    <w:p>
      <w:pPr>
        <w:pStyle w:val="BodyText"/>
        <w:spacing w:line="272" w:lineRule="exact"/>
        <w:ind w:left="1238" w:right="0" w:hanging="420"/>
        <w:jc w:val="left"/>
      </w:pPr>
      <w:r>
        <w:rPr/>
        <w:t>持有</w:t>
      </w:r>
      <w:r>
        <w:rPr>
          <w:spacing w:val="-55"/>
        </w:rPr>
        <w:t> </w:t>
      </w:r>
      <w:r>
        <w:rPr>
          <w:rFonts w:ascii="宋体" w:hAnsi="宋体" w:cs="宋体" w:eastAsia="宋体" w:hint="default"/>
        </w:rPr>
        <w:t>20%</w:t>
      </w:r>
      <w:r>
        <w:rPr/>
        <w:t>以下表决权但具有重大影响，或者持有</w:t>
      </w:r>
      <w:r>
        <w:rPr>
          <w:spacing w:val="-55"/>
        </w:rPr>
        <w:t> </w:t>
      </w:r>
      <w:r>
        <w:rPr>
          <w:rFonts w:ascii="宋体" w:hAnsi="宋体" w:cs="宋体" w:eastAsia="宋体" w:hint="default"/>
        </w:rPr>
        <w:t>20%</w:t>
      </w:r>
      <w:r>
        <w:rPr/>
        <w:t>或以上表决权但不具有重大影响的依据：</w:t>
      </w:r>
      <w:r>
        <w:rPr>
          <w:w w:val="100"/>
        </w:rPr>
        <w:t> </w:t>
      </w:r>
      <w:r>
        <w:rPr>
          <w:spacing w:val="-2"/>
        </w:rPr>
        <w:t>注：根据微屏软件科技</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有限公司章程的规定，该公司董事会成员五人，其中本公司在</w:t>
      </w:r>
    </w:p>
    <w:p>
      <w:pPr>
        <w:pStyle w:val="BodyText"/>
        <w:spacing w:line="240" w:lineRule="auto" w:before="108"/>
        <w:ind w:left="818" w:right="0"/>
        <w:jc w:val="left"/>
      </w:pPr>
      <w:r>
        <w:rPr/>
        <w:t>董事会中占有一个席位，本公司对该公司拥有重大影响，本期用权益法核算。</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640"/>
        </w:sectPr>
      </w:pPr>
    </w:p>
    <w:p>
      <w:pPr>
        <w:spacing w:line="240" w:lineRule="auto" w:before="9"/>
        <w:rPr>
          <w:rFonts w:ascii="宋体" w:hAnsi="宋体" w:cs="宋体" w:eastAsia="宋体" w:hint="default"/>
          <w:sz w:val="15"/>
          <w:szCs w:val="15"/>
        </w:rPr>
      </w:pPr>
    </w:p>
    <w:p>
      <w:pPr>
        <w:pStyle w:val="Heading2"/>
        <w:tabs>
          <w:tab w:pos="1449" w:val="left" w:leader="none"/>
        </w:tabs>
        <w:spacing w:line="240" w:lineRule="auto"/>
        <w:ind w:left="818" w:right="-7"/>
        <w:jc w:val="left"/>
        <w:rPr>
          <w:b w:val="0"/>
          <w:bCs w:val="0"/>
        </w:rPr>
      </w:pPr>
      <w:r>
        <w:rPr>
          <w:rFonts w:ascii="宋体" w:hAnsi="宋体" w:cs="宋体" w:eastAsia="宋体" w:hint="default"/>
          <w:w w:val="95"/>
        </w:rPr>
        <w:t>(2).</w:t>
        <w:tab/>
      </w:r>
      <w:r>
        <w:rPr>
          <w:spacing w:val="-1"/>
        </w:rPr>
        <w:t>重要合营企业的主要财务信息</w:t>
      </w:r>
      <w:r>
        <w:rPr>
          <w:b w:val="0"/>
          <w:bCs w:val="0"/>
          <w:spacing w:val="-1"/>
        </w:rPr>
      </w:r>
    </w:p>
    <w:p>
      <w:pPr>
        <w:pStyle w:val="BodyText"/>
        <w:tabs>
          <w:tab w:pos="1660" w:val="left" w:leader="none"/>
        </w:tabs>
        <w:spacing w:line="240" w:lineRule="auto" w:before="56"/>
        <w:ind w:left="8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764" w:val="left" w:leader="none"/>
        </w:tabs>
        <w:spacing w:line="240" w:lineRule="auto"/>
        <w:ind w:left="8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640"/>
          <w:cols w:num="2" w:equalWidth="0">
            <w:col w:w="4191" w:space="2542"/>
            <w:col w:w="3557"/>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370"/>
        <w:gridCol w:w="2835"/>
        <w:gridCol w:w="2845"/>
      </w:tblGrid>
      <w:tr>
        <w:trPr>
          <w:trHeight w:val="286" w:hRule="exact"/>
        </w:trPr>
        <w:tc>
          <w:tcPr>
            <w:tcW w:w="3370" w:type="dxa"/>
            <w:vMerge w:val="restart"/>
            <w:tcBorders>
              <w:top w:val="single" w:sz="4" w:space="0" w:color="000000"/>
              <w:left w:val="single" w:sz="4" w:space="0" w:color="000000"/>
              <w:right w:val="single" w:sz="6" w:space="0" w:color="000000"/>
            </w:tcBorders>
          </w:tcPr>
          <w:p>
            <w:pPr/>
          </w:p>
        </w:tc>
        <w:tc>
          <w:tcPr>
            <w:tcW w:w="283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84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3370" w:type="dxa"/>
            <w:vMerge/>
            <w:tcBorders>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人民浙报传媒投资有限公司</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2"/>
                <w:sz w:val="21"/>
                <w:szCs w:val="21"/>
              </w:rPr>
              <w:t>人民浙报传媒投资有限公司</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44,912,207.45</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44,393,064.20</w:t>
            </w:r>
          </w:p>
        </w:tc>
      </w:tr>
      <w:tr>
        <w:trPr>
          <w:trHeight w:val="289"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43,810,982.98</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44,072,589.89</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11,721,954.02</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11,832,392.65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56,634,161.47</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56,225,456.85</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288,005.14</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106,078.09</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288,005.14</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106,078.09</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56,346,156.33</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56,119,378.76</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25,355,770.15</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25,253,720.44</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835" w:type="dxa"/>
            <w:tcBorders>
              <w:top w:val="single" w:sz="6" w:space="0" w:color="000000"/>
              <w:left w:val="single" w:sz="6" w:space="0" w:color="000000"/>
              <w:bottom w:val="single" w:sz="4"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98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845"/>
      </w:tblGrid>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25,372,726.26</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25,268,778.81</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219,642.30</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327,509.81</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21,964.23</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32,750.98</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855.69</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1,154.68</w:t>
            </w:r>
          </w:p>
        </w:tc>
      </w:tr>
      <w:tr>
        <w:trPr>
          <w:trHeight w:val="289"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573,212.59</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269,735.39</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-820,308.69</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-442,145.98</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27,829.92</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16,867.07</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-117,396.11</w:t>
            </w: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9,300.00</w:t>
            </w: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76,998.11</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61,789.97</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230,994.34</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221,589.29</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230,994.34</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221,589.29</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7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835" w:type="dxa"/>
            <w:tcBorders>
              <w:top w:val="single" w:sz="6" w:space="0" w:color="000000"/>
              <w:left w:val="single" w:sz="6" w:space="0" w:color="000000"/>
              <w:bottom w:val="single" w:sz="4" w:space="0" w:color="000000"/>
              <w:right w:val="single" w:sz="6" w:space="0" w:color="000000"/>
            </w:tcBorders>
          </w:tcPr>
          <w:p>
            <w:pPr/>
          </w:p>
        </w:tc>
        <w:tc>
          <w:tcPr>
            <w:tcW w:w="284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18" w:right="8208"/>
        <w:jc w:val="left"/>
      </w:pPr>
      <w:r>
        <w:rPr/>
        <w:t>其他说明</w:t>
      </w:r>
      <w:r>
        <w:rPr>
          <w:w w:val="100"/>
        </w:rPr>
        <w:t> </w:t>
      </w:r>
      <w:r>
        <w:rPr/>
        <w:t>无</w:t>
      </w:r>
    </w:p>
    <w:p>
      <w:pPr>
        <w:spacing w:after="0" w:line="272" w:lineRule="exact"/>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9"/>
          <w:footerReference w:type="default" r:id="rId100"/>
          <w:pgSz w:w="16840" w:h="11910" w:orient="landscape"/>
          <w:pgMar w:header="882" w:footer="1195" w:top="1120" w:bottom="1380" w:left="280" w:right="300"/>
          <w:pgNumType w:start="160"/>
        </w:sectPr>
      </w:pPr>
    </w:p>
    <w:p>
      <w:pPr>
        <w:spacing w:line="240" w:lineRule="auto" w:before="4"/>
        <w:rPr>
          <w:rFonts w:ascii="宋体" w:hAnsi="宋体" w:cs="宋体" w:eastAsia="宋体" w:hint="default"/>
          <w:sz w:val="14"/>
          <w:szCs w:val="14"/>
        </w:rPr>
      </w:pPr>
    </w:p>
    <w:p>
      <w:pPr>
        <w:pStyle w:val="Heading2"/>
        <w:tabs>
          <w:tab w:pos="1875" w:val="left" w:leader="none"/>
        </w:tabs>
        <w:spacing w:line="240" w:lineRule="auto"/>
        <w:ind w:left="1244"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2086" w:val="left" w:leader="none"/>
        </w:tabs>
        <w:spacing w:line="240" w:lineRule="auto" w:before="58"/>
        <w:ind w:left="1244" w:right="-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2295" w:val="left" w:leader="none"/>
        </w:tabs>
        <w:spacing w:line="240" w:lineRule="auto"/>
        <w:ind w:left="1244" w:right="0"/>
        <w:jc w:val="left"/>
      </w:pPr>
      <w:r>
        <w:rPr>
          <w:spacing w:val="-1"/>
        </w:rPr>
        <w:t>单位：元</w:t>
        <w:tab/>
        <w:t>币种：人民币</w:t>
      </w:r>
    </w:p>
    <w:p>
      <w:pPr>
        <w:spacing w:after="0" w:line="240" w:lineRule="auto"/>
        <w:jc w:val="left"/>
        <w:sectPr>
          <w:type w:val="continuous"/>
          <w:pgSz w:w="16840" w:h="11910" w:orient="landscape"/>
          <w:pgMar w:top="1120" w:bottom="1380" w:left="280" w:right="300"/>
          <w:cols w:num="2" w:equalWidth="0">
            <w:col w:w="4617" w:space="6946"/>
            <w:col w:w="46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39"/>
        <w:gridCol w:w="1985"/>
        <w:gridCol w:w="1985"/>
        <w:gridCol w:w="1843"/>
        <w:gridCol w:w="1985"/>
        <w:gridCol w:w="1983"/>
        <w:gridCol w:w="1702"/>
      </w:tblGrid>
      <w:tr>
        <w:trPr>
          <w:trHeight w:val="283" w:hRule="exact"/>
        </w:trPr>
        <w:tc>
          <w:tcPr>
            <w:tcW w:w="4539" w:type="dxa"/>
            <w:vMerge w:val="restart"/>
            <w:tcBorders>
              <w:top w:val="single" w:sz="4" w:space="0" w:color="000000"/>
              <w:left w:val="single" w:sz="4" w:space="0" w:color="000000"/>
              <w:right w:val="single" w:sz="6" w:space="0" w:color="000000"/>
            </w:tcBorders>
          </w:tcPr>
          <w:p>
            <w:pPr/>
          </w:p>
        </w:tc>
        <w:tc>
          <w:tcPr>
            <w:tcW w:w="5813"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5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5670"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559" w:hRule="exact"/>
        </w:trPr>
        <w:tc>
          <w:tcPr>
            <w:tcW w:w="4539" w:type="dxa"/>
            <w:vMerge/>
            <w:tcBorders>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传媒股份有限公司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传媒股份有限公司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份有限公司</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173,770,514.56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264,943,336.13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204,908,129.69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159,160,624.08</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34,469,922.45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219,431,587.25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805,958.94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25,715,695.70</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208,240,437.01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484,374,923.38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205,714,088.63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184,876,319.78</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24,399,344.13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93,735,924.36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108,579,832.88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12,288,132.74</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2,598,961.39</w:t>
            </w: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24,399,344.13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96,334,885.75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108,579,832.88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12,288,132.74</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7,209,229.16</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5,886,858.80</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176,631,863.72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388,040,037.63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97,134,255.75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166,701,328.24</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51,035,670.62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119,430,132.15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38,853,702.30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52,526,888.75</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39,166,663.82</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34,806,136.89</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39,166,663.82</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34,806,136.89</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90,202,334.44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208,301,315.91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38,853,702.30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87,333,024.64</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存在公开报价的联营企业权益投资的公允价值</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50,290,941.60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150,955,006.25</w:t>
            </w: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111,527,964.57</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-33,277,250.56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66,182,570.69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-1,599,520.49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31,806,612.68</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8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-50,908.28</w:t>
            </w:r>
          </w:p>
        </w:tc>
        <w:tc>
          <w:tcPr>
            <w:tcW w:w="1985" w:type="dxa"/>
            <w:tcBorders>
              <w:top w:val="single" w:sz="6" w:space="0" w:color="000000"/>
              <w:left w:val="single" w:sz="6" w:space="0" w:color="000000"/>
              <w:bottom w:val="single" w:sz="4" w:space="0" w:color="000000"/>
              <w:right w:val="single" w:sz="6" w:space="0" w:color="000000"/>
            </w:tcBorders>
          </w:tcPr>
          <w:p>
            <w:pPr/>
          </w:p>
        </w:tc>
        <w:tc>
          <w:tcPr>
            <w:tcW w:w="1843" w:type="dxa"/>
            <w:tcBorders>
              <w:top w:val="single" w:sz="6" w:space="0" w:color="000000"/>
              <w:left w:val="single" w:sz="6" w:space="0" w:color="000000"/>
              <w:bottom w:val="single" w:sz="4"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16,755.42</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280" w:right="300"/>
        </w:sectPr>
      </w:pP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539"/>
        <w:gridCol w:w="1985"/>
        <w:gridCol w:w="1985"/>
        <w:gridCol w:w="1843"/>
        <w:gridCol w:w="1985"/>
        <w:gridCol w:w="1983"/>
        <w:gridCol w:w="1702"/>
      </w:tblGrid>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8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sz w:val="21"/>
              </w:rPr>
              <w:t>-33,328,158.84</w:t>
            </w:r>
          </w:p>
        </w:tc>
        <w:tc>
          <w:tcPr>
            <w:tcW w:w="198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506" w:right="0"/>
              <w:jc w:val="left"/>
              <w:rPr>
                <w:rFonts w:ascii="宋体" w:hAnsi="宋体" w:cs="宋体" w:eastAsia="宋体" w:hint="default"/>
                <w:sz w:val="21"/>
                <w:szCs w:val="21"/>
              </w:rPr>
            </w:pPr>
            <w:r>
              <w:rPr>
                <w:rFonts w:ascii="宋体"/>
                <w:sz w:val="21"/>
              </w:rPr>
              <w:t>66,182,570.69</w:t>
            </w:r>
          </w:p>
        </w:tc>
        <w:tc>
          <w:tcPr>
            <w:tcW w:w="184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sz w:val="21"/>
              </w:rPr>
              <w:t>-1,599,520.49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31,823,368.10</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1985" w:type="dxa"/>
            <w:tcBorders>
              <w:top w:val="single" w:sz="6" w:space="0" w:color="000000"/>
              <w:left w:val="single" w:sz="6" w:space="0" w:color="000000"/>
              <w:bottom w:val="single" w:sz="4" w:space="0" w:color="000000"/>
              <w:right w:val="single" w:sz="6" w:space="0" w:color="000000"/>
            </w:tcBorders>
          </w:tcPr>
          <w:p>
            <w:pPr/>
          </w:p>
        </w:tc>
        <w:tc>
          <w:tcPr>
            <w:tcW w:w="1985" w:type="dxa"/>
            <w:tcBorders>
              <w:top w:val="single" w:sz="6" w:space="0" w:color="000000"/>
              <w:left w:val="single" w:sz="6" w:space="0" w:color="000000"/>
              <w:bottom w:val="single" w:sz="4" w:space="0" w:color="000000"/>
              <w:right w:val="single" w:sz="6" w:space="0" w:color="000000"/>
            </w:tcBorders>
          </w:tcPr>
          <w:p>
            <w:pPr/>
          </w:p>
        </w:tc>
        <w:tc>
          <w:tcPr>
            <w:tcW w:w="1843" w:type="dxa"/>
            <w:tcBorders>
              <w:top w:val="single" w:sz="6" w:space="0" w:color="000000"/>
              <w:left w:val="single" w:sz="6" w:space="0" w:color="000000"/>
              <w:bottom w:val="single" w:sz="4" w:space="0" w:color="000000"/>
              <w:right w:val="single" w:sz="6" w:space="0" w:color="000000"/>
            </w:tcBorders>
          </w:tcPr>
          <w:p>
            <w:pPr/>
          </w:p>
        </w:tc>
        <w:tc>
          <w:tcPr>
            <w:tcW w:w="1985" w:type="dxa"/>
            <w:tcBorders>
              <w:top w:val="single" w:sz="6"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4" w:space="0" w:color="000000"/>
              <w:right w:val="single" w:sz="6" w:space="0" w:color="000000"/>
            </w:tcBorders>
          </w:tcPr>
          <w:p>
            <w:pPr/>
          </w:p>
        </w:tc>
        <w:tc>
          <w:tcPr>
            <w:tcW w:w="170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244" w:right="0"/>
        <w:jc w:val="left"/>
      </w:pPr>
      <w:r>
        <w:rPr/>
        <w:t>其他说明</w:t>
      </w:r>
    </w:p>
    <w:p>
      <w:pPr>
        <w:pStyle w:val="BodyText"/>
        <w:spacing w:line="274" w:lineRule="exact"/>
        <w:ind w:left="1664" w:right="0"/>
        <w:jc w:val="left"/>
      </w:pPr>
      <w:r>
        <w:rPr/>
        <w:t>注：微屏软件科技（上海）有限公司存在重要事项，暂缓披露相关信息。</w:t>
      </w:r>
    </w:p>
    <w:p>
      <w:pPr>
        <w:spacing w:after="0" w:line="274" w:lineRule="exact"/>
        <w:jc w:val="left"/>
        <w:sectPr>
          <w:pgSz w:w="16840" w:h="11910" w:orient="landscape"/>
          <w:pgMar w:header="882" w:footer="1195" w:top="1120" w:bottom="1380" w:left="28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1"/>
          <w:footerReference w:type="default" r:id="rId102"/>
          <w:pgSz w:w="11910" w:h="16840"/>
          <w:pgMar w:header="882" w:footer="1195" w:top="1120" w:bottom="1380" w:left="1580" w:right="1040"/>
          <w:pgNumType w:start="162"/>
        </w:sectPr>
      </w:pPr>
    </w:p>
    <w:p>
      <w:pPr>
        <w:pStyle w:val="Heading2"/>
        <w:tabs>
          <w:tab w:pos="849" w:val="left" w:leader="none"/>
        </w:tabs>
        <w:spacing w:line="240" w:lineRule="auto" w:before="175"/>
        <w:ind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1060" w:val="left" w:leader="none"/>
        </w:tabs>
        <w:spacing w:line="240" w:lineRule="auto" w:before="56"/>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69" w:space="145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410"/>
        <w:gridCol w:w="2561"/>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黑龙江龙教数媒科技有限公司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444,280.88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深圳市人民金台股权投资有限公司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4,745,069.96</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1,175,473.23</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5,920,543.19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444,280.88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-3,030,659.02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-26,388.51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-3,030,659.02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-26,388.51</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4,358,648.86</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华茂金台（北京）投资管理有限公司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6,350,593.43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6,707,107.10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深圳市高捷金台创业投资管理有限公司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360,013.7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303,971.78</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上海阅客信息科技有限公司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7,711,116.02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18,378,544.83</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18,780,372.03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25,389,623.71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-12,609,251.68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-9,701,898.88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-12,609,251.68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-9,701,898.88</w:t>
            </w: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ind w:right="227"/>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pStyle w:val="Heading2"/>
        <w:tabs>
          <w:tab w:pos="849" w:val="left" w:leader="none"/>
        </w:tabs>
        <w:spacing w:line="240" w:lineRule="auto" w:before="58"/>
        <w:ind w:right="2731"/>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pStyle w:val="Heading2"/>
        <w:tabs>
          <w:tab w:pos="849" w:val="left" w:leader="none"/>
        </w:tabs>
        <w:spacing w:line="240" w:lineRule="auto" w:before="57"/>
        <w:ind w:right="2731"/>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pStyle w:val="Heading2"/>
        <w:tabs>
          <w:tab w:pos="849" w:val="left" w:leader="none"/>
        </w:tabs>
        <w:spacing w:line="240" w:lineRule="auto" w:before="56"/>
        <w:ind w:right="2731"/>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8" w:lineRule="exact"/>
        <w:ind w:left="218" w:right="2731"/>
        <w:jc w:val="left"/>
      </w:pPr>
      <w:r>
        <w:rPr/>
        <w:t>□适用</w:t>
      </w:r>
      <w:r>
        <w:rPr>
          <w:spacing w:val="-1"/>
        </w:rPr>
        <w:t> </w:t>
      </w:r>
      <w:r>
        <w:rPr/>
        <w:t>√不适用</w:t>
      </w:r>
    </w:p>
    <w:p>
      <w:pPr>
        <w:spacing w:after="0" w:line="228"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十、与金融工具相关的风险</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本公司的主要金融工具包括股权投资、债权投资、借款、应收账款、应付账款等，各项金融</w:t>
      </w:r>
    </w:p>
    <w:p>
      <w:pPr>
        <w:pStyle w:val="BodyText"/>
        <w:spacing w:line="355" w:lineRule="auto" w:before="133"/>
        <w:ind w:right="157"/>
        <w:jc w:val="both"/>
      </w:pPr>
      <w:r>
        <w:rPr>
          <w:spacing w:val="-2"/>
        </w:rPr>
        <w:t>工具的详细情况说明见本附注七相关项目。与这些金融工具有关的风险，以及本公司为降低这些</w:t>
      </w:r>
      <w:r>
        <w:rPr>
          <w:spacing w:val="-25"/>
        </w:rPr>
        <w:t> </w:t>
      </w:r>
      <w:r>
        <w:rPr>
          <w:spacing w:val="-25"/>
        </w:rPr>
      </w:r>
      <w:r>
        <w:rPr>
          <w:spacing w:val="-2"/>
        </w:rPr>
        <w:t>风险所采取的风险管理政策如下所述。本公司管理层对这些风险敞口进行管理和监控以确保将上</w:t>
      </w:r>
      <w:r>
        <w:rPr>
          <w:spacing w:val="-25"/>
        </w:rPr>
        <w:t> </w:t>
      </w:r>
      <w:r>
        <w:rPr>
          <w:spacing w:val="-25"/>
        </w:rPr>
      </w:r>
      <w:r>
        <w:rPr/>
        <w:t>述风险控制在限定的范围之内。</w:t>
      </w:r>
    </w:p>
    <w:p>
      <w:pPr>
        <w:pStyle w:val="BodyText"/>
        <w:spacing w:line="355" w:lineRule="auto" w:before="35"/>
        <w:ind w:right="157" w:firstLine="419"/>
        <w:jc w:val="both"/>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p>
    <w:p>
      <w:pPr>
        <w:pStyle w:val="BodyText"/>
        <w:spacing w:line="355" w:lineRule="auto" w:before="34"/>
        <w:ind w:left="558" w:right="0"/>
        <w:jc w:val="left"/>
      </w:pPr>
      <w:r>
        <w:rPr/>
        <w:t>（一）风险管理目标和政策</w:t>
      </w:r>
      <w:r>
        <w:rPr>
          <w:w w:val="100"/>
        </w:rPr>
        <w:t> </w:t>
      </w:r>
      <w:r>
        <w:rPr>
          <w:spacing w:val="-2"/>
        </w:rPr>
        <w:t>本公司从事风险管理的目标是在风险和收益之间取得适当的平衡，将风险对本公司经营业绩</w:t>
      </w:r>
    </w:p>
    <w:p>
      <w:pPr>
        <w:pStyle w:val="BodyText"/>
        <w:spacing w:line="357" w:lineRule="auto" w:before="32"/>
        <w:ind w:right="157"/>
        <w:jc w:val="both"/>
      </w:pPr>
      <w:r>
        <w:rPr>
          <w:spacing w:val="-2"/>
        </w:rPr>
        <w:t>的负面影响降低到最低水平，使股东及其其他权益投资者的利益最大化。基于该风险管理目标，</w:t>
      </w:r>
      <w:r>
        <w:rPr>
          <w:spacing w:val="-25"/>
        </w:rPr>
        <w:t> </w:t>
      </w:r>
      <w:r>
        <w:rPr>
          <w:spacing w:val="-25"/>
        </w:rPr>
      </w:r>
      <w:r>
        <w:rPr>
          <w:spacing w:val="-2"/>
        </w:rPr>
        <w:t>本公司风险管理的基本策略是确定和分析本公司所面临的各种风险，建立适当的风险承受底线和</w:t>
      </w:r>
      <w:r>
        <w:rPr>
          <w:spacing w:val="-25"/>
        </w:rPr>
        <w:t> </w:t>
      </w:r>
      <w:r>
        <w:rPr>
          <w:spacing w:val="-25"/>
        </w:rPr>
      </w:r>
      <w:r>
        <w:rPr/>
        <w:t>进行风险管理，并及时可靠地对各种风险进行监督，将风险控制在限定的范围之内。</w:t>
      </w:r>
    </w:p>
    <w:p>
      <w:pPr>
        <w:pStyle w:val="BodyText"/>
        <w:spacing w:line="240" w:lineRule="auto" w:before="32"/>
        <w:ind w:left="558" w:right="505"/>
        <w:jc w:val="left"/>
      </w:pPr>
      <w:r>
        <w:rPr>
          <w:rFonts w:ascii="宋体" w:hAnsi="宋体" w:cs="宋体" w:eastAsia="宋体" w:hint="default"/>
        </w:rPr>
        <w:t>1</w:t>
      </w:r>
      <w:r>
        <w:rPr/>
        <w:t>、市场风险</w:t>
      </w:r>
    </w:p>
    <w:p>
      <w:pPr>
        <w:pStyle w:val="BodyText"/>
        <w:spacing w:line="355" w:lineRule="auto" w:before="133"/>
        <w:ind w:left="558" w:right="0"/>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外汇风险指因汇率变动产生损失的风险。本公司承受外汇风险主要与日元、美元、韩元、英</w:t>
      </w:r>
    </w:p>
    <w:p>
      <w:pPr>
        <w:pStyle w:val="BodyText"/>
        <w:spacing w:line="357" w:lineRule="auto" w:before="32"/>
        <w:ind w:right="148"/>
        <w:jc w:val="both"/>
      </w:pPr>
      <w:r>
        <w:rPr/>
        <w:pict>
          <v:group style="position:absolute;margin-left:89.903999pt;margin-top:122.373665pt;width:444.1pt;height:5.55pt;mso-position-horizontal-relative:page;mso-position-vertical-relative:paragraph;z-index:-799936" coordorigin="1798,2447" coordsize="8882,111">
            <v:shape style="position:absolute;left:1798;top:2447;width:4479;height:110" type="#_x0000_t75" stroked="false">
              <v:imagedata r:id="rId103" o:title=""/>
            </v:shape>
            <v:shape style="position:absolute;left:6253;top:2543;width:2096;height:14" type="#_x0000_t75" stroked="false">
              <v:imagedata r:id="rId104" o:title=""/>
            </v:shape>
            <v:shape style="position:absolute;left:8334;top:2548;width:2345;height:10" type="#_x0000_t75" stroked="false">
              <v:imagedata r:id="rId105" o:title=""/>
            </v:shape>
            <w10:wrap type="none"/>
          </v:group>
        </w:pict>
      </w:r>
      <w:r>
        <w:rPr/>
        <w:pict>
          <v:group style="position:absolute;margin-left:89.903999pt;margin-top:148.293701pt;width:444.1pt;height:.5pt;mso-position-horizontal-relative:page;mso-position-vertical-relative:paragraph;z-index:-799912" coordorigin="1798,2966" coordsize="8882,10">
            <v:shape style="position:absolute;left:1798;top:2966;width:6541;height:10" type="#_x0000_t75" stroked="false">
              <v:imagedata r:id="rId106" o:title=""/>
            </v:shape>
            <v:shape style="position:absolute;left:8334;top:2966;width:2345;height:10" type="#_x0000_t75" stroked="false">
              <v:imagedata r:id="rId107" o:title=""/>
            </v:shape>
            <w10:wrap type="none"/>
          </v:group>
        </w:pict>
      </w:r>
      <w:r>
        <w:rPr/>
        <w:pict>
          <v:group style="position:absolute;margin-left:89.903999pt;margin-top:169.293701pt;width:444.1pt;height:.5pt;mso-position-horizontal-relative:page;mso-position-vertical-relative:paragraph;z-index:-799888" coordorigin="1798,3386" coordsize="8882,10">
            <v:shape style="position:absolute;left:1798;top:3386;width:6541;height:10" type="#_x0000_t75" stroked="false">
              <v:imagedata r:id="rId106" o:title=""/>
            </v:shape>
            <v:shape style="position:absolute;left:8334;top:3386;width:2345;height:10" type="#_x0000_t75" stroked="false">
              <v:imagedata r:id="rId107" o:title=""/>
            </v:shape>
            <w10:wrap type="none"/>
          </v:group>
        </w:pict>
      </w:r>
      <w:r>
        <w:rPr>
          <w:spacing w:val="-6"/>
        </w:rPr>
        <w:t>镑、兰特、卢布、港币、澳大利亚元、欧元、瑞典克朗有关，除本公司的几个下属子公司以日元、</w:t>
      </w:r>
      <w:r>
        <w:rPr>
          <w:spacing w:val="-53"/>
        </w:rPr>
        <w:t> </w:t>
      </w:r>
      <w:r>
        <w:rPr>
          <w:spacing w:val="-53"/>
        </w:rPr>
      </w:r>
      <w:r>
        <w:rPr>
          <w:spacing w:val="-2"/>
        </w:rPr>
        <w:t>美元、韩元、英镑、兰特、卢布、港币、澳大利亚元、欧元、瑞典克朗进行日常经营外，本公司</w:t>
      </w:r>
      <w:r>
        <w:rPr>
          <w:spacing w:val="-25"/>
        </w:rPr>
        <w:t> </w:t>
      </w:r>
      <w:r>
        <w:rPr>
          <w:spacing w:val="-25"/>
        </w:rPr>
      </w:r>
      <w:r>
        <w:rPr>
          <w:spacing w:val="-4"/>
        </w:rPr>
        <w:t>的其他主要业务活动以人民币计价结算。于</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5"/>
        </w:rPr>
        <w:t>日，除下表所述资产或负债为对应外</w:t>
      </w:r>
      <w:r>
        <w:rPr>
          <w:spacing w:val="-101"/>
        </w:rPr>
        <w:t> </w:t>
      </w:r>
      <w:r>
        <w:rPr>
          <w:spacing w:val="-101"/>
        </w:rPr>
      </w:r>
      <w:r>
        <w:rPr>
          <w:spacing w:val="-2"/>
        </w:rPr>
        <w:t>币余额外，本公司的资产及负债均为人民币余额。该等外币余额的资产和负债产生的外汇风险可</w:t>
      </w:r>
      <w:r>
        <w:rPr>
          <w:spacing w:val="-26"/>
        </w:rPr>
        <w:t> </w:t>
      </w:r>
      <w:r>
        <w:rPr>
          <w:spacing w:val="-26"/>
        </w:rPr>
      </w:r>
      <w:r>
        <w:rPr/>
        <w:t>能对本公司的经营业绩产生影响。</w:t>
      </w:r>
    </w:p>
    <w:p>
      <w:pPr>
        <w:spacing w:line="240" w:lineRule="auto" w:before="1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4465"/>
        <w:gridCol w:w="2081"/>
        <w:gridCol w:w="2336"/>
      </w:tblGrid>
      <w:tr>
        <w:trPr>
          <w:trHeight w:val="324" w:hRule="exact"/>
        </w:trPr>
        <w:tc>
          <w:tcPr>
            <w:tcW w:w="4465" w:type="dxa"/>
            <w:tcBorders>
              <w:top w:val="single" w:sz="12" w:space="0" w:color="000000"/>
              <w:left w:val="nil" w:sz="6" w:space="0" w:color="auto"/>
              <w:bottom w:val="nil" w:sz="6" w:space="0" w:color="auto"/>
              <w:right w:val="single" w:sz="4" w:space="0" w:color="000000"/>
            </w:tcBorders>
          </w:tcPr>
          <w:p>
            <w:pPr>
              <w:pStyle w:val="TableParagraph"/>
              <w:spacing w:line="243" w:lineRule="exact"/>
              <w:ind w:left="20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1" w:type="dxa"/>
            <w:tcBorders>
              <w:top w:val="single" w:sz="12" w:space="0" w:color="000000"/>
              <w:left w:val="single" w:sz="4" w:space="0" w:color="000000"/>
              <w:bottom w:val="nil" w:sz="6" w:space="0" w:color="auto"/>
              <w:right w:val="single" w:sz="4" w:space="0" w:color="000000"/>
            </w:tcBorders>
          </w:tcPr>
          <w:p>
            <w:pPr>
              <w:pStyle w:val="TableParagraph"/>
              <w:spacing w:line="243" w:lineRule="exact"/>
              <w:ind w:left="818"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336" w:type="dxa"/>
            <w:tcBorders>
              <w:top w:val="single" w:sz="12" w:space="0" w:color="000000"/>
              <w:left w:val="single" w:sz="4" w:space="0" w:color="000000"/>
              <w:bottom w:val="nil" w:sz="6" w:space="0" w:color="auto"/>
              <w:right w:val="nil" w:sz="6" w:space="0" w:color="auto"/>
            </w:tcBorders>
          </w:tcPr>
          <w:p>
            <w:pPr>
              <w:pStyle w:val="TableParagraph"/>
              <w:spacing w:line="243" w:lineRule="exact"/>
              <w:ind w:left="946"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110" w:hRule="exact"/>
        </w:trPr>
        <w:tc>
          <w:tcPr>
            <w:tcW w:w="446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single" w:sz="4" w:space="0" w:color="000000"/>
            </w:tcBorders>
          </w:tcPr>
          <w:p>
            <w:pPr/>
          </w:p>
        </w:tc>
        <w:tc>
          <w:tcPr>
            <w:tcW w:w="2336"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465" w:type="dxa"/>
            <w:tcBorders>
              <w:top w:val="nil" w:sz="6" w:space="0" w:color="auto"/>
              <w:left w:val="nil" w:sz="6" w:space="0" w:color="auto"/>
              <w:bottom w:val="nil" w:sz="6" w:space="0" w:color="auto"/>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20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26,544,830.43</w:t>
            </w:r>
          </w:p>
        </w:tc>
        <w:tc>
          <w:tcPr>
            <w:tcW w:w="2336" w:type="dxa"/>
            <w:tcBorders>
              <w:top w:val="nil" w:sz="6" w:space="0" w:color="auto"/>
              <w:left w:val="single" w:sz="4" w:space="0" w:color="000000"/>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18,479,948.52</w:t>
            </w:r>
          </w:p>
        </w:tc>
      </w:tr>
      <w:tr>
        <w:trPr>
          <w:trHeight w:val="419" w:hRule="exact"/>
        </w:trPr>
        <w:tc>
          <w:tcPr>
            <w:tcW w:w="4465"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90,028.03</w:t>
            </w:r>
          </w:p>
        </w:tc>
        <w:tc>
          <w:tcPr>
            <w:tcW w:w="233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3"/>
              <w:jc w:val="right"/>
              <w:rPr>
                <w:rFonts w:ascii="宋体" w:hAnsi="宋体" w:cs="宋体" w:eastAsia="宋体" w:hint="default"/>
                <w:sz w:val="21"/>
                <w:szCs w:val="21"/>
              </w:rPr>
            </w:pPr>
            <w:r>
              <w:rPr>
                <w:rFonts w:ascii="宋体"/>
                <w:spacing w:val="-1"/>
                <w:sz w:val="21"/>
              </w:rPr>
              <w:t>226,907.63</w:t>
            </w:r>
          </w:p>
        </w:tc>
      </w:tr>
      <w:tr>
        <w:trPr>
          <w:trHeight w:val="418" w:hRule="exact"/>
        </w:trPr>
        <w:tc>
          <w:tcPr>
            <w:tcW w:w="4465"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1"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宋体" w:hAnsi="宋体" w:cs="宋体" w:eastAsia="宋体" w:hint="default"/>
                <w:sz w:val="21"/>
                <w:szCs w:val="21"/>
              </w:rPr>
            </w:pPr>
            <w:r>
              <w:rPr>
                <w:rFonts w:ascii="宋体"/>
                <w:spacing w:val="-1"/>
                <w:sz w:val="21"/>
              </w:rPr>
              <w:t>2,677,184.17</w:t>
            </w:r>
          </w:p>
        </w:tc>
        <w:tc>
          <w:tcPr>
            <w:tcW w:w="233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21"/>
                <w:szCs w:val="21"/>
              </w:rPr>
            </w:pPr>
            <w:r>
              <w:rPr>
                <w:rFonts w:ascii="宋体"/>
                <w:spacing w:val="-1"/>
                <w:sz w:val="21"/>
              </w:rPr>
              <w:t>2,685,924.08</w:t>
            </w:r>
          </w:p>
        </w:tc>
      </w:tr>
      <w:tr>
        <w:trPr>
          <w:trHeight w:val="419" w:hRule="exact"/>
        </w:trPr>
        <w:tc>
          <w:tcPr>
            <w:tcW w:w="4465"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1"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宋体" w:hAnsi="宋体" w:cs="宋体" w:eastAsia="宋体" w:hint="default"/>
                <w:sz w:val="21"/>
                <w:szCs w:val="21"/>
              </w:rPr>
            </w:pPr>
            <w:r>
              <w:rPr>
                <w:rFonts w:ascii="宋体"/>
                <w:spacing w:val="-1"/>
                <w:sz w:val="21"/>
              </w:rPr>
              <w:t>76,764.31</w:t>
            </w:r>
          </w:p>
        </w:tc>
        <w:tc>
          <w:tcPr>
            <w:tcW w:w="233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21"/>
                <w:szCs w:val="21"/>
              </w:rPr>
            </w:pPr>
            <w:r>
              <w:rPr>
                <w:rFonts w:ascii="宋体"/>
                <w:spacing w:val="-1"/>
                <w:sz w:val="21"/>
              </w:rPr>
              <w:t>47,750.49</w:t>
            </w:r>
          </w:p>
        </w:tc>
      </w:tr>
      <w:tr>
        <w:trPr>
          <w:trHeight w:val="497" w:hRule="exact"/>
        </w:trPr>
        <w:tc>
          <w:tcPr>
            <w:tcW w:w="4465" w:type="dxa"/>
            <w:tcBorders>
              <w:top w:val="nil" w:sz="6" w:space="0" w:color="auto"/>
              <w:left w:val="nil" w:sz="6" w:space="0" w:color="auto"/>
              <w:bottom w:val="single" w:sz="12" w:space="0" w:color="000000"/>
              <w:right w:val="single" w:sz="4" w:space="0" w:color="000000"/>
            </w:tcBorders>
          </w:tcPr>
          <w:p>
            <w:pPr>
              <w:pStyle w:val="TableParagraph"/>
              <w:spacing w:line="240" w:lineRule="auto" w:before="40"/>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3,734,175.00</w:t>
            </w:r>
          </w:p>
        </w:tc>
        <w:tc>
          <w:tcPr>
            <w:tcW w:w="2336" w:type="dxa"/>
            <w:tcBorders>
              <w:top w:val="nil" w:sz="6" w:space="0" w:color="auto"/>
              <w:left w:val="single" w:sz="4" w:space="0" w:color="000000"/>
              <w:bottom w:val="single" w:sz="12" w:space="0" w:color="000000"/>
              <w:right w:val="nil" w:sz="6" w:space="0" w:color="auto"/>
            </w:tcBorders>
          </w:tcPr>
          <w:p>
            <w:pPr>
              <w:pStyle w:val="TableParagraph"/>
              <w:spacing w:line="240" w:lineRule="auto" w:before="40"/>
              <w:ind w:right="103"/>
              <w:jc w:val="right"/>
              <w:rPr>
                <w:rFonts w:ascii="宋体" w:hAnsi="宋体" w:cs="宋体" w:eastAsia="宋体" w:hint="default"/>
                <w:sz w:val="21"/>
                <w:szCs w:val="21"/>
              </w:rPr>
            </w:pPr>
            <w:r>
              <w:rPr>
                <w:rFonts w:ascii="宋体"/>
                <w:spacing w:val="-1"/>
                <w:sz w:val="21"/>
              </w:rPr>
              <w:t>3,727,195.74</w:t>
            </w:r>
          </w:p>
        </w:tc>
      </w:tr>
    </w:tbl>
    <w:p>
      <w:pPr>
        <w:spacing w:line="240" w:lineRule="auto" w:before="7"/>
        <w:rPr>
          <w:rFonts w:ascii="宋体" w:hAnsi="宋体" w:cs="宋体" w:eastAsia="宋体" w:hint="default"/>
          <w:sz w:val="15"/>
          <w:szCs w:val="15"/>
        </w:rPr>
      </w:pPr>
    </w:p>
    <w:p>
      <w:pPr>
        <w:pStyle w:val="BodyText"/>
        <w:spacing w:line="355" w:lineRule="auto" w:before="36"/>
        <w:ind w:right="0" w:firstLine="419"/>
        <w:jc w:val="left"/>
      </w:pPr>
      <w:r>
        <w:rPr/>
        <w:pict>
          <v:group style="position:absolute;margin-left:89.903999pt;margin-top:-53.516308pt;width:444.1pt;height:.5pt;mso-position-horizontal-relative:page;mso-position-vertical-relative:paragraph;z-index:-799864" coordorigin="1798,-1070" coordsize="8882,10">
            <v:shape style="position:absolute;left:1798;top:-1070;width:6541;height:10" type="#_x0000_t75" stroked="false">
              <v:imagedata r:id="rId106" o:title=""/>
            </v:shape>
            <v:shape style="position:absolute;left:8334;top:-1070;width:2345;height:10" type="#_x0000_t75" stroked="false">
              <v:imagedata r:id="rId107" o:title=""/>
            </v:shape>
            <w10:wrap type="none"/>
          </v:group>
        </w:pict>
      </w:r>
      <w:r>
        <w:rPr/>
        <w:pict>
          <v:group style="position:absolute;margin-left:89.903999pt;margin-top:-32.516308pt;width:444.1pt;height:.5pt;mso-position-horizontal-relative:page;mso-position-vertical-relative:paragraph;z-index:-799840" coordorigin="1798,-650" coordsize="8882,10">
            <v:shape style="position:absolute;left:1798;top:-650;width:6541;height:10" type="#_x0000_t75" stroked="false">
              <v:imagedata r:id="rId106" o:title=""/>
            </v:shape>
            <v:shape style="position:absolute;left:8334;top:-650;width:2345;height:10" type="#_x0000_t75" stroked="false">
              <v:imagedata r:id="rId107" o:title=""/>
            </v:shape>
            <w10:wrap type="none"/>
          </v:group>
        </w:pict>
      </w:r>
      <w:r>
        <w:rPr>
          <w:spacing w:val="-2"/>
        </w:rPr>
        <w:t>本公司密切关注汇率变动对本公司外汇风险的影响。本公司目前并未采取任何措施规避外汇</w:t>
      </w:r>
      <w:r>
        <w:rPr>
          <w:w w:val="100"/>
        </w:rPr>
        <w:t> </w:t>
      </w:r>
      <w:r>
        <w:rPr/>
        <w:t>风险。</w:t>
      </w:r>
    </w:p>
    <w:p>
      <w:pPr>
        <w:spacing w:after="0" w:line="355" w:lineRule="auto"/>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pStyle w:val="BodyText"/>
        <w:spacing w:line="357" w:lineRule="auto" w:before="36"/>
        <w:ind w:left="558" w:right="0"/>
        <w:jc w:val="left"/>
      </w:pPr>
      <w:r>
        <w:rPr/>
        <w:t>（</w:t>
      </w:r>
      <w:r>
        <w:rPr>
          <w:rFonts w:ascii="宋体" w:hAnsi="宋体" w:cs="宋体" w:eastAsia="宋体" w:hint="default"/>
        </w:rPr>
        <w:t>2</w:t>
      </w:r>
      <w:r>
        <w:rPr/>
        <w:t>）其他价格风险</w:t>
      </w:r>
      <w:r>
        <w:rPr>
          <w:w w:val="100"/>
        </w:rPr>
        <w:t> </w:t>
      </w:r>
      <w:r>
        <w:rPr>
          <w:spacing w:val="-2"/>
        </w:rPr>
        <w:t>本公司持有的分类为可供出售金融资产除本公司对被投资单位不具有共同控制或重大影响，</w:t>
      </w:r>
    </w:p>
    <w:p>
      <w:pPr>
        <w:pStyle w:val="BodyText"/>
        <w:spacing w:line="355" w:lineRule="auto" w:before="30"/>
        <w:ind w:right="148"/>
        <w:jc w:val="both"/>
      </w:pPr>
      <w:r>
        <w:rPr>
          <w:spacing w:val="-2"/>
        </w:rPr>
        <w:t>并且在活跃市场中没有报价、公允价值不能可靠计量的股权投资外在资产负债表日以公允价值计</w:t>
      </w:r>
      <w:r>
        <w:rPr>
          <w:spacing w:val="-25"/>
        </w:rPr>
        <w:t> </w:t>
      </w:r>
      <w:r>
        <w:rPr>
          <w:spacing w:val="-25"/>
        </w:rPr>
      </w:r>
      <w:r>
        <w:rPr>
          <w:spacing w:val="-2"/>
        </w:rPr>
        <w:t>量。因此，本公司承担着证券市场变动的风险。本公司密切关注证券市场变动对本公司价格风险</w:t>
      </w:r>
      <w:r>
        <w:rPr>
          <w:spacing w:val="-25"/>
        </w:rPr>
        <w:t> </w:t>
      </w:r>
      <w:r>
        <w:rPr>
          <w:spacing w:val="-25"/>
        </w:rPr>
      </w:r>
      <w:r>
        <w:rPr>
          <w:spacing w:val="-4"/>
          <w:w w:val="100"/>
        </w:rPr>
        <w:t>的影响。管理层认为这些投资活动面临的市场价格风险是可以接受的</w:t>
      </w:r>
      <w:r>
        <w:rPr>
          <w:rFonts w:ascii="宋体" w:hAnsi="宋体" w:cs="宋体" w:eastAsia="宋体" w:hint="default"/>
          <w:spacing w:val="-4"/>
          <w:w w:val="100"/>
        </w:rPr>
        <w:t>,</w:t>
      </w:r>
      <w:r>
        <w:rPr>
          <w:spacing w:val="-4"/>
          <w:w w:val="100"/>
        </w:rPr>
        <w:t>本公司目前并未采取任何措</w:t>
      </w:r>
      <w:r>
        <w:rPr>
          <w:spacing w:val="-85"/>
          <w:w w:val="100"/>
        </w:rPr>
        <w:t> </w:t>
      </w:r>
      <w:r>
        <w:rPr>
          <w:spacing w:val="-85"/>
          <w:w w:val="100"/>
        </w:rPr>
      </w:r>
      <w:r>
        <w:rPr/>
        <w:t>施规避价格风险。</w:t>
      </w:r>
    </w:p>
    <w:p>
      <w:pPr>
        <w:pStyle w:val="BodyText"/>
        <w:spacing w:line="240" w:lineRule="auto" w:before="34"/>
        <w:ind w:left="558" w:right="505"/>
        <w:jc w:val="left"/>
      </w:pPr>
      <w:r>
        <w:rPr>
          <w:rFonts w:ascii="宋体" w:hAnsi="宋体" w:cs="宋体" w:eastAsia="宋体" w:hint="default"/>
        </w:rPr>
        <w:t>2</w:t>
      </w:r>
      <w:r>
        <w:rPr/>
        <w:t>、信用风险</w:t>
      </w:r>
    </w:p>
    <w:p>
      <w:pPr>
        <w:pStyle w:val="BodyText"/>
        <w:spacing w:line="357" w:lineRule="auto" w:before="133"/>
        <w:ind w:right="148" w:firstLine="419"/>
        <w:jc w:val="both"/>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spacing w:val="-2"/>
        </w:rPr>
        <w:t>能履行义务而导致本公司金融资产产生的损失以及本公司承担的财务担保，具体为合并资产负债</w:t>
      </w:r>
      <w:r>
        <w:rPr>
          <w:spacing w:val="-25"/>
        </w:rPr>
        <w:t> </w:t>
      </w:r>
      <w:r>
        <w:rPr>
          <w:spacing w:val="-25"/>
        </w:rPr>
      </w:r>
      <w:r>
        <w:rPr>
          <w:spacing w:val="-6"/>
          <w:w w:val="100"/>
        </w:rPr>
        <w:t>表中已确认的金融资产的账面金额，为降低信用风险，本公司成立了一个小组负责确定信用额度、</w:t>
      </w:r>
      <w:r>
        <w:rPr>
          <w:w w:val="100"/>
        </w:rPr>
        <w:t> </w:t>
      </w:r>
      <w:r>
        <w:rPr>
          <w:spacing w:val="-2"/>
        </w:rPr>
        <w:t>进行信用审批，并执行其他监控程序以确保采取必要的措施回收过期债权。此外，本公司于每个</w:t>
      </w:r>
      <w:r>
        <w:rPr>
          <w:spacing w:val="-25"/>
        </w:rPr>
        <w:t> </w:t>
      </w:r>
      <w:r>
        <w:rPr>
          <w:spacing w:val="-25"/>
        </w:rPr>
      </w:r>
      <w:r>
        <w:rPr>
          <w:spacing w:val="-2"/>
        </w:rPr>
        <w:t>资产负债表日审核每一单项应收款的回收情况，以确保就无法回收的款项计提充分的坏账准备。</w:t>
      </w:r>
      <w:r>
        <w:rPr>
          <w:spacing w:val="-25"/>
        </w:rPr>
        <w:t> </w:t>
      </w:r>
      <w:r>
        <w:rPr>
          <w:spacing w:val="-25"/>
        </w:rPr>
      </w:r>
      <w:r>
        <w:rPr/>
        <w:t>因此，本公司管理层认为本公司所承担的信用风险已经大为降低。</w:t>
      </w:r>
    </w:p>
    <w:p>
      <w:pPr>
        <w:pStyle w:val="BodyText"/>
        <w:spacing w:line="355" w:lineRule="auto" w:before="30"/>
        <w:ind w:left="558" w:right="505"/>
        <w:jc w:val="left"/>
      </w:pPr>
      <w:r>
        <w:rPr>
          <w:spacing w:val="-2"/>
        </w:rPr>
        <w:t>本公司的流动资金存放在信用评级较高的银行，故流动资金的信用风险较低。</w:t>
      </w:r>
      <w:r>
        <w:rPr>
          <w:spacing w:val="-42"/>
        </w:rPr>
        <w:t> </w:t>
      </w:r>
      <w:r>
        <w:rPr>
          <w:spacing w:val="-42"/>
        </w:rPr>
      </w:r>
      <w:r>
        <w:rPr>
          <w:rFonts w:ascii="宋体" w:hAnsi="宋体" w:cs="宋体" w:eastAsia="宋体" w:hint="default"/>
        </w:rPr>
        <w:t>3</w:t>
      </w:r>
      <w:r>
        <w:rPr/>
        <w:t>、流动风险</w:t>
      </w:r>
    </w:p>
    <w:p>
      <w:pPr>
        <w:pStyle w:val="BodyText"/>
        <w:spacing w:line="357" w:lineRule="auto" w:before="34"/>
        <w:ind w:right="157" w:firstLine="419"/>
        <w:jc w:val="both"/>
      </w:pPr>
      <w:r>
        <w:rPr>
          <w:spacing w:val="-2"/>
        </w:rPr>
        <w:t>管理流动风险时，本公司保持管理层认为充分的现金及现金等价物并对其进行监控，以满足</w:t>
      </w:r>
      <w:r>
        <w:rPr>
          <w:w w:val="100"/>
        </w:rPr>
        <w:t> </w:t>
      </w:r>
      <w:r>
        <w:rPr/>
        <w:t>本公司经营需要，并降低现金流量波动的影响。</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2"/>
        <w:tabs>
          <w:tab w:pos="977" w:val="left" w:leader="none"/>
        </w:tabs>
        <w:spacing w:line="240" w:lineRule="auto" w:before="36"/>
        <w:ind w:left="138" w:right="-18"/>
        <w:jc w:val="left"/>
        <w:rPr>
          <w:b w:val="0"/>
          <w:bCs w:val="0"/>
        </w:rPr>
      </w:pPr>
      <w:r>
        <w:rPr/>
        <w:t>十一、</w:t>
        <w:tab/>
        <w:t>公允价值的披露</w:t>
      </w:r>
      <w:r>
        <w:rPr>
          <w:b w:val="0"/>
          <w:bCs w:val="0"/>
        </w:rPr>
      </w:r>
    </w:p>
    <w:p>
      <w:pPr>
        <w:pStyle w:val="Heading2"/>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6"/>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783" w:space="1950"/>
            <w:col w:w="239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45,000,000.00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45,000,000.00</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45,000,000.00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45,000,000.00</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45,000,000.00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sz w:val="21"/>
              </w:rPr>
              <w:t>45,000,000.00</w:t>
            </w:r>
          </w:p>
        </w:tc>
      </w:tr>
      <w:tr>
        <w:trPr>
          <w:trHeight w:val="30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138" w:right="50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240" w:lineRule="auto" w:before="56"/>
        <w:ind w:right="50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6"/>
        <w:ind w:right="50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80" w:val="left" w:leader="none"/>
        </w:tabs>
        <w:spacing w:line="240" w:lineRule="auto" w:before="58"/>
        <w:ind w:right="505"/>
        <w:jc w:val="left"/>
      </w:pPr>
      <w:r>
        <w:rPr>
          <w:spacing w:val="-1"/>
        </w:rPr>
        <w:t>□适用</w:t>
        <w:tab/>
      </w:r>
      <w:r>
        <w:rPr>
          <w:spacing w:val="-2"/>
        </w:rPr>
        <w:t>√不适用</w:t>
      </w:r>
    </w:p>
    <w:p>
      <w:pPr>
        <w:spacing w:after="0" w:line="240" w:lineRule="auto"/>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pStyle w:val="Heading2"/>
        <w:spacing w:line="240" w:lineRule="auto" w:before="3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90" w:lineRule="auto" w:before="3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171"/>
        <w:gridCol w:w="1757"/>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pacing w:val="-1"/>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8"/>
              <w:jc w:val="right"/>
              <w:rPr>
                <w:rFonts w:ascii="宋体" w:hAnsi="宋体" w:cs="宋体" w:eastAsia="宋体" w:hint="default"/>
                <w:sz w:val="21"/>
                <w:szCs w:val="21"/>
              </w:rPr>
            </w:pPr>
            <w:r>
              <w:rPr>
                <w:rFonts w:ascii="宋体" w:hAnsi="宋体" w:cs="宋体" w:eastAsia="宋体" w:hint="default"/>
                <w:spacing w:val="-1"/>
                <w:sz w:val="21"/>
                <w:szCs w:val="21"/>
              </w:rPr>
              <w:t>人民日报社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center"/>
              <w:rPr>
                <w:rFonts w:ascii="宋体" w:hAnsi="宋体" w:cs="宋体" w:eastAsia="宋体" w:hint="default"/>
                <w:sz w:val="21"/>
                <w:szCs w:val="21"/>
              </w:rPr>
            </w:pPr>
            <w:r>
              <w:rPr>
                <w:rFonts w:ascii="宋体" w:hAnsi="宋体" w:cs="宋体" w:eastAsia="宋体" w:hint="default"/>
                <w:sz w:val="21"/>
                <w:szCs w:val="21"/>
              </w:rPr>
              <w:t>92,919.00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4" w:right="0"/>
              <w:jc w:val="left"/>
              <w:rPr>
                <w:rFonts w:ascii="宋体" w:hAnsi="宋体" w:cs="宋体" w:eastAsia="宋体" w:hint="default"/>
                <w:sz w:val="21"/>
                <w:szCs w:val="21"/>
              </w:rPr>
            </w:pPr>
            <w:r>
              <w:rPr>
                <w:rFonts w:ascii="宋体"/>
                <w:sz w:val="21"/>
              </w:rPr>
              <w:t>48.43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8" w:right="0"/>
              <w:jc w:val="left"/>
              <w:rPr>
                <w:rFonts w:ascii="宋体" w:hAnsi="宋体" w:cs="宋体" w:eastAsia="宋体" w:hint="default"/>
                <w:sz w:val="21"/>
                <w:szCs w:val="21"/>
              </w:rPr>
            </w:pPr>
            <w:r>
              <w:rPr>
                <w:rFonts w:ascii="宋体"/>
                <w:sz w:val="21"/>
              </w:rPr>
              <w:t>48.43</w:t>
            </w:r>
          </w:p>
        </w:tc>
      </w:tr>
    </w:tbl>
    <w:p>
      <w:pPr>
        <w:spacing w:line="240" w:lineRule="auto" w:before="7"/>
        <w:rPr>
          <w:rFonts w:ascii="宋体" w:hAnsi="宋体" w:cs="宋体" w:eastAsia="宋体" w:hint="default"/>
          <w:sz w:val="15"/>
          <w:szCs w:val="15"/>
        </w:rPr>
      </w:pPr>
    </w:p>
    <w:p>
      <w:pPr>
        <w:pStyle w:val="BodyText"/>
        <w:spacing w:line="272" w:lineRule="exact" w:before="64"/>
        <w:ind w:left="218" w:right="6390"/>
        <w:jc w:val="left"/>
      </w:pPr>
      <w:r>
        <w:rPr>
          <w:spacing w:val="-2"/>
        </w:rPr>
        <w:t>本企业的母公司情况的说明</w:t>
      </w:r>
      <w:r>
        <w:rPr>
          <w:spacing w:val="-82"/>
        </w:rPr>
        <w:t> </w:t>
      </w:r>
      <w:r>
        <w:rPr>
          <w:spacing w:val="-82"/>
        </w:rPr>
      </w:r>
      <w:r>
        <w:rPr/>
        <w:t>无</w:t>
      </w:r>
    </w:p>
    <w:p>
      <w:pPr>
        <w:pStyle w:val="BodyText"/>
        <w:spacing w:line="249" w:lineRule="exact"/>
        <w:ind w:left="218" w:right="2731"/>
        <w:jc w:val="left"/>
      </w:pPr>
      <w:r>
        <w:rPr/>
        <w:t>本企业最终控制方是人民日报社。</w:t>
      </w:r>
    </w:p>
    <w:p>
      <w:pPr>
        <w:spacing w:line="240" w:lineRule="auto" w:before="10"/>
        <w:rPr>
          <w:rFonts w:ascii="宋体" w:hAnsi="宋体" w:cs="宋体" w:eastAsia="宋体" w:hint="default"/>
          <w:sz w:val="22"/>
          <w:szCs w:val="22"/>
        </w:rPr>
      </w:pPr>
    </w:p>
    <w:p>
      <w:pPr>
        <w:pStyle w:val="BodyText"/>
        <w:spacing w:line="272" w:lineRule="exact"/>
        <w:ind w:left="218" w:right="7998"/>
        <w:jc w:val="left"/>
      </w:pPr>
      <w:r>
        <w:rPr/>
        <w:t>其他说明：</w:t>
      </w:r>
      <w:r>
        <w:rPr>
          <w:spacing w:val="-102"/>
        </w:rPr>
        <w:t> </w:t>
      </w:r>
      <w:r>
        <w:rPr>
          <w:spacing w:val="-102"/>
        </w:rPr>
      </w:r>
      <w:r>
        <w:rPr/>
        <w:t>无</w:t>
      </w:r>
    </w:p>
    <w:p>
      <w:pPr>
        <w:spacing w:line="240" w:lineRule="auto" w:before="5"/>
        <w:rPr>
          <w:rFonts w:ascii="宋体" w:hAnsi="宋体" w:cs="宋体" w:eastAsia="宋体" w:hint="default"/>
          <w:sz w:val="23"/>
          <w:szCs w:val="23"/>
        </w:rPr>
      </w:pPr>
    </w:p>
    <w:p>
      <w:pPr>
        <w:spacing w:line="290" w:lineRule="auto" w:before="0"/>
        <w:ind w:left="218" w:right="63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7" w:lineRule="exact"/>
        <w:ind w:left="218" w:right="2731"/>
        <w:jc w:val="left"/>
      </w:pPr>
      <w:r>
        <w:rPr>
          <w:spacing w:val="-1"/>
        </w:rPr>
        <w:t>√适用</w:t>
        <w:tab/>
      </w:r>
      <w:r>
        <w:rPr>
          <w:spacing w:val="-2"/>
        </w:rPr>
        <w:t>□不适用</w:t>
      </w:r>
    </w:p>
    <w:p>
      <w:pPr>
        <w:pStyle w:val="BodyText"/>
        <w:spacing w:line="240" w:lineRule="auto" w:before="116"/>
        <w:ind w:left="218" w:right="2731"/>
        <w:jc w:val="left"/>
      </w:pPr>
      <w:r>
        <w:rPr/>
        <w:t>详见附注九、</w:t>
      </w:r>
      <w:r>
        <w:rPr>
          <w:rFonts w:ascii="宋体" w:hAnsi="宋体" w:cs="宋体" w:eastAsia="宋体" w:hint="default"/>
        </w:rPr>
        <w:t>1</w:t>
      </w:r>
      <w:r>
        <w:rPr/>
        <w:t>、在子公司中的权益。</w:t>
      </w:r>
    </w:p>
    <w:p>
      <w:pPr>
        <w:spacing w:line="240" w:lineRule="auto" w:before="3"/>
        <w:rPr>
          <w:rFonts w:ascii="宋体" w:hAnsi="宋体" w:cs="宋体" w:eastAsia="宋体" w:hint="default"/>
          <w:sz w:val="25"/>
          <w:szCs w:val="25"/>
        </w:rPr>
      </w:pPr>
    </w:p>
    <w:p>
      <w:pPr>
        <w:spacing w:line="290" w:lineRule="auto" w:before="0"/>
        <w:ind w:left="218" w:right="273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7" w:lineRule="exact"/>
        <w:ind w:left="218" w:right="2731"/>
        <w:jc w:val="left"/>
      </w:pPr>
      <w:r>
        <w:rPr/>
        <w:t>√适用</w:t>
      </w:r>
      <w:r>
        <w:rPr>
          <w:spacing w:val="-1"/>
        </w:rPr>
        <w:t> </w:t>
      </w:r>
      <w:r>
        <w:rPr/>
        <w:t>□不适用</w:t>
      </w:r>
    </w:p>
    <w:p>
      <w:pPr>
        <w:pStyle w:val="BodyText"/>
        <w:spacing w:line="240" w:lineRule="auto" w:before="118"/>
        <w:ind w:left="218" w:right="227"/>
        <w:jc w:val="left"/>
      </w:pPr>
      <w:r>
        <w:rPr/>
        <w:t>本企业重要的合营和联营企业详见附注九、</w:t>
      </w:r>
      <w:r>
        <w:rPr>
          <w:rFonts w:ascii="宋体" w:hAnsi="宋体" w:cs="宋体" w:eastAsia="宋体" w:hint="default"/>
        </w:rPr>
        <w:t>3</w:t>
      </w:r>
      <w:r>
        <w:rPr/>
        <w:t>、在合营企业或联营企业中的权益。</w:t>
      </w:r>
    </w:p>
    <w:p>
      <w:pPr>
        <w:spacing w:line="240" w:lineRule="auto" w:before="10"/>
        <w:rPr>
          <w:rFonts w:ascii="宋体" w:hAnsi="宋体" w:cs="宋体" w:eastAsia="宋体" w:hint="default"/>
          <w:sz w:val="22"/>
          <w:szCs w:val="22"/>
        </w:rPr>
      </w:pPr>
    </w:p>
    <w:p>
      <w:pPr>
        <w:pStyle w:val="BodyText"/>
        <w:spacing w:line="272" w:lineRule="exact"/>
        <w:ind w:left="218"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left="218" w:right="2731"/>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218" w:right="2731"/>
        <w:jc w:val="left"/>
      </w:pPr>
      <w:r>
        <w:rPr/>
        <w:t>其他说明</w:t>
      </w:r>
    </w:p>
    <w:p>
      <w:pPr>
        <w:pStyle w:val="BodyText"/>
        <w:spacing w:line="274"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《中国汽车报》社有限公司（注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《人民论坛》杂志社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《中国经济周刊》杂志社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北京市金台房地产经纪中心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深圳怀新企业投资顾问股份有限公司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人民数字科技产业有限公司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《人民周刊》杂志社有限责任公司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大唐风韵（北京）影视有限责任公司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《生命时报》社（注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金色环球传媒股份有限公司（注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bl>
    <w:p>
      <w:pPr>
        <w:spacing w:line="240" w:lineRule="auto" w:before="7"/>
        <w:rPr>
          <w:rFonts w:ascii="宋体" w:hAnsi="宋体" w:cs="宋体" w:eastAsia="宋体" w:hint="default"/>
          <w:sz w:val="15"/>
          <w:szCs w:val="15"/>
        </w:rPr>
      </w:pPr>
    </w:p>
    <w:p>
      <w:pPr>
        <w:pStyle w:val="BodyText"/>
        <w:spacing w:line="273" w:lineRule="exact" w:before="36"/>
        <w:ind w:left="218" w:right="2731"/>
        <w:jc w:val="left"/>
      </w:pPr>
      <w:r>
        <w:rPr/>
        <w:t>其他说明</w:t>
      </w:r>
    </w:p>
    <w:p>
      <w:pPr>
        <w:pStyle w:val="BodyText"/>
        <w:spacing w:line="273" w:lineRule="exact"/>
        <w:ind w:left="638" w:right="2731"/>
        <w:jc w:val="left"/>
      </w:pPr>
      <w:r>
        <w:rPr/>
        <w:t>注</w:t>
      </w:r>
      <w:r>
        <w:rPr>
          <w:spacing w:val="-54"/>
        </w:rPr>
        <w:t> </w:t>
      </w:r>
      <w:r>
        <w:rPr>
          <w:rFonts w:ascii="宋体" w:hAnsi="宋体" w:cs="宋体" w:eastAsia="宋体" w:hint="default"/>
        </w:rPr>
        <w:t>1</w:t>
      </w:r>
      <w:r>
        <w:rPr/>
        <w:t>：《环球时报》社为本公司参股股东，持股比例</w:t>
      </w:r>
      <w:r>
        <w:rPr>
          <w:spacing w:val="-53"/>
        </w:rPr>
        <w:t> </w:t>
      </w:r>
      <w:r>
        <w:rPr>
          <w:rFonts w:ascii="宋体" w:hAnsi="宋体" w:cs="宋体" w:eastAsia="宋体" w:hint="default"/>
        </w:rPr>
        <w:t>8.58%</w:t>
      </w:r>
      <w:r>
        <w:rPr/>
        <w:t>。</w:t>
      </w:r>
    </w:p>
    <w:p>
      <w:pPr>
        <w:pStyle w:val="BodyText"/>
        <w:spacing w:line="240" w:lineRule="auto" w:before="133"/>
        <w:ind w:left="638" w:right="227"/>
        <w:jc w:val="left"/>
      </w:pPr>
      <w:r>
        <w:rPr/>
        <w:t>注</w:t>
      </w:r>
      <w:r>
        <w:rPr>
          <w:spacing w:val="-56"/>
        </w:rPr>
        <w:t> </w:t>
      </w:r>
      <w:r>
        <w:rPr>
          <w:rFonts w:ascii="宋体" w:hAnsi="宋体" w:cs="宋体" w:eastAsia="宋体" w:hint="default"/>
        </w:rPr>
        <w:t>2</w:t>
      </w:r>
      <w:r>
        <w:rPr/>
        <w:t>：《中国汽车报》社有限公司为本公司参股股东，持股比例</w:t>
      </w:r>
      <w:r>
        <w:rPr>
          <w:spacing w:val="-56"/>
        </w:rPr>
        <w:t> </w:t>
      </w:r>
      <w:r>
        <w:rPr>
          <w:rFonts w:ascii="宋体" w:hAnsi="宋体" w:cs="宋体" w:eastAsia="宋体" w:hint="default"/>
        </w:rPr>
        <w:t>0.59%</w:t>
      </w:r>
      <w:r>
        <w:rPr/>
        <w:t>。</w:t>
      </w:r>
    </w:p>
    <w:p>
      <w:pPr>
        <w:pStyle w:val="BodyText"/>
        <w:spacing w:line="355" w:lineRule="auto" w:before="135"/>
        <w:ind w:left="638" w:right="229"/>
        <w:jc w:val="left"/>
      </w:pPr>
      <w:r>
        <w:rPr>
          <w:w w:val="100"/>
        </w:rPr>
        <w:t>注</w:t>
      </w:r>
      <w:r>
        <w:rPr>
          <w:spacing w:val="-48"/>
          <w:w w:val="100"/>
        </w:rPr>
        <w:t> </w:t>
      </w:r>
      <w:r>
        <w:rPr>
          <w:rFonts w:ascii="宋体" w:hAnsi="宋体" w:cs="宋体" w:eastAsia="宋体" w:hint="default"/>
          <w:spacing w:val="-10"/>
          <w:w w:val="100"/>
        </w:rPr>
        <w:t>3</w:t>
      </w:r>
      <w:r>
        <w:rPr>
          <w:spacing w:val="-10"/>
          <w:w w:val="100"/>
        </w:rPr>
        <w:t>：《生命时报》社为本公司参股股东《环球时报》社下属控股子公司，持股比例</w:t>
      </w:r>
      <w:r>
        <w:rPr>
          <w:spacing w:val="-47"/>
          <w:w w:val="100"/>
        </w:rPr>
        <w:t> </w:t>
      </w:r>
      <w:r>
        <w:rPr>
          <w:rFonts w:ascii="宋体" w:hAnsi="宋体" w:cs="宋体" w:eastAsia="宋体" w:hint="default"/>
          <w:spacing w:val="-2"/>
          <w:w w:val="100"/>
        </w:rPr>
        <w:t>100.00%</w:t>
      </w:r>
      <w:r>
        <w:rPr>
          <w:spacing w:val="-2"/>
          <w:w w:val="100"/>
        </w:rPr>
        <w:t>。</w:t>
      </w:r>
      <w:r>
        <w:rPr>
          <w:spacing w:val="-104"/>
          <w:w w:val="100"/>
        </w:rPr>
        <w:t> </w:t>
      </w:r>
      <w:r>
        <w:rPr/>
        <w:t>注</w:t>
      </w:r>
      <w:r>
        <w:rPr>
          <w:spacing w:val="20"/>
        </w:rPr>
        <w:t> </w:t>
      </w:r>
      <w:r>
        <w:rPr>
          <w:rFonts w:ascii="宋体" w:hAnsi="宋体" w:cs="宋体" w:eastAsia="宋体" w:hint="default"/>
          <w:spacing w:val="-2"/>
        </w:rPr>
        <w:t>4</w:t>
      </w:r>
      <w:r>
        <w:rPr>
          <w:spacing w:val="-2"/>
        </w:rPr>
        <w:t>：金色环球传媒股份有限公司为本公司参股股东《环球时报》社下属控股子公司，持股</w:t>
      </w:r>
    </w:p>
    <w:p>
      <w:pPr>
        <w:pStyle w:val="BodyText"/>
        <w:spacing w:line="240" w:lineRule="auto" w:before="32"/>
        <w:ind w:left="218" w:right="2731"/>
        <w:jc w:val="left"/>
      </w:pPr>
      <w:r>
        <w:rPr/>
        <w:t>比例</w:t>
      </w:r>
      <w:r>
        <w:rPr>
          <w:spacing w:val="-52"/>
        </w:rPr>
        <w:t> </w:t>
      </w:r>
      <w:r>
        <w:rPr>
          <w:rFonts w:ascii="宋体" w:hAnsi="宋体" w:cs="宋体" w:eastAsia="宋体" w:hint="default"/>
        </w:rPr>
        <w:t>93.75%</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731"/>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484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after="0" w:line="29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505"/>
        <w:jc w:val="left"/>
      </w:pPr>
      <w:r>
        <w:rPr/>
        <w:t>√适用</w:t>
      </w:r>
      <w:r>
        <w:rPr>
          <w:spacing w:val="-1"/>
        </w:rPr>
        <w:t> </w:t>
      </w:r>
      <w:r>
        <w:rPr/>
        <w:t>□不适用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18"/>
        <w:gridCol w:w="1702"/>
        <w:gridCol w:w="1844"/>
        <w:gridCol w:w="1632"/>
      </w:tblGrid>
      <w:tr>
        <w:trPr>
          <w:trHeight w:val="305"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2,787,550.29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2,078,741.96</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数据库信息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911,065.05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617,426.53</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10,089,622.67</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262,800.00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104,280.00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还建费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538,000.00</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288,915.00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347,986.00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场地使用费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41,014.02</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档案管理费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8,216.00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81,797.00</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8,172,091.55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8,311,300.65</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保洁、前台费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2,415,585.86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2,296,179.59</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1,371,169.53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2,348,159.77</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137,642.46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143,430.36</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前台水费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1,147.00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384,976.50</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深圳怀新企业投资顾问股份有限公司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462,264.14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678,245.26</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94,339.62</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610,188.66</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人民日报传媒广告有限公司江苏分公司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发行代理费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1,194,573.79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1,724,020.09</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图书费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138,471.16</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标书制作费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18,715.89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164,130.09</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1,188,924.37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965,449.62</w:t>
            </w:r>
          </w:p>
        </w:tc>
      </w:tr>
      <w:tr>
        <w:trPr>
          <w:trHeight w:val="284"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169,811.32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735,849.09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120"/>
        </w:sectPr>
      </w:pPr>
    </w:p>
    <w:p>
      <w:pPr>
        <w:pStyle w:val="BodyText"/>
        <w:spacing w:line="273"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56" w:space="3966"/>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18"/>
        <w:gridCol w:w="1702"/>
        <w:gridCol w:w="1844"/>
        <w:gridCol w:w="1632"/>
      </w:tblGrid>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1,943,038.72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19,771,698.12</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868,504.72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304,933.94</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5,858,490.40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3,026,048.70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962,817.15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1,110,477.40</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无线业务服务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214,949.43</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608,694.11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1,265,487.42</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283,018.86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9,433.96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4,218,789.24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566,037.73</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566,037.73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2,547,169.81</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170,940.18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会议服务收入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141,509.43</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60,872.64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136,659.62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69,658.12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会议服务收入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75,471.70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演播厅使用费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1,068,000.00</w:t>
            </w:r>
          </w:p>
        </w:tc>
      </w:tr>
      <w:tr>
        <w:trPr>
          <w:trHeight w:val="284"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447,877.36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2,241,551.04</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391,231.97</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113,207.56</w:t>
            </w: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718"/>
        <w:gridCol w:w="1702"/>
        <w:gridCol w:w="1844"/>
        <w:gridCol w:w="1632"/>
      </w:tblGrid>
      <w:tr>
        <w:trPr>
          <w:trHeight w:val="284"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人民日报数字传播（贵州）有限公司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1,056,603.77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1,650,943.38</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人民日报数字传播（江苏</w:t>
            </w:r>
            <w:r>
              <w:rPr>
                <w:rFonts w:ascii="宋体" w:hAnsi="宋体" w:cs="宋体" w:eastAsia="宋体" w:hint="default"/>
                <w:sz w:val="21"/>
                <w:szCs w:val="21"/>
              </w:rPr>
              <w:t>)</w:t>
            </w:r>
            <w:r>
              <w:rPr>
                <w:rFonts w:ascii="宋体" w:hAnsi="宋体" w:cs="宋体" w:eastAsia="宋体" w:hint="default"/>
                <w:sz w:val="21"/>
                <w:szCs w:val="21"/>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29,361.59</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56,627.35</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283,018.88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256,410.26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人民日报传媒广告有限公司江苏分公司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203,773.58</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271,617.92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990,566.03</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人民数字科技产业有限公司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17,058.67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20,677.17</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72,863.49</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94,339.62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277,665.25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188,679.25</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3,418.80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《生命时报》社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25,495.28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50,974.83</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《人民周刊》杂志社有限公司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13,490.57</w:t>
            </w:r>
          </w:p>
        </w:tc>
      </w:tr>
    </w:tbl>
    <w:p>
      <w:pPr>
        <w:spacing w:line="240" w:lineRule="auto" w:before="5"/>
        <w:rPr>
          <w:rFonts w:ascii="宋体" w:hAnsi="宋体" w:cs="宋体" w:eastAsia="宋体" w:hint="default"/>
          <w:sz w:val="15"/>
          <w:szCs w:val="15"/>
        </w:rPr>
      </w:pPr>
    </w:p>
    <w:p>
      <w:pPr>
        <w:pStyle w:val="BodyText"/>
        <w:spacing w:line="273" w:lineRule="exact" w:before="36"/>
        <w:ind w:right="505"/>
        <w:jc w:val="left"/>
      </w:pPr>
      <w:r>
        <w:rPr/>
        <w:t>购销商品、提供和接受劳务的关联交易说明</w:t>
      </w:r>
    </w:p>
    <w:p>
      <w:pPr>
        <w:pStyle w:val="BodyText"/>
        <w:spacing w:line="273" w:lineRule="exact"/>
        <w:ind w:right="5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3"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2" w:lineRule="exact"/>
        <w:ind w:right="505"/>
        <w:jc w:val="left"/>
      </w:pPr>
      <w:r>
        <w:rPr/>
        <w:t>□适用</w:t>
      </w:r>
      <w:r>
        <w:rPr>
          <w:spacing w:val="-1"/>
        </w:rPr>
        <w:t> </w:t>
      </w:r>
      <w:r>
        <w:rPr/>
        <w:t>√不适用</w:t>
      </w:r>
    </w:p>
    <w:p>
      <w:pPr>
        <w:pStyle w:val="BodyText"/>
        <w:spacing w:line="272" w:lineRule="exact"/>
        <w:ind w:right="505"/>
        <w:jc w:val="left"/>
      </w:pPr>
      <w:r>
        <w:rPr/>
        <w:t>关联托管</w:t>
      </w:r>
      <w:r>
        <w:rPr>
          <w:rFonts w:ascii="宋体" w:hAnsi="宋体" w:cs="宋体" w:eastAsia="宋体" w:hint="default"/>
        </w:rPr>
        <w:t>/</w:t>
      </w:r>
      <w:r>
        <w:rPr/>
        <w:t>承包情况说明</w:t>
      </w:r>
    </w:p>
    <w:p>
      <w:pPr>
        <w:pStyle w:val="BodyText"/>
        <w:spacing w:line="240" w:lineRule="auto"/>
        <w:ind w:right="5054"/>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4" w:lineRule="exact" w:before="22"/>
        <w:ind w:right="5252"/>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6" w:lineRule="exact"/>
        <w:ind w:right="5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7" w:lineRule="exact"/>
        <w:ind w:right="505"/>
        <w:jc w:val="left"/>
      </w:pPr>
      <w:r>
        <w:rPr/>
        <w:t>□适用</w:t>
      </w:r>
      <w:r>
        <w:rPr>
          <w:spacing w:val="-1"/>
        </w:rPr>
        <w:t> </w:t>
      </w:r>
      <w:r>
        <w:rPr/>
        <w:t>√不适用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660" w:right="1120"/>
        </w:sectPr>
      </w:pPr>
    </w:p>
    <w:p>
      <w:pPr>
        <w:pStyle w:val="BodyText"/>
        <w:spacing w:line="274" w:lineRule="exact" w:before="36"/>
        <w:ind w:right="-8"/>
        <w:jc w:val="left"/>
      </w:pPr>
      <w:r>
        <w:rPr>
          <w:spacing w:val="-1"/>
        </w:rPr>
        <w:t>本公司作为承租方：</w:t>
      </w:r>
    </w:p>
    <w:p>
      <w:pPr>
        <w:pStyle w:val="BodyText"/>
        <w:spacing w:line="274" w:lineRule="exact"/>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41"/>
        <w:gridCol w:w="1843"/>
        <w:gridCol w:w="2412"/>
        <w:gridCol w:w="2199"/>
      </w:tblGrid>
      <w:tr>
        <w:trPr>
          <w:trHeight w:val="319"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91"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0"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1"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72,074,407.49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83,296,397.80</w:t>
            </w:r>
          </w:p>
        </w:tc>
      </w:tr>
      <w:tr>
        <w:trPr>
          <w:trHeight w:val="28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1,183,783.78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861,400.00</w:t>
            </w:r>
          </w:p>
        </w:tc>
      </w:tr>
    </w:tbl>
    <w:p>
      <w:pPr>
        <w:spacing w:line="240" w:lineRule="auto" w:before="5"/>
        <w:rPr>
          <w:rFonts w:ascii="宋体" w:hAnsi="宋体" w:cs="宋体" w:eastAsia="宋体" w:hint="default"/>
          <w:sz w:val="15"/>
          <w:szCs w:val="15"/>
        </w:rPr>
      </w:pPr>
    </w:p>
    <w:p>
      <w:pPr>
        <w:pStyle w:val="BodyText"/>
        <w:spacing w:line="274" w:lineRule="exact" w:before="36"/>
        <w:ind w:right="505"/>
        <w:jc w:val="left"/>
      </w:pPr>
      <w:r>
        <w:rPr/>
        <w:t>关联租赁情况说明</w:t>
      </w:r>
    </w:p>
    <w:p>
      <w:pPr>
        <w:pStyle w:val="BodyText"/>
        <w:spacing w:line="274" w:lineRule="exact"/>
        <w:ind w:right="5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spacing w:after="0" w:line="290" w:lineRule="auto"/>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left="218" w:right="7167"/>
        <w:jc w:val="left"/>
      </w:pPr>
      <w:r>
        <w:rPr/>
        <w:t>□适用</w:t>
      </w:r>
      <w:r>
        <w:rPr>
          <w:spacing w:val="-2"/>
        </w:rPr>
        <w:t> </w:t>
      </w:r>
      <w:r>
        <w:rPr/>
        <w:t>√不适用</w:t>
      </w:r>
      <w:r>
        <w:rPr>
          <w:w w:val="100"/>
        </w:rPr>
        <w:t> </w:t>
      </w:r>
      <w:r>
        <w:rPr>
          <w:spacing w:val="-1"/>
        </w:rPr>
        <w:t>本公司作为被担保方</w:t>
      </w:r>
    </w:p>
    <w:p>
      <w:pPr>
        <w:pStyle w:val="BodyText"/>
        <w:spacing w:line="274" w:lineRule="exact" w:before="22"/>
        <w:ind w:left="218" w:right="6323"/>
        <w:jc w:val="left"/>
      </w:pPr>
      <w:r>
        <w:rPr/>
        <w:t>□适用</w:t>
      </w:r>
      <w:r>
        <w:rPr>
          <w:spacing w:val="-2"/>
        </w:rPr>
        <w:t> </w:t>
      </w:r>
      <w:r>
        <w:rPr/>
        <w:t>√不适用</w:t>
      </w:r>
      <w:r>
        <w:rPr>
          <w:w w:val="100"/>
        </w:rPr>
        <w:t> </w:t>
      </w:r>
      <w:r>
        <w:rPr>
          <w:spacing w:val="-2"/>
        </w:rPr>
        <w:t>关联担保情况说明</w:t>
      </w:r>
    </w:p>
    <w:p>
      <w:pPr>
        <w:pStyle w:val="BodyText"/>
        <w:spacing w:line="246" w:lineRule="exact"/>
        <w:ind w:left="218" w:right="2731"/>
        <w:jc w:val="left"/>
      </w:pPr>
      <w:r>
        <w:rPr/>
        <w:t>□适用</w:t>
      </w:r>
      <w:r>
        <w:rPr>
          <w:spacing w:val="-1"/>
        </w:rPr>
        <w:t> </w:t>
      </w:r>
      <w:r>
        <w:rPr/>
        <w:t>√不适用</w:t>
      </w:r>
    </w:p>
    <w:p>
      <w:pPr>
        <w:spacing w:line="240" w:lineRule="auto" w:before="4"/>
        <w:rPr>
          <w:rFonts w:ascii="宋体" w:hAnsi="宋体" w:cs="宋体" w:eastAsia="宋体" w:hint="default"/>
          <w:sz w:val="22"/>
          <w:szCs w:val="22"/>
        </w:rPr>
      </w:pPr>
    </w:p>
    <w:p>
      <w:pPr>
        <w:pStyle w:val="Heading2"/>
        <w:spacing w:line="240" w:lineRule="auto"/>
        <w:ind w:right="2731"/>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8"/>
          <w:pgSz w:w="11910" w:h="16840"/>
          <w:pgMar w:footer="1195" w:header="882"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单位：万元币种：人民币</w:t>
      </w:r>
    </w:p>
    <w:p>
      <w:pPr>
        <w:spacing w:after="0" w:line="240" w:lineRule="auto"/>
        <w:jc w:val="left"/>
        <w:sectPr>
          <w:type w:val="continuous"/>
          <w:pgSz w:w="11910" w:h="16840"/>
          <w:pgMar w:top="1120" w:bottom="1380" w:left="1580" w:right="1040"/>
          <w:cols w:num="2" w:equalWidth="0">
            <w:col w:w="2525" w:space="39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601.88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503.21</w:t>
            </w:r>
          </w:p>
        </w:tc>
      </w:tr>
    </w:tbl>
    <w:p>
      <w:pPr>
        <w:spacing w:line="240" w:lineRule="auto" w:before="2"/>
        <w:rPr>
          <w:rFonts w:ascii="宋体" w:hAnsi="宋体" w:cs="宋体" w:eastAsia="宋体" w:hint="default"/>
          <w:sz w:val="20"/>
          <w:szCs w:val="20"/>
        </w:rPr>
      </w:pPr>
    </w:p>
    <w:p>
      <w:pPr>
        <w:pStyle w:val="Heading2"/>
        <w:spacing w:line="240" w:lineRule="auto" w:before="36"/>
        <w:ind w:right="2731"/>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2"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0"/>
        <w:ind w:left="21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06"/>
        <w:gridCol w:w="3397"/>
        <w:gridCol w:w="1426"/>
        <w:gridCol w:w="703"/>
        <w:gridCol w:w="1424"/>
        <w:gridCol w:w="641"/>
      </w:tblGrid>
      <w:tr>
        <w:trPr>
          <w:trHeight w:val="283"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306" w:type="dxa"/>
            <w:vMerge/>
            <w:tcBorders>
              <w:left w:val="single" w:sz="4" w:space="0" w:color="000000"/>
              <w:bottom w:val="single" w:sz="4" w:space="0" w:color="000000"/>
              <w:right w:val="single" w:sz="4" w:space="0" w:color="000000"/>
            </w:tcBorders>
          </w:tcPr>
          <w:p>
            <w:pPr/>
          </w:p>
        </w:tc>
        <w:tc>
          <w:tcPr>
            <w:tcW w:w="3397"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9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30,105,543.86</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27,994,121.34</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232,075.50</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790,097.26</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4,459.18</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990,665.38</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56,603.79</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114,746.41</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990,566.04</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990,566.03</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31,503,994.78</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30,765,450.01</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9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人民日报社海外版</w:t>
            </w:r>
          </w:p>
        </w:tc>
        <w:tc>
          <w:tcPr>
            <w:tcW w:w="142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1,929,125.00</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74,436.00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113,923.12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华茂金台（北京）投资管理有限公司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535,574.09</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74,436.00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2,578,622.21</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39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3,997,295.26</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864,727.45</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169,811.32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4,053,295.26</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1,034,538.77</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9"/>
          <w:pgSz w:w="11910" w:h="16840"/>
          <w:pgMar w:footer="1195" w:header="882" w:top="1120" w:bottom="1380" w:left="1660" w:right="1120"/>
          <w:pgNumType w:start="171"/>
        </w:sectPr>
      </w:pPr>
    </w:p>
    <w:p>
      <w:pPr>
        <w:pStyle w:val="Heading2"/>
        <w:spacing w:line="240" w:lineRule="auto" w:before="36"/>
        <w:ind w:left="1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80" w:val="left" w:leader="none"/>
        </w:tabs>
        <w:spacing w:line="240" w:lineRule="auto" w:before="58"/>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821" w:space="4912"/>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8"/>
        <w:gridCol w:w="3687"/>
        <w:gridCol w:w="1982"/>
        <w:gridCol w:w="1918"/>
      </w:tblGrid>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10,946,502.25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2,148,879.70</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532,204.85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425,633.00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1,283,417.04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1,669,369.79</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370,000.00</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80,473.22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80,473.22</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深圳证券时报传媒有限公司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157,232.75</w:t>
            </w:r>
          </w:p>
        </w:tc>
      </w:tr>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13,212,597.36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4,851,588.46</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6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70,000,000.00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3,398,660.38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2,104,203.68</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2,381,210.79</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226,415.10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60,872.65</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226,415.09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72,863.50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《生命时报》社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51,886.79</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88,466.81</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51,143.40</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152,830.21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50,974.85</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346,306.18</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168,319.16</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51,886.79</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大唐风韵（北京）影视有限责任公司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131,723,254.98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72,803,540.02</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6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221,698.11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221,698.11</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1,798,908.80</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58,602.49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301,726.00</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2,828,539.80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1,272,754.51</w:t>
            </w:r>
          </w:p>
        </w:tc>
      </w:tr>
    </w:tbl>
    <w:p>
      <w:pPr>
        <w:spacing w:line="240" w:lineRule="auto" w:before="2"/>
        <w:rPr>
          <w:rFonts w:ascii="宋体" w:hAnsi="宋体" w:cs="宋体" w:eastAsia="宋体" w:hint="default"/>
          <w:sz w:val="20"/>
          <w:szCs w:val="20"/>
        </w:rPr>
      </w:pPr>
    </w:p>
    <w:p>
      <w:pPr>
        <w:pStyle w:val="Heading2"/>
        <w:spacing w:line="240" w:lineRule="auto" w:before="36"/>
        <w:ind w:left="138" w:right="505"/>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343" w:lineRule="auto" w:before="56"/>
        <w:ind w:right="2889"/>
        <w:jc w:val="left"/>
      </w:pPr>
      <w:r>
        <w:rPr>
          <w:spacing w:val="-1"/>
        </w:rPr>
        <w:t>√适用</w:t>
        <w:tab/>
      </w:r>
      <w:r>
        <w:rPr>
          <w:spacing w:val="-2"/>
        </w:rPr>
        <w:t>□不适用</w:t>
      </w:r>
      <w:r>
        <w:rPr>
          <w:spacing w:val="-99"/>
        </w:rPr>
        <w:t> </w:t>
      </w:r>
      <w:r>
        <w:rPr>
          <w:spacing w:val="-99"/>
        </w:rPr>
      </w:r>
      <w:r>
        <w:rPr>
          <w:spacing w:val="-2"/>
        </w:rPr>
        <w:t>控股股东承诺情况请参见本报告第五节重要事项之承诺履行情况。</w:t>
      </w:r>
    </w:p>
    <w:p>
      <w:pPr>
        <w:spacing w:line="240" w:lineRule="auto" w:before="11"/>
        <w:rPr>
          <w:rFonts w:ascii="宋体" w:hAnsi="宋体" w:cs="宋体" w:eastAsia="宋体" w:hint="default"/>
          <w:sz w:val="25"/>
          <w:szCs w:val="25"/>
        </w:rPr>
      </w:pPr>
    </w:p>
    <w:p>
      <w:pPr>
        <w:spacing w:before="0"/>
        <w:ind w:left="138" w:right="50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right="50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505"/>
        <w:jc w:val="left"/>
        <w:rPr>
          <w:b w:val="0"/>
          <w:bCs w:val="0"/>
        </w:rPr>
      </w:pPr>
      <w:r>
        <w:rPr/>
        <w:t>十三、</w:t>
        <w:tab/>
        <w:t>股份支付</w:t>
      </w:r>
      <w:r>
        <w:rPr>
          <w:b w:val="0"/>
          <w:bCs w:val="0"/>
        </w:rPr>
      </w:r>
    </w:p>
    <w:p>
      <w:pPr>
        <w:pStyle w:val="Heading2"/>
        <w:spacing w:line="240" w:lineRule="auto" w:before="58"/>
        <w:ind w:left="138" w:right="505"/>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505"/>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spacing w:line="240" w:lineRule="auto" w:before="36"/>
        <w:ind w:right="2731"/>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4</w:t>
      </w:r>
      <w:r>
        <w:rPr/>
        <w:t>、 股份支付的修改、终止情况</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8"/>
        <w:ind w:right="2731"/>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2"/>
        <w:rPr>
          <w:rFonts w:ascii="宋体" w:hAnsi="宋体" w:cs="宋体" w:eastAsia="宋体" w:hint="default"/>
          <w:sz w:val="24"/>
          <w:szCs w:val="24"/>
        </w:rPr>
      </w:pPr>
    </w:p>
    <w:p>
      <w:pPr>
        <w:pStyle w:val="Heading2"/>
        <w:spacing w:line="240" w:lineRule="auto"/>
        <w:ind w:right="2731"/>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731"/>
        <w:jc w:val="left"/>
        <w:rPr>
          <w:b w:val="0"/>
          <w:bCs w:val="0"/>
        </w:rPr>
      </w:pPr>
      <w:r>
        <w:rPr/>
        <w:t>十五、</w:t>
        <w:tab/>
        <w:t>资产负债表日后事项</w:t>
      </w:r>
      <w:r>
        <w:rPr>
          <w:b w:val="0"/>
          <w:bCs w:val="0"/>
        </w:rPr>
      </w:r>
    </w:p>
    <w:p>
      <w:pPr>
        <w:pStyle w:val="Heading2"/>
        <w:spacing w:line="240" w:lineRule="auto" w:before="58"/>
        <w:ind w:right="2731"/>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49,756,097.52</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49,756,097.52</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40" w:lineRule="auto" w:before="29"/>
        <w:ind w:left="218" w:right="2731"/>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90" w:lineRule="auto" w:before="36"/>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spacing w:line="240" w:lineRule="auto" w:before="57"/>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tabs>
          <w:tab w:pos="781" w:val="left" w:leader="none"/>
          <w:tab w:pos="980" w:val="left" w:leader="none"/>
        </w:tabs>
        <w:spacing w:line="300" w:lineRule="auto" w:before="135"/>
        <w:ind w:left="138" w:right="7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其他资产置换</w:t>
      </w:r>
      <w:r>
        <w:rPr>
          <w:rFonts w:ascii="宋体" w:hAnsi="宋体" w:cs="宋体" w:eastAsia="宋体" w:hint="default"/>
          <w:sz w:val="21"/>
          <w:szCs w:val="21"/>
        </w:rPr>
      </w:r>
    </w:p>
    <w:p>
      <w:pPr>
        <w:pStyle w:val="BodyText"/>
        <w:spacing w:line="240" w:lineRule="auto" w:before="4"/>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spacing w:line="240" w:lineRule="auto" w:before="56"/>
        <w:ind w:left="13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spacing w:line="240" w:lineRule="auto" w:before="58"/>
        <w:ind w:right="0"/>
        <w:jc w:val="both"/>
      </w:pPr>
      <w:r>
        <w:rPr/>
        <w:t>□适用</w:t>
      </w:r>
      <w:r>
        <w:rPr>
          <w:spacing w:val="104"/>
        </w:rPr>
        <w:t> </w:t>
      </w:r>
      <w:r>
        <w:rPr/>
        <w:t>√不适用</w:t>
      </w:r>
    </w:p>
    <w:p>
      <w:pPr>
        <w:pStyle w:val="Heading2"/>
        <w:spacing w:line="240" w:lineRule="auto" w:before="56"/>
        <w:ind w:left="138" w:right="0"/>
        <w:jc w:val="both"/>
        <w:rPr>
          <w:b w:val="0"/>
          <w:bCs w:val="0"/>
        </w:rPr>
      </w:pPr>
      <w:r>
        <w:rPr>
          <w:rFonts w:ascii="宋体" w:hAnsi="宋体" w:cs="宋体" w:eastAsia="宋体" w:hint="default"/>
        </w:rPr>
        <w:t>(2). </w:t>
      </w:r>
      <w:r>
        <w:rPr>
          <w:rFonts w:ascii="宋体" w:hAnsi="宋体" w:cs="宋体" w:eastAsia="宋体" w:hint="default"/>
          <w:spacing w:val="11"/>
        </w:rPr>
        <w:t> </w:t>
      </w:r>
      <w:r>
        <w:rPr/>
        <w:t>报告分部的财务信息</w:t>
      </w:r>
      <w:r>
        <w:rPr>
          <w:b w:val="0"/>
          <w:bCs w:val="0"/>
        </w:rPr>
      </w:r>
    </w:p>
    <w:p>
      <w:pPr>
        <w:pStyle w:val="BodyText"/>
        <w:spacing w:line="240" w:lineRule="auto" w:before="58"/>
        <w:ind w:right="0"/>
        <w:jc w:val="both"/>
      </w:pPr>
      <w:r>
        <w:rPr/>
        <w:t>□适用</w:t>
      </w:r>
      <w:r>
        <w:rPr>
          <w:spacing w:val="104"/>
        </w:rPr>
        <w:t> </w:t>
      </w:r>
      <w:r>
        <w:rPr/>
        <w:t>√不适用</w:t>
      </w:r>
    </w:p>
    <w:p>
      <w:pPr>
        <w:pStyle w:val="Heading2"/>
        <w:spacing w:line="240" w:lineRule="auto" w:before="56"/>
        <w:ind w:left="138" w:right="0"/>
        <w:jc w:val="both"/>
        <w:rPr>
          <w:b w:val="0"/>
          <w:bCs w:val="0"/>
        </w:rPr>
      </w:pPr>
      <w:r>
        <w:rPr>
          <w:rFonts w:ascii="宋体" w:hAnsi="宋体" w:cs="宋体" w:eastAsia="宋体" w:hint="default"/>
        </w:rPr>
        <w:t>(3). </w:t>
      </w:r>
      <w:r>
        <w:rPr>
          <w:rFonts w:ascii="宋体" w:hAnsi="宋体" w:cs="宋体" w:eastAsia="宋体" w:hint="default"/>
          <w:spacing w:val="4"/>
        </w:rPr>
        <w:t> </w:t>
      </w:r>
      <w:r>
        <w:rPr/>
        <w:t>公司无报告分部的，或者不能披露各报告分部的资产总额和负债总额的，应说明原因</w:t>
      </w:r>
      <w:r>
        <w:rPr>
          <w:b w:val="0"/>
          <w:bCs w:val="0"/>
        </w:rPr>
      </w:r>
    </w:p>
    <w:p>
      <w:pPr>
        <w:tabs>
          <w:tab w:pos="781" w:val="left" w:leader="none"/>
          <w:tab w:pos="980" w:val="left" w:leader="none"/>
        </w:tabs>
        <w:spacing w:line="290" w:lineRule="auto" w:before="58"/>
        <w:ind w:left="138" w:right="726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(4).</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4"/>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0"/>
        <w:jc w:val="both"/>
      </w:pPr>
      <w:r>
        <w:rPr/>
        <w:t>□适用</w:t>
      </w:r>
      <w:r>
        <w:rPr>
          <w:spacing w:val="104"/>
        </w:rPr>
        <w:t> </w:t>
      </w:r>
      <w:r>
        <w:rPr/>
        <w:t>√不适用</w:t>
      </w:r>
    </w:p>
    <w:p>
      <w:pPr>
        <w:spacing w:line="240" w:lineRule="auto" w:before="2"/>
        <w:rPr>
          <w:rFonts w:ascii="宋体" w:hAnsi="宋体" w:cs="宋体" w:eastAsia="宋体" w:hint="default"/>
          <w:sz w:val="26"/>
          <w:szCs w:val="26"/>
        </w:rPr>
      </w:pPr>
    </w:p>
    <w:p>
      <w:pPr>
        <w:pStyle w:val="Heading2"/>
        <w:spacing w:line="240" w:lineRule="auto"/>
        <w:ind w:left="13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980" w:val="left" w:leader="none"/>
        </w:tabs>
        <w:spacing w:line="343" w:lineRule="auto" w:before="56"/>
        <w:ind w:left="558" w:right="137" w:hanging="420"/>
        <w:jc w:val="left"/>
      </w:pPr>
      <w:r>
        <w:rPr>
          <w:spacing w:val="-1"/>
        </w:rPr>
        <w:t>√适用</w:t>
        <w:tab/>
      </w:r>
      <w:r>
        <w:rPr>
          <w:spacing w:val="-2"/>
        </w:rPr>
        <w:t>□不适用</w:t>
      </w:r>
      <w:r>
        <w:rPr>
          <w:spacing w:val="-99"/>
        </w:rPr>
        <w:t> </w:t>
      </w:r>
      <w:r>
        <w:rPr>
          <w:spacing w:val="-99"/>
        </w:rPr>
      </w:r>
      <w:r>
        <w:rPr>
          <w:spacing w:val="-2"/>
        </w:rPr>
        <w:t>公司主营业务为新闻资讯服务、互联网广告服务、移动增值服务、为政府提供宣传服务，公</w:t>
      </w:r>
    </w:p>
    <w:p>
      <w:pPr>
        <w:pStyle w:val="BodyText"/>
        <w:spacing w:line="240" w:lineRule="auto" w:before="43"/>
        <w:ind w:right="0"/>
        <w:jc w:val="both"/>
      </w:pPr>
      <w:r>
        <w:rPr/>
        <w:t>司业务经营模式单一，不适用分部报告。</w:t>
      </w:r>
    </w:p>
    <w:p>
      <w:pPr>
        <w:spacing w:after="0" w:line="240" w:lineRule="auto"/>
        <w:jc w:val="both"/>
        <w:sectPr>
          <w:pgSz w:w="11910" w:h="16840"/>
          <w:pgMar w:header="882" w:footer="1195" w:top="1120" w:bottom="1380" w:left="1660" w:right="114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0"/>
          <w:footerReference w:type="default" r:id="rId111"/>
          <w:pgSz w:w="16840" w:h="11910" w:orient="landscape"/>
          <w:pgMar w:header="0" w:footer="0" w:top="800" w:bottom="280" w:left="1380" w:right="1280"/>
        </w:sectPr>
      </w:pPr>
    </w:p>
    <w:p>
      <w:pPr>
        <w:spacing w:line="240" w:lineRule="auto" w:before="11"/>
        <w:rPr>
          <w:rFonts w:ascii="宋体" w:hAnsi="宋体" w:cs="宋体" w:eastAsia="宋体" w:hint="default"/>
          <w:sz w:val="13"/>
          <w:szCs w:val="13"/>
        </w:rPr>
      </w:pPr>
    </w:p>
    <w:p>
      <w:pPr>
        <w:pStyle w:val="Heading2"/>
        <w:tabs>
          <w:tab w:pos="984" w:val="left" w:leader="none"/>
        </w:tabs>
        <w:spacing w:line="290" w:lineRule="auto"/>
        <w:ind w:left="144"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984" w:val="left" w:leader="none"/>
        </w:tabs>
        <w:spacing w:line="240" w:lineRule="auto" w:before="12"/>
        <w:ind w:left="286"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86" w:val="left" w:leader="none"/>
        </w:tabs>
        <w:spacing w:line="240" w:lineRule="auto" w:before="58"/>
        <w:ind w:left="144"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95" w:val="left" w:leader="none"/>
        </w:tabs>
        <w:spacing w:line="240" w:lineRule="auto" w:before="142"/>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3726" w:space="7837"/>
            <w:col w:w="261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74"/>
        <w:gridCol w:w="1534"/>
        <w:gridCol w:w="769"/>
        <w:gridCol w:w="1426"/>
        <w:gridCol w:w="797"/>
        <w:gridCol w:w="1532"/>
        <w:gridCol w:w="1534"/>
        <w:gridCol w:w="795"/>
        <w:gridCol w:w="1428"/>
        <w:gridCol w:w="818"/>
        <w:gridCol w:w="1532"/>
      </w:tblGrid>
      <w:tr>
        <w:trPr>
          <w:trHeight w:val="281"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74"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77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21" w:right="0"/>
              <w:jc w:val="left"/>
              <w:rPr>
                <w:rFonts w:ascii="宋体" w:hAnsi="宋体" w:cs="宋体" w:eastAsia="宋体" w:hint="default"/>
                <w:sz w:val="21"/>
                <w:szCs w:val="21"/>
              </w:rPr>
            </w:pPr>
            <w:r>
              <w:rPr>
                <w:rFonts w:ascii="宋体"/>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35" w:right="0"/>
              <w:jc w:val="left"/>
              <w:rPr>
                <w:rFonts w:ascii="宋体" w:hAnsi="宋体" w:cs="宋体" w:eastAsia="宋体" w:hint="default"/>
                <w:sz w:val="21"/>
                <w:szCs w:val="21"/>
              </w:rPr>
            </w:pPr>
            <w:r>
              <w:rPr>
                <w:rFonts w:ascii="宋体"/>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8,393,338.25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8,393,338.25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7,557,181.26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7,557,181.26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6" w:right="53"/>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229,569,576.35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17,167,743.00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7.48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212,401,833.35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238,275,751.27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96.44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12,968,971.11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5.44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225,306,780.16</w:t>
            </w: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1,242,165.37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0.52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1,242,165.37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1,242,165.37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1,242,165.37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239,205,079.97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26,803,246.62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212,401,833.35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247,075,097.90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21,768,317.74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225,306,780.16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63"/>
        <w:ind w:left="6398" w:right="6414" w:firstLine="0"/>
        <w:jc w:val="center"/>
        <w:rPr>
          <w:rFonts w:ascii="Calibri" w:hAnsi="Calibri" w:cs="Calibri" w:eastAsia="Calibri" w:hint="default"/>
          <w:sz w:val="18"/>
          <w:szCs w:val="18"/>
        </w:rPr>
      </w:pPr>
      <w:r>
        <w:rPr>
          <w:rFonts w:ascii="Calibri"/>
          <w:b/>
          <w:sz w:val="18"/>
        </w:rPr>
        <w:t>174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12"/>
          <w:pgSz w:w="11910" w:h="16840"/>
          <w:pgMar w:footer="1195" w:header="0" w:top="1120" w:bottom="1380" w:left="1400" w:right="820"/>
          <w:pgNumType w:start="175"/>
        </w:sectPr>
      </w:pPr>
    </w:p>
    <w:p>
      <w:pPr>
        <w:spacing w:line="240" w:lineRule="auto" w:before="3"/>
        <w:rPr>
          <w:rFonts w:ascii="Calibri" w:hAnsi="Calibri" w:cs="Calibri" w:eastAsia="Calibri" w:hint="default"/>
          <w:b/>
          <w:bCs/>
          <w:sz w:val="17"/>
          <w:szCs w:val="17"/>
        </w:rPr>
      </w:pPr>
    </w:p>
    <w:p>
      <w:pPr>
        <w:pStyle w:val="BodyText"/>
        <w:spacing w:line="240" w:lineRule="auto"/>
        <w:ind w:left="398" w:right="0"/>
        <w:jc w:val="left"/>
      </w:pPr>
      <w:r>
        <w:rPr>
          <w:spacing w:val="-2"/>
        </w:rPr>
        <w:t>期末单项金额重大并单项计提坏账准备的应收账款：</w:t>
      </w:r>
    </w:p>
    <w:p>
      <w:pPr>
        <w:pStyle w:val="BodyText"/>
        <w:spacing w:line="240" w:lineRule="auto" w:before="56"/>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820"/>
          <w:cols w:num="2" w:equalWidth="0">
            <w:col w:w="5233" w:space="1289"/>
            <w:col w:w="316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18"/>
        <w:gridCol w:w="1562"/>
        <w:gridCol w:w="1556"/>
        <w:gridCol w:w="852"/>
        <w:gridCol w:w="2372"/>
      </w:tblGrid>
      <w:tr>
        <w:trPr>
          <w:trHeight w:val="283" w:hRule="exact"/>
        </w:trPr>
        <w:tc>
          <w:tcPr>
            <w:tcW w:w="31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118"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北京人网互联咨询有限公司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1,689,309.73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1,689,309.73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北京逸视觉广告有限公司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770,566.04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770,566.04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广州市罗兰文化传播有限公司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555,796.23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555,796.23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5"/>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中昊高铁新技术开发有限公司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1,711,320.58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1,711,320.58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长治县城乡统筹振兴试验区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2,830,188.68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2,830,188.68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灏景（厦门）文化传媒有限公司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836,156.99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836,156.99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8,393,338.25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8,393,338.25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400" w:right="820"/>
        </w:sectPr>
      </w:pPr>
    </w:p>
    <w:p>
      <w:pPr>
        <w:pStyle w:val="BodyText"/>
        <w:spacing w:line="240" w:lineRule="auto" w:before="36"/>
        <w:ind w:left="398" w:right="0"/>
        <w:jc w:val="left"/>
      </w:pPr>
      <w:r>
        <w:rPr>
          <w:spacing w:val="-2"/>
        </w:rPr>
        <w:t>组合中，按账龄分析法计提坏账准备的应收账款：</w:t>
      </w:r>
    </w:p>
    <w:p>
      <w:pPr>
        <w:pStyle w:val="BodyText"/>
        <w:spacing w:line="240" w:lineRule="auto" w:before="58"/>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820"/>
          <w:cols w:num="2" w:equalWidth="0">
            <w:col w:w="5024" w:space="1498"/>
            <w:col w:w="316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149,244,932.82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1,351,862.52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0.91</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149,244,932.82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1,351,862.52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0.91</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21,593,007.77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976,906.78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4.52</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32,729,279.66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3,186,324.20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9.74</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16,606,158.97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4,981,847.70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5,450,790.66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2,725,395.33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3,945,406.47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3,945,406.47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229,569,576.35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17,167,743.00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7.48</w:t>
            </w:r>
          </w:p>
        </w:tc>
      </w:tr>
    </w:tbl>
    <w:p>
      <w:pPr>
        <w:spacing w:line="240" w:lineRule="auto" w:before="12"/>
        <w:rPr>
          <w:rFonts w:ascii="宋体" w:hAnsi="宋体" w:cs="宋体" w:eastAsia="宋体" w:hint="default"/>
          <w:sz w:val="19"/>
          <w:szCs w:val="19"/>
        </w:rPr>
      </w:pPr>
    </w:p>
    <w:p>
      <w:pPr>
        <w:pStyle w:val="BodyText"/>
        <w:spacing w:line="290" w:lineRule="auto" w:before="36"/>
        <w:ind w:left="398" w:right="2588"/>
        <w:jc w:val="left"/>
      </w:pPr>
      <w:r>
        <w:rPr/>
        <w:t>确定该组合依据的说明：</w:t>
      </w:r>
      <w:r>
        <w:rPr>
          <w:w w:val="100"/>
        </w:rPr>
        <w:t> </w:t>
      </w:r>
      <w:r>
        <w:rPr/>
        <w:t>本公司以账龄为信用风险特征组合的确定依据。</w:t>
      </w:r>
    </w:p>
    <w:p>
      <w:pPr>
        <w:spacing w:line="240" w:lineRule="auto" w:before="11"/>
        <w:rPr>
          <w:rFonts w:ascii="宋体" w:hAnsi="宋体" w:cs="宋体" w:eastAsia="宋体" w:hint="default"/>
          <w:sz w:val="21"/>
          <w:szCs w:val="21"/>
        </w:rPr>
      </w:pPr>
    </w:p>
    <w:p>
      <w:pPr>
        <w:pStyle w:val="BodyText"/>
        <w:spacing w:line="240" w:lineRule="auto"/>
        <w:ind w:left="398" w:right="2588"/>
        <w:jc w:val="left"/>
      </w:pPr>
      <w:r>
        <w:rPr/>
        <w:t>组合中，采用余额百分比法计提坏账准备的应收账款：</w:t>
      </w:r>
    </w:p>
    <w:p>
      <w:pPr>
        <w:pStyle w:val="BodyText"/>
        <w:spacing w:line="240" w:lineRule="auto" w:before="57"/>
        <w:ind w:left="398" w:right="258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398" w:right="2588"/>
        <w:jc w:val="left"/>
      </w:pPr>
      <w:r>
        <w:rPr/>
        <w:t>组合中，采用其他方法计提坏账准备的应收账款：</w:t>
      </w:r>
    </w:p>
    <w:p>
      <w:pPr>
        <w:pStyle w:val="BodyText"/>
        <w:spacing w:line="240" w:lineRule="auto" w:before="58"/>
        <w:ind w:left="398" w:right="2588"/>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698" w:val="left" w:leader="none"/>
        </w:tabs>
        <w:spacing w:line="240" w:lineRule="auto"/>
        <w:ind w:left="0" w:right="4109"/>
        <w:jc w:val="center"/>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398" w:right="0"/>
        <w:jc w:val="left"/>
      </w:pPr>
      <w:r>
        <w:rPr/>
        <w:t>本期计提坏账准备金额</w:t>
      </w:r>
      <w:r>
        <w:rPr>
          <w:spacing w:val="-54"/>
        </w:rPr>
        <w:t> </w:t>
      </w:r>
      <w:r>
        <w:rPr>
          <w:rFonts w:ascii="宋体" w:hAnsi="宋体" w:cs="宋体" w:eastAsia="宋体" w:hint="default"/>
        </w:rPr>
        <w:t>5,034,928.88</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left="398" w:right="2588"/>
        <w:jc w:val="left"/>
      </w:pPr>
      <w:r>
        <w:rPr/>
        <w:t>其中本期坏账准备收回或转回金额重要的：</w:t>
      </w:r>
    </w:p>
    <w:p>
      <w:pPr>
        <w:pStyle w:val="BodyText"/>
        <w:spacing w:line="274" w:lineRule="exact"/>
        <w:ind w:left="398" w:right="2588"/>
        <w:jc w:val="left"/>
      </w:pPr>
      <w:r>
        <w:rPr/>
        <w:t>□适用</w:t>
      </w:r>
      <w:r>
        <w:rPr>
          <w:spacing w:val="-1"/>
        </w:rPr>
        <w:t> </w:t>
      </w:r>
      <w:r>
        <w:rPr/>
        <w:t>√不适用</w:t>
      </w:r>
    </w:p>
    <w:p>
      <w:pPr>
        <w:spacing w:after="0" w:line="274" w:lineRule="exact"/>
        <w:jc w:val="left"/>
        <w:sectPr>
          <w:type w:val="continuous"/>
          <w:pgSz w:w="11910" w:h="16840"/>
          <w:pgMar w:top="1120" w:bottom="1380" w:left="1400" w:right="820"/>
        </w:sectPr>
      </w:pPr>
    </w:p>
    <w:p>
      <w:pPr>
        <w:spacing w:line="240" w:lineRule="auto" w:before="1"/>
        <w:rPr>
          <w:rFonts w:ascii="宋体" w:hAnsi="宋体" w:cs="宋体" w:eastAsia="宋体" w:hint="default"/>
          <w:sz w:val="25"/>
          <w:szCs w:val="25"/>
        </w:rPr>
      </w:pPr>
    </w:p>
    <w:p>
      <w:pPr>
        <w:pStyle w:val="Heading2"/>
        <w:tabs>
          <w:tab w:pos="977" w:val="left" w:leader="none"/>
        </w:tabs>
        <w:spacing w:line="240" w:lineRule="auto" w:before="36"/>
        <w:ind w:left="279" w:right="2543"/>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right="5169"/>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279" w:right="2543"/>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980" w:val="left" w:leader="none"/>
        </w:tabs>
        <w:spacing w:line="274" w:lineRule="exact" w:before="56"/>
        <w:ind w:right="2543"/>
        <w:jc w:val="left"/>
      </w:pPr>
      <w:r>
        <w:rPr>
          <w:spacing w:val="-1"/>
        </w:rPr>
        <w:t>√适用</w:t>
        <w:tab/>
      </w:r>
      <w:r>
        <w:rPr>
          <w:spacing w:val="-2"/>
        </w:rPr>
        <w:t>□不适用</w:t>
      </w:r>
    </w:p>
    <w:p>
      <w:pPr>
        <w:pStyle w:val="BodyText"/>
        <w:spacing w:line="274" w:lineRule="exact"/>
        <w:ind w:left="558" w:right="0"/>
        <w:jc w:val="left"/>
      </w:pPr>
      <w:r>
        <w:rPr/>
        <w:t>本公司本年按欠款方归集的年末余额前五名应收款项汇总金额</w:t>
      </w:r>
      <w:r>
        <w:rPr>
          <w:spacing w:val="-56"/>
        </w:rPr>
        <w:t> </w:t>
      </w:r>
      <w:r>
        <w:rPr>
          <w:rFonts w:ascii="宋体" w:hAnsi="宋体" w:cs="宋体" w:eastAsia="宋体" w:hint="default"/>
        </w:rPr>
        <w:t>33,541,401.80</w:t>
      </w:r>
      <w:r>
        <w:rPr>
          <w:rFonts w:ascii="宋体" w:hAnsi="宋体" w:cs="宋体" w:eastAsia="宋体" w:hint="default"/>
          <w:spacing w:val="-55"/>
        </w:rPr>
        <w:t> </w:t>
      </w:r>
      <w:r>
        <w:rPr/>
        <w:t>元，占应</w:t>
      </w:r>
    </w:p>
    <w:p>
      <w:pPr>
        <w:pStyle w:val="BodyText"/>
        <w:spacing w:line="355" w:lineRule="auto" w:before="133"/>
        <w:ind w:right="661"/>
        <w:jc w:val="left"/>
      </w:pPr>
      <w:r>
        <w:rPr/>
        <w:t>收款项年末余额合计数的比例</w:t>
      </w:r>
      <w:r>
        <w:rPr>
          <w:spacing w:val="-57"/>
        </w:rPr>
        <w:t> </w:t>
      </w:r>
      <w:r>
        <w:rPr>
          <w:rFonts w:ascii="宋体" w:hAnsi="宋体" w:cs="宋体" w:eastAsia="宋体" w:hint="default"/>
        </w:rPr>
        <w:t>14.02%</w:t>
      </w:r>
      <w:r>
        <w:rPr/>
        <w:t>，相应计提的坏账准备年末余额汇总金额</w:t>
      </w:r>
      <w:r>
        <w:rPr>
          <w:spacing w:val="-56"/>
        </w:rPr>
        <w:t> </w:t>
      </w:r>
      <w:r>
        <w:rPr>
          <w:rFonts w:ascii="宋体" w:hAnsi="宋体" w:cs="宋体" w:eastAsia="宋体" w:hint="default"/>
        </w:rPr>
        <w:t>328,810.01</w:t>
      </w:r>
      <w:r>
        <w:rPr>
          <w:rFonts w:ascii="宋体" w:hAnsi="宋体" w:cs="宋体" w:eastAsia="宋体" w:hint="default"/>
          <w:w w:val="100"/>
        </w:rPr>
        <w:t> </w:t>
      </w:r>
      <w:r>
        <w:rPr/>
        <w:t>元。</w:t>
      </w:r>
    </w:p>
    <w:p>
      <w:pPr>
        <w:spacing w:line="240" w:lineRule="auto" w:before="0"/>
        <w:rPr>
          <w:rFonts w:ascii="宋体" w:hAnsi="宋体" w:cs="宋体" w:eastAsia="宋体" w:hint="default"/>
          <w:sz w:val="28"/>
          <w:szCs w:val="28"/>
        </w:rPr>
      </w:pPr>
    </w:p>
    <w:p>
      <w:pPr>
        <w:pStyle w:val="Heading2"/>
        <w:tabs>
          <w:tab w:pos="977" w:val="left" w:leader="none"/>
        </w:tabs>
        <w:spacing w:line="240" w:lineRule="auto"/>
        <w:ind w:left="279" w:right="2543"/>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980" w:val="left" w:leader="none"/>
        </w:tabs>
        <w:spacing w:line="240" w:lineRule="auto" w:before="56"/>
        <w:ind w:right="2543"/>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tabs>
          <w:tab w:pos="977" w:val="left" w:leader="none"/>
        </w:tabs>
        <w:spacing w:line="240" w:lineRule="auto"/>
        <w:ind w:left="279" w:right="2543"/>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980" w:val="left" w:leader="none"/>
        </w:tabs>
        <w:spacing w:line="272" w:lineRule="exact" w:before="86"/>
        <w:ind w:right="728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right="2543"/>
        <w:jc w:val="left"/>
      </w:pPr>
      <w:r>
        <w:rPr/>
        <w:t>□适用</w:t>
      </w:r>
      <w:r>
        <w:rPr>
          <w:spacing w:val="-1"/>
        </w:rPr>
        <w:t> </w:t>
      </w:r>
      <w:r>
        <w:rPr/>
        <w:t>√不适用</w:t>
      </w:r>
    </w:p>
    <w:p>
      <w:pPr>
        <w:spacing w:after="0" w:line="249" w:lineRule="exact"/>
        <w:jc w:val="left"/>
        <w:sectPr>
          <w:pgSz w:w="11910" w:h="16840"/>
          <w:pgMar w:header="0" w:footer="1195" w:top="1120" w:bottom="1380" w:left="1660" w:right="114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3"/>
          <w:footerReference w:type="default" r:id="rId114"/>
          <w:pgSz w:w="16840" w:h="11910" w:orient="landscape"/>
          <w:pgMar w:header="0" w:footer="0" w:top="800" w:bottom="280" w:left="1380" w:right="1280"/>
        </w:sectPr>
      </w:pPr>
    </w:p>
    <w:p>
      <w:pPr>
        <w:spacing w:line="240" w:lineRule="auto" w:before="11"/>
        <w:rPr>
          <w:rFonts w:ascii="宋体" w:hAnsi="宋体" w:cs="宋体" w:eastAsia="宋体" w:hint="default"/>
          <w:sz w:val="13"/>
          <w:szCs w:val="13"/>
        </w:rPr>
      </w:pPr>
    </w:p>
    <w:p>
      <w:pPr>
        <w:pStyle w:val="Heading2"/>
        <w:spacing w:line="240" w:lineRule="auto"/>
        <w:ind w:left="144"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8"/>
        <w:ind w:left="144"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6" w:val="left" w:leader="none"/>
        </w:tabs>
        <w:spacing w:line="240" w:lineRule="auto" w:before="56"/>
        <w:ind w:left="144"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783" w:space="8780"/>
            <w:col w:w="261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31"/>
        <w:gridCol w:w="1426"/>
        <w:gridCol w:w="1109"/>
        <w:gridCol w:w="1111"/>
        <w:gridCol w:w="1092"/>
        <w:gridCol w:w="1428"/>
        <w:gridCol w:w="1426"/>
        <w:gridCol w:w="1064"/>
        <w:gridCol w:w="1061"/>
        <w:gridCol w:w="1063"/>
        <w:gridCol w:w="1426"/>
      </w:tblGrid>
      <w:tr>
        <w:trPr>
          <w:trHeight w:val="293" w:hRule="exact"/>
        </w:trPr>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31" w:type="dxa"/>
            <w:vMerge/>
            <w:tcBorders>
              <w:left w:val="single" w:sz="4" w:space="0" w:color="000000"/>
              <w:right w:val="single" w:sz="4" w:space="0" w:color="000000"/>
            </w:tcBorders>
          </w:tcPr>
          <w:p>
            <w:pP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73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6"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7"/>
              <w:ind w:left="26" w:right="219"/>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26" w:right="219"/>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93,011,818.14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2" w:right="0"/>
              <w:jc w:val="left"/>
              <w:rPr>
                <w:rFonts w:ascii="宋体" w:hAnsi="宋体" w:cs="宋体" w:eastAsia="宋体" w:hint="default"/>
                <w:sz w:val="21"/>
                <w:szCs w:val="21"/>
              </w:rPr>
            </w:pPr>
            <w:r>
              <w:rPr>
                <w:rFonts w:ascii="宋体"/>
                <w:sz w:val="21"/>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676,807.19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6" w:right="0"/>
              <w:jc w:val="left"/>
              <w:rPr>
                <w:rFonts w:ascii="宋体" w:hAnsi="宋体" w:cs="宋体" w:eastAsia="宋体" w:hint="default"/>
                <w:sz w:val="21"/>
                <w:szCs w:val="21"/>
              </w:rPr>
            </w:pPr>
            <w:r>
              <w:rPr>
                <w:rFonts w:ascii="宋体"/>
                <w:sz w:val="21"/>
              </w:rPr>
              <w:t>0.73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92,335,010.95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37,925,533.07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sz w:val="21"/>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 w:right="0"/>
              <w:jc w:val="center"/>
              <w:rPr>
                <w:rFonts w:ascii="宋体" w:hAnsi="宋体" w:cs="宋体" w:eastAsia="宋体" w:hint="default"/>
                <w:sz w:val="21"/>
                <w:szCs w:val="21"/>
              </w:rPr>
            </w:pPr>
            <w:r>
              <w:rPr>
                <w:rFonts w:ascii="宋体"/>
                <w:sz w:val="21"/>
              </w:rPr>
              <w:t>84,262.59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sz w:val="21"/>
              </w:rPr>
              <w:t>0.22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37,841,270.48</w:t>
            </w:r>
          </w:p>
        </w:tc>
      </w:tr>
      <w:tr>
        <w:trPr>
          <w:trHeight w:val="1100"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2"/>
              <w:ind w:left="26" w:right="219"/>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93,011,818.14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676,807.19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92,335,010.95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37,925,533.07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84,262.59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37,841,270.48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63"/>
        <w:ind w:left="6398" w:right="6414" w:firstLine="0"/>
        <w:jc w:val="center"/>
        <w:rPr>
          <w:rFonts w:ascii="Calibri" w:hAnsi="Calibri" w:cs="Calibri" w:eastAsia="Calibri" w:hint="default"/>
          <w:sz w:val="18"/>
          <w:szCs w:val="18"/>
        </w:rPr>
      </w:pPr>
      <w:r>
        <w:rPr>
          <w:rFonts w:ascii="Calibri"/>
          <w:b/>
          <w:sz w:val="18"/>
        </w:rPr>
        <w:t>177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15"/>
          <w:pgSz w:w="11910" w:h="16840"/>
          <w:pgMar w:footer="1195" w:header="0" w:top="1120" w:bottom="1380" w:left="1580" w:right="1040"/>
          <w:pgNumType w:start="178"/>
        </w:sectPr>
      </w:pPr>
    </w:p>
    <w:p>
      <w:pPr>
        <w:spacing w:line="240" w:lineRule="auto" w:before="3"/>
        <w:rPr>
          <w:rFonts w:ascii="Calibri" w:hAnsi="Calibri" w:cs="Calibri" w:eastAsia="Calibri" w:hint="default"/>
          <w:b/>
          <w:bCs/>
          <w:sz w:val="17"/>
          <w:szCs w:val="17"/>
        </w:rPr>
      </w:pPr>
    </w:p>
    <w:p>
      <w:pPr>
        <w:pStyle w:val="BodyText"/>
        <w:spacing w:line="240" w:lineRule="auto"/>
        <w:ind w:left="218" w:right="0"/>
        <w:jc w:val="left"/>
      </w:pPr>
      <w:r>
        <w:rPr>
          <w:spacing w:val="-2"/>
        </w:rPr>
        <w:t>期末单项金额重大并单项计提坏账准备的其他应收款：</w:t>
      </w:r>
    </w:p>
    <w:p>
      <w:pPr>
        <w:pStyle w:val="BodyText"/>
        <w:spacing w:line="290" w:lineRule="auto" w:before="56"/>
        <w:ind w:left="21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1"/>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80,988,440.81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572,860.29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0.71</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80,988,440.81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572,860.29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0.71</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3,454,340.85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2,984.05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884,021.89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1,804,267.97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100,962.85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3,310,853.20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2,569,893.42</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93,011,818.14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676,807.19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0.73</w:t>
            </w:r>
          </w:p>
        </w:tc>
      </w:tr>
    </w:tbl>
    <w:p>
      <w:pPr>
        <w:spacing w:line="240" w:lineRule="auto" w:before="7"/>
        <w:rPr>
          <w:rFonts w:ascii="宋体" w:hAnsi="宋体" w:cs="宋体" w:eastAsia="宋体" w:hint="default"/>
          <w:sz w:val="15"/>
          <w:szCs w:val="15"/>
        </w:rPr>
      </w:pPr>
    </w:p>
    <w:p>
      <w:pPr>
        <w:pStyle w:val="BodyText"/>
        <w:spacing w:line="272" w:lineRule="exact" w:before="64"/>
        <w:ind w:left="218" w:right="2731"/>
        <w:jc w:val="left"/>
      </w:pPr>
      <w:r>
        <w:rPr/>
        <w:t>确定该组合依据的说明：</w:t>
      </w:r>
      <w:r>
        <w:rPr>
          <w:w w:val="100"/>
        </w:rPr>
        <w:t> </w:t>
      </w:r>
      <w:r>
        <w:rPr/>
        <w:t>本公司以账龄为信用风险特征组合的确定依据。</w:t>
      </w:r>
    </w:p>
    <w:p>
      <w:pPr>
        <w:spacing w:line="240" w:lineRule="auto" w:before="4"/>
        <w:rPr>
          <w:rFonts w:ascii="宋体" w:hAnsi="宋体" w:cs="宋体" w:eastAsia="宋体" w:hint="default"/>
          <w:sz w:val="23"/>
          <w:szCs w:val="23"/>
        </w:rPr>
      </w:pPr>
    </w:p>
    <w:p>
      <w:pPr>
        <w:pStyle w:val="BodyText"/>
        <w:spacing w:line="240" w:lineRule="auto"/>
        <w:ind w:left="218" w:right="2731"/>
        <w:jc w:val="left"/>
      </w:pPr>
      <w:r>
        <w:rPr/>
        <w:t>组合中，采用余额百分比法计提坏账准备的其他应收款：</w:t>
      </w:r>
    </w:p>
    <w:p>
      <w:pPr>
        <w:pStyle w:val="BodyText"/>
        <w:spacing w:line="290" w:lineRule="auto" w:before="58"/>
        <w:ind w:left="218" w:right="2731"/>
        <w:jc w:val="left"/>
      </w:pPr>
      <w:r>
        <w:rPr/>
        <w:t>□适用</w:t>
      </w:r>
      <w:r>
        <w:rPr>
          <w:spacing w:val="-2"/>
        </w:rPr>
        <w:t> </w:t>
      </w:r>
      <w:r>
        <w:rPr/>
        <w:t>√不适用</w:t>
      </w:r>
      <w:r>
        <w:rPr>
          <w:w w:val="100"/>
        </w:rPr>
        <w:t> </w:t>
      </w:r>
      <w:r>
        <w:rPr>
          <w:spacing w:val="-2"/>
        </w:rPr>
        <w:t>组合中，采用其他方法计提坏账准备的其他应收款：</w:t>
      </w:r>
    </w:p>
    <w:p>
      <w:pPr>
        <w:pStyle w:val="BodyText"/>
        <w:tabs>
          <w:tab w:pos="1060" w:val="left" w:leader="none"/>
        </w:tabs>
        <w:spacing w:line="240" w:lineRule="auto" w:before="12"/>
        <w:ind w:left="218" w:right="2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2022"/>
        <w:jc w:val="left"/>
      </w:pPr>
      <w:r>
        <w:rPr/>
        <w:t>本期计提坏账准备金额</w:t>
      </w:r>
      <w:r>
        <w:rPr>
          <w:spacing w:val="-53"/>
        </w:rPr>
        <w:t> </w:t>
      </w:r>
      <w:r>
        <w:rPr>
          <w:rFonts w:ascii="宋体" w:hAnsi="宋体" w:cs="宋体" w:eastAsia="宋体" w:hint="default"/>
        </w:rPr>
        <w:t>592,544.60</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87,043,622.77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32,515,328.53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2,589,488.19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2,850,842.01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1,972,031.52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1,073,393.72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699,851.90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551,303.44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579,005.07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664,886.56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127,818.69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219,778.81</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93,011,818.14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37,925,533.07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120"/>
        </w:sectPr>
      </w:pPr>
    </w:p>
    <w:p>
      <w:pPr>
        <w:pStyle w:val="Heading2"/>
        <w:spacing w:line="240" w:lineRule="auto" w:before="36"/>
        <w:ind w:left="13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515" w:space="1007"/>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83"/>
        <w:gridCol w:w="1301"/>
        <w:gridCol w:w="1783"/>
        <w:gridCol w:w="1275"/>
        <w:gridCol w:w="1431"/>
        <w:gridCol w:w="1622"/>
      </w:tblGrid>
      <w:tr>
        <w:trPr>
          <w:trHeight w:val="82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56"/>
              <w:jc w:val="right"/>
              <w:rPr>
                <w:rFonts w:ascii="宋体" w:hAnsi="宋体" w:cs="宋体" w:eastAsia="宋体" w:hint="default"/>
                <w:sz w:val="21"/>
                <w:szCs w:val="21"/>
              </w:rPr>
            </w:pPr>
            <w:r>
              <w:rPr>
                <w:rFonts w:ascii="宋体" w:hAnsi="宋体" w:cs="宋体" w:eastAsia="宋体" w:hint="default"/>
                <w:sz w:val="21"/>
                <w:szCs w:val="21"/>
              </w:rPr>
              <w:t>账龄</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31" w:right="77"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49,310,000.00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53.01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493,100.00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7,760,000.00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8.34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77,600.00</w:t>
            </w:r>
          </w:p>
        </w:tc>
      </w:tr>
      <w:tr>
        <w:trPr>
          <w:trHeight w:val="281"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7,072,753.53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7.60</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342,969.16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0.37</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313,833.00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0.34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3,138.33</w:t>
            </w:r>
          </w:p>
        </w:tc>
      </w:tr>
      <w:tr>
        <w:trPr>
          <w:trHeight w:val="281"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64,799,555.69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69.66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573,838.33</w:t>
            </w:r>
          </w:p>
        </w:tc>
      </w:tr>
    </w:tbl>
    <w:p>
      <w:pPr>
        <w:spacing w:line="240" w:lineRule="auto" w:before="2"/>
        <w:rPr>
          <w:rFonts w:ascii="宋体" w:hAnsi="宋体" w:cs="宋体" w:eastAsia="宋体" w:hint="default"/>
          <w:sz w:val="20"/>
          <w:szCs w:val="20"/>
        </w:rPr>
      </w:pPr>
    </w:p>
    <w:p>
      <w:pPr>
        <w:pStyle w:val="Heading2"/>
        <w:spacing w:line="240" w:lineRule="auto" w:before="36"/>
        <w:ind w:left="138" w:right="50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5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505"/>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980" w:val="left" w:leader="none"/>
        </w:tabs>
        <w:spacing w:line="240" w:lineRule="auto" w:before="58"/>
        <w:ind w:right="50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505"/>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980" w:val="left" w:leader="none"/>
        </w:tabs>
        <w:spacing w:line="240" w:lineRule="auto" w:before="56"/>
        <w:ind w:right="7303"/>
        <w:jc w:val="left"/>
      </w:pPr>
      <w:r>
        <w:rPr>
          <w:spacing w:val="-1"/>
        </w:rPr>
        <w:t>□适用</w:t>
        <w:tab/>
      </w:r>
      <w:r>
        <w:rPr>
          <w:spacing w:val="-2"/>
        </w:rPr>
        <w:t>√不适用</w:t>
      </w:r>
      <w:r>
        <w:rPr>
          <w:spacing w:val="-99"/>
        </w:rPr>
        <w:t> </w:t>
      </w:r>
      <w:r>
        <w:rPr>
          <w:spacing w:val="-99"/>
        </w:rPr>
      </w:r>
      <w:r>
        <w:rPr/>
        <w:t>其他说明：</w:t>
      </w:r>
    </w:p>
    <w:p>
      <w:pPr>
        <w:pStyle w:val="BodyText"/>
        <w:tabs>
          <w:tab w:pos="980" w:val="left" w:leader="none"/>
        </w:tabs>
        <w:spacing w:line="272" w:lineRule="exact"/>
        <w:ind w:right="505"/>
        <w:jc w:val="left"/>
      </w:pPr>
      <w:r>
        <w:rPr>
          <w:spacing w:val="-1"/>
        </w:rPr>
        <w:t>□适用</w:t>
        <w:tab/>
      </w:r>
      <w:r>
        <w:rPr>
          <w:spacing w:val="-2"/>
        </w:rPr>
        <w:t>√不适用</w:t>
      </w:r>
    </w:p>
    <w:p>
      <w:pPr>
        <w:spacing w:after="0" w:line="272"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6"/>
          <w:footerReference w:type="default" r:id="rId117"/>
          <w:pgSz w:w="16840" w:h="11910" w:orient="landscape"/>
          <w:pgMar w:header="882" w:footer="1195" w:top="1120" w:bottom="1380" w:left="1300" w:right="1220"/>
          <w:pgNumType w:start="180"/>
        </w:sectPr>
      </w:pPr>
    </w:p>
    <w:p>
      <w:pPr>
        <w:spacing w:line="240" w:lineRule="auto" w:before="4"/>
        <w:rPr>
          <w:rFonts w:ascii="宋体" w:hAnsi="宋体" w:cs="宋体" w:eastAsia="宋体" w:hint="default"/>
          <w:sz w:val="14"/>
          <w:szCs w:val="14"/>
        </w:rPr>
      </w:pPr>
    </w:p>
    <w:p>
      <w:pPr>
        <w:pStyle w:val="Heading2"/>
        <w:spacing w:line="240" w:lineRule="auto"/>
        <w:ind w:left="224"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1917" w:space="9646"/>
            <w:col w:w="2757"/>
          </w:cols>
        </w:sectPr>
      </w:pPr>
    </w:p>
    <w:p>
      <w:pPr>
        <w:spacing w:line="240" w:lineRule="auto" w:before="7"/>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3567"/>
        <w:gridCol w:w="1750"/>
        <w:gridCol w:w="1712"/>
        <w:gridCol w:w="1711"/>
        <w:gridCol w:w="1753"/>
        <w:gridCol w:w="1730"/>
        <w:gridCol w:w="1714"/>
      </w:tblGrid>
      <w:tr>
        <w:trPr>
          <w:trHeight w:val="281"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6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394,171,832.31</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394,171,832.31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622,777,396.93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60,215,586.00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562,561,810.93</w:t>
            </w: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392,655,615.43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411,397.28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392,244,218.15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133,604,460.61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411,397.28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133,193,063.33</w:t>
            </w: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786,827,447.74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411,397.28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786,416,050.46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756,381,857.54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60,626,983.28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695,754,874.26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300" w:right="1220"/>
        </w:sectPr>
      </w:pPr>
    </w:p>
    <w:p>
      <w:pPr>
        <w:pStyle w:val="Heading2"/>
        <w:spacing w:line="240" w:lineRule="auto" w:before="36"/>
        <w:ind w:left="224"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2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1917" w:space="9646"/>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937"/>
        <w:gridCol w:w="1819"/>
        <w:gridCol w:w="1584"/>
        <w:gridCol w:w="1699"/>
        <w:gridCol w:w="1815"/>
        <w:gridCol w:w="1582"/>
        <w:gridCol w:w="1644"/>
      </w:tblGrid>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本期计提减值</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环球时报在线（北京）文化传播有限公司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人民网江苏有限公司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sz w:val="21"/>
              </w:rPr>
              <w:t>3,000,000.00</w:t>
            </w:r>
          </w:p>
        </w:tc>
        <w:tc>
          <w:tcPr>
            <w:tcW w:w="18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11,724,157.84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996,075.60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12,720,233.44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16,723,912.76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298,724.31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17,022,637.07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24,052,259.70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6,935,485.41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30,987,745.11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7,548,029.14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2,275,621.87</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9,823,651.01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8,085,957.39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1,947,067.64</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10,033,025.03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8,879,258.31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4,120,313.96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12,999,572.27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4,996,237.53</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4,996,237.53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8"/>
        <w:rPr>
          <w:rFonts w:ascii="宋体" w:hAnsi="宋体" w:cs="宋体" w:eastAsia="宋体" w:hint="default"/>
          <w:sz w:val="11"/>
          <w:szCs w:val="11"/>
        </w:rPr>
      </w:pPr>
    </w:p>
    <w:tbl>
      <w:tblPr>
        <w:tblW w:w="0" w:type="auto"/>
        <w:jc w:val="left"/>
        <w:tblInd w:w="1271" w:type="dxa"/>
        <w:tblLayout w:type="fixed"/>
        <w:tblCellMar>
          <w:top w:w="0" w:type="dxa"/>
          <w:left w:w="0" w:type="dxa"/>
          <w:bottom w:w="0" w:type="dxa"/>
          <w:right w:w="0" w:type="dxa"/>
        </w:tblCellMar>
        <w:tblLook w:val="01E0"/>
      </w:tblPr>
      <w:tblGrid>
        <w:gridCol w:w="3937"/>
        <w:gridCol w:w="1819"/>
        <w:gridCol w:w="1584"/>
        <w:gridCol w:w="1699"/>
        <w:gridCol w:w="1815"/>
        <w:gridCol w:w="1582"/>
        <w:gridCol w:w="1644"/>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11,221,948.60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2,070,183.86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13,292,132.46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8,609,247.81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4,228,815.63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12,838,063.44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网际星辰文化传媒（北京）有限公司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22,400,000.00</w:t>
            </w:r>
          </w:p>
        </w:tc>
        <w:tc>
          <w:tcPr>
            <w:tcW w:w="18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20,000,000.00</w:t>
            </w:r>
          </w:p>
        </w:tc>
        <w:tc>
          <w:tcPr>
            <w:tcW w:w="18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248,819,900.00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248,819,900.00</w:t>
            </w:r>
          </w:p>
        </w:tc>
        <w:tc>
          <w:tcPr>
            <w:tcW w:w="18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4,441,049.74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2,298,806.26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6,739,856.00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2,475,438.11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943,240.84</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3,418,678.95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622,777,396.93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65,614,335.38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294,219,900.00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394,171,832.31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82" w:footer="1195" w:top="1120" w:bottom="1380" w:left="140" w:right="160"/>
        </w:sectPr>
      </w:pPr>
    </w:p>
    <w:p>
      <w:pPr>
        <w:pStyle w:val="Heading2"/>
        <w:spacing w:line="240" w:lineRule="auto" w:before="36"/>
        <w:ind w:left="1384"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138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435" w:val="left" w:leader="none"/>
        </w:tabs>
        <w:spacing w:line="240" w:lineRule="auto"/>
        <w:ind w:left="1384" w:right="0"/>
        <w:jc w:val="left"/>
      </w:pPr>
      <w:r>
        <w:rPr>
          <w:spacing w:val="-1"/>
        </w:rPr>
        <w:t>单位：元</w:t>
        <w:tab/>
        <w:t>币种：人民币</w:t>
      </w:r>
    </w:p>
    <w:p>
      <w:pPr>
        <w:spacing w:after="0" w:line="240" w:lineRule="auto"/>
        <w:jc w:val="left"/>
        <w:sectPr>
          <w:type w:val="continuous"/>
          <w:pgSz w:w="16840" w:h="11910" w:orient="landscape"/>
          <w:pgMar w:top="1120" w:bottom="1380" w:left="140" w:right="160"/>
          <w:cols w:num="2" w:equalWidth="0">
            <w:col w:w="3919" w:space="7643"/>
            <w:col w:w="497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89"/>
        <w:gridCol w:w="1700"/>
        <w:gridCol w:w="1702"/>
        <w:gridCol w:w="427"/>
        <w:gridCol w:w="1700"/>
        <w:gridCol w:w="710"/>
        <w:gridCol w:w="566"/>
        <w:gridCol w:w="1558"/>
        <w:gridCol w:w="566"/>
        <w:gridCol w:w="569"/>
        <w:gridCol w:w="1841"/>
        <w:gridCol w:w="1274"/>
      </w:tblGrid>
      <w:tr>
        <w:trPr>
          <w:trHeight w:val="281" w:hRule="exact"/>
        </w:trPr>
        <w:tc>
          <w:tcPr>
            <w:tcW w:w="36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30" w:right="1625"/>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633" w:right="63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7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705" w:right="70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19" w:right="101" w:hanging="212"/>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1644" w:hRule="exact"/>
        </w:trPr>
        <w:tc>
          <w:tcPr>
            <w:tcW w:w="3689"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425" w:right="106" w:hanging="318"/>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47" w:right="140" w:hanging="104"/>
              <w:jc w:val="left"/>
              <w:rPr>
                <w:rFonts w:ascii="宋体" w:hAnsi="宋体" w:cs="宋体" w:eastAsia="宋体" w:hint="default"/>
                <w:sz w:val="21"/>
                <w:szCs w:val="21"/>
              </w:rPr>
            </w:pPr>
            <w:r>
              <w:rPr>
                <w:rFonts w:ascii="宋体" w:hAnsi="宋体" w:cs="宋体" w:eastAsia="宋体" w:hint="default"/>
                <w:sz w:val="21"/>
                <w:szCs w:val="21"/>
              </w:rPr>
              <w:t>宣告发放现金</w:t>
            </w:r>
            <w:r>
              <w:rPr>
                <w:rFonts w:ascii="宋体" w:hAnsi="宋体" w:cs="宋体" w:eastAsia="宋体" w:hint="default"/>
                <w:w w:val="100"/>
                <w:sz w:val="21"/>
                <w:szCs w:val="21"/>
              </w:rPr>
              <w:t> </w:t>
            </w:r>
            <w:r>
              <w:rPr>
                <w:rFonts w:ascii="宋体" w:hAnsi="宋体" w:cs="宋体" w:eastAsia="宋体" w:hint="default"/>
                <w:sz w:val="21"/>
                <w:szCs w:val="21"/>
              </w:rPr>
              <w:t>股利或利润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175" w:right="168"/>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75" w:right="17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84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283" w:hRule="exact"/>
        </w:trPr>
        <w:tc>
          <w:tcPr>
            <w:tcW w:w="1630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4"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25,268,778.81</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103,947.45</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25,372,726.26</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-2,824,526.77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1,175,473.23</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25,268,778.81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-2,720,579.32</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26,548,199.49</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0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72,066,864.16</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2,869,309.80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74,936,173.96</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40" w:right="160"/>
        </w:sectPr>
      </w:pP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689"/>
        <w:gridCol w:w="1700"/>
        <w:gridCol w:w="1702"/>
        <w:gridCol w:w="427"/>
        <w:gridCol w:w="1700"/>
        <w:gridCol w:w="710"/>
        <w:gridCol w:w="566"/>
        <w:gridCol w:w="1558"/>
        <w:gridCol w:w="566"/>
        <w:gridCol w:w="569"/>
        <w:gridCol w:w="1841"/>
        <w:gridCol w:w="1274"/>
      </w:tblGrid>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411,397.28</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411,397.28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411,397.28</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35,857,420.36</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8,288,757.27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39,246,177.63</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-1,641,351.14</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4,358,648.86</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188,604,314.00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19,697,001.91</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208,301,315.91</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-1,146,297.70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38,853,702.30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108,335,681.80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234,604,314.00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28,067,420.14</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366,107,415.94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411,397.28</w:t>
            </w: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133,604,460.61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238,604,314.00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25,346,840.82</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392,655,615.43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411,397.28</w:t>
            </w:r>
          </w:p>
        </w:tc>
      </w:tr>
    </w:tbl>
    <w:p>
      <w:pPr>
        <w:spacing w:line="240" w:lineRule="auto" w:before="7"/>
        <w:rPr>
          <w:rFonts w:ascii="宋体" w:hAnsi="宋体" w:cs="宋体" w:eastAsia="宋体" w:hint="default"/>
          <w:sz w:val="15"/>
          <w:szCs w:val="15"/>
        </w:rPr>
      </w:pPr>
    </w:p>
    <w:p>
      <w:pPr>
        <w:pStyle w:val="BodyText"/>
        <w:spacing w:line="272" w:lineRule="exact" w:before="64"/>
        <w:ind w:left="1384" w:right="14084"/>
        <w:jc w:val="left"/>
      </w:pPr>
      <w:r>
        <w:rPr/>
        <w:t>其他说明：</w:t>
      </w:r>
      <w:r>
        <w:rPr>
          <w:spacing w:val="-102"/>
        </w:rPr>
        <w:t> </w:t>
      </w:r>
      <w:r>
        <w:rPr>
          <w:spacing w:val="-102"/>
        </w:rPr>
      </w:r>
      <w:r>
        <w:rPr/>
        <w:t>无</w:t>
      </w:r>
    </w:p>
    <w:p>
      <w:pPr>
        <w:spacing w:after="0" w:line="272" w:lineRule="exact"/>
        <w:jc w:val="left"/>
        <w:sectPr>
          <w:pgSz w:w="16840" w:h="11910" w:orient="landscape"/>
          <w:pgMar w:header="882" w:footer="1195" w:top="1120" w:bottom="1380" w:left="14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8"/>
          <w:footerReference w:type="default" r:id="rId119"/>
          <w:pgSz w:w="11910" w:h="16840"/>
          <w:pgMar w:header="882" w:footer="1195" w:top="1120" w:bottom="1380" w:left="1580" w:right="1040"/>
          <w:pgNumType w:start="183"/>
        </w:sectPr>
      </w:pPr>
    </w:p>
    <w:p>
      <w:pPr>
        <w:pStyle w:val="Heading2"/>
        <w:spacing w:line="240" w:lineRule="auto" w:before="175"/>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6"/>
        <w:ind w:left="21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3"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750,590,178.70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498,371,876.39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731,518,477.50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402,453,082.72</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416,442.19</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751,006,620.89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498,371,876.39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731,518,477.50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402,453,082.72</w:t>
            </w:r>
          </w:p>
        </w:tc>
      </w:tr>
    </w:tbl>
    <w:p>
      <w:pPr>
        <w:spacing w:line="240" w:lineRule="auto" w:before="12"/>
        <w:rPr>
          <w:rFonts w:ascii="宋体" w:hAnsi="宋体" w:cs="宋体" w:eastAsia="宋体" w:hint="default"/>
          <w:sz w:val="19"/>
          <w:szCs w:val="19"/>
        </w:rPr>
      </w:pPr>
    </w:p>
    <w:p>
      <w:pPr>
        <w:pStyle w:val="BodyText"/>
        <w:spacing w:line="292" w:lineRule="auto" w:before="36"/>
        <w:ind w:left="218" w:right="7998"/>
        <w:jc w:val="left"/>
      </w:pPr>
      <w:r>
        <w:rPr/>
        <w:t>其他说明：</w:t>
      </w:r>
      <w:r>
        <w:rPr>
          <w:spacing w:val="-102"/>
        </w:rPr>
        <w:t> </w:t>
      </w:r>
      <w:r>
        <w:rPr>
          <w:spacing w:val="-102"/>
        </w:rPr>
      </w:r>
      <w:r>
        <w:rPr/>
        <w:t>无</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36"/>
        <w:ind w:right="96"/>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49,436,900.00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10,648,000.00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25,346,840.82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18,010,329.05</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81,019,708.72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44,423,450.34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28,807,743.84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707,547.17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200,934,447.05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57,466,072.89</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8"/>
        <w:ind w:left="218" w:right="273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1057" w:val="left" w:leader="none"/>
        </w:tabs>
        <w:spacing w:line="240" w:lineRule="auto" w:before="36"/>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4"/>
        <w:gridCol w:w="2127"/>
        <w:gridCol w:w="1709"/>
      </w:tblGrid>
      <w:tr>
        <w:trPr>
          <w:trHeight w:val="281"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-46,762.10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计入当期损益的政府补助（与企业业务密切相关，按照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国家统一标准定额或定量享受的政府补助除外）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15,220,342.01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除同公司正常经营业务相关的有效套期保值业务外，持</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sz w:val="21"/>
                <w:szCs w:val="21"/>
              </w:rPr>
              <w:t>有交易性金融资产、交易性金融负债产生的公允价值变</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动损益，以及处置交易性金融资产、交易性金融负债和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可供出售金融资产取得的投资收益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9,072,808.08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442,020.56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-2,907,642.69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-4,362,816.60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19,417,949.26</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218" w:right="124"/>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49" w:lineRule="exact"/>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18" w:right="273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1277"/>
        <w:gridCol w:w="1275"/>
        <w:gridCol w:w="1286"/>
      </w:tblGrid>
      <w:tr>
        <w:trPr>
          <w:trHeight w:val="281" w:hRule="exact"/>
        </w:trPr>
        <w:tc>
          <w:tcPr>
            <w:tcW w:w="52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277" w:type="dxa"/>
            <w:vMerge w:val="restart"/>
            <w:tcBorders>
              <w:top w:val="single" w:sz="4" w:space="0" w:color="000000"/>
              <w:left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加权平均净</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资产收益率</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7" w:hRule="exact"/>
        </w:trPr>
        <w:tc>
          <w:tcPr>
            <w:tcW w:w="521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70"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r>
      <w:tr>
        <w:trPr>
          <w:trHeight w:val="370"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r>
    </w:tbl>
    <w:p>
      <w:pPr>
        <w:spacing w:line="240" w:lineRule="auto" w:before="12"/>
        <w:rPr>
          <w:rFonts w:ascii="宋体" w:hAnsi="宋体" w:cs="宋体" w:eastAsia="宋体" w:hint="default"/>
          <w:sz w:val="19"/>
          <w:szCs w:val="19"/>
        </w:rPr>
      </w:pPr>
    </w:p>
    <w:p>
      <w:pPr>
        <w:pStyle w:val="Heading2"/>
        <w:spacing w:line="240" w:lineRule="auto" w:before="36"/>
        <w:ind w:right="2731"/>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1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731"/>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left="218" w:right="2731"/>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1339"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475" w:lineRule="auto"/>
              <w:ind w:left="26" w:right="46"/>
              <w:jc w:val="left"/>
              <w:rPr>
                <w:rFonts w:ascii="宋体" w:hAnsi="宋体" w:cs="宋体" w:eastAsia="宋体" w:hint="default"/>
                <w:sz w:val="21"/>
                <w:szCs w:val="21"/>
              </w:rPr>
            </w:pPr>
            <w:r>
              <w:rPr>
                <w:rFonts w:ascii="宋体" w:hAnsi="宋体" w:cs="宋体" w:eastAsia="宋体" w:hint="default"/>
                <w:spacing w:val="-2"/>
                <w:sz w:val="21"/>
                <w:szCs w:val="21"/>
              </w:rPr>
              <w:t>载有法定代表人、主管会计工作负责人、会计机构负责人签名并盖章的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会计报表。</w:t>
            </w:r>
          </w:p>
        </w:tc>
      </w:tr>
      <w:tr>
        <w:trPr>
          <w:trHeight w:val="79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1339"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475" w:lineRule="auto"/>
              <w:ind w:left="26" w:right="46"/>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报告期内在中国证监会指定报纸上公开披露过的所有公司文件的正本及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公告的原稿。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475" w:lineRule="auto" w:before="36"/>
        <w:ind w:left="5239" w:right="148" w:firstLine="2256"/>
        <w:jc w:val="left"/>
      </w:pPr>
      <w:r>
        <w:rPr>
          <w:spacing w:val="-1"/>
        </w:rPr>
        <w:t>董事长：王一彪</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26"/>
        <w:ind w:left="138" w:right="505"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505"/>
        <w:jc w:val="left"/>
      </w:pPr>
      <w:r>
        <w:rPr/>
        <w:t>□适用</w:t>
      </w:r>
      <w:r>
        <w:rPr>
          <w:spacing w:val="-1"/>
        </w:rPr>
        <w:t> </w:t>
      </w:r>
      <w:r>
        <w:rPr/>
        <w:t>√不适用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mbria">
    <w:altName w:val="Cambria"/>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00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0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00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0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0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0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00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99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99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99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92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99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99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99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99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99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99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99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99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99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99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99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99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98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8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8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8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98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98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183</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0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0068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800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0008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00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9972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99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9964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99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995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99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9945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99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9938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99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992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99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991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99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9912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99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9904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99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988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98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988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98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80039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800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80032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800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80015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800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people.cn/" TargetMode="External"/><Relationship Id="rId9" Type="http://schemas.openxmlformats.org/officeDocument/2006/relationships/hyperlink" Target="mailto:ir@people.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5.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6.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image" Target="media/image2.jpeg"/><Relationship Id="rId31" Type="http://schemas.openxmlformats.org/officeDocument/2006/relationships/header" Target="header7.xml"/><Relationship Id="rId32" Type="http://schemas.openxmlformats.org/officeDocument/2006/relationships/footer" Target="footer16.xml"/><Relationship Id="rId33" Type="http://schemas.openxmlformats.org/officeDocument/2006/relationships/header" Target="header8.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header" Target="header9.xml"/><Relationship Id="rId40" Type="http://schemas.openxmlformats.org/officeDocument/2006/relationships/footer" Target="footer22.xml"/><Relationship Id="rId41" Type="http://schemas.openxmlformats.org/officeDocument/2006/relationships/header" Target="header10.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image" Target="media/image3.png"/><Relationship Id="rId53" Type="http://schemas.openxmlformats.org/officeDocument/2006/relationships/image" Target="media/image4.png"/><Relationship Id="rId54" Type="http://schemas.openxmlformats.org/officeDocument/2006/relationships/image" Target="media/image5.png"/><Relationship Id="rId55" Type="http://schemas.openxmlformats.org/officeDocument/2006/relationships/image" Target="media/image6.png"/><Relationship Id="rId56" Type="http://schemas.openxmlformats.org/officeDocument/2006/relationships/image" Target="media/image7.png"/><Relationship Id="rId57" Type="http://schemas.openxmlformats.org/officeDocument/2006/relationships/image" Target="media/image8.png"/><Relationship Id="rId58" Type="http://schemas.openxmlformats.org/officeDocument/2006/relationships/image" Target="media/image9.png"/><Relationship Id="rId59" Type="http://schemas.openxmlformats.org/officeDocument/2006/relationships/image" Target="media/image10.png"/><Relationship Id="rId60" Type="http://schemas.openxmlformats.org/officeDocument/2006/relationships/image" Target="media/image11.png"/><Relationship Id="rId61" Type="http://schemas.openxmlformats.org/officeDocument/2006/relationships/image" Target="media/image12.png"/><Relationship Id="rId62" Type="http://schemas.openxmlformats.org/officeDocument/2006/relationships/footer" Target="footer33.xml"/><Relationship Id="rId63" Type="http://schemas.openxmlformats.org/officeDocument/2006/relationships/header" Target="header11.xml"/><Relationship Id="rId64" Type="http://schemas.openxmlformats.org/officeDocument/2006/relationships/footer" Target="footer34.xml"/><Relationship Id="rId65" Type="http://schemas.openxmlformats.org/officeDocument/2006/relationships/footer" Target="footer35.xml"/><Relationship Id="rId66" Type="http://schemas.openxmlformats.org/officeDocument/2006/relationships/header" Target="header12.xml"/><Relationship Id="rId67" Type="http://schemas.openxmlformats.org/officeDocument/2006/relationships/footer" Target="footer36.xml"/><Relationship Id="rId68" Type="http://schemas.openxmlformats.org/officeDocument/2006/relationships/footer" Target="footer37.xml"/><Relationship Id="rId69" Type="http://schemas.openxmlformats.org/officeDocument/2006/relationships/header" Target="header13.xml"/><Relationship Id="rId70" Type="http://schemas.openxmlformats.org/officeDocument/2006/relationships/footer" Target="footer38.xml"/><Relationship Id="rId71" Type="http://schemas.openxmlformats.org/officeDocument/2006/relationships/header" Target="header14.xml"/><Relationship Id="rId72" Type="http://schemas.openxmlformats.org/officeDocument/2006/relationships/footer" Target="footer39.xml"/><Relationship Id="rId73" Type="http://schemas.openxmlformats.org/officeDocument/2006/relationships/header" Target="header15.xml"/><Relationship Id="rId74" Type="http://schemas.openxmlformats.org/officeDocument/2006/relationships/footer" Target="footer40.xml"/><Relationship Id="rId75" Type="http://schemas.openxmlformats.org/officeDocument/2006/relationships/header" Target="header16.xml"/><Relationship Id="rId76" Type="http://schemas.openxmlformats.org/officeDocument/2006/relationships/footer" Target="footer41.xml"/><Relationship Id="rId77" Type="http://schemas.openxmlformats.org/officeDocument/2006/relationships/footer" Target="footer42.xml"/><Relationship Id="rId78" Type="http://schemas.openxmlformats.org/officeDocument/2006/relationships/footer" Target="footer43.xml"/><Relationship Id="rId79" Type="http://schemas.openxmlformats.org/officeDocument/2006/relationships/header" Target="header17.xml"/><Relationship Id="rId80" Type="http://schemas.openxmlformats.org/officeDocument/2006/relationships/footer" Target="footer44.xml"/><Relationship Id="rId81" Type="http://schemas.openxmlformats.org/officeDocument/2006/relationships/header" Target="header18.xml"/><Relationship Id="rId82" Type="http://schemas.openxmlformats.org/officeDocument/2006/relationships/footer" Target="footer45.xml"/><Relationship Id="rId83" Type="http://schemas.openxmlformats.org/officeDocument/2006/relationships/header" Target="header19.xml"/><Relationship Id="rId84" Type="http://schemas.openxmlformats.org/officeDocument/2006/relationships/footer" Target="footer46.xml"/><Relationship Id="rId85" Type="http://schemas.openxmlformats.org/officeDocument/2006/relationships/footer" Target="footer47.xml"/><Relationship Id="rId86" Type="http://schemas.openxmlformats.org/officeDocument/2006/relationships/footer" Target="footer48.xml"/><Relationship Id="rId87" Type="http://schemas.openxmlformats.org/officeDocument/2006/relationships/footer" Target="footer49.xml"/><Relationship Id="rId88" Type="http://schemas.openxmlformats.org/officeDocument/2006/relationships/image" Target="media/image13.png"/><Relationship Id="rId89" Type="http://schemas.openxmlformats.org/officeDocument/2006/relationships/image" Target="media/image14.png"/><Relationship Id="rId90" Type="http://schemas.openxmlformats.org/officeDocument/2006/relationships/image" Target="media/image15.png"/><Relationship Id="rId91" Type="http://schemas.openxmlformats.org/officeDocument/2006/relationships/image" Target="media/image16.png"/><Relationship Id="rId92" Type="http://schemas.openxmlformats.org/officeDocument/2006/relationships/image" Target="media/image17.png"/><Relationship Id="rId93" Type="http://schemas.openxmlformats.org/officeDocument/2006/relationships/image" Target="media/image18.png"/><Relationship Id="rId94" Type="http://schemas.openxmlformats.org/officeDocument/2006/relationships/image" Target="media/image19.png"/><Relationship Id="rId95" Type="http://schemas.openxmlformats.org/officeDocument/2006/relationships/header" Target="header20.xml"/><Relationship Id="rId96" Type="http://schemas.openxmlformats.org/officeDocument/2006/relationships/footer" Target="footer50.xml"/><Relationship Id="rId97" Type="http://schemas.openxmlformats.org/officeDocument/2006/relationships/header" Target="header21.xml"/><Relationship Id="rId98" Type="http://schemas.openxmlformats.org/officeDocument/2006/relationships/footer" Target="footer51.xml"/><Relationship Id="rId99" Type="http://schemas.openxmlformats.org/officeDocument/2006/relationships/header" Target="header22.xml"/><Relationship Id="rId100" Type="http://schemas.openxmlformats.org/officeDocument/2006/relationships/footer" Target="footer52.xml"/><Relationship Id="rId101" Type="http://schemas.openxmlformats.org/officeDocument/2006/relationships/header" Target="header23.xml"/><Relationship Id="rId102" Type="http://schemas.openxmlformats.org/officeDocument/2006/relationships/footer" Target="footer53.xml"/><Relationship Id="rId103" Type="http://schemas.openxmlformats.org/officeDocument/2006/relationships/image" Target="media/image20.png"/><Relationship Id="rId104" Type="http://schemas.openxmlformats.org/officeDocument/2006/relationships/image" Target="media/image21.png"/><Relationship Id="rId105" Type="http://schemas.openxmlformats.org/officeDocument/2006/relationships/image" Target="media/image22.png"/><Relationship Id="rId106" Type="http://schemas.openxmlformats.org/officeDocument/2006/relationships/image" Target="media/image23.png"/><Relationship Id="rId107" Type="http://schemas.openxmlformats.org/officeDocument/2006/relationships/image" Target="media/image24.png"/><Relationship Id="rId108" Type="http://schemas.openxmlformats.org/officeDocument/2006/relationships/footer" Target="footer54.xml"/><Relationship Id="rId109" Type="http://schemas.openxmlformats.org/officeDocument/2006/relationships/footer" Target="footer55.xml"/><Relationship Id="rId110" Type="http://schemas.openxmlformats.org/officeDocument/2006/relationships/header" Target="header24.xml"/><Relationship Id="rId111" Type="http://schemas.openxmlformats.org/officeDocument/2006/relationships/footer" Target="footer56.xml"/><Relationship Id="rId112" Type="http://schemas.openxmlformats.org/officeDocument/2006/relationships/footer" Target="footer57.xml"/><Relationship Id="rId113" Type="http://schemas.openxmlformats.org/officeDocument/2006/relationships/header" Target="header25.xml"/><Relationship Id="rId114" Type="http://schemas.openxmlformats.org/officeDocument/2006/relationships/footer" Target="footer58.xml"/><Relationship Id="rId115" Type="http://schemas.openxmlformats.org/officeDocument/2006/relationships/footer" Target="footer59.xml"/><Relationship Id="rId116" Type="http://schemas.openxmlformats.org/officeDocument/2006/relationships/header" Target="header26.xml"/><Relationship Id="rId117" Type="http://schemas.openxmlformats.org/officeDocument/2006/relationships/footer" Target="footer60.xml"/><Relationship Id="rId118" Type="http://schemas.openxmlformats.org/officeDocument/2006/relationships/header" Target="header27.xml"/><Relationship Id="rId119" Type="http://schemas.openxmlformats.org/officeDocument/2006/relationships/footer" Target="foot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2020-05-03T05:43:44Z</dcterms:created>
  <dcterms:modified xsi:type="dcterms:W3CDTF">2020-05-03T05:43:44Z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Office Word 2007</vt:lpwstr>
  </property>
  <property fmtid="{D5CDD505-2E9C-101B-9397-08002B2CF9AE}" pid="4" name="LastSaved">
    <vt:filetime>2020-05-02T00:00:00Z</vt:filetime>
  </property>
</Properties>
</file>