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Default Extension="jpeg" ContentType="image/jpeg"/>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6.xml" ContentType="application/vnd.openxmlformats-officedocument.wordprocessingml.header+xml"/>
  <Override PartName="/word/footer16.xml" ContentType="application/vnd.openxmlformats-officedocument.wordprocessingml.footer+xml"/>
  <Override PartName="/word/header7.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8.xml" ContentType="application/vnd.openxmlformats-officedocument.wordprocessingml.header+xml"/>
  <Override PartName="/word/footer22.xml" ContentType="application/vnd.openxmlformats-officedocument.wordprocessingml.footer+xml"/>
  <Override PartName="/word/header9.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tabs>
          <w:tab w:pos="6333" w:val="left" w:leader="none"/>
        </w:tabs>
        <w:spacing w:line="240" w:lineRule="auto" w:before="36"/>
        <w:ind w:right="0"/>
        <w:jc w:val="left"/>
      </w:pPr>
      <w:r>
        <w:rPr>
          <w:spacing w:val="-1"/>
        </w:rPr>
        <w:t>公司代码：</w:t>
      </w:r>
      <w:r>
        <w:rPr>
          <w:rFonts w:ascii="宋体" w:hAnsi="宋体" w:cs="宋体" w:eastAsia="宋体" w:hint="default"/>
          <w:spacing w:val="-1"/>
        </w:rPr>
        <w:t>603106</w:t>
        <w:tab/>
      </w:r>
      <w:r>
        <w:rPr>
          <w:spacing w:val="-2"/>
        </w:rPr>
        <w:t>公司简称：恒银金融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line="570" w:lineRule="exact" w:before="0"/>
        <w:ind w:left="2951" w:right="1702" w:hanging="1047"/>
        <w:jc w:val="left"/>
        <w:rPr>
          <w:rFonts w:ascii="黑体" w:hAnsi="黑体" w:cs="黑体" w:eastAsia="黑体" w:hint="default"/>
          <w:sz w:val="44"/>
          <w:szCs w:val="44"/>
        </w:rPr>
      </w:pPr>
      <w:r>
        <w:rPr>
          <w:rFonts w:ascii="黑体" w:hAnsi="黑体" w:cs="黑体" w:eastAsia="黑体" w:hint="default"/>
          <w:b/>
          <w:bCs/>
          <w:color w:val="FF0000"/>
          <w:spacing w:val="2"/>
          <w:w w:val="95"/>
          <w:sz w:val="44"/>
          <w:szCs w:val="44"/>
        </w:rPr>
        <w:t>恒银金融科技股份有限公司</w:t>
      </w:r>
      <w:r>
        <w:rPr>
          <w:rFonts w:ascii="黑体" w:hAnsi="黑体" w:cs="黑体" w:eastAsia="黑体" w:hint="default"/>
          <w:b/>
          <w:bCs/>
          <w:color w:val="FF0000"/>
          <w:spacing w:val="24"/>
          <w:w w:val="95"/>
          <w:sz w:val="44"/>
          <w:szCs w:val="44"/>
        </w:rPr>
        <w:t> </w:t>
      </w:r>
      <w:r>
        <w:rPr>
          <w:rFonts w:ascii="黑体" w:hAnsi="黑体" w:cs="黑体" w:eastAsia="黑体" w:hint="default"/>
          <w:b/>
          <w:bCs/>
          <w:color w:val="FF0000"/>
          <w:sz w:val="44"/>
          <w:szCs w:val="44"/>
        </w:rPr>
        <w:t>2017</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1"/>
        <w:rPr>
          <w:rFonts w:ascii="黑体" w:hAnsi="黑体" w:cs="黑体" w:eastAsia="黑体" w:hint="default"/>
          <w:b/>
          <w:bCs/>
          <w:sz w:val="17"/>
          <w:szCs w:val="17"/>
        </w:rPr>
      </w:pPr>
    </w:p>
    <w:p>
      <w:pPr>
        <w:spacing w:line="643" w:lineRule="exact"/>
        <w:ind w:left="3185" w:right="0" w:firstLine="0"/>
        <w:rPr>
          <w:rFonts w:ascii="黑体" w:hAnsi="黑体" w:cs="黑体" w:eastAsia="黑体" w:hint="default"/>
          <w:sz w:val="20"/>
          <w:szCs w:val="20"/>
        </w:rPr>
      </w:pPr>
      <w:r>
        <w:rPr>
          <w:rFonts w:ascii="黑体" w:hAnsi="黑体" w:cs="黑体" w:eastAsia="黑体" w:hint="default"/>
          <w:position w:val="-12"/>
          <w:sz w:val="20"/>
          <w:szCs w:val="20"/>
        </w:rPr>
        <w:drawing>
          <wp:inline distT="0" distB="0" distL="0" distR="0">
            <wp:extent cx="1833194" cy="408431"/>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833194" cy="408431"/>
                    </a:xfrm>
                    <a:prstGeom prst="rect">
                      <a:avLst/>
                    </a:prstGeom>
                  </pic:spPr>
                </pic:pic>
              </a:graphicData>
            </a:graphic>
          </wp:inline>
        </w:drawing>
      </w:r>
      <w:r>
        <w:rPr>
          <w:rFonts w:ascii="黑体" w:hAnsi="黑体" w:cs="黑体" w:eastAsia="黑体" w:hint="default"/>
          <w:position w:val="-12"/>
          <w:sz w:val="20"/>
          <w:szCs w:val="20"/>
        </w:rPr>
      </w:r>
    </w:p>
    <w:p>
      <w:pPr>
        <w:spacing w:after="0" w:line="643" w:lineRule="exact"/>
        <w:rPr>
          <w:rFonts w:ascii="黑体" w:hAnsi="黑体" w:cs="黑体" w:eastAsia="黑体" w:hint="default"/>
          <w:sz w:val="20"/>
          <w:szCs w:val="20"/>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28"/>
          <w:szCs w:val="28"/>
        </w:rPr>
      </w:pPr>
    </w:p>
    <w:p>
      <w:pPr>
        <w:spacing w:before="14"/>
        <w:ind w:left="963" w:right="963"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2"/>
        <w:spacing w:line="355" w:lineRule="auto"/>
        <w:ind w:left="505" w:right="0"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3"/>
        <w:rPr>
          <w:rFonts w:ascii="宋体" w:hAnsi="宋体" w:cs="宋体" w:eastAsia="宋体" w:hint="default"/>
          <w:b/>
          <w:bCs/>
          <w:sz w:val="23"/>
          <w:szCs w:val="23"/>
        </w:rPr>
      </w:pPr>
    </w:p>
    <w:p>
      <w:pPr>
        <w:pStyle w:val="Heading2"/>
        <w:spacing w:line="240" w:lineRule="auto"/>
        <w:ind w:left="138" w:right="0"/>
        <w:jc w:val="left"/>
        <w:rPr>
          <w:b w:val="0"/>
          <w:bCs w:val="0"/>
        </w:rPr>
      </w:pPr>
      <w:r>
        <w:rPr/>
        <w:t>二、</w:t>
      </w:r>
      <w:r>
        <w:rPr>
          <w:spacing w:val="-80"/>
        </w:rPr>
        <w:t> </w:t>
      </w:r>
      <w:r>
        <w:rPr/>
        <w:t>公司全体董事出席董事会会议。</w:t>
      </w:r>
      <w:r>
        <w:rPr>
          <w:b w:val="0"/>
          <w:bCs w:val="0"/>
        </w:rPr>
      </w:r>
    </w:p>
    <w:p>
      <w:pPr>
        <w:spacing w:line="240" w:lineRule="auto" w:before="0"/>
        <w:rPr>
          <w:rFonts w:ascii="宋体" w:hAnsi="宋体" w:cs="宋体" w:eastAsia="宋体" w:hint="default"/>
          <w:b/>
          <w:bCs/>
          <w:sz w:val="20"/>
          <w:szCs w:val="20"/>
        </w:rPr>
      </w:pPr>
    </w:p>
    <w:p>
      <w:pPr>
        <w:pStyle w:val="Heading2"/>
        <w:spacing w:line="240" w:lineRule="auto" w:before="145"/>
        <w:ind w:left="138" w:right="0"/>
        <w:jc w:val="left"/>
        <w:rPr>
          <w:b w:val="0"/>
          <w:bCs w:val="0"/>
        </w:rPr>
      </w:pPr>
      <w:r>
        <w:rPr/>
        <w:t>三、</w:t>
      </w:r>
      <w:r>
        <w:rPr>
          <w:spacing w:val="-14"/>
        </w:rPr>
        <w:t> </w:t>
      </w:r>
      <w:r>
        <w:rPr/>
        <w:t>天健会计师事务所（特殊普通合伙）为本公司出具了标准无保留意见的审计报告。</w:t>
      </w:r>
      <w:r>
        <w:rPr>
          <w:b w:val="0"/>
          <w:bCs w:val="0"/>
        </w:rPr>
      </w:r>
    </w:p>
    <w:p>
      <w:pPr>
        <w:spacing w:line="240" w:lineRule="auto" w:before="0"/>
        <w:rPr>
          <w:rFonts w:ascii="宋体" w:hAnsi="宋体" w:cs="宋体" w:eastAsia="宋体" w:hint="default"/>
          <w:b/>
          <w:bCs/>
          <w:sz w:val="20"/>
          <w:szCs w:val="20"/>
        </w:rPr>
      </w:pPr>
    </w:p>
    <w:p>
      <w:pPr>
        <w:pStyle w:val="Heading2"/>
        <w:spacing w:line="355" w:lineRule="auto" w:before="145"/>
        <w:ind w:left="505" w:right="0" w:hanging="368"/>
        <w:jc w:val="left"/>
        <w:rPr>
          <w:b w:val="0"/>
          <w:bCs w:val="0"/>
        </w:rPr>
      </w:pPr>
      <w:r>
        <w:rPr>
          <w:spacing w:val="-1"/>
        </w:rPr>
        <w:t>四、公司负责人江浩然、主管会计工作负责人温健及会计机构负责人（会计主管人员）云泽杨声</w:t>
      </w:r>
      <w:r>
        <w:rPr>
          <w:spacing w:val="-87"/>
        </w:rPr>
        <w:t> </w:t>
      </w:r>
      <w:r>
        <w:rPr>
          <w:spacing w:val="-87"/>
        </w:rPr>
      </w:r>
      <w:r>
        <w:rPr/>
        <w:t>明：保证年度报告中财务报告的真实、准确、完整。</w:t>
      </w:r>
      <w:r>
        <w:rPr>
          <w:b w:val="0"/>
          <w:bCs w:val="0"/>
        </w:rPr>
      </w:r>
    </w:p>
    <w:p>
      <w:pPr>
        <w:spacing w:line="240" w:lineRule="auto" w:before="5"/>
        <w:rPr>
          <w:rFonts w:ascii="宋体" w:hAnsi="宋体" w:cs="宋体" w:eastAsia="宋体" w:hint="default"/>
          <w:b/>
          <w:bCs/>
          <w:sz w:val="23"/>
          <w:szCs w:val="23"/>
        </w:rPr>
      </w:pPr>
    </w:p>
    <w:p>
      <w:pPr>
        <w:spacing w:line="355" w:lineRule="auto" w:before="0"/>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100"/>
          <w:sz w:val="21"/>
          <w:szCs w:val="21"/>
        </w:rPr>
        <w:t> </w:t>
      </w:r>
      <w:r>
        <w:rPr>
          <w:rFonts w:ascii="宋体" w:hAnsi="宋体" w:cs="宋体" w:eastAsia="宋体" w:hint="default"/>
          <w:spacing w:val="-2"/>
          <w:sz w:val="21"/>
          <w:szCs w:val="21"/>
        </w:rPr>
        <w:t>公司</w:t>
      </w:r>
      <w:r>
        <w:rPr>
          <w:rFonts w:ascii="宋体" w:hAnsi="宋体" w:cs="宋体" w:eastAsia="宋体" w:hint="default"/>
          <w:spacing w:val="-2"/>
          <w:sz w:val="21"/>
          <w:szCs w:val="21"/>
        </w:rPr>
        <w:t>2017</w:t>
      </w:r>
      <w:r>
        <w:rPr>
          <w:rFonts w:ascii="宋体" w:hAnsi="宋体" w:cs="宋体" w:eastAsia="宋体" w:hint="default"/>
          <w:spacing w:val="-2"/>
          <w:sz w:val="21"/>
          <w:szCs w:val="21"/>
        </w:rPr>
        <w:t>年度利润分配预案为：以公司分红派息股权登记日的股本为基数，向全体股东每</w:t>
      </w:r>
      <w:r>
        <w:rPr>
          <w:rFonts w:ascii="宋体" w:hAnsi="宋体" w:cs="宋体" w:eastAsia="宋体" w:hint="default"/>
          <w:spacing w:val="-2"/>
          <w:sz w:val="21"/>
          <w:szCs w:val="21"/>
        </w:rPr>
        <w:t>10</w:t>
      </w:r>
    </w:p>
    <w:p>
      <w:pPr>
        <w:pStyle w:val="BodyText"/>
        <w:spacing w:line="357" w:lineRule="auto" w:before="32"/>
        <w:ind w:right="128"/>
        <w:jc w:val="both"/>
      </w:pPr>
      <w:r>
        <w:rPr>
          <w:spacing w:val="-2"/>
        </w:rPr>
        <w:t>股派发现金股利</w:t>
      </w:r>
      <w:r>
        <w:rPr>
          <w:rFonts w:ascii="宋体" w:hAnsi="宋体" w:cs="宋体" w:eastAsia="宋体" w:hint="default"/>
          <w:spacing w:val="-2"/>
        </w:rPr>
        <w:t>0.25</w:t>
      </w:r>
      <w:r>
        <w:rPr>
          <w:spacing w:val="-2"/>
        </w:rPr>
        <w:t>元（含税），共计派发现金股利人民币</w:t>
      </w:r>
      <w:r>
        <w:rPr>
          <w:rFonts w:ascii="宋体" w:hAnsi="宋体" w:cs="宋体" w:eastAsia="宋体" w:hint="default"/>
          <w:spacing w:val="-2"/>
        </w:rPr>
        <w:t>700.00</w:t>
      </w:r>
      <w:r>
        <w:rPr>
          <w:spacing w:val="-2"/>
        </w:rPr>
        <w:t>万元（含税），剩余未分配利</w:t>
      </w:r>
      <w:r>
        <w:rPr>
          <w:spacing w:val="-15"/>
        </w:rPr>
        <w:t> </w:t>
      </w:r>
      <w:r>
        <w:rPr>
          <w:spacing w:val="-15"/>
        </w:rPr>
      </w:r>
      <w:r>
        <w:rPr>
          <w:spacing w:val="-4"/>
        </w:rPr>
        <w:t>润结转以后年度，不送红股。以资本公积转增股本，每</w:t>
      </w:r>
      <w:r>
        <w:rPr>
          <w:rFonts w:ascii="宋体" w:hAnsi="宋体" w:cs="宋体" w:eastAsia="宋体" w:hint="default"/>
          <w:spacing w:val="-4"/>
        </w:rPr>
        <w:t>10</w:t>
      </w:r>
      <w:r>
        <w:rPr>
          <w:spacing w:val="-4"/>
        </w:rPr>
        <w:t>股转增</w:t>
      </w:r>
      <w:r>
        <w:rPr>
          <w:rFonts w:ascii="宋体" w:hAnsi="宋体" w:cs="宋体" w:eastAsia="宋体" w:hint="default"/>
          <w:spacing w:val="-4"/>
        </w:rPr>
        <w:t>1</w:t>
      </w:r>
      <w:r>
        <w:rPr>
          <w:spacing w:val="-4"/>
        </w:rPr>
        <w:t>股，转增完成后，公司股本变更</w:t>
      </w:r>
      <w:r>
        <w:rPr>
          <w:spacing w:val="-32"/>
        </w:rPr>
        <w:t> </w:t>
      </w:r>
      <w:r>
        <w:rPr>
          <w:spacing w:val="-32"/>
        </w:rPr>
      </w:r>
      <w:r>
        <w:rPr>
          <w:spacing w:val="-2"/>
        </w:rPr>
        <w:t>为</w:t>
      </w:r>
      <w:r>
        <w:rPr>
          <w:rFonts w:ascii="宋体" w:hAnsi="宋体" w:cs="宋体" w:eastAsia="宋体" w:hint="default"/>
          <w:spacing w:val="-2"/>
        </w:rPr>
        <w:t>30,800</w:t>
      </w:r>
      <w:r>
        <w:rPr>
          <w:spacing w:val="-2"/>
        </w:rPr>
        <w:t>万股，注册资本变更为</w:t>
      </w:r>
      <w:r>
        <w:rPr>
          <w:rFonts w:ascii="宋体" w:hAnsi="宋体" w:cs="宋体" w:eastAsia="宋体" w:hint="default"/>
          <w:spacing w:val="-2"/>
        </w:rPr>
        <w:t>30,800</w:t>
      </w:r>
      <w:r>
        <w:rPr>
          <w:spacing w:val="-2"/>
        </w:rPr>
        <w:t>万元。上述利润分配预案尚需提交公司</w:t>
      </w:r>
      <w:r>
        <w:rPr>
          <w:rFonts w:ascii="宋体" w:hAnsi="宋体" w:cs="宋体" w:eastAsia="宋体" w:hint="default"/>
          <w:spacing w:val="-2"/>
        </w:rPr>
        <w:t>2017</w:t>
      </w:r>
      <w:r>
        <w:rPr>
          <w:spacing w:val="-2"/>
        </w:rPr>
        <w:t>年年度股东大</w:t>
      </w:r>
      <w:r>
        <w:rPr>
          <w:spacing w:val="-12"/>
        </w:rPr>
        <w:t> </w:t>
      </w:r>
      <w:r>
        <w:rPr>
          <w:spacing w:val="-12"/>
        </w:rPr>
      </w:r>
      <w:r>
        <w:rPr/>
        <w:t>会审议批准。</w:t>
      </w:r>
    </w:p>
    <w:p>
      <w:pPr>
        <w:pStyle w:val="Heading2"/>
        <w:spacing w:line="240" w:lineRule="auto" w:before="30"/>
        <w:ind w:left="138" w:right="0"/>
        <w:jc w:val="left"/>
        <w:rPr>
          <w:b w:val="0"/>
          <w:bCs w:val="0"/>
        </w:rPr>
      </w:pPr>
      <w:r>
        <w:rPr/>
        <w:t>六、</w:t>
      </w:r>
      <w:r>
        <w:rPr>
          <w:spacing w:val="-24"/>
        </w:rPr>
        <w:t> </w:t>
      </w:r>
      <w:r>
        <w:rPr/>
        <w:t>前瞻性陈述的风险声明</w:t>
      </w:r>
      <w:r>
        <w:rPr>
          <w:b w:val="0"/>
          <w:bCs w:val="0"/>
        </w:rPr>
      </w:r>
    </w:p>
    <w:p>
      <w:pPr>
        <w:pStyle w:val="BodyText"/>
        <w:spacing w:line="240" w:lineRule="auto" w:before="133"/>
        <w:ind w:left="558" w:right="0" w:hanging="420"/>
        <w:jc w:val="left"/>
      </w:pPr>
      <w:r>
        <w:rPr/>
        <w:t>√适用</w:t>
      </w:r>
      <w:r>
        <w:rPr>
          <w:spacing w:val="-2"/>
        </w:rPr>
        <w:t> </w:t>
      </w:r>
      <w:r>
        <w:rPr/>
        <w:t>□不适用</w:t>
      </w:r>
      <w:r>
        <w:rPr>
          <w:w w:val="100"/>
        </w:rPr>
        <w:t> </w:t>
      </w:r>
      <w:r>
        <w:rPr>
          <w:spacing w:val="-2"/>
        </w:rPr>
        <w:t>本报告内容涉及的发展战略、经营计划等前瞻性陈述受市场变化等多方面因素影响，并不构</w:t>
      </w:r>
    </w:p>
    <w:p>
      <w:pPr>
        <w:pStyle w:val="BodyText"/>
        <w:spacing w:line="240" w:lineRule="auto" w:before="133"/>
        <w:ind w:right="0"/>
        <w:jc w:val="left"/>
      </w:pPr>
      <w:r>
        <w:rPr/>
        <w:t>成公司对投资者的实质承诺，请投资者注意投资风险。</w:t>
      </w:r>
    </w:p>
    <w:p>
      <w:pPr>
        <w:pStyle w:val="Heading2"/>
        <w:spacing w:line="422" w:lineRule="auto" w:before="133"/>
        <w:ind w:left="138" w:right="3467"/>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spacing w:line="240" w:lineRule="auto" w:before="0"/>
        <w:rPr>
          <w:rFonts w:ascii="宋体" w:hAnsi="宋体" w:cs="宋体" w:eastAsia="宋体" w:hint="default"/>
          <w:sz w:val="16"/>
          <w:szCs w:val="16"/>
        </w:rPr>
      </w:pPr>
    </w:p>
    <w:p>
      <w:pPr>
        <w:pStyle w:val="Heading2"/>
        <w:tabs>
          <w:tab w:pos="781" w:val="left" w:leader="none"/>
        </w:tabs>
        <w:spacing w:line="357" w:lineRule="auto"/>
        <w:ind w:left="138" w:right="3683"/>
        <w:jc w:val="left"/>
        <w:rPr>
          <w:rFonts w:ascii="宋体" w:hAnsi="宋体" w:cs="宋体" w:eastAsia="宋体" w:hint="default"/>
          <w:b w:val="0"/>
          <w:bCs w:val="0"/>
        </w:rPr>
      </w:pPr>
      <w:r>
        <w:rPr/>
        <w:t>八、</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否</w:t>
      </w:r>
    </w:p>
    <w:p>
      <w:pPr>
        <w:pStyle w:val="BodyText"/>
        <w:tabs>
          <w:tab w:pos="781" w:val="left" w:leader="none"/>
        </w:tabs>
        <w:spacing w:line="355" w:lineRule="auto" w:before="167"/>
        <w:ind w:left="558" w:right="138" w:hanging="420"/>
        <w:jc w:val="left"/>
      </w:pPr>
      <w:r>
        <w:rPr>
          <w:rFonts w:ascii="宋体" w:hAnsi="宋体" w:cs="宋体" w:eastAsia="宋体" w:hint="default"/>
          <w:b/>
          <w:bCs/>
        </w:rPr>
        <w:t>九、</w:t>
        <w:tab/>
        <w:t>重大风险提示</w:t>
      </w:r>
      <w:r>
        <w:rPr>
          <w:rFonts w:ascii="宋体" w:hAnsi="宋体" w:cs="宋体" w:eastAsia="宋体" w:hint="default"/>
          <w:b/>
          <w:bCs/>
          <w:spacing w:val="-104"/>
        </w:rPr>
        <w:t> </w:t>
      </w:r>
      <w:r>
        <w:rPr>
          <w:rFonts w:ascii="宋体" w:hAnsi="宋体" w:cs="宋体" w:eastAsia="宋体" w:hint="default"/>
          <w:b/>
          <w:bCs/>
          <w:spacing w:val="-104"/>
        </w:rPr>
      </w:r>
      <w:r>
        <w:rPr>
          <w:spacing w:val="-2"/>
        </w:rPr>
        <w:t>公司已在本报告中描述公司可能存在的相关风险，敬请投资者予以关注，详见本报告第四节</w:t>
      </w:r>
    </w:p>
    <w:p>
      <w:pPr>
        <w:pStyle w:val="BodyText"/>
        <w:spacing w:line="240" w:lineRule="auto" w:before="32"/>
        <w:ind w:right="0"/>
        <w:jc w:val="left"/>
      </w:pPr>
      <w:r>
        <w:rPr/>
        <w:t>“经营情况讨论与分析”等有关章节中关于公司面临风险的描述。</w:t>
      </w:r>
    </w:p>
    <w:p>
      <w:pPr>
        <w:spacing w:line="240" w:lineRule="auto" w:before="0"/>
        <w:rPr>
          <w:rFonts w:ascii="宋体" w:hAnsi="宋体" w:cs="宋体" w:eastAsia="宋体" w:hint="default"/>
          <w:sz w:val="20"/>
          <w:szCs w:val="20"/>
        </w:rPr>
      </w:pPr>
    </w:p>
    <w:p>
      <w:pPr>
        <w:spacing w:before="139"/>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57"/>
        <w:ind w:right="0"/>
        <w:jc w:val="left"/>
      </w:pPr>
      <w:r>
        <w:rPr/>
        <w:t>□适用</w:t>
      </w:r>
      <w:r>
        <w:rPr>
          <w:spacing w:val="-1"/>
        </w:rPr>
        <w:t> </w:t>
      </w:r>
      <w:r>
        <w:rPr/>
        <w:t>√不适用</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6"/>
          <w:szCs w:val="26"/>
        </w:rPr>
      </w:pPr>
    </w:p>
    <w:p>
      <w:pPr>
        <w:spacing w:before="14"/>
        <w:ind w:left="965" w:right="963"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tab/>
              <w:t>公司简介和主要财务指标</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tab/>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8">
            <w:r>
              <w:rPr/>
              <w:t>第四节</w:t>
              <w:tab/>
              <w:t>经营情况讨论与分析</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tab/>
              <w:t>重要事项</w:t>
            </w:r>
            <w:r>
              <w:rPr>
                <w:rFonts w:ascii="Times New Roman" w:hAnsi="Times New Roman" w:cs="Times New Roman" w:eastAsia="Times New Roman" w:hint="default"/>
              </w:rPr>
              <w:tab/>
              <w:t>29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tab/>
              <w:t>普通股股份变动及股东情况</w:t>
            </w:r>
            <w:r>
              <w:rPr>
                <w:rFonts w:ascii="Times New Roman" w:hAnsi="Times New Roman" w:cs="Times New Roman" w:eastAsia="Times New Roman" w:hint="default"/>
              </w:rPr>
              <w:tab/>
              <w:t>44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b w:val="0"/>
              <w:bCs w:val="0"/>
            </w:rPr>
          </w:pPr>
          <w:hyperlink w:history="true" w:anchor="_TOC_250005">
            <w:r>
              <w:rPr/>
              <w:t>第七节</w:t>
              <w:tab/>
              <w:t>优先股相关情况</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4">
            <w:r>
              <w:rPr/>
              <w:t>第八节</w:t>
              <w:tab/>
              <w:t>董事、监事、高级管理人员和员工情况</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tab/>
              <w:t>公司治理</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tab/>
              <w:t>公司债券相关情况</w:t>
            </w:r>
            <w:r>
              <w:rPr>
                <w:rFonts w:ascii="Times New Roman" w:hAnsi="Times New Roman" w:cs="Times New Roman" w:eastAsia="Times New Roman" w:hint="default"/>
              </w:rPr>
              <w:tab/>
              <w:t>63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131</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40"/>
        </w:sectPr>
      </w:pPr>
    </w:p>
    <w:p>
      <w:pPr>
        <w:pStyle w:val="Heading1"/>
        <w:tabs>
          <w:tab w:pos="1260" w:val="left" w:leader="none"/>
        </w:tabs>
        <w:spacing w:line="240" w:lineRule="auto" w:before="686"/>
        <w:ind w:right="17"/>
        <w:jc w:val="center"/>
        <w:rPr>
          <w:b w:val="0"/>
          <w:bCs w:val="0"/>
        </w:rPr>
      </w:pPr>
      <w:bookmarkStart w:name="_TOC_250011" w:id="1"/>
      <w:r>
        <w:rPr>
          <w:w w:val="95"/>
        </w:rPr>
        <w:t>第一节</w:t>
        <w:tab/>
      </w:r>
      <w:r>
        <w:rPr/>
        <w:t>释义</w:t>
      </w:r>
      <w:bookmarkEnd w:id="1"/>
      <w:r>
        <w:rPr>
          <w:b w:val="0"/>
          <w:bCs w:val="0"/>
        </w:rPr>
      </w:r>
    </w:p>
    <w:p>
      <w:pPr>
        <w:pStyle w:val="BodyText"/>
        <w:spacing w:line="290" w:lineRule="auto" w:before="253"/>
        <w:ind w:left="218" w:right="3084"/>
        <w:jc w:val="left"/>
      </w:pP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2122"/>
        <w:gridCol w:w="566"/>
        <w:gridCol w:w="6361"/>
      </w:tblGrid>
      <w:tr>
        <w:trPr>
          <w:trHeight w:val="281"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828"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5"/>
              <w:jc w:val="left"/>
              <w:rPr>
                <w:rFonts w:ascii="宋体" w:hAnsi="宋体" w:cs="宋体" w:eastAsia="宋体" w:hint="default"/>
                <w:sz w:val="21"/>
                <w:szCs w:val="21"/>
              </w:rPr>
            </w:pPr>
            <w:r>
              <w:rPr>
                <w:rFonts w:ascii="宋体" w:hAnsi="宋体" w:cs="宋体" w:eastAsia="宋体" w:hint="default"/>
                <w:w w:val="100"/>
                <w:sz w:val="21"/>
                <w:szCs w:val="21"/>
              </w:rPr>
              <w:t>恒银</w:t>
            </w:r>
            <w:r>
              <w:rPr>
                <w:rFonts w:ascii="宋体" w:hAnsi="宋体" w:cs="宋体" w:eastAsia="宋体" w:hint="default"/>
                <w:spacing w:val="-3"/>
                <w:w w:val="100"/>
                <w:sz w:val="21"/>
                <w:szCs w:val="21"/>
              </w:rPr>
              <w:t>金融</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z w:val="21"/>
                <w:szCs w:val="21"/>
              </w:rPr>
              <w:t>发行人、本公司、公</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恒银金融科技股份有限公司</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恒宝股份</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恒宝股份有限公司</w:t>
            </w: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恒融投资</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恒融投资集团有限公司，曾用名“恒融投资控股有限公司”</w:t>
            </w:r>
          </w:p>
        </w:tc>
      </w:tr>
      <w:tr>
        <w:trPr>
          <w:trHeight w:val="28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恒银物业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天津恒银物业管理有限公司</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西奥电梯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天津西奥电梯工程有限公司</w:t>
            </w:r>
          </w:p>
        </w:tc>
      </w:tr>
      <w:tr>
        <w:trPr>
          <w:trHeight w:val="55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恒银通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8"/>
              <w:jc w:val="left"/>
              <w:rPr>
                <w:rFonts w:ascii="宋体" w:hAnsi="宋体" w:cs="宋体" w:eastAsia="宋体" w:hint="default"/>
                <w:sz w:val="21"/>
                <w:szCs w:val="21"/>
              </w:rPr>
            </w:pPr>
            <w:r>
              <w:rPr>
                <w:rFonts w:ascii="宋体" w:hAnsi="宋体" w:cs="宋体" w:eastAsia="宋体" w:hint="default"/>
                <w:w w:val="100"/>
                <w:sz w:val="21"/>
                <w:szCs w:val="21"/>
              </w:rPr>
              <w:t>恒银</w:t>
            </w:r>
            <w:r>
              <w:rPr>
                <w:rFonts w:ascii="宋体" w:hAnsi="宋体" w:cs="宋体" w:eastAsia="宋体" w:hint="default"/>
                <w:spacing w:val="-3"/>
                <w:w w:val="100"/>
                <w:sz w:val="21"/>
                <w:szCs w:val="21"/>
              </w:rPr>
              <w:t>通</w:t>
            </w:r>
            <w:r>
              <w:rPr>
                <w:rFonts w:ascii="宋体" w:hAnsi="宋体" w:cs="宋体" w:eastAsia="宋体" w:hint="default"/>
                <w:w w:val="100"/>
                <w:sz w:val="21"/>
                <w:szCs w:val="21"/>
              </w:rPr>
              <w:t>信</w:t>
            </w:r>
            <w:r>
              <w:rPr>
                <w:rFonts w:ascii="宋体" w:hAnsi="宋体" w:cs="宋体" w:eastAsia="宋体" w:hint="default"/>
                <w:spacing w:val="-3"/>
                <w:w w:val="100"/>
                <w:sz w:val="21"/>
                <w:szCs w:val="21"/>
              </w:rPr>
              <w:t>息</w:t>
            </w:r>
            <w:r>
              <w:rPr>
                <w:rFonts w:ascii="宋体" w:hAnsi="宋体" w:cs="宋体" w:eastAsia="宋体" w:hint="default"/>
                <w:w w:val="100"/>
                <w:sz w:val="21"/>
                <w:szCs w:val="21"/>
              </w:rPr>
              <w:t>技</w:t>
            </w:r>
            <w:r>
              <w:rPr>
                <w:rFonts w:ascii="宋体" w:hAnsi="宋体" w:cs="宋体" w:eastAsia="宋体" w:hint="default"/>
                <w:spacing w:val="-3"/>
                <w:w w:val="100"/>
                <w:sz w:val="21"/>
                <w:szCs w:val="21"/>
              </w:rPr>
              <w:t>术</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spacing w:val="-89"/>
                <w:w w:val="100"/>
                <w:sz w:val="21"/>
                <w:szCs w:val="21"/>
              </w:rPr>
              <w:t>，</w:t>
            </w:r>
            <w:r>
              <w:rPr>
                <w:rFonts w:ascii="宋体" w:hAnsi="宋体" w:cs="宋体" w:eastAsia="宋体" w:hint="default"/>
                <w:w w:val="100"/>
                <w:sz w:val="21"/>
                <w:szCs w:val="21"/>
              </w:rPr>
              <w:t>曾用</w:t>
            </w:r>
            <w:r>
              <w:rPr>
                <w:rFonts w:ascii="宋体" w:hAnsi="宋体" w:cs="宋体" w:eastAsia="宋体" w:hint="default"/>
                <w:spacing w:val="-89"/>
                <w:w w:val="100"/>
                <w:sz w:val="21"/>
                <w:szCs w:val="21"/>
              </w:rPr>
              <w:t>名</w:t>
            </w:r>
            <w:r>
              <w:rPr>
                <w:rFonts w:ascii="宋体" w:hAnsi="宋体" w:cs="宋体" w:eastAsia="宋体" w:hint="default"/>
                <w:spacing w:val="-3"/>
                <w:w w:val="100"/>
                <w:sz w:val="21"/>
                <w:szCs w:val="21"/>
              </w:rPr>
              <w:t>“</w:t>
            </w:r>
            <w:r>
              <w:rPr>
                <w:rFonts w:ascii="宋体" w:hAnsi="宋体" w:cs="宋体" w:eastAsia="宋体" w:hint="default"/>
                <w:w w:val="100"/>
                <w:sz w:val="21"/>
                <w:szCs w:val="21"/>
              </w:rPr>
              <w:t>北</w:t>
            </w:r>
            <w:r>
              <w:rPr>
                <w:rFonts w:ascii="宋体" w:hAnsi="宋体" w:cs="宋体" w:eastAsia="宋体" w:hint="default"/>
                <w:spacing w:val="-3"/>
                <w:w w:val="100"/>
                <w:sz w:val="21"/>
                <w:szCs w:val="21"/>
              </w:rPr>
              <w:t>京</w:t>
            </w:r>
            <w:r>
              <w:rPr>
                <w:rFonts w:ascii="宋体" w:hAnsi="宋体" w:cs="宋体" w:eastAsia="宋体" w:hint="default"/>
                <w:w w:val="100"/>
                <w:sz w:val="21"/>
                <w:szCs w:val="21"/>
              </w:rPr>
              <w:t>恒</w:t>
            </w:r>
            <w:r>
              <w:rPr>
                <w:rFonts w:ascii="宋体" w:hAnsi="宋体" w:cs="宋体" w:eastAsia="宋体" w:hint="default"/>
                <w:spacing w:val="-3"/>
                <w:w w:val="100"/>
                <w:sz w:val="21"/>
                <w:szCs w:val="21"/>
              </w:rPr>
              <w:t>银</w:t>
            </w:r>
            <w:r>
              <w:rPr>
                <w:rFonts w:ascii="宋体" w:hAnsi="宋体" w:cs="宋体" w:eastAsia="宋体" w:hint="default"/>
                <w:w w:val="100"/>
                <w:sz w:val="21"/>
                <w:szCs w:val="21"/>
              </w:rPr>
              <w:t>通</w:t>
            </w:r>
            <w:r>
              <w:rPr>
                <w:rFonts w:ascii="宋体" w:hAnsi="宋体" w:cs="宋体" w:eastAsia="宋体" w:hint="default"/>
                <w:spacing w:val="-3"/>
                <w:w w:val="100"/>
                <w:sz w:val="21"/>
                <w:szCs w:val="21"/>
              </w:rPr>
              <w:t>信</w:t>
            </w:r>
            <w:r>
              <w:rPr>
                <w:rFonts w:ascii="宋体" w:hAnsi="宋体" w:cs="宋体" w:eastAsia="宋体" w:hint="default"/>
                <w:w w:val="100"/>
                <w:sz w:val="21"/>
                <w:szCs w:val="21"/>
              </w:rPr>
              <w:t>息</w:t>
            </w:r>
            <w:r>
              <w:rPr>
                <w:rFonts w:ascii="宋体" w:hAnsi="宋体" w:cs="宋体" w:eastAsia="宋体" w:hint="default"/>
                <w:spacing w:val="-3"/>
                <w:w w:val="100"/>
                <w:sz w:val="21"/>
                <w:szCs w:val="21"/>
              </w:rPr>
              <w:t>技</w:t>
            </w:r>
            <w:r>
              <w:rPr>
                <w:rFonts w:ascii="宋体" w:hAnsi="宋体" w:cs="宋体" w:eastAsia="宋体" w:hint="default"/>
                <w:w w:val="100"/>
                <w:sz w:val="21"/>
                <w:szCs w:val="21"/>
              </w:rPr>
              <w:t>术有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spacing w:val="-87"/>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“北京琦欣智创科技有限公司”</w:t>
            </w: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联恒电梯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天津市联恒电梯工程有限公司</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渤海小贷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天津渤海女子小额贷款股份有限公司</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珠海融恒</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珠海融恒股权投资合伙企业（有限合伙）</w:t>
            </w: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金石灏汭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青岛金石灏汭投资有限公司</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深创投</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深圳市创新投资集团有限公司</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海宁嘉慧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浙江海宁嘉慧投资合伙企业（有限合伙）</w:t>
            </w: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颐润投资</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天津颐润投资管理有限公司</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广电运通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广州广电运通金融电子股份有限公司</w:t>
            </w:r>
          </w:p>
        </w:tc>
      </w:tr>
      <w:tr>
        <w:trPr>
          <w:trHeight w:val="28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怡化电脑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深圳怡化电脑股份有限公司</w:t>
            </w: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东信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东方通信股份有限公司</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御银股份</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广州御银科技股份有限公司</w:t>
            </w: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新达通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新达通科技股份有限公司</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浪潮</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浪潮电子信息产业股份有限公司</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证通电子</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深圳市证通电子股份有限公司</w:t>
            </w:r>
          </w:p>
        </w:tc>
      </w:tr>
      <w:tr>
        <w:trPr>
          <w:trHeight w:val="55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sz w:val="21"/>
              </w:rPr>
              <w:t>NCR</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美国 </w:t>
            </w:r>
            <w:r>
              <w:rPr>
                <w:rFonts w:ascii="宋体" w:hAnsi="宋体" w:cs="宋体" w:eastAsia="宋体" w:hint="default"/>
                <w:sz w:val="21"/>
                <w:szCs w:val="21"/>
              </w:rPr>
              <w:t>NCR</w:t>
            </w:r>
            <w:r>
              <w:rPr>
                <w:rFonts w:ascii="宋体" w:hAnsi="宋体" w:cs="宋体" w:eastAsia="宋体" w:hint="default"/>
                <w:spacing w:val="-54"/>
                <w:sz w:val="21"/>
                <w:szCs w:val="21"/>
              </w:rPr>
              <w:t> </w:t>
            </w:r>
            <w:r>
              <w:rPr>
                <w:rFonts w:ascii="宋体" w:hAnsi="宋体" w:cs="宋体" w:eastAsia="宋体" w:hint="default"/>
                <w:sz w:val="21"/>
                <w:szCs w:val="21"/>
              </w:rPr>
              <w:t>公司，其国内公司名称为安迅（北京）金融设备系统有限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sz w:val="21"/>
              </w:rPr>
              <w:t>Hitach</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日本日立公司，其国内公司名称为日立（中国）有限公司</w:t>
            </w: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晓星公司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韩国株式会社晓星，其国内公司名称为北京晓星电脑技术有限公司</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农业银行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中国农业银行股份有限公司</w:t>
            </w: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工商银行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中国工商银行股份有限公司</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中国银行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中国银行股份有限公司</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建设银行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w:t>
            </w: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交通银行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交通银行股份有限公司</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中国邮政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中国邮政集团公司</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邮储银行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中国邮政储蓄银行股份有限公司</w:t>
            </w: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银联</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中国银行卡联合组织</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保荐机构、中信证券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中信证券股份有限公司</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天健会计师</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股东大会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恒银金融科技股份有限公司股东大会</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恒银金融科技股份有限公司董事会</w:t>
            </w: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恒银金融科技股份有限公司监事会</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bl>
    <w:p>
      <w:pPr>
        <w:spacing w:after="0" w:line="229"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122"/>
        <w:gridCol w:w="566"/>
        <w:gridCol w:w="6361"/>
      </w:tblGrid>
      <w:tr>
        <w:trPr>
          <w:trHeight w:val="28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《恒银金融科技股份有限公司》章程</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《公司法》</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《中华人民共和国公司法》</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《证券法》</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《中华人民共和国证券法》</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元、万元</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人民币元，人民币万元</w:t>
            </w:r>
          </w:p>
        </w:tc>
      </w:tr>
      <w:tr>
        <w:trPr>
          <w:trHeight w:val="55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ATM</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广义：</w:t>
            </w:r>
            <w:r>
              <w:rPr>
                <w:rFonts w:ascii="宋体" w:hAnsi="宋体" w:cs="宋体" w:eastAsia="宋体" w:hint="default"/>
                <w:sz w:val="21"/>
                <w:szCs w:val="21"/>
              </w:rPr>
              <w:t>Automatic Teller</w:t>
            </w:r>
            <w:r>
              <w:rPr>
                <w:rFonts w:ascii="宋体" w:hAnsi="宋体" w:cs="宋体" w:eastAsia="宋体" w:hint="default"/>
                <w:spacing w:val="46"/>
                <w:sz w:val="21"/>
                <w:szCs w:val="21"/>
              </w:rPr>
              <w:t> </w:t>
            </w:r>
            <w:r>
              <w:rPr>
                <w:rFonts w:ascii="宋体" w:hAnsi="宋体" w:cs="宋体" w:eastAsia="宋体" w:hint="default"/>
                <w:sz w:val="21"/>
                <w:szCs w:val="21"/>
              </w:rPr>
              <w:t>Machine</w:t>
            </w:r>
            <w:r>
              <w:rPr>
                <w:rFonts w:ascii="宋体" w:hAnsi="宋体" w:cs="宋体" w:eastAsia="宋体" w:hint="default"/>
                <w:sz w:val="21"/>
                <w:szCs w:val="21"/>
              </w:rPr>
              <w:t>，即自动柜员机，主要产品类型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包括存取款一体机（</w:t>
            </w:r>
            <w:r>
              <w:rPr>
                <w:rFonts w:ascii="宋体" w:hAnsi="宋体" w:cs="宋体" w:eastAsia="宋体" w:hint="default"/>
                <w:sz w:val="21"/>
                <w:szCs w:val="21"/>
              </w:rPr>
              <w:t>CRS</w:t>
            </w:r>
            <w:r>
              <w:rPr>
                <w:rFonts w:ascii="宋体" w:hAnsi="宋体" w:cs="宋体" w:eastAsia="宋体" w:hint="default"/>
                <w:sz w:val="21"/>
                <w:szCs w:val="21"/>
              </w:rPr>
              <w:t>）与取款机（</w:t>
            </w:r>
            <w:r>
              <w:rPr>
                <w:rFonts w:ascii="宋体" w:hAnsi="宋体" w:cs="宋体" w:eastAsia="宋体" w:hint="default"/>
                <w:sz w:val="21"/>
                <w:szCs w:val="21"/>
              </w:rPr>
              <w:t>ATM</w:t>
            </w:r>
            <w:r>
              <w:rPr>
                <w:rFonts w:ascii="宋体" w:hAnsi="宋体" w:cs="宋体" w:eastAsia="宋体" w:hint="default"/>
                <w:sz w:val="21"/>
                <w:szCs w:val="21"/>
              </w:rPr>
              <w:t>）</w:t>
            </w:r>
          </w:p>
        </w:tc>
      </w:tr>
      <w:tr>
        <w:trPr>
          <w:trHeight w:val="826"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CRS</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5"/>
              <w:jc w:val="left"/>
              <w:rPr>
                <w:rFonts w:ascii="宋体" w:hAnsi="宋体" w:cs="宋体" w:eastAsia="宋体" w:hint="default"/>
                <w:sz w:val="21"/>
                <w:szCs w:val="21"/>
              </w:rPr>
            </w:pPr>
            <w:r>
              <w:rPr>
                <w:rFonts w:ascii="宋体" w:hAnsi="宋体" w:cs="宋体" w:eastAsia="宋体" w:hint="default"/>
                <w:sz w:val="21"/>
                <w:szCs w:val="21"/>
              </w:rPr>
              <w:t>Cash Recycling</w:t>
            </w:r>
            <w:r>
              <w:rPr>
                <w:rFonts w:ascii="宋体" w:hAnsi="宋体" w:cs="宋体" w:eastAsia="宋体" w:hint="default"/>
                <w:spacing w:val="-54"/>
                <w:sz w:val="21"/>
                <w:szCs w:val="21"/>
              </w:rPr>
              <w:t> </w:t>
            </w:r>
            <w:r>
              <w:rPr>
                <w:rFonts w:ascii="宋体" w:hAnsi="宋体" w:cs="宋体" w:eastAsia="宋体" w:hint="default"/>
                <w:sz w:val="21"/>
                <w:szCs w:val="21"/>
              </w:rPr>
              <w:t>System</w:t>
            </w:r>
            <w:r>
              <w:rPr>
                <w:rFonts w:ascii="宋体" w:hAnsi="宋体" w:cs="宋体" w:eastAsia="宋体" w:hint="default"/>
                <w:sz w:val="21"/>
                <w:szCs w:val="21"/>
              </w:rPr>
              <w:t>，即存取款一体机，一种组合了多种不同金</w:t>
            </w:r>
          </w:p>
          <w:p>
            <w:pPr>
              <w:pStyle w:val="TableParagraph"/>
              <w:spacing w:line="240" w:lineRule="auto"/>
              <w:ind w:left="103" w:right="-5"/>
              <w:jc w:val="left"/>
              <w:rPr>
                <w:rFonts w:ascii="宋体" w:hAnsi="宋体" w:cs="宋体" w:eastAsia="宋体" w:hint="default"/>
                <w:sz w:val="21"/>
                <w:szCs w:val="21"/>
              </w:rPr>
            </w:pPr>
            <w:r>
              <w:rPr>
                <w:rFonts w:ascii="宋体" w:hAnsi="宋体" w:cs="宋体" w:eastAsia="宋体" w:hint="default"/>
                <w:spacing w:val="-4"/>
                <w:sz w:val="21"/>
                <w:szCs w:val="21"/>
              </w:rPr>
              <w:t>融业务功能的自助服务设备，可利用该设备所提供的功能完成存款、</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取款、转账、缴费、查询和修改密码等金融服务</w:t>
            </w:r>
          </w:p>
        </w:tc>
      </w:tr>
      <w:tr>
        <w:trPr>
          <w:trHeight w:val="829"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VTM</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Video Teller Machine</w:t>
            </w:r>
            <w:r>
              <w:rPr>
                <w:rFonts w:ascii="宋体" w:hAnsi="宋体" w:cs="宋体" w:eastAsia="宋体" w:hint="default"/>
                <w:sz w:val="21"/>
                <w:szCs w:val="21"/>
              </w:rPr>
              <w:t>（或 </w:t>
            </w:r>
            <w:r>
              <w:rPr>
                <w:rFonts w:ascii="宋体" w:hAnsi="宋体" w:cs="宋体" w:eastAsia="宋体" w:hint="default"/>
                <w:sz w:val="21"/>
                <w:szCs w:val="21"/>
              </w:rPr>
              <w:t>Virtual Teller</w:t>
            </w:r>
            <w:r>
              <w:rPr>
                <w:rFonts w:ascii="宋体" w:hAnsi="宋体" w:cs="宋体" w:eastAsia="宋体" w:hint="default"/>
                <w:spacing w:val="-55"/>
                <w:sz w:val="21"/>
                <w:szCs w:val="21"/>
              </w:rPr>
              <w:t> </w:t>
            </w:r>
            <w:r>
              <w:rPr>
                <w:rFonts w:ascii="宋体" w:hAnsi="宋体" w:cs="宋体" w:eastAsia="宋体" w:hint="default"/>
                <w:sz w:val="21"/>
                <w:szCs w:val="21"/>
              </w:rPr>
              <w:t>Machine</w:t>
            </w:r>
            <w:r>
              <w:rPr>
                <w:rFonts w:ascii="宋体" w:hAnsi="宋体" w:cs="宋体" w:eastAsia="宋体" w:hint="default"/>
                <w:sz w:val="21"/>
                <w:szCs w:val="21"/>
              </w:rPr>
              <w:t>），即远程视</w:t>
            </w:r>
          </w:p>
          <w:p>
            <w:pPr>
              <w:pStyle w:val="TableParagraph"/>
              <w:spacing w:line="272" w:lineRule="exact" w:before="26"/>
              <w:ind w:left="103" w:right="104"/>
              <w:jc w:val="left"/>
              <w:rPr>
                <w:rFonts w:ascii="宋体" w:hAnsi="宋体" w:cs="宋体" w:eastAsia="宋体" w:hint="default"/>
                <w:sz w:val="21"/>
                <w:szCs w:val="21"/>
              </w:rPr>
            </w:pPr>
            <w:r>
              <w:rPr>
                <w:rFonts w:ascii="宋体" w:hAnsi="宋体" w:cs="宋体" w:eastAsia="宋体" w:hint="default"/>
                <w:sz w:val="21"/>
                <w:szCs w:val="21"/>
              </w:rPr>
              <w:t>频柜员机（或虚拟柜员机），一种通过远程视频交互方式来办理柜</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台业务的自助服务设备</w:t>
            </w:r>
          </w:p>
        </w:tc>
      </w:tr>
      <w:tr>
        <w:trPr>
          <w:trHeight w:val="55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ITM</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Intelligent Teller</w:t>
            </w:r>
            <w:r>
              <w:rPr>
                <w:rFonts w:ascii="宋体" w:hAnsi="宋体" w:cs="宋体" w:eastAsia="宋体" w:hint="default"/>
                <w:spacing w:val="47"/>
                <w:sz w:val="21"/>
                <w:szCs w:val="21"/>
              </w:rPr>
              <w:t> </w:t>
            </w:r>
            <w:r>
              <w:rPr>
                <w:rFonts w:ascii="宋体" w:hAnsi="宋体" w:cs="宋体" w:eastAsia="宋体" w:hint="default"/>
                <w:sz w:val="21"/>
                <w:szCs w:val="21"/>
              </w:rPr>
              <w:t>Machine</w:t>
            </w:r>
            <w:r>
              <w:rPr>
                <w:rFonts w:ascii="宋体" w:hAnsi="宋体" w:cs="宋体" w:eastAsia="宋体" w:hint="default"/>
                <w:sz w:val="21"/>
                <w:szCs w:val="21"/>
              </w:rPr>
              <w:t>，即远程智能柜员机，一种采用远程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智能协同技术来办理柜台业务的自助服务设备</w:t>
            </w:r>
          </w:p>
        </w:tc>
      </w:tr>
      <w:tr>
        <w:trPr>
          <w:trHeight w:val="828"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超级柜台</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一种通过硬件设备集成和软件系统整合，在物理网点实现“客户自</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pacing w:val="-3"/>
                <w:sz w:val="21"/>
                <w:szCs w:val="21"/>
              </w:rPr>
              <w:t>助</w:t>
            </w:r>
            <w:r>
              <w:rPr>
                <w:rFonts w:ascii="宋体" w:hAnsi="宋体" w:cs="宋体" w:eastAsia="宋体" w:hint="default"/>
                <w:spacing w:val="-3"/>
                <w:sz w:val="21"/>
                <w:szCs w:val="21"/>
              </w:rPr>
              <w:t>+</w:t>
            </w:r>
            <w:r>
              <w:rPr>
                <w:rFonts w:ascii="宋体" w:hAnsi="宋体" w:cs="宋体" w:eastAsia="宋体" w:hint="default"/>
                <w:spacing w:val="-3"/>
                <w:sz w:val="21"/>
                <w:szCs w:val="21"/>
              </w:rPr>
              <w:t>协同服务”的智能化自助服务设备，可以快速处理绝大部分个人</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客户非现金业务</w:t>
            </w:r>
          </w:p>
        </w:tc>
      </w:tr>
      <w:tr>
        <w:trPr>
          <w:trHeight w:val="826"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高速大额存取款一体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现金超柜，一种支持连续高速存取款的自动柜员机，可利用该设备</w:t>
            </w:r>
          </w:p>
          <w:p>
            <w:pPr>
              <w:pStyle w:val="TableParagraph"/>
              <w:spacing w:line="240" w:lineRule="auto"/>
              <w:ind w:left="103" w:right="102"/>
              <w:jc w:val="left"/>
              <w:rPr>
                <w:rFonts w:ascii="宋体" w:hAnsi="宋体" w:cs="宋体" w:eastAsia="宋体" w:hint="default"/>
                <w:sz w:val="21"/>
                <w:szCs w:val="21"/>
              </w:rPr>
            </w:pPr>
            <w:r>
              <w:rPr>
                <w:rFonts w:ascii="宋体" w:hAnsi="宋体" w:cs="宋体" w:eastAsia="宋体" w:hint="default"/>
                <w:sz w:val="21"/>
                <w:szCs w:val="21"/>
              </w:rPr>
              <w:t>所提供的功能完成大额现金存取款、转帐、缴费、查询和修改密码</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等金融服务。</w:t>
            </w:r>
          </w:p>
        </w:tc>
      </w:tr>
      <w:tr>
        <w:trPr>
          <w:trHeight w:val="828"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全国信息技术标准化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技术委员会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简称“信标委”，原全国计算机与信息处理标准化技术委员会，成</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z w:val="21"/>
                <w:szCs w:val="21"/>
              </w:rPr>
              <w:t>立于</w:t>
            </w:r>
            <w:r>
              <w:rPr>
                <w:rFonts w:ascii="宋体" w:hAnsi="宋体" w:cs="宋体" w:eastAsia="宋体" w:hint="default"/>
                <w:spacing w:val="-33"/>
                <w:sz w:val="21"/>
                <w:szCs w:val="21"/>
              </w:rPr>
              <w:t> </w:t>
            </w:r>
            <w:r>
              <w:rPr>
                <w:rFonts w:ascii="宋体" w:hAnsi="宋体" w:cs="宋体" w:eastAsia="宋体" w:hint="default"/>
                <w:sz w:val="21"/>
                <w:szCs w:val="21"/>
              </w:rPr>
              <w:t>1983</w:t>
            </w:r>
            <w:r>
              <w:rPr>
                <w:rFonts w:ascii="宋体" w:hAnsi="宋体" w:cs="宋体" w:eastAsia="宋体" w:hint="default"/>
                <w:spacing w:val="-36"/>
                <w:sz w:val="21"/>
                <w:szCs w:val="21"/>
              </w:rPr>
              <w:t> </w:t>
            </w:r>
            <w:r>
              <w:rPr>
                <w:rFonts w:ascii="宋体" w:hAnsi="宋体" w:cs="宋体" w:eastAsia="宋体" w:hint="default"/>
                <w:spacing w:val="-4"/>
                <w:sz w:val="21"/>
                <w:szCs w:val="21"/>
              </w:rPr>
              <w:t>年，是在国家标准化管理委员会和工业和信息化部的共同</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领导下，从事全国信息技术领域标准化工作的技术组织。</w:t>
            </w:r>
          </w:p>
        </w:tc>
      </w:tr>
      <w:tr>
        <w:trPr>
          <w:trHeight w:val="55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智慧柜员机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一种通过客户自助服务结合关键节点银行审核的模式来办理柜台非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现金业务的自助服务设备。</w:t>
            </w:r>
          </w:p>
        </w:tc>
      </w:tr>
      <w:tr>
        <w:trPr>
          <w:trHeight w:val="828"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国密算法</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国密即国家密码局认定的国产密码算法，即商用密码。商用密码是</w:t>
            </w:r>
          </w:p>
          <w:p>
            <w:pPr>
              <w:pStyle w:val="TableParagraph"/>
              <w:spacing w:line="272" w:lineRule="exact" w:before="27"/>
              <w:ind w:left="103" w:right="104"/>
              <w:jc w:val="left"/>
              <w:rPr>
                <w:rFonts w:ascii="宋体" w:hAnsi="宋体" w:cs="宋体" w:eastAsia="宋体" w:hint="default"/>
                <w:sz w:val="21"/>
                <w:szCs w:val="21"/>
              </w:rPr>
            </w:pPr>
            <w:r>
              <w:rPr>
                <w:rFonts w:ascii="宋体" w:hAnsi="宋体" w:cs="宋体" w:eastAsia="宋体" w:hint="default"/>
                <w:sz w:val="21"/>
                <w:szCs w:val="21"/>
              </w:rPr>
              <w:t>指能够实现商用密码算法的加密、解密和认证等功能的技术（包括</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密码算法编程技术和密码算法芯片、加密卡等的实现技术）</w:t>
            </w:r>
          </w:p>
        </w:tc>
      </w:tr>
    </w:tbl>
    <w:p>
      <w:pPr>
        <w:spacing w:after="0" w:line="272"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5"/>
        <w:rPr>
          <w:rFonts w:ascii="Times New Roman" w:hAnsi="Times New Roman" w:cs="Times New Roman" w:eastAsia="Times New Roman" w:hint="default"/>
          <w:sz w:val="29"/>
          <w:szCs w:val="29"/>
        </w:rPr>
      </w:pPr>
    </w:p>
    <w:p>
      <w:pPr>
        <w:pStyle w:val="Heading1"/>
        <w:tabs>
          <w:tab w:pos="3717" w:val="left" w:leader="none"/>
        </w:tabs>
        <w:spacing w:line="240" w:lineRule="auto" w:before="14"/>
        <w:ind w:left="2457" w:right="227"/>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7"/>
        <w:rPr>
          <w:rFonts w:ascii="黑体" w:hAnsi="黑体" w:cs="黑体" w:eastAsia="黑体" w:hint="default"/>
          <w:b/>
          <w:bCs/>
          <w:sz w:val="16"/>
          <w:szCs w:val="16"/>
        </w:rPr>
      </w:pPr>
    </w:p>
    <w:p>
      <w:pPr>
        <w:pStyle w:val="Heading2"/>
        <w:spacing w:line="240" w:lineRule="auto" w:before="36"/>
        <w:ind w:right="3084"/>
        <w:jc w:val="left"/>
        <w:rPr>
          <w:b w:val="0"/>
          <w:bCs w:val="0"/>
        </w:rPr>
      </w:pPr>
      <w:r>
        <w:rPr/>
        <w:t>一、</w:t>
      </w:r>
      <w:r>
        <w:rPr>
          <w:spacing w:val="40"/>
        </w:rPr>
        <w:t> </w:t>
      </w:r>
      <w:r>
        <w:rPr/>
        <w:t>公司信息</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恒银金融科技股份有限公司</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恒银金融</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sz w:val="21"/>
              </w:rPr>
              <w:t>Cashway Technology Co.,</w:t>
            </w:r>
            <w:r>
              <w:rPr>
                <w:rFonts w:ascii="宋体"/>
                <w:spacing w:val="-1"/>
                <w:sz w:val="21"/>
              </w:rPr>
              <w:t> </w:t>
            </w:r>
            <w:r>
              <w:rPr>
                <w:rFonts w:ascii="宋体"/>
                <w:sz w:val="21"/>
              </w:rPr>
              <w:t>Ltd.</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CASHWAY</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江浩然</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2"/>
        <w:spacing w:line="240" w:lineRule="auto" w:before="36"/>
        <w:ind w:right="3084"/>
        <w:jc w:val="left"/>
        <w:rPr>
          <w:b w:val="0"/>
          <w:bCs w:val="0"/>
        </w:rPr>
      </w:pPr>
      <w:r>
        <w:rPr/>
        <w:t>二、</w:t>
      </w:r>
      <w:r>
        <w:rPr>
          <w:spacing w:val="41"/>
        </w:rPr>
        <w:t> </w:t>
      </w:r>
      <w:r>
        <w:rPr/>
        <w:t>联系人和联系方式</w:t>
      </w:r>
      <w:r>
        <w:rPr>
          <w:b w:val="0"/>
          <w:bCs w:val="0"/>
        </w:rPr>
      </w:r>
    </w:p>
    <w:p>
      <w:pPr>
        <w:spacing w:line="240" w:lineRule="auto" w:before="2"/>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281" w:hRule="exact"/>
        </w:trPr>
        <w:tc>
          <w:tcPr>
            <w:tcW w:w="3860" w:type="dxa"/>
            <w:tcBorders>
              <w:top w:val="single" w:sz="4" w:space="0" w:color="000000"/>
              <w:left w:val="single" w:sz="4" w:space="0" w:color="000000"/>
              <w:bottom w:val="single" w:sz="4" w:space="0" w:color="000000"/>
              <w:right w:val="single" w:sz="4" w:space="0" w:color="000000"/>
            </w:tcBorders>
          </w:tcPr>
          <w:p>
            <w:pP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董事会秘书</w:t>
            </w:r>
          </w:p>
        </w:tc>
      </w:tr>
      <w:tr>
        <w:trPr>
          <w:trHeight w:val="28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王伟</w:t>
            </w:r>
          </w:p>
        </w:tc>
      </w:tr>
      <w:tr>
        <w:trPr>
          <w:trHeight w:val="28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天津自贸区（空港经济区）西八道</w:t>
            </w:r>
            <w:r>
              <w:rPr>
                <w:rFonts w:ascii="宋体" w:hAnsi="宋体" w:cs="宋体" w:eastAsia="宋体" w:hint="default"/>
                <w:sz w:val="21"/>
                <w:szCs w:val="21"/>
              </w:rPr>
              <w:t>30</w:t>
            </w:r>
            <w:r>
              <w:rPr>
                <w:rFonts w:ascii="宋体" w:hAnsi="宋体" w:cs="宋体" w:eastAsia="宋体" w:hint="default"/>
                <w:sz w:val="21"/>
                <w:szCs w:val="21"/>
              </w:rPr>
              <w:t>号</w:t>
            </w:r>
          </w:p>
        </w:tc>
      </w:tr>
      <w:tr>
        <w:trPr>
          <w:trHeight w:val="281"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022-24828888/24828086</w:t>
            </w:r>
          </w:p>
        </w:tc>
      </w:tr>
      <w:tr>
        <w:trPr>
          <w:trHeight w:val="28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022-24828899</w:t>
            </w:r>
          </w:p>
        </w:tc>
      </w:tr>
      <w:tr>
        <w:trPr>
          <w:trHeight w:val="28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hyperlink r:id="rId8">
              <w:r>
                <w:rPr>
                  <w:rFonts w:ascii="宋体"/>
                  <w:sz w:val="21"/>
                </w:rPr>
                <w:t>cashway@cashwaytech.com</w:t>
              </w:r>
            </w:hyperlink>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2"/>
        <w:spacing w:line="240" w:lineRule="auto" w:before="36"/>
        <w:ind w:right="3084"/>
        <w:jc w:val="left"/>
        <w:rPr>
          <w:b w:val="0"/>
          <w:bCs w:val="0"/>
        </w:rPr>
      </w:pPr>
      <w:r>
        <w:rPr/>
        <w:t>三、</w:t>
      </w:r>
      <w:r>
        <w:rPr>
          <w:spacing w:val="-29"/>
        </w:rPr>
        <w:t> </w:t>
      </w:r>
      <w:r>
        <w:rPr/>
        <w:t>基本情况简介</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天津自贸区（空港经济区）西八道</w:t>
            </w:r>
            <w:r>
              <w:rPr>
                <w:rFonts w:ascii="宋体" w:hAnsi="宋体" w:cs="宋体" w:eastAsia="宋体" w:hint="default"/>
                <w:sz w:val="21"/>
                <w:szCs w:val="21"/>
              </w:rPr>
              <w:t>30</w:t>
            </w:r>
            <w:r>
              <w:rPr>
                <w:rFonts w:ascii="宋体" w:hAnsi="宋体" w:cs="宋体" w:eastAsia="宋体" w:hint="default"/>
                <w:sz w:val="21"/>
                <w:szCs w:val="21"/>
              </w:rPr>
              <w:t>号</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sz w:val="21"/>
              </w:rPr>
              <w:t>300308</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天津自贸区（空港经济区）西八道</w:t>
            </w:r>
            <w:r>
              <w:rPr>
                <w:rFonts w:ascii="宋体" w:hAnsi="宋体" w:cs="宋体" w:eastAsia="宋体" w:hint="default"/>
                <w:sz w:val="21"/>
                <w:szCs w:val="21"/>
              </w:rPr>
              <w:t>30</w:t>
            </w:r>
            <w:r>
              <w:rPr>
                <w:rFonts w:ascii="宋体" w:hAnsi="宋体" w:cs="宋体" w:eastAsia="宋体" w:hint="default"/>
                <w:sz w:val="21"/>
                <w:szCs w:val="21"/>
              </w:rPr>
              <w:t>号</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300308</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9">
              <w:r>
                <w:rPr>
                  <w:rFonts w:ascii="宋体"/>
                  <w:sz w:val="21"/>
                </w:rPr>
                <w:t>www.cashwaytech.com</w:t>
              </w:r>
            </w:hyperlink>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hyperlink r:id="rId8">
              <w:r>
                <w:rPr>
                  <w:rFonts w:ascii="宋体"/>
                  <w:sz w:val="21"/>
                </w:rPr>
                <w:t>cashway@cashwaytech.com</w:t>
              </w:r>
            </w:hyperlink>
          </w:p>
        </w:tc>
      </w:tr>
    </w:tbl>
    <w:p>
      <w:pPr>
        <w:spacing w:line="240" w:lineRule="auto" w:before="12"/>
        <w:rPr>
          <w:rFonts w:ascii="宋体" w:hAnsi="宋体" w:cs="宋体" w:eastAsia="宋体" w:hint="default"/>
          <w:b/>
          <w:bCs/>
          <w:sz w:val="19"/>
          <w:szCs w:val="19"/>
        </w:rPr>
      </w:pPr>
    </w:p>
    <w:p>
      <w:pPr>
        <w:pStyle w:val="Heading2"/>
        <w:spacing w:line="240" w:lineRule="auto" w:before="36"/>
        <w:ind w:right="3084"/>
        <w:jc w:val="left"/>
        <w:rPr>
          <w:b w:val="0"/>
          <w:bCs w:val="0"/>
        </w:rPr>
      </w:pPr>
      <w:r>
        <w:rPr/>
        <w:t>四、</w:t>
      </w:r>
      <w:r>
        <w:rPr>
          <w:spacing w:val="-28"/>
        </w:rPr>
        <w:t> </w:t>
      </w:r>
      <w:r>
        <w:rPr/>
        <w:t>信息披露及备置地点</w:t>
      </w:r>
      <w:r>
        <w:rPr>
          <w:b w:val="0"/>
          <w:bCs w:val="0"/>
        </w:rPr>
      </w:r>
    </w:p>
    <w:p>
      <w:pPr>
        <w:pStyle w:val="BodyText"/>
        <w:spacing w:line="240" w:lineRule="auto" w:before="68"/>
        <w:ind w:left="0" w:right="125"/>
        <w:jc w:val="right"/>
      </w:pPr>
      <w:r>
        <w:rPr/>
        <w:pict>
          <v:shape style="position:absolute;margin-left:88.103996pt;margin-top:4.623676pt;width:445.55pt;height:58.6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07"/>
                    <w:gridCol w:w="4789"/>
                  </w:tblGrid>
                  <w:tr>
                    <w:trPr>
                      <w:trHeight w:val="554"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《上海证券报》、《中国证券报》、《证券时报》</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《证券日报》</w:t>
                        </w:r>
                      </w:p>
                    </w:tc>
                  </w:tr>
                  <w:tr>
                    <w:trPr>
                      <w:trHeight w:val="302"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hyperlink r:id="rId10">
                          <w:r>
                            <w:rPr>
                              <w:rFonts w:ascii="宋体"/>
                              <w:sz w:val="21"/>
                            </w:rPr>
                            <w:t>www.sse.com.cn</w:t>
                          </w:r>
                        </w:hyperlink>
                      </w:p>
                    </w:tc>
                  </w:tr>
                  <w:tr>
                    <w:trPr>
                      <w:trHeight w:val="305"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天津自贸区（空港经济区）西八道</w:t>
                        </w:r>
                        <w:r>
                          <w:rPr>
                            <w:rFonts w:ascii="宋体" w:hAnsi="宋体" w:cs="宋体" w:eastAsia="宋体" w:hint="default"/>
                            <w:sz w:val="21"/>
                            <w:szCs w:val="21"/>
                          </w:rPr>
                          <w:t>30</w:t>
                        </w:r>
                        <w:r>
                          <w:rPr>
                            <w:rFonts w:ascii="宋体" w:hAnsi="宋体" w:cs="宋体" w:eastAsia="宋体" w:hint="default"/>
                            <w:sz w:val="21"/>
                            <w:szCs w:val="21"/>
                          </w:rPr>
                          <w:t>号</w:t>
                        </w: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1"/>
        <w:ind w:right="3084"/>
        <w:jc w:val="left"/>
        <w:rPr>
          <w:b w:val="0"/>
          <w:bCs w:val="0"/>
        </w:rPr>
      </w:pPr>
      <w:r>
        <w:rPr/>
        <w:t>五、</w:t>
      </w:r>
      <w:r>
        <w:rPr>
          <w:spacing w:val="41"/>
        </w:rPr>
        <w:t> </w:t>
      </w:r>
      <w:r>
        <w:rPr/>
        <w:t>公司股票简况</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05"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恒银金融</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603106</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b/>
          <w:bCs/>
          <w:sz w:val="20"/>
          <w:szCs w:val="20"/>
        </w:rPr>
      </w:pPr>
    </w:p>
    <w:p>
      <w:pPr>
        <w:pStyle w:val="Heading2"/>
        <w:spacing w:line="240" w:lineRule="auto" w:before="36"/>
        <w:ind w:right="3084"/>
        <w:jc w:val="left"/>
        <w:rPr>
          <w:b w:val="0"/>
          <w:bCs w:val="0"/>
        </w:rPr>
      </w:pPr>
      <w:r>
        <w:rPr/>
        <w:t>六、</w:t>
      </w:r>
      <w:r>
        <w:rPr>
          <w:spacing w:val="-29"/>
        </w:rPr>
        <w:t> </w:t>
      </w:r>
      <w:r>
        <w:rPr/>
        <w:t>其他相关资料</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405"/>
        <w:gridCol w:w="2384"/>
        <w:gridCol w:w="4261"/>
      </w:tblGrid>
      <w:tr>
        <w:trPr>
          <w:trHeight w:val="283" w:hRule="exact"/>
        </w:trPr>
        <w:tc>
          <w:tcPr>
            <w:tcW w:w="2405" w:type="dxa"/>
            <w:vMerge w:val="restart"/>
            <w:tcBorders>
              <w:top w:val="single" w:sz="4" w:space="0" w:color="000000"/>
              <w:left w:val="single" w:sz="4" w:space="0" w:color="000000"/>
              <w:right w:val="single" w:sz="4" w:space="0" w:color="000000"/>
            </w:tcBorders>
          </w:tcPr>
          <w:p>
            <w:pPr>
              <w:pStyle w:val="TableParagraph"/>
              <w:spacing w:line="240" w:lineRule="auto" w:before="112"/>
              <w:ind w:left="103" w:right="101"/>
              <w:jc w:val="left"/>
              <w:rPr>
                <w:rFonts w:ascii="宋体" w:hAnsi="宋体" w:cs="宋体" w:eastAsia="宋体" w:hint="default"/>
                <w:sz w:val="21"/>
                <w:szCs w:val="21"/>
              </w:rPr>
            </w:pPr>
            <w:r>
              <w:rPr>
                <w:rFonts w:ascii="宋体" w:hAnsi="宋体" w:cs="宋体" w:eastAsia="宋体" w:hint="default"/>
                <w:spacing w:val="6"/>
                <w:sz w:val="21"/>
                <w:szCs w:val="21"/>
              </w:rPr>
              <w:t>公司聘请的会计师事务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所（境内）</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283" w:hRule="exact"/>
        </w:trPr>
        <w:tc>
          <w:tcPr>
            <w:tcW w:w="2405" w:type="dxa"/>
            <w:vMerge/>
            <w:tcBorders>
              <w:left w:val="single" w:sz="4" w:space="0" w:color="000000"/>
              <w:right w:val="single" w:sz="4" w:space="0" w:color="000000"/>
            </w:tcBorders>
          </w:tcPr>
          <w:p>
            <w:pP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浙江省杭州市西湖区西溪路</w:t>
            </w:r>
            <w:r>
              <w:rPr>
                <w:rFonts w:ascii="宋体" w:hAnsi="宋体" w:cs="宋体" w:eastAsia="宋体" w:hint="default"/>
                <w:spacing w:val="-51"/>
                <w:sz w:val="21"/>
                <w:szCs w:val="21"/>
              </w:rPr>
              <w:t> </w:t>
            </w:r>
            <w:r>
              <w:rPr>
                <w:rFonts w:ascii="宋体" w:hAnsi="宋体" w:cs="宋体" w:eastAsia="宋体" w:hint="default"/>
                <w:sz w:val="21"/>
                <w:szCs w:val="21"/>
              </w:rPr>
              <w:t>128</w:t>
            </w:r>
            <w:r>
              <w:rPr>
                <w:rFonts w:ascii="宋体" w:hAnsi="宋体" w:cs="宋体" w:eastAsia="宋体" w:hint="default"/>
                <w:spacing w:val="-54"/>
                <w:sz w:val="21"/>
                <w:szCs w:val="21"/>
              </w:rPr>
              <w:t> </w:t>
            </w:r>
            <w:r>
              <w:rPr>
                <w:rFonts w:ascii="宋体" w:hAnsi="宋体" w:cs="宋体" w:eastAsia="宋体" w:hint="default"/>
                <w:sz w:val="21"/>
                <w:szCs w:val="21"/>
              </w:rPr>
              <w:t>号</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楼</w:t>
            </w:r>
          </w:p>
        </w:tc>
      </w:tr>
      <w:tr>
        <w:trPr>
          <w:trHeight w:val="281" w:hRule="exact"/>
        </w:trPr>
        <w:tc>
          <w:tcPr>
            <w:tcW w:w="2405" w:type="dxa"/>
            <w:vMerge/>
            <w:tcBorders>
              <w:left w:val="single" w:sz="4" w:space="0" w:color="000000"/>
              <w:bottom w:val="single" w:sz="4" w:space="0" w:color="000000"/>
              <w:right w:val="single" w:sz="4" w:space="0" w:color="000000"/>
            </w:tcBorders>
          </w:tcPr>
          <w:p>
            <w:pP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李雯宇、李灵辉</w:t>
            </w:r>
          </w:p>
        </w:tc>
      </w:tr>
      <w:tr>
        <w:trPr>
          <w:trHeight w:val="283" w:hRule="exact"/>
        </w:trPr>
        <w:tc>
          <w:tcPr>
            <w:tcW w:w="2405" w:type="dxa"/>
            <w:vMerge w:val="restart"/>
            <w:tcBorders>
              <w:top w:val="single" w:sz="4" w:space="0" w:color="000000"/>
              <w:left w:val="single" w:sz="4" w:space="0" w:color="000000"/>
              <w:right w:val="single" w:sz="4" w:space="0" w:color="000000"/>
            </w:tcBorders>
          </w:tcPr>
          <w:p>
            <w:pPr>
              <w:pStyle w:val="TableParagraph"/>
              <w:spacing w:line="240" w:lineRule="auto" w:before="108"/>
              <w:ind w:left="103" w:right="101"/>
              <w:jc w:val="left"/>
              <w:rPr>
                <w:rFonts w:ascii="宋体" w:hAnsi="宋体" w:cs="宋体" w:eastAsia="宋体" w:hint="default"/>
                <w:sz w:val="21"/>
                <w:szCs w:val="21"/>
              </w:rPr>
            </w:pPr>
            <w:r>
              <w:rPr>
                <w:rFonts w:ascii="宋体" w:hAnsi="宋体" w:cs="宋体" w:eastAsia="宋体" w:hint="default"/>
                <w:spacing w:val="6"/>
                <w:sz w:val="21"/>
                <w:szCs w:val="21"/>
              </w:rPr>
              <w:t>报告期内履行持续督导</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职责的保荐机构</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中信证券股份有限公司</w:t>
            </w:r>
          </w:p>
        </w:tc>
      </w:tr>
      <w:tr>
        <w:trPr>
          <w:trHeight w:val="555" w:hRule="exact"/>
        </w:trPr>
        <w:tc>
          <w:tcPr>
            <w:tcW w:w="2405" w:type="dxa"/>
            <w:vMerge/>
            <w:tcBorders>
              <w:left w:val="single" w:sz="4" w:space="0" w:color="000000"/>
              <w:bottom w:val="single" w:sz="4" w:space="0" w:color="000000"/>
              <w:right w:val="single" w:sz="4" w:space="0" w:color="000000"/>
            </w:tcBorders>
          </w:tcPr>
          <w:p>
            <w:pP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广东省深圳市福田区中心三路 </w:t>
            </w:r>
            <w:r>
              <w:rPr>
                <w:rFonts w:ascii="宋体" w:hAnsi="宋体" w:cs="宋体" w:eastAsia="宋体" w:hint="default"/>
                <w:sz w:val="21"/>
                <w:szCs w:val="21"/>
              </w:rPr>
              <w:t>8</w:t>
            </w:r>
            <w:r>
              <w:rPr>
                <w:rFonts w:ascii="宋体" w:hAnsi="宋体" w:cs="宋体" w:eastAsia="宋体" w:hint="default"/>
                <w:spacing w:val="-51"/>
                <w:sz w:val="21"/>
                <w:szCs w:val="21"/>
              </w:rPr>
              <w:t> </w:t>
            </w:r>
            <w:r>
              <w:rPr>
                <w:rFonts w:ascii="宋体" w:hAnsi="宋体" w:cs="宋体" w:eastAsia="宋体" w:hint="default"/>
                <w:sz w:val="21"/>
                <w:szCs w:val="21"/>
              </w:rPr>
              <w:t>号卓越时代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广场（二期）北座</w:t>
            </w:r>
          </w:p>
        </w:tc>
      </w:tr>
    </w:tbl>
    <w:p>
      <w:pPr>
        <w:spacing w:after="0" w:line="274"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625" w:type="dxa"/>
        <w:tblLayout w:type="fixed"/>
        <w:tblCellMar>
          <w:top w:w="0" w:type="dxa"/>
          <w:left w:w="0" w:type="dxa"/>
          <w:bottom w:w="0" w:type="dxa"/>
          <w:right w:w="0" w:type="dxa"/>
        </w:tblCellMar>
        <w:tblLook w:val="01E0"/>
      </w:tblPr>
      <w:tblGrid>
        <w:gridCol w:w="2405"/>
        <w:gridCol w:w="2384"/>
        <w:gridCol w:w="4261"/>
      </w:tblGrid>
      <w:tr>
        <w:trPr>
          <w:trHeight w:val="284" w:hRule="exact"/>
        </w:trPr>
        <w:tc>
          <w:tcPr>
            <w:tcW w:w="2405" w:type="dxa"/>
            <w:vMerge w:val="restart"/>
            <w:tcBorders>
              <w:top w:val="single" w:sz="4" w:space="0" w:color="000000"/>
              <w:left w:val="single" w:sz="4" w:space="0" w:color="000000"/>
              <w:right w:val="single" w:sz="4" w:space="0" w:color="000000"/>
            </w:tcBorders>
          </w:tcPr>
          <w:p>
            <w:pP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签字的保荐代表人姓名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赵昌川、战宏亮</w:t>
            </w:r>
          </w:p>
        </w:tc>
      </w:tr>
      <w:tr>
        <w:trPr>
          <w:trHeight w:val="283" w:hRule="exact"/>
        </w:trPr>
        <w:tc>
          <w:tcPr>
            <w:tcW w:w="2405" w:type="dxa"/>
            <w:vMerge/>
            <w:tcBorders>
              <w:left w:val="single" w:sz="4" w:space="0" w:color="000000"/>
              <w:bottom w:val="single" w:sz="4" w:space="0" w:color="000000"/>
              <w:right w:val="single" w:sz="4" w:space="0" w:color="000000"/>
            </w:tcBorders>
          </w:tcPr>
          <w:p>
            <w:pP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line="240" w:lineRule="auto" w:before="12"/>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880" w:footer="1195" w:top="1120" w:bottom="1380" w:left="1060" w:right="520"/>
        </w:sectPr>
      </w:pPr>
    </w:p>
    <w:p>
      <w:pPr>
        <w:pStyle w:val="Heading2"/>
        <w:spacing w:line="240" w:lineRule="auto" w:before="36"/>
        <w:ind w:left="738" w:right="-18"/>
        <w:jc w:val="left"/>
        <w:rPr>
          <w:b w:val="0"/>
          <w:bCs w:val="0"/>
        </w:rPr>
      </w:pPr>
      <w:r>
        <w:rPr/>
        <w:t>七、</w:t>
      </w:r>
      <w:r>
        <w:rPr>
          <w:spacing w:val="-32"/>
        </w:rPr>
        <w:t> </w:t>
      </w:r>
      <w:r>
        <w:rPr/>
        <w:t>近三年主要会计数据和财务指标</w:t>
      </w:r>
      <w:r>
        <w:rPr>
          <w:b w:val="0"/>
          <w:bCs w:val="0"/>
        </w:rPr>
      </w:r>
    </w:p>
    <w:p>
      <w:pPr>
        <w:pStyle w:val="Heading2"/>
        <w:spacing w:line="240" w:lineRule="auto" w:before="58"/>
        <w:ind w:left="738"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789" w:val="left" w:leader="none"/>
        </w:tabs>
        <w:spacing w:line="240" w:lineRule="auto" w:before="177"/>
        <w:ind w:left="738" w:right="0"/>
        <w:jc w:val="left"/>
      </w:pPr>
      <w:r>
        <w:rPr>
          <w:spacing w:val="-1"/>
        </w:rPr>
        <w:t>单位：元</w:t>
        <w:tab/>
      </w:r>
      <w:r>
        <w:rPr>
          <w:spacing w:val="-2"/>
        </w:rPr>
        <w:t>币种：人民币</w:t>
      </w:r>
    </w:p>
    <w:p>
      <w:pPr>
        <w:spacing w:after="0" w:line="240" w:lineRule="auto"/>
        <w:jc w:val="left"/>
        <w:sectPr>
          <w:type w:val="continuous"/>
          <w:pgSz w:w="11910" w:h="16840"/>
          <w:pgMar w:top="1120" w:bottom="1380" w:left="1060" w:right="520"/>
          <w:cols w:num="2" w:equalWidth="0">
            <w:col w:w="4187" w:space="2334"/>
            <w:col w:w="3809"/>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374"/>
        <w:gridCol w:w="1988"/>
        <w:gridCol w:w="2028"/>
        <w:gridCol w:w="1724"/>
        <w:gridCol w:w="1982"/>
      </w:tblGrid>
      <w:tr>
        <w:trPr>
          <w:trHeight w:val="60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550"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0"/>
              <w:ind w:left="489" w:right="118" w:hanging="370"/>
              <w:jc w:val="left"/>
              <w:rPr>
                <w:rFonts w:ascii="宋体" w:hAnsi="宋体" w:cs="宋体" w:eastAsia="宋体" w:hint="default"/>
                <w:sz w:val="21"/>
                <w:szCs w:val="21"/>
              </w:rPr>
            </w:pPr>
            <w:r>
              <w:rPr>
                <w:rFonts w:ascii="宋体" w:hAnsi="宋体" w:cs="宋体" w:eastAsia="宋体" w:hint="default"/>
                <w:sz w:val="21"/>
                <w:szCs w:val="21"/>
              </w:rPr>
              <w:t>本期比上年同期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增减</w:t>
            </w:r>
            <w:r>
              <w:rPr>
                <w:rFonts w:ascii="宋体" w:hAnsi="宋体" w:cs="宋体" w:eastAsia="宋体" w:hint="default"/>
                <w:sz w:val="21"/>
                <w:szCs w:val="21"/>
              </w:rPr>
              <w:t>(%)</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1,484,155,291.00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1,168,731,972.09</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26.99</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912,276,827.38</w:t>
            </w:r>
          </w:p>
        </w:tc>
      </w:tr>
      <w:tr>
        <w:trPr>
          <w:trHeight w:val="55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归属于上市公司股东的</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149,212,459.42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143,907,467.58</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3.69</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141,333,746.68</w:t>
            </w:r>
          </w:p>
        </w:tc>
      </w:tr>
      <w:tr>
        <w:trPr>
          <w:trHeight w:val="829"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归属于上市公司股东的</w:t>
            </w:r>
          </w:p>
          <w:p>
            <w:pPr>
              <w:pStyle w:val="TableParagraph"/>
              <w:spacing w:line="272" w:lineRule="exact" w:before="27"/>
              <w:ind w:left="101" w:right="100"/>
              <w:jc w:val="left"/>
              <w:rPr>
                <w:rFonts w:ascii="宋体" w:hAnsi="宋体" w:cs="宋体" w:eastAsia="宋体" w:hint="default"/>
                <w:sz w:val="21"/>
                <w:szCs w:val="21"/>
              </w:rPr>
            </w:pPr>
            <w:r>
              <w:rPr>
                <w:rFonts w:ascii="宋体" w:hAnsi="宋体" w:cs="宋体" w:eastAsia="宋体" w:hint="default"/>
                <w:spacing w:val="3"/>
                <w:sz w:val="21"/>
                <w:szCs w:val="21"/>
              </w:rPr>
              <w:t>扣除非经常性损益的净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利润</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142,219,776.60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130,905,790.88</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8.64</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127,911,995.16</w:t>
            </w:r>
          </w:p>
        </w:tc>
      </w:tr>
      <w:tr>
        <w:trPr>
          <w:trHeight w:val="55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经营活动产生的现金流</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214,661,149.07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95,381,281.89</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125.06</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664,846.78</w:t>
            </w:r>
          </w:p>
        </w:tc>
      </w:tr>
      <w:tr>
        <w:trPr>
          <w:trHeight w:val="554" w:hRule="exact"/>
        </w:trPr>
        <w:tc>
          <w:tcPr>
            <w:tcW w:w="2374"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69"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8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年末</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hanging="53"/>
              <w:jc w:val="left"/>
              <w:rPr>
                <w:rFonts w:ascii="宋体" w:hAnsi="宋体" w:cs="宋体" w:eastAsia="宋体" w:hint="default"/>
                <w:sz w:val="21"/>
                <w:szCs w:val="21"/>
              </w:rPr>
            </w:pPr>
            <w:r>
              <w:rPr>
                <w:rFonts w:ascii="宋体" w:hAnsi="宋体" w:cs="宋体" w:eastAsia="宋体" w:hint="default"/>
                <w:sz w:val="21"/>
                <w:szCs w:val="21"/>
              </w:rPr>
              <w:t>本期末比上年同</w:t>
            </w:r>
          </w:p>
          <w:p>
            <w:pPr>
              <w:pStyle w:val="TableParagraph"/>
              <w:spacing w:line="274" w:lineRule="exact"/>
              <w:ind w:left="172" w:right="0"/>
              <w:jc w:val="left"/>
              <w:rPr>
                <w:rFonts w:ascii="宋体" w:hAnsi="宋体" w:cs="宋体" w:eastAsia="宋体" w:hint="default"/>
                <w:sz w:val="21"/>
                <w:szCs w:val="21"/>
              </w:rPr>
            </w:pPr>
            <w:r>
              <w:rPr>
                <w:rFonts w:ascii="宋体" w:hAnsi="宋体" w:cs="宋体" w:eastAsia="宋体" w:hint="default"/>
                <w:sz w:val="21"/>
                <w:szCs w:val="21"/>
              </w:rPr>
              <w:t>期末增减（</w:t>
            </w:r>
            <w:r>
              <w:rPr>
                <w:rFonts w:ascii="宋体" w:hAnsi="宋体" w:cs="宋体" w:eastAsia="宋体" w:hint="default"/>
                <w:sz w:val="21"/>
                <w:szCs w:val="21"/>
              </w:rPr>
              <w:t>%</w:t>
            </w:r>
            <w:r>
              <w:rPr>
                <w:rFonts w:ascii="宋体" w:hAnsi="宋体" w:cs="宋体" w:eastAsia="宋体" w:hint="default"/>
                <w:sz w:val="21"/>
                <w:szCs w:val="21"/>
              </w:rPr>
              <w:t>）</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6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年末</w:t>
            </w:r>
          </w:p>
        </w:tc>
      </w:tr>
      <w:tr>
        <w:trPr>
          <w:trHeight w:val="55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归属于上市公司股东的</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1,582,997,213.25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732,646,085.33</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116.07</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588,738,617.75</w:t>
            </w: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2,332,713,082.84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1,852,957,607.44</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25.89</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1,313,515,209.96</w:t>
            </w:r>
          </w:p>
        </w:tc>
      </w:tr>
    </w:tbl>
    <w:p>
      <w:pPr>
        <w:spacing w:line="240" w:lineRule="auto" w:before="2"/>
        <w:rPr>
          <w:rFonts w:ascii="宋体" w:hAnsi="宋体" w:cs="宋体" w:eastAsia="宋体" w:hint="default"/>
          <w:sz w:val="20"/>
          <w:szCs w:val="20"/>
        </w:rPr>
      </w:pPr>
    </w:p>
    <w:p>
      <w:pPr>
        <w:pStyle w:val="Heading2"/>
        <w:tabs>
          <w:tab w:pos="1577" w:val="left" w:leader="none"/>
        </w:tabs>
        <w:spacing w:line="240" w:lineRule="auto" w:before="36"/>
        <w:ind w:left="73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12"/>
        <w:rPr>
          <w:rFonts w:ascii="宋体" w:hAnsi="宋体" w:cs="宋体" w:eastAsia="宋体" w:hint="default"/>
          <w:b/>
          <w:bCs/>
          <w:sz w:val="6"/>
          <w:szCs w:val="6"/>
        </w:rPr>
      </w:pPr>
    </w:p>
    <w:tbl>
      <w:tblPr>
        <w:tblW w:w="0" w:type="auto"/>
        <w:jc w:val="left"/>
        <w:tblInd w:w="137" w:type="dxa"/>
        <w:tblLayout w:type="fixed"/>
        <w:tblCellMar>
          <w:top w:w="0" w:type="dxa"/>
          <w:left w:w="0" w:type="dxa"/>
          <w:bottom w:w="0" w:type="dxa"/>
          <w:right w:w="0" w:type="dxa"/>
        </w:tblCellMar>
        <w:tblLook w:val="01E0"/>
      </w:tblPr>
      <w:tblGrid>
        <w:gridCol w:w="3291"/>
        <w:gridCol w:w="1699"/>
        <w:gridCol w:w="1419"/>
        <w:gridCol w:w="2269"/>
        <w:gridCol w:w="1346"/>
      </w:tblGrid>
      <w:tr>
        <w:trPr>
          <w:trHeight w:val="554"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8"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7"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6"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本期比上年同期增减</w:t>
            </w:r>
          </w:p>
          <w:p>
            <w:pPr>
              <w:pStyle w:val="TableParagraph"/>
              <w:spacing w:line="274" w:lineRule="exact"/>
              <w:ind w:right="1"/>
              <w:jc w:val="center"/>
              <w:rPr>
                <w:rFonts w:ascii="宋体" w:hAnsi="宋体" w:cs="宋体" w:eastAsia="宋体" w:hint="default"/>
                <w:sz w:val="21"/>
                <w:szCs w:val="21"/>
              </w:rPr>
            </w:pPr>
            <w:r>
              <w:rPr>
                <w:rFonts w:ascii="宋体"/>
                <w:sz w:val="21"/>
              </w:rPr>
              <w:t>(%)</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r>
      <w:tr>
        <w:trPr>
          <w:trHeight w:val="283"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0.66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0.69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-4.35</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0.68</w:t>
            </w:r>
          </w:p>
        </w:tc>
      </w:tr>
      <w:tr>
        <w:trPr>
          <w:trHeight w:val="283"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0.66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0.69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-4.35</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0.68</w:t>
            </w:r>
          </w:p>
        </w:tc>
      </w:tr>
      <w:tr>
        <w:trPr>
          <w:trHeight w:val="554"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7"/>
                <w:sz w:val="21"/>
                <w:szCs w:val="21"/>
              </w:rPr>
              <w:t>扣除非经常性损益后的基本每股</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收益（元／股）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0.63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0.62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1.61</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0.62</w:t>
            </w:r>
          </w:p>
        </w:tc>
      </w:tr>
      <w:tr>
        <w:trPr>
          <w:trHeight w:val="281"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15.19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21.78</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pacing w:val="-1"/>
                <w:sz w:val="21"/>
                <w:szCs w:val="21"/>
              </w:rPr>
              <w:t>减少</w:t>
            </w:r>
            <w:r>
              <w:rPr>
                <w:rFonts w:ascii="宋体" w:hAnsi="宋体" w:cs="宋体" w:eastAsia="宋体" w:hint="default"/>
                <w:spacing w:val="-1"/>
                <w:sz w:val="21"/>
                <w:szCs w:val="21"/>
              </w:rPr>
              <w:t>6.59</w:t>
            </w:r>
            <w:r>
              <w:rPr>
                <w:rFonts w:ascii="宋体" w:hAnsi="宋体" w:cs="宋体" w:eastAsia="宋体" w:hint="default"/>
                <w:spacing w:val="-1"/>
                <w:sz w:val="21"/>
                <w:szCs w:val="21"/>
              </w:rPr>
              <w:t>个百分点</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28.14</w:t>
            </w:r>
          </w:p>
        </w:tc>
      </w:tr>
      <w:tr>
        <w:trPr>
          <w:trHeight w:val="557"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pacing w:val="7"/>
                <w:sz w:val="21"/>
                <w:szCs w:val="21"/>
              </w:rPr>
              <w:t>扣除非经常性损益后的加权平均</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14.47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19.81</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hAnsi="宋体" w:cs="宋体" w:eastAsia="宋体" w:hint="default"/>
                <w:spacing w:val="-1"/>
                <w:sz w:val="21"/>
                <w:szCs w:val="21"/>
              </w:rPr>
              <w:t>减少</w:t>
            </w:r>
            <w:r>
              <w:rPr>
                <w:rFonts w:ascii="宋体" w:hAnsi="宋体" w:cs="宋体" w:eastAsia="宋体" w:hint="default"/>
                <w:spacing w:val="-1"/>
                <w:sz w:val="21"/>
                <w:szCs w:val="21"/>
              </w:rPr>
              <w:t>5.34</w:t>
            </w:r>
            <w:r>
              <w:rPr>
                <w:rFonts w:ascii="宋体" w:hAnsi="宋体" w:cs="宋体" w:eastAsia="宋体" w:hint="default"/>
                <w:spacing w:val="-1"/>
                <w:sz w:val="21"/>
                <w:szCs w:val="21"/>
              </w:rPr>
              <w:t>个百分点</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25.47</w:t>
            </w:r>
          </w:p>
        </w:tc>
      </w:tr>
    </w:tbl>
    <w:p>
      <w:pPr>
        <w:spacing w:line="240" w:lineRule="auto" w:before="5"/>
        <w:rPr>
          <w:rFonts w:ascii="宋体" w:hAnsi="宋体" w:cs="宋体" w:eastAsia="宋体" w:hint="default"/>
          <w:b/>
          <w:bCs/>
          <w:sz w:val="15"/>
          <w:szCs w:val="15"/>
        </w:rPr>
      </w:pPr>
    </w:p>
    <w:p>
      <w:pPr>
        <w:pStyle w:val="BodyText"/>
        <w:spacing w:line="275" w:lineRule="exact" w:before="36"/>
        <w:ind w:left="738" w:right="0"/>
        <w:jc w:val="left"/>
      </w:pPr>
      <w:r>
        <w:rPr/>
        <w:t>报告期末公司前三年主要会计数据和财务指标的说明</w:t>
      </w:r>
    </w:p>
    <w:p>
      <w:pPr>
        <w:pStyle w:val="BodyText"/>
        <w:spacing w:line="273" w:lineRule="exact"/>
        <w:ind w:left="738" w:right="0"/>
        <w:jc w:val="left"/>
      </w:pPr>
      <w:r>
        <w:rPr/>
        <w:t>√适用</w:t>
      </w:r>
      <w:r>
        <w:rPr>
          <w:spacing w:val="-1"/>
        </w:rPr>
        <w:t> </w:t>
      </w:r>
      <w:r>
        <w:rPr/>
        <w:t>□不适用</w:t>
      </w:r>
    </w:p>
    <w:p>
      <w:pPr>
        <w:pStyle w:val="BodyText"/>
        <w:spacing w:line="357" w:lineRule="auto"/>
        <w:ind w:left="738" w:right="748" w:firstLine="419"/>
        <w:jc w:val="both"/>
      </w:pPr>
      <w:r>
        <w:rPr>
          <w:spacing w:val="-3"/>
        </w:rPr>
        <w:t>报告期内，公司营业收入较上年同期增长</w:t>
      </w:r>
      <w:r>
        <w:rPr>
          <w:spacing w:val="-50"/>
        </w:rPr>
        <w:t> </w:t>
      </w:r>
      <w:r>
        <w:rPr>
          <w:rFonts w:ascii="宋体" w:hAnsi="宋体" w:cs="宋体" w:eastAsia="宋体" w:hint="default"/>
        </w:rPr>
        <w:t>26.99%</w:t>
      </w:r>
      <w:r>
        <w:rPr/>
        <w:t>，主要原因是公司借助银行网点向智慧柜员</w:t>
      </w:r>
      <w:r>
        <w:rPr>
          <w:w w:val="100"/>
        </w:rPr>
        <w:t> </w:t>
      </w:r>
      <w:r>
        <w:rPr>
          <w:spacing w:val="-2"/>
        </w:rPr>
        <w:t>转型升级的机会，实现了智能自助设备的销售快速增长，并且公司现金类设备的销售也保持了稳</w:t>
      </w:r>
      <w:r>
        <w:rPr>
          <w:spacing w:val="-26"/>
        </w:rPr>
        <w:t> </w:t>
      </w:r>
      <w:r>
        <w:rPr>
          <w:spacing w:val="-26"/>
        </w:rPr>
      </w:r>
      <w:r>
        <w:rPr/>
        <w:t>步增长等原因综合影响所致。</w:t>
      </w:r>
    </w:p>
    <w:p>
      <w:pPr>
        <w:pStyle w:val="BodyText"/>
        <w:spacing w:line="355" w:lineRule="auto" w:before="30"/>
        <w:ind w:left="738" w:right="757" w:firstLine="419"/>
        <w:jc w:val="both"/>
      </w:pPr>
      <w:r>
        <w:rPr/>
        <w:t>经营活动产生的现金流量净额较上年同期增长</w:t>
      </w:r>
      <w:r>
        <w:rPr>
          <w:spacing w:val="-57"/>
        </w:rPr>
        <w:t> </w:t>
      </w:r>
      <w:r>
        <w:rPr>
          <w:rFonts w:ascii="宋体" w:hAnsi="宋体" w:cs="宋体" w:eastAsia="宋体" w:hint="default"/>
        </w:rPr>
        <w:t>125.72%</w:t>
      </w:r>
      <w:r>
        <w:rPr/>
        <w:t>，主要是由于公司加强客户管理，实</w:t>
      </w:r>
      <w:r>
        <w:rPr>
          <w:w w:val="100"/>
        </w:rPr>
        <w:t> </w:t>
      </w:r>
      <w:r>
        <w:rPr>
          <w:spacing w:val="-2"/>
        </w:rPr>
        <w:t>施回款考核，同时公司加强对供应商的信用管理，优化付款结构，提高了资金利用率等原因综合</w:t>
      </w:r>
      <w:r>
        <w:rPr>
          <w:spacing w:val="-26"/>
        </w:rPr>
        <w:t> </w:t>
      </w:r>
      <w:r>
        <w:rPr>
          <w:spacing w:val="-26"/>
        </w:rPr>
      </w:r>
      <w:r>
        <w:rPr/>
        <w:t>影响所致。</w:t>
      </w:r>
    </w:p>
    <w:p>
      <w:pPr>
        <w:pStyle w:val="BodyText"/>
        <w:spacing w:line="357" w:lineRule="auto" w:before="32"/>
        <w:ind w:left="738" w:right="760" w:firstLine="419"/>
        <w:jc w:val="both"/>
      </w:pPr>
      <w:r>
        <w:rPr/>
        <w:t>归属于上市公司股东的净资产较上年同期增长</w:t>
      </w:r>
      <w:r>
        <w:rPr>
          <w:spacing w:val="-53"/>
        </w:rPr>
        <w:t> </w:t>
      </w:r>
      <w:r>
        <w:rPr>
          <w:rFonts w:ascii="宋体" w:hAnsi="宋体" w:cs="宋体" w:eastAsia="宋体" w:hint="default"/>
        </w:rPr>
        <w:t>116.07%</w:t>
      </w:r>
      <w:r>
        <w:rPr/>
        <w:t>，主要是由于</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6"/>
        </w:rPr>
        <w:t> </w:t>
      </w:r>
      <w:r>
        <w:rPr>
          <w:rFonts w:ascii="宋体" w:hAnsi="宋体" w:cs="宋体" w:eastAsia="宋体" w:hint="default"/>
        </w:rPr>
        <w:t>9</w:t>
      </w:r>
      <w:r>
        <w:rPr>
          <w:rFonts w:ascii="宋体" w:hAnsi="宋体" w:cs="宋体" w:eastAsia="宋体" w:hint="default"/>
          <w:spacing w:val="-54"/>
        </w:rPr>
        <w:t> </w:t>
      </w:r>
      <w:r>
        <w:rPr/>
        <w:t>月</w:t>
      </w:r>
      <w:r>
        <w:rPr>
          <w:spacing w:val="-54"/>
        </w:rPr>
        <w:t> </w:t>
      </w:r>
      <w:r>
        <w:rPr>
          <w:rFonts w:ascii="宋体" w:hAnsi="宋体" w:cs="宋体" w:eastAsia="宋体" w:hint="default"/>
        </w:rPr>
        <w:t>20</w:t>
      </w:r>
      <w:r>
        <w:rPr>
          <w:rFonts w:ascii="宋体" w:hAnsi="宋体" w:cs="宋体" w:eastAsia="宋体" w:hint="default"/>
          <w:spacing w:val="-54"/>
        </w:rPr>
        <w:t> </w:t>
      </w:r>
      <w:r>
        <w:rPr/>
        <w:t>日公司</w:t>
      </w:r>
      <w:r>
        <w:rPr>
          <w:w w:val="100"/>
        </w:rPr>
        <w:t> </w:t>
      </w:r>
      <w:r>
        <w:rPr/>
        <w:t>上市融资影响股本和资本公积合计增长</w:t>
      </w:r>
      <w:r>
        <w:rPr>
          <w:spacing w:val="-57"/>
        </w:rPr>
        <w:t> </w:t>
      </w:r>
      <w:r>
        <w:rPr>
          <w:rFonts w:ascii="宋体" w:hAnsi="宋体" w:cs="宋体" w:eastAsia="宋体" w:hint="default"/>
        </w:rPr>
        <w:t>124.81%</w:t>
      </w:r>
      <w:r>
        <w:rPr/>
        <w:t>，另外，</w:t>
      </w:r>
      <w:r>
        <w:rPr>
          <w:rFonts w:ascii="宋体" w:hAnsi="宋体" w:cs="宋体" w:eastAsia="宋体" w:hint="default"/>
        </w:rPr>
        <w:t>2017</w:t>
      </w:r>
      <w:r>
        <w:rPr>
          <w:rFonts w:ascii="宋体" w:hAnsi="宋体" w:cs="宋体" w:eastAsia="宋体" w:hint="default"/>
          <w:spacing w:val="-57"/>
        </w:rPr>
        <w:t> </w:t>
      </w:r>
      <w:r>
        <w:rPr/>
        <w:t>年公司实现利润致盈余公积和未分</w:t>
      </w:r>
      <w:r>
        <w:rPr>
          <w:w w:val="100"/>
        </w:rPr>
        <w:t> </w:t>
      </w:r>
      <w:r>
        <w:rPr/>
        <w:t>配利润较上年同期增长</w:t>
      </w:r>
      <w:r>
        <w:rPr>
          <w:spacing w:val="-59"/>
        </w:rPr>
        <w:t> </w:t>
      </w:r>
      <w:r>
        <w:rPr>
          <w:rFonts w:ascii="宋体" w:hAnsi="宋体" w:cs="宋体" w:eastAsia="宋体" w:hint="default"/>
        </w:rPr>
        <w:t>87.32%</w:t>
      </w:r>
      <w:r>
        <w:rPr/>
        <w:t>等原因综合影响所致。</w:t>
      </w:r>
    </w:p>
    <w:p>
      <w:pPr>
        <w:spacing w:after="0" w:line="357" w:lineRule="auto"/>
        <w:jc w:val="both"/>
        <w:sectPr>
          <w:type w:val="continuous"/>
          <w:pgSz w:w="11910" w:h="16840"/>
          <w:pgMar w:top="1120" w:bottom="1380" w:left="1060" w:right="5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7"/>
        <w:ind w:right="3084"/>
        <w:jc w:val="left"/>
        <w:rPr>
          <w:b w:val="0"/>
          <w:bCs w:val="0"/>
        </w:rPr>
      </w:pPr>
      <w:r>
        <w:rPr/>
        <w:t>八、</w:t>
      </w:r>
      <w:r>
        <w:rPr>
          <w:spacing w:val="-32"/>
        </w:rPr>
        <w:t> </w:t>
      </w:r>
      <w:r>
        <w:rPr/>
        <w:t>境内外会计准则下会计数据差异</w:t>
      </w:r>
      <w:r>
        <w:rPr>
          <w:b w:val="0"/>
          <w:bCs w:val="0"/>
        </w:rPr>
      </w:r>
    </w:p>
    <w:p>
      <w:pPr>
        <w:pStyle w:val="Heading2"/>
        <w:spacing w:line="274" w:lineRule="exact" w:before="82"/>
        <w:ind w:left="638" w:right="227"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4"/>
        </w:rPr>
        <w:t> </w:t>
      </w:r>
      <w:r>
        <w:rPr>
          <w:spacing w:val="-84"/>
        </w:rPr>
      </w:r>
      <w:r>
        <w:rPr/>
        <w:t>的净资产差异情况</w:t>
      </w:r>
      <w:r>
        <w:rPr>
          <w:b w:val="0"/>
          <w:bCs w:val="0"/>
        </w:rPr>
      </w:r>
    </w:p>
    <w:p>
      <w:pPr>
        <w:pStyle w:val="BodyText"/>
        <w:spacing w:line="240" w:lineRule="auto" w:before="31"/>
        <w:ind w:left="218" w:right="3084"/>
        <w:jc w:val="left"/>
      </w:pPr>
      <w:r>
        <w:rPr/>
        <w:t>□适用</w:t>
      </w:r>
      <w:r>
        <w:rPr>
          <w:spacing w:val="-1"/>
        </w:rPr>
        <w:t> </w:t>
      </w:r>
      <w:r>
        <w:rPr/>
        <w:t>√不适用</w:t>
      </w:r>
    </w:p>
    <w:p>
      <w:pPr>
        <w:pStyle w:val="Heading2"/>
        <w:spacing w:line="272" w:lineRule="exact" w:before="86"/>
        <w:ind w:left="585" w:right="22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spacing w:line="240" w:lineRule="auto" w:before="34"/>
        <w:ind w:left="218" w:right="3084"/>
        <w:jc w:val="left"/>
      </w:pPr>
      <w:r>
        <w:rPr/>
        <w:t>□适用</w:t>
      </w:r>
      <w:r>
        <w:rPr>
          <w:spacing w:val="-1"/>
        </w:rPr>
        <w:t> </w:t>
      </w:r>
      <w:r>
        <w:rPr/>
        <w:t>√不适用</w:t>
      </w:r>
    </w:p>
    <w:p>
      <w:pPr>
        <w:pStyle w:val="Heading2"/>
        <w:spacing w:line="240" w:lineRule="auto" w:before="56"/>
        <w:ind w:right="3084"/>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32"/>
        <w:ind w:left="218" w:right="3084"/>
        <w:jc w:val="left"/>
      </w:pPr>
      <w:r>
        <w:rPr/>
        <w:t>□适用</w:t>
      </w:r>
      <w:r>
        <w:rPr>
          <w:spacing w:val="-1"/>
        </w:rPr>
        <w:t> </w:t>
      </w:r>
      <w:r>
        <w:rPr/>
        <w:t>√不适用</w:t>
      </w:r>
    </w:p>
    <w:p>
      <w:pPr>
        <w:spacing w:line="240" w:lineRule="auto" w:before="6"/>
        <w:rPr>
          <w:rFonts w:ascii="宋体" w:hAnsi="宋体" w:cs="宋体" w:eastAsia="宋体" w:hint="default"/>
          <w:sz w:val="22"/>
          <w:szCs w:val="22"/>
        </w:rPr>
      </w:pPr>
    </w:p>
    <w:p>
      <w:pPr>
        <w:pStyle w:val="Heading2"/>
        <w:spacing w:line="240" w:lineRule="auto" w:before="36"/>
        <w:ind w:right="3084"/>
        <w:jc w:val="left"/>
        <w:rPr>
          <w:b w:val="0"/>
          <w:bCs w:val="0"/>
        </w:rPr>
      </w:pPr>
      <w:r>
        <w:rPr/>
        <w:t>九、 </w:t>
      </w:r>
      <w:r>
        <w:rPr>
          <w:rFonts w:ascii="Arial" w:hAnsi="Arial" w:cs="Arial" w:eastAsia="Arial" w:hint="default"/>
        </w:rPr>
        <w:t>2017</w:t>
      </w:r>
      <w:r>
        <w:rPr>
          <w:rFonts w:ascii="Arial" w:hAnsi="Arial" w:cs="Arial" w:eastAsia="Arial" w:hint="default"/>
          <w:spacing w:val="-39"/>
        </w:rPr>
        <w:t> </w:t>
      </w:r>
      <w:r>
        <w:rPr/>
        <w:t>年分季度主要财务数据</w:t>
      </w:r>
      <w:r>
        <w:rPr>
          <w:b w:val="0"/>
          <w:bCs w:val="0"/>
        </w:rPr>
      </w:r>
    </w:p>
    <w:p>
      <w:pPr>
        <w:pStyle w:val="BodyText"/>
        <w:tabs>
          <w:tab w:pos="1051" w:val="left" w:leader="none"/>
        </w:tabs>
        <w:spacing w:line="240" w:lineRule="auto" w:before="41"/>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01"/>
        <w:gridCol w:w="1790"/>
        <w:gridCol w:w="1685"/>
        <w:gridCol w:w="1688"/>
        <w:gridCol w:w="1685"/>
      </w:tblGrid>
      <w:tr>
        <w:trPr>
          <w:trHeight w:val="554" w:hRule="exact"/>
        </w:trPr>
        <w:tc>
          <w:tcPr>
            <w:tcW w:w="2201"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2"/>
                <w:sz w:val="21"/>
                <w:szCs w:val="21"/>
              </w:rPr>
              <w:t> </w:t>
            </w:r>
            <w:r>
              <w:rPr>
                <w:rFonts w:ascii="宋体" w:hAnsi="宋体" w:cs="宋体" w:eastAsia="宋体" w:hint="default"/>
                <w:sz w:val="21"/>
                <w:szCs w:val="21"/>
              </w:rPr>
              <w:t>月份）</w:t>
            </w:r>
          </w:p>
        </w:tc>
      </w:tr>
      <w:tr>
        <w:trPr>
          <w:trHeight w:val="281"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373,312,132.59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375,783,342.81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350,213,793.97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384,846,021.63</w:t>
            </w:r>
          </w:p>
        </w:tc>
      </w:tr>
      <w:tr>
        <w:trPr>
          <w:trHeight w:val="554"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28,027,267.72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0" w:right="0"/>
              <w:jc w:val="center"/>
              <w:rPr>
                <w:rFonts w:ascii="宋体" w:hAnsi="宋体" w:cs="宋体" w:eastAsia="宋体" w:hint="default"/>
                <w:sz w:val="21"/>
                <w:szCs w:val="21"/>
              </w:rPr>
            </w:pPr>
            <w:r>
              <w:rPr>
                <w:rFonts w:ascii="宋体"/>
                <w:sz w:val="21"/>
              </w:rPr>
              <w:t>61,342,947.75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sz w:val="21"/>
              </w:rPr>
              <w:t>34,049,775.39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25,792,468.56</w:t>
            </w:r>
          </w:p>
        </w:tc>
      </w:tr>
      <w:tr>
        <w:trPr>
          <w:trHeight w:val="828"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40" w:lineRule="auto"/>
              <w:ind w:left="103" w:right="192"/>
              <w:jc w:val="left"/>
              <w:rPr>
                <w:rFonts w:ascii="宋体" w:hAnsi="宋体" w:cs="宋体" w:eastAsia="宋体" w:hint="default"/>
                <w:sz w:val="21"/>
                <w:szCs w:val="21"/>
              </w:rPr>
            </w:pPr>
            <w:r>
              <w:rPr>
                <w:rFonts w:ascii="宋体" w:hAnsi="宋体" w:cs="宋体" w:eastAsia="宋体" w:hint="default"/>
                <w:sz w:val="21"/>
                <w:szCs w:val="21"/>
              </w:rPr>
              <w:t>的扣除非经常性损益</w:t>
            </w:r>
            <w:r>
              <w:rPr>
                <w:rFonts w:ascii="宋体" w:hAnsi="宋体" w:cs="宋体" w:eastAsia="宋体" w:hint="default"/>
                <w:w w:val="100"/>
                <w:sz w:val="21"/>
                <w:szCs w:val="21"/>
              </w:rPr>
              <w:t> </w:t>
            </w:r>
            <w:r>
              <w:rPr>
                <w:rFonts w:ascii="宋体" w:hAnsi="宋体" w:cs="宋体" w:eastAsia="宋体" w:hint="default"/>
                <w:sz w:val="21"/>
                <w:szCs w:val="21"/>
              </w:rPr>
              <w:t>后的净利润</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27,082,233.99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0" w:right="0"/>
              <w:jc w:val="center"/>
              <w:rPr>
                <w:rFonts w:ascii="宋体" w:hAnsi="宋体" w:cs="宋体" w:eastAsia="宋体" w:hint="default"/>
                <w:sz w:val="21"/>
                <w:szCs w:val="21"/>
              </w:rPr>
            </w:pPr>
            <w:r>
              <w:rPr>
                <w:rFonts w:ascii="宋体"/>
                <w:sz w:val="21"/>
              </w:rPr>
              <w:t>58,497,919.71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7" w:right="0"/>
              <w:jc w:val="center"/>
              <w:rPr>
                <w:rFonts w:ascii="宋体" w:hAnsi="宋体" w:cs="宋体" w:eastAsia="宋体" w:hint="default"/>
                <w:sz w:val="21"/>
                <w:szCs w:val="21"/>
              </w:rPr>
            </w:pPr>
            <w:r>
              <w:rPr>
                <w:rFonts w:ascii="宋体"/>
                <w:sz w:val="21"/>
              </w:rPr>
              <w:t>33,070,935.29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23,568,687.61</w:t>
            </w:r>
          </w:p>
        </w:tc>
      </w:tr>
      <w:tr>
        <w:trPr>
          <w:trHeight w:val="555"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宋体" w:hAnsi="宋体" w:cs="宋体" w:eastAsia="宋体" w:hint="default"/>
                <w:sz w:val="21"/>
                <w:szCs w:val="21"/>
              </w:rPr>
            </w:pPr>
            <w:r>
              <w:rPr>
                <w:rFonts w:ascii="宋体"/>
                <w:spacing w:val="-1"/>
                <w:sz w:val="21"/>
              </w:rPr>
              <w:t>-202,309,593.43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0" w:right="0"/>
              <w:jc w:val="center"/>
              <w:rPr>
                <w:rFonts w:ascii="宋体" w:hAnsi="宋体" w:cs="宋体" w:eastAsia="宋体" w:hint="default"/>
                <w:sz w:val="21"/>
                <w:szCs w:val="21"/>
              </w:rPr>
            </w:pPr>
            <w:r>
              <w:rPr>
                <w:rFonts w:ascii="宋体"/>
                <w:sz w:val="21"/>
              </w:rPr>
              <w:t>82,199,084.93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7" w:right="0"/>
              <w:jc w:val="center"/>
              <w:rPr>
                <w:rFonts w:ascii="宋体" w:hAnsi="宋体" w:cs="宋体" w:eastAsia="宋体" w:hint="default"/>
                <w:sz w:val="21"/>
                <w:szCs w:val="21"/>
              </w:rPr>
            </w:pPr>
            <w:r>
              <w:rPr>
                <w:rFonts w:ascii="宋体"/>
                <w:sz w:val="21"/>
              </w:rPr>
              <w:t>34,555,207.29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300,216,450.28</w:t>
            </w:r>
          </w:p>
        </w:tc>
      </w:tr>
    </w:tbl>
    <w:p>
      <w:pPr>
        <w:spacing w:line="240" w:lineRule="auto" w:before="7"/>
        <w:rPr>
          <w:rFonts w:ascii="宋体" w:hAnsi="宋体" w:cs="宋体" w:eastAsia="宋体" w:hint="default"/>
          <w:sz w:val="15"/>
          <w:szCs w:val="15"/>
        </w:rPr>
      </w:pPr>
    </w:p>
    <w:p>
      <w:pPr>
        <w:pStyle w:val="BodyText"/>
        <w:spacing w:line="273" w:lineRule="exact" w:before="36"/>
        <w:ind w:left="218" w:right="3084"/>
        <w:jc w:val="left"/>
      </w:pPr>
      <w:r>
        <w:rPr/>
        <w:t>季度数据与已披露定期报告数据差异说明</w:t>
      </w:r>
    </w:p>
    <w:p>
      <w:pPr>
        <w:pStyle w:val="BodyText"/>
        <w:spacing w:line="273" w:lineRule="exact"/>
        <w:ind w:left="218" w:right="3084"/>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580" w:right="1040"/>
        </w:sectPr>
      </w:pPr>
    </w:p>
    <w:p>
      <w:pPr>
        <w:pStyle w:val="Heading2"/>
        <w:spacing w:line="240" w:lineRule="auto" w:before="36"/>
        <w:ind w:right="-18"/>
        <w:jc w:val="left"/>
        <w:rPr>
          <w:b w:val="0"/>
          <w:bCs w:val="0"/>
        </w:rPr>
      </w:pPr>
      <w:r>
        <w:rPr/>
        <w:t>十、</w:t>
      </w:r>
      <w:r>
        <w:rPr>
          <w:spacing w:val="-31"/>
        </w:rPr>
        <w:t> </w:t>
      </w:r>
      <w:r>
        <w:rPr/>
        <w:t>非经常性损益项目和金额</w:t>
      </w:r>
      <w:r>
        <w:rPr>
          <w:b w:val="0"/>
          <w:bCs w:val="0"/>
        </w:rPr>
      </w:r>
    </w:p>
    <w:p>
      <w:pPr>
        <w:pStyle w:val="BodyText"/>
        <w:tabs>
          <w:tab w:pos="1060" w:val="left" w:leader="none"/>
        </w:tabs>
        <w:spacing w:line="240" w:lineRule="auto" w:before="58"/>
        <w:ind w:left="218"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3036" w:space="3697"/>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05"/>
        <w:gridCol w:w="1580"/>
        <w:gridCol w:w="1104"/>
        <w:gridCol w:w="1582"/>
        <w:gridCol w:w="1579"/>
      </w:tblGrid>
      <w:tr>
        <w:trPr>
          <w:trHeight w:val="554"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55"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附注（如</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适用）</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281"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58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13,553.40</w:t>
            </w:r>
          </w:p>
        </w:tc>
      </w:tr>
      <w:tr>
        <w:trPr>
          <w:trHeight w:val="557"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或偶发性的税收返还、减免</w:t>
            </w:r>
          </w:p>
        </w:tc>
        <w:tc>
          <w:tcPr>
            <w:tcW w:w="158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计入当期损益的政府补助，但与</w:t>
            </w:r>
          </w:p>
          <w:p>
            <w:pPr>
              <w:pStyle w:val="TableParagraph"/>
              <w:spacing w:line="237" w:lineRule="auto"/>
              <w:ind w:left="103" w:right="144"/>
              <w:jc w:val="both"/>
              <w:rPr>
                <w:rFonts w:ascii="宋体" w:hAnsi="宋体" w:cs="宋体" w:eastAsia="宋体" w:hint="default"/>
                <w:sz w:val="21"/>
                <w:szCs w:val="21"/>
              </w:rPr>
            </w:pPr>
            <w:r>
              <w:rPr>
                <w:rFonts w:ascii="宋体" w:hAnsi="宋体" w:cs="宋体" w:eastAsia="宋体" w:hint="default"/>
                <w:spacing w:val="-2"/>
                <w:sz w:val="21"/>
                <w:szCs w:val="21"/>
              </w:rPr>
              <w:t>公司正常经营业务密切相关，符</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合国家政策规定、按照一定标准</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定额或定量持续享受的政府补助</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除外</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06" w:right="0"/>
              <w:jc w:val="left"/>
              <w:rPr>
                <w:rFonts w:ascii="宋体" w:hAnsi="宋体" w:cs="宋体" w:eastAsia="宋体" w:hint="default"/>
                <w:sz w:val="21"/>
                <w:szCs w:val="21"/>
              </w:rPr>
            </w:pPr>
            <w:r>
              <w:rPr>
                <w:rFonts w:ascii="宋体"/>
                <w:sz w:val="21"/>
              </w:rPr>
              <w:t>6,678,547.28</w:t>
            </w:r>
          </w:p>
        </w:tc>
        <w:tc>
          <w:tcPr>
            <w:tcW w:w="110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21"/>
                <w:szCs w:val="21"/>
              </w:rPr>
            </w:pPr>
            <w:r>
              <w:rPr>
                <w:rFonts w:ascii="宋体"/>
                <w:sz w:val="21"/>
              </w:rPr>
              <w:t>15,224,241.24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11,322,416.29</w:t>
            </w:r>
          </w:p>
        </w:tc>
      </w:tr>
      <w:tr>
        <w:trPr>
          <w:trHeight w:val="554"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取的资金占用费</w:t>
            </w:r>
          </w:p>
        </w:tc>
        <w:tc>
          <w:tcPr>
            <w:tcW w:w="158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企业取得子公司、联营企业及合</w:t>
            </w:r>
          </w:p>
          <w:p>
            <w:pPr>
              <w:pStyle w:val="TableParagraph"/>
              <w:spacing w:line="237" w:lineRule="auto" w:before="2"/>
              <w:ind w:left="103" w:right="144"/>
              <w:jc w:val="both"/>
              <w:rPr>
                <w:rFonts w:ascii="宋体" w:hAnsi="宋体" w:cs="宋体" w:eastAsia="宋体" w:hint="default"/>
                <w:sz w:val="21"/>
                <w:szCs w:val="21"/>
              </w:rPr>
            </w:pPr>
            <w:r>
              <w:rPr>
                <w:rFonts w:ascii="宋体" w:hAnsi="宋体" w:cs="宋体" w:eastAsia="宋体" w:hint="default"/>
                <w:spacing w:val="-2"/>
                <w:sz w:val="21"/>
                <w:szCs w:val="21"/>
              </w:rPr>
              <w:t>营企业的投资成本小于取得投资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时应享有被投资单位可辨认净资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产公允价值产生的收益</w:t>
            </w:r>
          </w:p>
        </w:tc>
        <w:tc>
          <w:tcPr>
            <w:tcW w:w="158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58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205"/>
        <w:gridCol w:w="1580"/>
        <w:gridCol w:w="1104"/>
        <w:gridCol w:w="1582"/>
        <w:gridCol w:w="1579"/>
      </w:tblGrid>
      <w:tr>
        <w:trPr>
          <w:trHeight w:val="284"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1,524,492.15</w:t>
            </w:r>
          </w:p>
        </w:tc>
        <w:tc>
          <w:tcPr>
            <w:tcW w:w="110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806,326.19</w:t>
            </w:r>
          </w:p>
        </w:tc>
      </w:tr>
      <w:tr>
        <w:trPr>
          <w:trHeight w:val="554"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害而计提的各项资产减值准备</w:t>
            </w:r>
          </w:p>
        </w:tc>
        <w:tc>
          <w:tcPr>
            <w:tcW w:w="158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58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出、整合费用等</w:t>
            </w:r>
          </w:p>
        </w:tc>
        <w:tc>
          <w:tcPr>
            <w:tcW w:w="158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超过公允价值部分的损益</w:t>
            </w:r>
          </w:p>
        </w:tc>
        <w:tc>
          <w:tcPr>
            <w:tcW w:w="158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司期初至合并日的当期净损益</w:t>
            </w:r>
          </w:p>
        </w:tc>
        <w:tc>
          <w:tcPr>
            <w:tcW w:w="158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事项产生的损益</w:t>
            </w:r>
          </w:p>
        </w:tc>
        <w:tc>
          <w:tcPr>
            <w:tcW w:w="158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w:t>
            </w:r>
          </w:p>
          <w:p>
            <w:pPr>
              <w:pStyle w:val="TableParagraph"/>
              <w:spacing w:line="237" w:lineRule="auto" w:before="2"/>
              <w:ind w:left="103" w:right="144"/>
              <w:jc w:val="both"/>
              <w:rPr>
                <w:rFonts w:ascii="宋体" w:hAnsi="宋体" w:cs="宋体" w:eastAsia="宋体" w:hint="default"/>
                <w:sz w:val="21"/>
                <w:szCs w:val="21"/>
              </w:rPr>
            </w:pPr>
            <w:r>
              <w:rPr>
                <w:rFonts w:ascii="宋体" w:hAnsi="宋体" w:cs="宋体" w:eastAsia="宋体" w:hint="default"/>
                <w:spacing w:val="-2"/>
                <w:sz w:val="21"/>
                <w:szCs w:val="21"/>
              </w:rPr>
              <w:t>效套期保值业务外，持有交易性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金融资产、交易性金融负债产生</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的公允价值变动损益，以及处置</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交易性金融资产、交易性金融负</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债和可供出售金融资产取得的投</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资收益</w:t>
            </w:r>
          </w:p>
        </w:tc>
        <w:tc>
          <w:tcPr>
            <w:tcW w:w="158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3,648,000.00</w:t>
            </w:r>
          </w:p>
        </w:tc>
      </w:tr>
      <w:tr>
        <w:trPr>
          <w:trHeight w:val="554"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值准备转回</w:t>
            </w:r>
          </w:p>
        </w:tc>
        <w:tc>
          <w:tcPr>
            <w:tcW w:w="158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58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w:t>
            </w:r>
          </w:p>
          <w:p>
            <w:pPr>
              <w:pStyle w:val="TableParagraph"/>
              <w:spacing w:line="240" w:lineRule="auto"/>
              <w:ind w:left="103" w:right="144"/>
              <w:jc w:val="left"/>
              <w:rPr>
                <w:rFonts w:ascii="宋体" w:hAnsi="宋体" w:cs="宋体" w:eastAsia="宋体" w:hint="default"/>
                <w:sz w:val="21"/>
                <w:szCs w:val="21"/>
              </w:rPr>
            </w:pPr>
            <w:r>
              <w:rPr>
                <w:rFonts w:ascii="宋体" w:hAnsi="宋体" w:cs="宋体" w:eastAsia="宋体" w:hint="default"/>
                <w:spacing w:val="-2"/>
                <w:sz w:val="21"/>
                <w:szCs w:val="21"/>
              </w:rPr>
              <w:t>的投资性房地产公允价值变动产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生的损益</w:t>
            </w:r>
          </w:p>
        </w:tc>
        <w:tc>
          <w:tcPr>
            <w:tcW w:w="158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w:t>
            </w:r>
          </w:p>
          <w:p>
            <w:pPr>
              <w:pStyle w:val="TableParagraph"/>
              <w:spacing w:line="272" w:lineRule="exact" w:before="27"/>
              <w:ind w:left="103" w:right="144"/>
              <w:jc w:val="left"/>
              <w:rPr>
                <w:rFonts w:ascii="宋体" w:hAnsi="宋体" w:cs="宋体" w:eastAsia="宋体" w:hint="default"/>
                <w:sz w:val="21"/>
                <w:szCs w:val="21"/>
              </w:rPr>
            </w:pPr>
            <w:r>
              <w:rPr>
                <w:rFonts w:ascii="宋体" w:hAnsi="宋体" w:cs="宋体" w:eastAsia="宋体" w:hint="default"/>
                <w:spacing w:val="-2"/>
                <w:sz w:val="21"/>
                <w:szCs w:val="21"/>
              </w:rPr>
              <w:t>要求对当期损益进行一次性调整</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对当期损益的影响</w:t>
            </w:r>
          </w:p>
        </w:tc>
        <w:tc>
          <w:tcPr>
            <w:tcW w:w="158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58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入和支出</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23,646.24</w:t>
            </w:r>
          </w:p>
        </w:tc>
        <w:tc>
          <w:tcPr>
            <w:tcW w:w="110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71,848.99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0.03</w:t>
            </w:r>
          </w:p>
        </w:tc>
      </w:tr>
      <w:tr>
        <w:trPr>
          <w:trHeight w:val="554"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益项目</w:t>
            </w:r>
          </w:p>
        </w:tc>
        <w:tc>
          <w:tcPr>
            <w:tcW w:w="158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58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-1,234,002.85</w:t>
            </w:r>
          </w:p>
        </w:tc>
        <w:tc>
          <w:tcPr>
            <w:tcW w:w="110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-2,294,413.53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-2,368,544.39</w:t>
            </w:r>
          </w:p>
        </w:tc>
      </w:tr>
      <w:tr>
        <w:trPr>
          <w:trHeight w:val="284"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6,992,682.82</w:t>
            </w:r>
          </w:p>
        </w:tc>
        <w:tc>
          <w:tcPr>
            <w:tcW w:w="110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13,001,676.70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13,421,751.52</w:t>
            </w:r>
          </w:p>
        </w:tc>
      </w:tr>
    </w:tbl>
    <w:p>
      <w:pPr>
        <w:spacing w:line="240" w:lineRule="auto" w:before="12"/>
        <w:rPr>
          <w:rFonts w:ascii="宋体" w:hAnsi="宋体" w:cs="宋体" w:eastAsia="宋体" w:hint="default"/>
          <w:sz w:val="19"/>
          <w:szCs w:val="19"/>
        </w:rPr>
      </w:pPr>
    </w:p>
    <w:p>
      <w:pPr>
        <w:pStyle w:val="Heading2"/>
        <w:tabs>
          <w:tab w:pos="1057" w:val="left" w:leader="none"/>
        </w:tabs>
        <w:spacing w:line="240" w:lineRule="auto" w:before="36"/>
        <w:ind w:right="3084"/>
        <w:jc w:val="left"/>
        <w:rPr>
          <w:b w:val="0"/>
          <w:bCs w:val="0"/>
        </w:rPr>
      </w:pPr>
      <w:r>
        <w:rPr/>
        <w:t>十一、</w:t>
        <w:tab/>
        <w:t>采用公允价值计量的项目</w:t>
      </w:r>
      <w:r>
        <w:rPr>
          <w:b w:val="0"/>
          <w:bCs w:val="0"/>
        </w:rPr>
      </w:r>
    </w:p>
    <w:p>
      <w:pPr>
        <w:tabs>
          <w:tab w:pos="1057" w:val="left" w:leader="none"/>
        </w:tabs>
        <w:spacing w:line="290" w:lineRule="auto" w:before="58"/>
        <w:ind w:left="218" w:right="748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十二、</w:t>
        <w:tab/>
        <w:t>其他</w:t>
      </w:r>
      <w:r>
        <w:rPr>
          <w:rFonts w:ascii="宋体" w:hAnsi="宋体" w:cs="宋体" w:eastAsia="宋体" w:hint="default"/>
          <w:sz w:val="21"/>
          <w:szCs w:val="21"/>
        </w:rPr>
      </w:r>
    </w:p>
    <w:p>
      <w:pPr>
        <w:pStyle w:val="BodyText"/>
        <w:spacing w:line="240" w:lineRule="auto" w:before="14"/>
        <w:ind w:left="218" w:right="3084"/>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1"/>
        <w:tabs>
          <w:tab w:pos="1259" w:val="left" w:leader="none"/>
        </w:tabs>
        <w:spacing w:line="240" w:lineRule="auto"/>
        <w:ind w:right="15"/>
        <w:jc w:val="center"/>
        <w:rPr>
          <w:b w:val="0"/>
          <w:bCs w:val="0"/>
        </w:rPr>
      </w:pPr>
      <w:bookmarkStart w:name="_TOC_250009" w:id="3"/>
      <w:r>
        <w:rPr>
          <w:w w:val="95"/>
        </w:rPr>
        <w:t>第三节</w:t>
        <w:tab/>
      </w:r>
      <w:r>
        <w:rPr/>
        <w:t>公司业务概要</w:t>
      </w:r>
      <w:bookmarkEnd w:id="3"/>
      <w:r>
        <w:rPr>
          <w:b w:val="0"/>
          <w:bCs w:val="0"/>
        </w:rPr>
      </w:r>
    </w:p>
    <w:p>
      <w:pPr>
        <w:spacing w:line="240" w:lineRule="auto" w:before="4"/>
        <w:rPr>
          <w:rFonts w:ascii="黑体" w:hAnsi="黑体" w:cs="黑体" w:eastAsia="黑体" w:hint="default"/>
          <w:b/>
          <w:bCs/>
          <w:sz w:val="19"/>
          <w:szCs w:val="19"/>
        </w:rPr>
      </w:pPr>
    </w:p>
    <w:p>
      <w:pPr>
        <w:pStyle w:val="Heading2"/>
        <w:spacing w:line="292" w:lineRule="auto"/>
        <w:ind w:left="638" w:right="3084" w:hanging="420"/>
        <w:jc w:val="left"/>
        <w:rPr>
          <w:b w:val="0"/>
          <w:bCs w:val="0"/>
        </w:rPr>
      </w:pPr>
      <w:r>
        <w:rPr>
          <w:spacing w:val="-1"/>
        </w:rPr>
        <w:t>一、报告期内公司所从事的主要业务、经营模式及行业情况说明</w:t>
      </w:r>
      <w:r>
        <w:rPr>
          <w:spacing w:val="-76"/>
        </w:rPr>
        <w:t> </w:t>
      </w:r>
      <w:r>
        <w:rPr>
          <w:spacing w:val="-76"/>
        </w:rPr>
      </w:r>
      <w:r>
        <w:rPr>
          <w:rFonts w:ascii="宋体" w:hAnsi="宋体" w:cs="宋体" w:eastAsia="宋体" w:hint="default"/>
        </w:rPr>
        <w:t>1.</w:t>
      </w:r>
      <w:r>
        <w:rPr/>
        <w:t>公司所从事的主要业务</w:t>
      </w:r>
      <w:r>
        <w:rPr>
          <w:b w:val="0"/>
          <w:bCs w:val="0"/>
        </w:rPr>
      </w:r>
    </w:p>
    <w:p>
      <w:pPr>
        <w:spacing w:after="0" w:line="292" w:lineRule="auto"/>
        <w:jc w:val="left"/>
        <w:sectPr>
          <w:pgSz w:w="11910" w:h="16840"/>
          <w:pgMar w:header="880" w:footer="1195" w:top="1120" w:bottom="1380" w:left="1580" w:right="1040"/>
        </w:sectPr>
      </w:pPr>
    </w:p>
    <w:p>
      <w:pPr>
        <w:spacing w:line="240" w:lineRule="auto" w:before="4"/>
        <w:rPr>
          <w:rFonts w:ascii="宋体" w:hAnsi="宋体" w:cs="宋体" w:eastAsia="宋体" w:hint="default"/>
          <w:b/>
          <w:bCs/>
          <w:sz w:val="25"/>
          <w:szCs w:val="25"/>
        </w:rPr>
      </w:pPr>
    </w:p>
    <w:p>
      <w:pPr>
        <w:pStyle w:val="BodyText"/>
        <w:spacing w:line="357" w:lineRule="auto" w:before="36"/>
        <w:ind w:right="208" w:firstLine="419"/>
        <w:jc w:val="both"/>
      </w:pPr>
      <w:r>
        <w:rPr>
          <w:spacing w:val="-2"/>
        </w:rPr>
        <w:t>公司是国内领先的以金融自助设备为核心的智慧银行解决方案提供商。公司致力于提供传统</w:t>
      </w:r>
      <w:r>
        <w:rPr>
          <w:w w:val="100"/>
        </w:rPr>
        <w:t> </w:t>
      </w:r>
      <w:r>
        <w:rPr>
          <w:spacing w:val="-1"/>
        </w:rPr>
        <w:t>银行向智慧银行转型升级过程中所需的现金类、非现金类、支付安全类等全方位的智能产品、技</w:t>
      </w:r>
      <w:r>
        <w:rPr>
          <w:spacing w:val="-55"/>
        </w:rPr>
        <w:t> </w:t>
      </w:r>
      <w:r>
        <w:rPr>
          <w:spacing w:val="-55"/>
        </w:rPr>
      </w:r>
      <w:r>
        <w:rPr>
          <w:spacing w:val="-1"/>
        </w:rPr>
        <w:t>术和服务，通过“智能产品、先进技术、优质服务”相结合的运营模式，满足客户在智慧银行建</w:t>
      </w:r>
      <w:r>
        <w:rPr>
          <w:spacing w:val="-55"/>
        </w:rPr>
        <w:t> </w:t>
      </w:r>
      <w:r>
        <w:rPr>
          <w:spacing w:val="-55"/>
        </w:rPr>
      </w:r>
      <w:r>
        <w:rPr>
          <w:spacing w:val="-1"/>
        </w:rPr>
        <w:t>设和运营过程中的各类个性化需求，协助其实现营业网点的智能化转型，有效降低运营成本，改</w:t>
      </w:r>
      <w:r>
        <w:rPr>
          <w:spacing w:val="-55"/>
        </w:rPr>
        <w:t> </w:t>
      </w:r>
      <w:r>
        <w:rPr>
          <w:spacing w:val="-55"/>
        </w:rPr>
      </w:r>
      <w:r>
        <w:rPr/>
        <w:t>善用户体验和服务水平，拓展业务渠道，提高经营效益。</w:t>
      </w:r>
    </w:p>
    <w:p>
      <w:pPr>
        <w:pStyle w:val="BodyText"/>
        <w:spacing w:line="357" w:lineRule="auto" w:before="30"/>
        <w:ind w:right="207" w:firstLine="419"/>
        <w:jc w:val="both"/>
      </w:pPr>
      <w:r>
        <w:rPr>
          <w:spacing w:val="-2"/>
        </w:rPr>
        <w:t>近年来，公司凭借优质的产品和全面及时的售后服务，树立了良好的品牌形象，形成了大型</w:t>
      </w:r>
      <w:r>
        <w:rPr>
          <w:w w:val="100"/>
        </w:rPr>
        <w:t> </w:t>
      </w:r>
      <w:r>
        <w:rPr>
          <w:spacing w:val="-1"/>
        </w:rPr>
        <w:t>国有商业银行、全国性股份制商业银行、农村信用社、城市商业银行等金融机构，以及电信运营</w:t>
      </w:r>
      <w:r>
        <w:rPr>
          <w:spacing w:val="-55"/>
        </w:rPr>
        <w:t> </w:t>
      </w:r>
      <w:r>
        <w:rPr>
          <w:spacing w:val="-55"/>
        </w:rPr>
      </w:r>
      <w:r>
        <w:rPr>
          <w:spacing w:val="-1"/>
        </w:rPr>
        <w:t>商等共同组成的市场知名度高、信用状况良好的多层次客户群体，并建立了稳定的合作关系，金</w:t>
      </w:r>
      <w:r>
        <w:rPr>
          <w:spacing w:val="-55"/>
        </w:rPr>
        <w:t> </w:t>
      </w:r>
      <w:r>
        <w:rPr>
          <w:spacing w:val="-55"/>
        </w:rPr>
      </w:r>
      <w:r>
        <w:rPr/>
        <w:t>融自助设备的销售数量逐年增加，市场占有率迅速提高。</w:t>
      </w:r>
      <w:r>
        <w:rPr>
          <w:rFonts w:ascii="宋体" w:hAnsi="宋体" w:cs="宋体" w:eastAsia="宋体" w:hint="default"/>
        </w:rPr>
        <w:t>2015</w:t>
      </w:r>
      <w:r>
        <w:rPr>
          <w:rFonts w:ascii="宋体" w:hAnsi="宋体" w:cs="宋体" w:eastAsia="宋体" w:hint="default"/>
          <w:spacing w:val="-53"/>
        </w:rPr>
        <w:t> </w:t>
      </w:r>
      <w:r>
        <w:rPr/>
        <w:t>年度、</w:t>
      </w:r>
      <w:r>
        <w:rPr>
          <w:rFonts w:ascii="宋体" w:hAnsi="宋体" w:cs="宋体" w:eastAsia="宋体" w:hint="default"/>
        </w:rPr>
        <w:t>2016</w:t>
      </w:r>
      <w:r>
        <w:rPr>
          <w:rFonts w:ascii="宋体" w:hAnsi="宋体" w:cs="宋体" w:eastAsia="宋体" w:hint="default"/>
          <w:spacing w:val="-53"/>
        </w:rPr>
        <w:t> </w:t>
      </w:r>
      <w:r>
        <w:rPr/>
        <w:t>年度和</w:t>
      </w:r>
      <w:r>
        <w:rPr>
          <w:spacing w:val="-50"/>
        </w:rPr>
        <w:t> </w:t>
      </w:r>
      <w:r>
        <w:rPr>
          <w:rFonts w:ascii="宋体" w:hAnsi="宋体" w:cs="宋体" w:eastAsia="宋体" w:hint="default"/>
        </w:rPr>
        <w:t>2017</w:t>
      </w:r>
      <w:r>
        <w:rPr>
          <w:rFonts w:ascii="宋体" w:hAnsi="宋体" w:cs="宋体" w:eastAsia="宋体" w:hint="default"/>
          <w:spacing w:val="-50"/>
        </w:rPr>
        <w:t> </w:t>
      </w:r>
      <w:r>
        <w:rPr/>
        <w:t>年度公司</w:t>
      </w:r>
      <w:r>
        <w:rPr>
          <w:w w:val="100"/>
        </w:rPr>
        <w:t> </w:t>
      </w:r>
      <w:r>
        <w:rPr/>
        <w:t>主营业务收入分别为</w:t>
      </w:r>
      <w:r>
        <w:rPr>
          <w:spacing w:val="-41"/>
        </w:rPr>
        <w:t> </w:t>
      </w:r>
      <w:r>
        <w:rPr>
          <w:rFonts w:ascii="宋体" w:hAnsi="宋体" w:cs="宋体" w:eastAsia="宋体" w:hint="default"/>
        </w:rPr>
        <w:t>91,168.74</w:t>
      </w:r>
      <w:r>
        <w:rPr>
          <w:rFonts w:ascii="宋体" w:hAnsi="宋体" w:cs="宋体" w:eastAsia="宋体" w:hint="default"/>
          <w:spacing w:val="-40"/>
        </w:rPr>
        <w:t> </w:t>
      </w:r>
      <w:r>
        <w:rPr/>
        <w:t>万元、</w:t>
      </w:r>
      <w:r>
        <w:rPr>
          <w:rFonts w:ascii="宋体" w:hAnsi="宋体" w:cs="宋体" w:eastAsia="宋体" w:hint="default"/>
        </w:rPr>
        <w:t>116,814.51</w:t>
      </w:r>
      <w:r>
        <w:rPr>
          <w:rFonts w:ascii="宋体" w:hAnsi="宋体" w:cs="宋体" w:eastAsia="宋体" w:hint="default"/>
          <w:spacing w:val="-43"/>
        </w:rPr>
        <w:t> </w:t>
      </w:r>
      <w:r>
        <w:rPr/>
        <w:t>万元和</w:t>
      </w:r>
      <w:r>
        <w:rPr>
          <w:spacing w:val="-41"/>
        </w:rPr>
        <w:t> </w:t>
      </w:r>
      <w:r>
        <w:rPr>
          <w:rFonts w:ascii="宋体" w:hAnsi="宋体" w:cs="宋体" w:eastAsia="宋体" w:hint="default"/>
        </w:rPr>
        <w:t>148,398.58</w:t>
      </w:r>
      <w:r>
        <w:rPr>
          <w:rFonts w:ascii="宋体" w:hAnsi="宋体" w:cs="宋体" w:eastAsia="宋体" w:hint="default"/>
          <w:spacing w:val="-43"/>
        </w:rPr>
        <w:t> </w:t>
      </w:r>
      <w:r>
        <w:rPr/>
        <w:t>万元，年度复合增长率达</w:t>
      </w:r>
      <w:r>
        <w:rPr>
          <w:w w:val="100"/>
        </w:rPr>
        <w:t> </w:t>
      </w:r>
      <w:r>
        <w:rPr/>
        <w:t>到</w:t>
      </w:r>
      <w:r>
        <w:rPr>
          <w:spacing w:val="-56"/>
        </w:rPr>
        <w:t> </w:t>
      </w:r>
      <w:r>
        <w:rPr>
          <w:rFonts w:ascii="宋体" w:hAnsi="宋体" w:cs="宋体" w:eastAsia="宋体" w:hint="default"/>
        </w:rPr>
        <w:t>27.58%</w:t>
      </w:r>
      <w:r>
        <w:rPr/>
        <w:t>，营业收入稳步增长。</w:t>
      </w:r>
    </w:p>
    <w:p>
      <w:pPr>
        <w:pStyle w:val="Heading2"/>
        <w:spacing w:line="240" w:lineRule="auto" w:before="30"/>
        <w:ind w:left="560" w:right="98"/>
        <w:jc w:val="left"/>
        <w:rPr>
          <w:b w:val="0"/>
          <w:bCs w:val="0"/>
        </w:rPr>
      </w:pPr>
      <w:r>
        <w:rPr>
          <w:rFonts w:ascii="宋体" w:hAnsi="宋体" w:cs="宋体" w:eastAsia="宋体" w:hint="default"/>
        </w:rPr>
        <w:t>2.</w:t>
      </w:r>
      <w:r>
        <w:rPr/>
        <w:t>公司主要经营模式</w:t>
      </w:r>
      <w:r>
        <w:rPr>
          <w:b w:val="0"/>
          <w:bCs w:val="0"/>
        </w:rPr>
      </w:r>
    </w:p>
    <w:p>
      <w:pPr>
        <w:pStyle w:val="BodyText"/>
        <w:spacing w:line="355" w:lineRule="auto" w:before="133"/>
        <w:ind w:left="558" w:right="98" w:hanging="106"/>
        <w:jc w:val="left"/>
      </w:pPr>
      <w:r>
        <w:rPr/>
        <w:t>（</w:t>
      </w:r>
      <w:r>
        <w:rPr>
          <w:rFonts w:ascii="宋体" w:hAnsi="宋体" w:cs="宋体" w:eastAsia="宋体" w:hint="default"/>
        </w:rPr>
        <w:t>1</w:t>
      </w:r>
      <w:r>
        <w:rPr/>
        <w:t>）采购模式</w:t>
      </w:r>
      <w:r>
        <w:rPr>
          <w:w w:val="100"/>
        </w:rPr>
        <w:t> </w:t>
      </w:r>
      <w:r>
        <w:rPr>
          <w:spacing w:val="-2"/>
        </w:rPr>
        <w:t>公司结合销售订单和市场需求预测制定生产计划，根据生产计划制定原材料采购计划。公司</w:t>
      </w:r>
    </w:p>
    <w:p>
      <w:pPr>
        <w:pStyle w:val="BodyText"/>
        <w:spacing w:line="357" w:lineRule="auto" w:before="32"/>
        <w:ind w:right="98"/>
        <w:jc w:val="left"/>
      </w:pPr>
      <w:r>
        <w:rPr>
          <w:spacing w:val="-1"/>
        </w:rPr>
        <w:t>采购严格执行采购计划，对于单位价值较高、周期较长的材料，一般通过预测由采购部联系供应</w:t>
      </w:r>
      <w:r>
        <w:rPr>
          <w:spacing w:val="-56"/>
        </w:rPr>
        <w:t> </w:t>
      </w:r>
      <w:r>
        <w:rPr>
          <w:spacing w:val="-56"/>
        </w:rPr>
      </w:r>
      <w:r>
        <w:rPr>
          <w:spacing w:val="-2"/>
        </w:rPr>
        <w:t>商提前进行备货；对于部分生产过程中普遍适用的通用型材料维持合理的安全库存，保证生产。</w:t>
      </w:r>
    </w:p>
    <w:p>
      <w:pPr>
        <w:pStyle w:val="BodyText"/>
        <w:spacing w:line="355" w:lineRule="auto" w:before="30"/>
        <w:ind w:left="562" w:right="98" w:hanging="226"/>
        <w:jc w:val="left"/>
      </w:pPr>
      <w:r>
        <w:rPr/>
        <w:t>（</w:t>
      </w:r>
      <w:r>
        <w:rPr>
          <w:rFonts w:ascii="宋体" w:hAnsi="宋体" w:cs="宋体" w:eastAsia="宋体" w:hint="default"/>
        </w:rPr>
        <w:t>2</w:t>
      </w:r>
      <w:r>
        <w:rPr/>
        <w:t>）生产模式</w:t>
      </w:r>
      <w:r>
        <w:rPr>
          <w:w w:val="100"/>
        </w:rPr>
        <w:t> </w:t>
      </w:r>
      <w:r>
        <w:rPr>
          <w:spacing w:val="-2"/>
        </w:rPr>
        <w:t>公司主要采用订单式生产和保持合理库存的生产模式，根据销售订单和市场需求预测来制定</w:t>
      </w:r>
    </w:p>
    <w:p>
      <w:pPr>
        <w:pStyle w:val="BodyText"/>
        <w:spacing w:line="357" w:lineRule="auto" w:before="32"/>
        <w:ind w:right="207"/>
        <w:jc w:val="both"/>
      </w:pPr>
      <w:r>
        <w:rPr>
          <w:spacing w:val="-1"/>
        </w:rPr>
        <w:t>生产计划，最大限度地减少商品库存，保证生产的平稳性，充分利用产能以满足市场需求。在充</w:t>
      </w:r>
      <w:r>
        <w:rPr>
          <w:spacing w:val="-55"/>
        </w:rPr>
        <w:t> </w:t>
      </w:r>
      <w:r>
        <w:rPr>
          <w:spacing w:val="-55"/>
        </w:rPr>
      </w:r>
      <w:r>
        <w:rPr>
          <w:spacing w:val="-1"/>
        </w:rPr>
        <w:t>分分解产品生产价值链的基础上，公司采用自主生产和外协生产相结合的生产方式，提高公司整</w:t>
      </w:r>
      <w:r>
        <w:rPr>
          <w:spacing w:val="-55"/>
        </w:rPr>
        <w:t> </w:t>
      </w:r>
      <w:r>
        <w:rPr>
          <w:spacing w:val="-55"/>
        </w:rPr>
      </w:r>
      <w:r>
        <w:rPr/>
        <w:t>体生产效率，降低生产成本。</w:t>
      </w:r>
    </w:p>
    <w:p>
      <w:pPr>
        <w:pStyle w:val="BodyText"/>
        <w:spacing w:line="355" w:lineRule="auto" w:before="30"/>
        <w:ind w:left="562" w:right="98" w:hanging="226"/>
        <w:jc w:val="left"/>
      </w:pPr>
      <w:r>
        <w:rPr/>
        <w:t>（</w:t>
      </w:r>
      <w:r>
        <w:rPr>
          <w:rFonts w:ascii="宋体" w:hAnsi="宋体" w:cs="宋体" w:eastAsia="宋体" w:hint="default"/>
        </w:rPr>
        <w:t>3</w:t>
      </w:r>
      <w:r>
        <w:rPr/>
        <w:t>）销售模式</w:t>
      </w:r>
      <w:r>
        <w:rPr>
          <w:w w:val="100"/>
        </w:rPr>
        <w:t> </w:t>
      </w:r>
      <w:r>
        <w:rPr>
          <w:spacing w:val="-2"/>
        </w:rPr>
        <w:t>公司主要采用直销的销售模式。公司的客户主要为大型国有商业银行、股份制商业银行、农</w:t>
      </w:r>
    </w:p>
    <w:p>
      <w:pPr>
        <w:pStyle w:val="BodyText"/>
        <w:spacing w:line="357" w:lineRule="auto" w:before="32"/>
        <w:ind w:right="98"/>
        <w:jc w:val="left"/>
      </w:pPr>
      <w:r>
        <w:rPr/>
        <w:t>村信用社、城市商业银行等金融机构，以及电信运营商等。上述客户定期或不定期通过公开招标</w:t>
      </w:r>
      <w:r>
        <w:rPr>
          <w:spacing w:val="-97"/>
        </w:rPr>
        <w:t> </w:t>
      </w:r>
      <w:r>
        <w:rPr>
          <w:spacing w:val="-97"/>
        </w:rPr>
      </w:r>
      <w:r>
        <w:rPr>
          <w:spacing w:val="-4"/>
          <w:w w:val="100"/>
        </w:rPr>
        <w:t>或邀请招标等方式来遴选自助设备供应商，公司通过技术和价格等综合优势获得入围供应商资格，</w:t>
      </w:r>
      <w:r>
        <w:rPr>
          <w:spacing w:val="-85"/>
          <w:w w:val="100"/>
        </w:rPr>
        <w:t> </w:t>
      </w:r>
      <w:r>
        <w:rPr>
          <w:spacing w:val="-85"/>
          <w:w w:val="100"/>
        </w:rPr>
      </w:r>
      <w:r>
        <w:rPr/>
        <w:t>入围后公司通过良好的产品质量、及时的生产供货、合理的产品价格和完善的售前售后服务赢得</w:t>
      </w:r>
      <w:r>
        <w:rPr>
          <w:spacing w:val="-97"/>
        </w:rPr>
        <w:t> </w:t>
      </w:r>
      <w:r>
        <w:rPr>
          <w:spacing w:val="-97"/>
        </w:rPr>
      </w:r>
      <w:r>
        <w:rPr/>
        <w:t>客户的采购订单，并与其保持长期稳定的合作关系。</w:t>
      </w:r>
    </w:p>
    <w:p>
      <w:pPr>
        <w:pStyle w:val="BodyText"/>
        <w:spacing w:line="355" w:lineRule="auto" w:before="30"/>
        <w:ind w:left="558" w:right="98" w:firstLine="62"/>
        <w:jc w:val="left"/>
      </w:pPr>
      <w:r>
        <w:rPr/>
        <w:t>（</w:t>
      </w:r>
      <w:r>
        <w:rPr>
          <w:rFonts w:ascii="宋体" w:hAnsi="宋体" w:cs="宋体" w:eastAsia="宋体" w:hint="default"/>
        </w:rPr>
        <w:t>4</w:t>
      </w:r>
      <w:r>
        <w:rPr/>
        <w:t>）服务模式</w:t>
      </w:r>
      <w:r>
        <w:rPr>
          <w:w w:val="100"/>
        </w:rPr>
        <w:t> </w:t>
      </w:r>
      <w:r>
        <w:rPr>
          <w:spacing w:val="-2"/>
        </w:rPr>
        <w:t>公司为各类银行客户及电信客户提供设备的物理安装、电子安装、移机、日常维护、巡检、</w:t>
      </w:r>
    </w:p>
    <w:p>
      <w:pPr>
        <w:pStyle w:val="BodyText"/>
        <w:spacing w:line="355" w:lineRule="auto" w:before="34"/>
        <w:ind w:right="98"/>
        <w:jc w:val="left"/>
      </w:pPr>
      <w:r>
        <w:rPr>
          <w:spacing w:val="-1"/>
        </w:rPr>
        <w:t>预防性维护、个性化定制开发、软硬件升级、银行测试技术保障、产品稳定性和可靠性跟踪、设</w:t>
      </w:r>
      <w:r>
        <w:rPr>
          <w:spacing w:val="-55"/>
        </w:rPr>
        <w:t> </w:t>
      </w:r>
      <w:r>
        <w:rPr>
          <w:spacing w:val="-55"/>
        </w:rPr>
      </w:r>
      <w:r>
        <w:rPr/>
        <w:t>备的运行管理、操作和技术培训、新产品宣讲等服务。</w:t>
      </w:r>
    </w:p>
    <w:p>
      <w:pPr>
        <w:spacing w:line="240" w:lineRule="auto" w:before="0"/>
        <w:rPr>
          <w:rFonts w:ascii="宋体" w:hAnsi="宋体" w:cs="宋体" w:eastAsia="宋体" w:hint="default"/>
          <w:sz w:val="20"/>
          <w:szCs w:val="20"/>
        </w:rPr>
      </w:pPr>
    </w:p>
    <w:p>
      <w:pPr>
        <w:pStyle w:val="Heading2"/>
        <w:spacing w:line="240" w:lineRule="auto" w:before="179"/>
        <w:ind w:left="560" w:right="98"/>
        <w:jc w:val="left"/>
        <w:rPr>
          <w:b w:val="0"/>
          <w:bCs w:val="0"/>
        </w:rPr>
      </w:pPr>
      <w:r>
        <w:rPr>
          <w:rFonts w:ascii="宋体" w:hAnsi="宋体" w:cs="宋体" w:eastAsia="宋体" w:hint="default"/>
        </w:rPr>
        <w:t>3.</w:t>
      </w:r>
      <w:r>
        <w:rPr/>
        <w:t>行业情况</w:t>
      </w:r>
      <w:r>
        <w:rPr>
          <w:b w:val="0"/>
          <w:bCs w:val="0"/>
        </w:rPr>
      </w:r>
    </w:p>
    <w:p>
      <w:pPr>
        <w:pStyle w:val="BodyText"/>
        <w:spacing w:line="240" w:lineRule="auto" w:before="135"/>
        <w:ind w:left="452" w:right="98"/>
        <w:jc w:val="left"/>
      </w:pPr>
      <w:r>
        <w:rPr/>
        <w:t>（</w:t>
      </w:r>
      <w:r>
        <w:rPr>
          <w:rFonts w:ascii="宋体" w:hAnsi="宋体" w:cs="宋体" w:eastAsia="宋体" w:hint="default"/>
        </w:rPr>
        <w:t>1</w:t>
      </w:r>
      <w:r>
        <w:rPr/>
        <w:t>）行业发展特点及市场机会</w:t>
      </w:r>
    </w:p>
    <w:p>
      <w:pPr>
        <w:spacing w:after="0" w:line="240" w:lineRule="auto"/>
        <w:jc w:val="left"/>
        <w:sectPr>
          <w:footerReference w:type="default" r:id="rId11"/>
          <w:pgSz w:w="11910" w:h="16840"/>
          <w:pgMar w:footer="1195" w:header="880" w:top="1120" w:bottom="1380" w:left="1660" w:right="1060"/>
        </w:sectPr>
      </w:pPr>
    </w:p>
    <w:p>
      <w:pPr>
        <w:spacing w:line="240" w:lineRule="auto" w:before="4"/>
        <w:rPr>
          <w:rFonts w:ascii="宋体" w:hAnsi="宋体" w:cs="宋体" w:eastAsia="宋体" w:hint="default"/>
          <w:sz w:val="25"/>
          <w:szCs w:val="25"/>
        </w:rPr>
      </w:pPr>
    </w:p>
    <w:p>
      <w:pPr>
        <w:pStyle w:val="BodyText"/>
        <w:spacing w:line="357" w:lineRule="auto" w:before="36"/>
        <w:ind w:right="98" w:firstLine="419"/>
        <w:jc w:val="left"/>
      </w:pPr>
      <w:r>
        <w:rPr/>
        <w:t>一是传统现金类自助设备仍有较大发展空间。根据《金融时报》相关报道，截至</w:t>
      </w:r>
      <w:r>
        <w:rPr>
          <w:spacing w:val="-50"/>
        </w:rPr>
        <w:t> </w:t>
      </w:r>
      <w:r>
        <w:rPr>
          <w:rFonts w:ascii="宋体" w:hAnsi="宋体" w:cs="宋体" w:eastAsia="宋体" w:hint="default"/>
        </w:rPr>
        <w:t>2017</w:t>
      </w:r>
      <w:r>
        <w:rPr>
          <w:rFonts w:ascii="宋体" w:hAnsi="宋体" w:cs="宋体" w:eastAsia="宋体" w:hint="default"/>
          <w:spacing w:val="-49"/>
        </w:rPr>
        <w:t> </w:t>
      </w:r>
      <w:r>
        <w:rPr/>
        <w:t>年末，</w:t>
      </w:r>
      <w:r>
        <w:rPr>
          <w:w w:val="100"/>
        </w:rPr>
        <w:t> </w:t>
      </w:r>
      <w:r>
        <w:rPr/>
        <w:t>国内</w:t>
      </w:r>
      <w:r>
        <w:rPr>
          <w:spacing w:val="-49"/>
        </w:rPr>
        <w:t> </w:t>
      </w:r>
      <w:r>
        <w:rPr>
          <w:rFonts w:ascii="宋体" w:hAnsi="宋体" w:cs="宋体" w:eastAsia="宋体" w:hint="default"/>
        </w:rPr>
        <w:t>ATM</w:t>
      </w:r>
      <w:r>
        <w:rPr>
          <w:rFonts w:ascii="宋体" w:hAnsi="宋体" w:cs="宋体" w:eastAsia="宋体" w:hint="default"/>
          <w:spacing w:val="-49"/>
        </w:rPr>
        <w:t> </w:t>
      </w:r>
      <w:r>
        <w:rPr/>
        <w:t>保有量</w:t>
      </w:r>
      <w:r>
        <w:rPr>
          <w:spacing w:val="-49"/>
        </w:rPr>
        <w:t> </w:t>
      </w:r>
      <w:r>
        <w:rPr>
          <w:rFonts w:ascii="宋体" w:hAnsi="宋体" w:cs="宋体" w:eastAsia="宋体" w:hint="default"/>
        </w:rPr>
        <w:t>96.06</w:t>
      </w:r>
      <w:r>
        <w:rPr>
          <w:rFonts w:ascii="宋体" w:hAnsi="宋体" w:cs="宋体" w:eastAsia="宋体" w:hint="default"/>
          <w:spacing w:val="-48"/>
        </w:rPr>
        <w:t> </w:t>
      </w:r>
      <w:r>
        <w:rPr>
          <w:spacing w:val="-4"/>
        </w:rPr>
        <w:t>万台，较去年</w:t>
      </w:r>
      <w:r>
        <w:rPr>
          <w:spacing w:val="-49"/>
        </w:rPr>
        <w:t> </w:t>
      </w:r>
      <w:r>
        <w:rPr>
          <w:rFonts w:ascii="宋体" w:hAnsi="宋体" w:cs="宋体" w:eastAsia="宋体" w:hint="default"/>
        </w:rPr>
        <w:t>92.42</w:t>
      </w:r>
      <w:r>
        <w:rPr>
          <w:rFonts w:ascii="宋体" w:hAnsi="宋体" w:cs="宋体" w:eastAsia="宋体" w:hint="default"/>
          <w:spacing w:val="-51"/>
        </w:rPr>
        <w:t> </w:t>
      </w:r>
      <w:r>
        <w:rPr/>
        <w:t>万台增长</w:t>
      </w:r>
      <w:r>
        <w:rPr>
          <w:spacing w:val="-48"/>
        </w:rPr>
        <w:t> </w:t>
      </w:r>
      <w:r>
        <w:rPr>
          <w:rFonts w:ascii="宋体" w:hAnsi="宋体" w:cs="宋体" w:eastAsia="宋体" w:hint="default"/>
          <w:spacing w:val="-3"/>
        </w:rPr>
        <w:t>3.9%</w:t>
      </w:r>
      <w:r>
        <w:rPr>
          <w:spacing w:val="-3"/>
        </w:rPr>
        <w:t>，继续保持增长势头，增速有所放缓进</w:t>
      </w:r>
      <w:r>
        <w:rPr>
          <w:spacing w:val="-95"/>
        </w:rPr>
        <w:t> </w:t>
      </w:r>
      <w:r>
        <w:rPr>
          <w:spacing w:val="-95"/>
        </w:rPr>
      </w:r>
      <w:r>
        <w:rPr/>
        <w:t>入稳定增长阶段，同时市场保有的</w:t>
      </w:r>
      <w:r>
        <w:rPr>
          <w:spacing w:val="-50"/>
        </w:rPr>
        <w:t> </w:t>
      </w:r>
      <w:r>
        <w:rPr>
          <w:rFonts w:ascii="宋体" w:hAnsi="宋体" w:cs="宋体" w:eastAsia="宋体" w:hint="default"/>
        </w:rPr>
        <w:t>ATM</w:t>
      </w:r>
      <w:r>
        <w:rPr>
          <w:rFonts w:ascii="宋体" w:hAnsi="宋体" w:cs="宋体" w:eastAsia="宋体" w:hint="default"/>
          <w:spacing w:val="-48"/>
        </w:rPr>
        <w:t> </w:t>
      </w:r>
      <w:r>
        <w:rPr/>
        <w:t>将迎来替代升级，未来国内传统现金类设备市场仍有较大</w:t>
      </w:r>
      <w:r>
        <w:rPr>
          <w:w w:val="100"/>
        </w:rPr>
        <w:t> </w:t>
      </w:r>
      <w:r>
        <w:rPr/>
        <w:t>发展空间。</w:t>
      </w:r>
    </w:p>
    <w:p>
      <w:pPr>
        <w:pStyle w:val="BodyText"/>
        <w:spacing w:line="357" w:lineRule="auto" w:before="30"/>
        <w:ind w:right="208" w:firstLine="419"/>
        <w:jc w:val="both"/>
      </w:pPr>
      <w:r>
        <w:rPr>
          <w:spacing w:val="-2"/>
        </w:rPr>
        <w:t>二是现金类智能设备需求量巨大。基于提高网点运行效率、节约经营成本、增强营销职能、</w:t>
      </w:r>
      <w:r>
        <w:rPr>
          <w:w w:val="100"/>
        </w:rPr>
        <w:t> </w:t>
      </w:r>
      <w:r>
        <w:rPr>
          <w:spacing w:val="-1"/>
        </w:rPr>
        <w:t>提高效能、盈利能力和综合竞争力的目标，现金类智能设备需求量巨大。新兴的现金智能设备如</w:t>
      </w:r>
      <w:r>
        <w:rPr>
          <w:spacing w:val="-55"/>
        </w:rPr>
        <w:t> </w:t>
      </w:r>
      <w:r>
        <w:rPr>
          <w:spacing w:val="-55"/>
        </w:rPr>
      </w:r>
      <w:r>
        <w:rPr>
          <w:spacing w:val="-1"/>
        </w:rPr>
        <w:t>现金超柜、高速大额存取款一体机产品需求旺盛，该产品切合了银行“机器解放人”的战略转型</w:t>
      </w:r>
      <w:r>
        <w:rPr>
          <w:spacing w:val="-55"/>
        </w:rPr>
        <w:t> </w:t>
      </w:r>
      <w:r>
        <w:rPr>
          <w:spacing w:val="-55"/>
        </w:rPr>
      </w:r>
      <w:r>
        <w:rPr>
          <w:spacing w:val="-4"/>
          <w:w w:val="100"/>
        </w:rPr>
        <w:t>要求，有效的将传统必须依赖人工处理的大额现金存取业务转化为客户自助</w:t>
      </w:r>
      <w:r>
        <w:rPr>
          <w:rFonts w:ascii="宋体" w:hAnsi="宋体" w:cs="宋体" w:eastAsia="宋体" w:hint="default"/>
          <w:spacing w:val="-4"/>
          <w:w w:val="100"/>
        </w:rPr>
        <w:t>+</w:t>
      </w:r>
      <w:r>
        <w:rPr>
          <w:spacing w:val="-4"/>
          <w:w w:val="100"/>
        </w:rPr>
        <w:t>人工授权相结合的模</w:t>
      </w:r>
      <w:r>
        <w:rPr>
          <w:spacing w:val="-87"/>
          <w:w w:val="100"/>
        </w:rPr>
        <w:t> </w:t>
      </w:r>
      <w:r>
        <w:rPr>
          <w:spacing w:val="-87"/>
          <w:w w:val="100"/>
        </w:rPr>
      </w:r>
      <w:r>
        <w:rPr>
          <w:spacing w:val="-1"/>
        </w:rPr>
        <w:t>式，极大提高了业务处理效率，非常有效的释放了柜台压力，切实实现了解放高柜柜员，未来顺</w:t>
      </w:r>
      <w:r>
        <w:rPr>
          <w:spacing w:val="-55"/>
        </w:rPr>
        <w:t> </w:t>
      </w:r>
      <w:r>
        <w:rPr>
          <w:spacing w:val="-55"/>
        </w:rPr>
      </w:r>
      <w:r>
        <w:rPr>
          <w:spacing w:val="-1"/>
        </w:rPr>
        <w:t>应银行网点轻型化转型，减少高柜、减少柜员，该产品会具有更多的市场需求。智能现金终端设</w:t>
      </w:r>
      <w:r>
        <w:rPr>
          <w:spacing w:val="-55"/>
        </w:rPr>
        <w:t> </w:t>
      </w:r>
      <w:r>
        <w:rPr>
          <w:spacing w:val="-55"/>
        </w:rPr>
      </w:r>
      <w:r>
        <w:rPr/>
        <w:t>备将成为未来现金类自助设备业务的重要支撑点。</w:t>
      </w:r>
    </w:p>
    <w:p>
      <w:pPr>
        <w:pStyle w:val="BodyText"/>
        <w:spacing w:line="357" w:lineRule="auto" w:before="30"/>
        <w:ind w:right="208" w:firstLine="419"/>
        <w:jc w:val="both"/>
      </w:pPr>
      <w:r>
        <w:rPr>
          <w:spacing w:val="-2"/>
        </w:rPr>
        <w:t>三是智慧银行网点改造市场规模巨大。全面采用各类支持业务迁移和处理的终端设备之外，</w:t>
      </w:r>
      <w:r>
        <w:rPr>
          <w:w w:val="100"/>
        </w:rPr>
        <w:t> </w:t>
      </w:r>
      <w:r>
        <w:rPr>
          <w:spacing w:val="-1"/>
        </w:rPr>
        <w:t>银行网点开始改善和加强网点内营销渠道建设。硬件方面以服务机器人、多媒体综合屏、智能茶</w:t>
      </w:r>
      <w:r>
        <w:rPr>
          <w:spacing w:val="-55"/>
        </w:rPr>
        <w:t> </w:t>
      </w:r>
      <w:r>
        <w:rPr>
          <w:spacing w:val="-55"/>
        </w:rPr>
      </w:r>
      <w:r>
        <w:rPr>
          <w:spacing w:val="-1"/>
        </w:rPr>
        <w:t>几、全息投影、体感互动为代表，软件方面以多媒体发布系统、人脸识别系统以及厅堂管理系统</w:t>
      </w:r>
      <w:r>
        <w:rPr>
          <w:spacing w:val="-55"/>
        </w:rPr>
        <w:t> </w:t>
      </w:r>
      <w:r>
        <w:rPr>
          <w:spacing w:val="-55"/>
        </w:rPr>
      </w:r>
      <w:r>
        <w:rPr>
          <w:spacing w:val="-1"/>
        </w:rPr>
        <w:t>为代表，逐渐成为银行进一步深化网点智能化建设的产品和技术需求。诸如智慧柜员机、超级柜</w:t>
      </w:r>
      <w:r>
        <w:rPr>
          <w:spacing w:val="-55"/>
        </w:rPr>
        <w:t> </w:t>
      </w:r>
      <w:r>
        <w:rPr>
          <w:spacing w:val="-55"/>
        </w:rPr>
      </w:r>
      <w:r>
        <w:rPr/>
        <w:t>台等非现金类自助设备逐步布放至全国，带来采购量的大幅提升。</w:t>
      </w:r>
    </w:p>
    <w:p>
      <w:pPr>
        <w:pStyle w:val="BodyText"/>
        <w:spacing w:line="355" w:lineRule="auto" w:before="30"/>
        <w:ind w:right="208" w:firstLine="419"/>
        <w:jc w:val="both"/>
      </w:pPr>
      <w:r>
        <w:rPr>
          <w:spacing w:val="-2"/>
        </w:rPr>
        <w:t>金融自助设备行业进入加速“洗牌”阶段，智慧银行已经成为银行业发展必然趋势，银行网</w:t>
      </w:r>
      <w:r>
        <w:rPr>
          <w:w w:val="100"/>
        </w:rPr>
        <w:t> </w:t>
      </w:r>
      <w:r>
        <w:rPr>
          <w:spacing w:val="-1"/>
        </w:rPr>
        <w:t>点将利用智能设备、数字媒体和人机交互技术等实现全面智能化，转型成为具有多项功能的综合</w:t>
      </w:r>
      <w:r>
        <w:rPr>
          <w:spacing w:val="-55"/>
        </w:rPr>
        <w:t> </w:t>
      </w:r>
      <w:r>
        <w:rPr>
          <w:spacing w:val="-55"/>
        </w:rPr>
      </w:r>
      <w:r>
        <w:rPr>
          <w:spacing w:val="-1"/>
        </w:rPr>
        <w:t>性网点。届时，具备先进理念、先发经验、自主研发能力的智慧银行综合解决方案的企业将逐步</w:t>
      </w:r>
      <w:r>
        <w:rPr>
          <w:spacing w:val="-54"/>
        </w:rPr>
        <w:t> </w:t>
      </w:r>
      <w:r>
        <w:rPr>
          <w:spacing w:val="-54"/>
        </w:rPr>
      </w:r>
      <w:r>
        <w:rPr/>
        <w:t>主导市场。</w:t>
      </w:r>
    </w:p>
    <w:p>
      <w:pPr>
        <w:pStyle w:val="BodyText"/>
        <w:spacing w:line="355" w:lineRule="auto" w:before="34"/>
        <w:ind w:left="562" w:right="98" w:hanging="111"/>
        <w:jc w:val="left"/>
      </w:pPr>
      <w:r>
        <w:rPr/>
        <w:t>（</w:t>
      </w:r>
      <w:r>
        <w:rPr>
          <w:rFonts w:ascii="宋体" w:hAnsi="宋体" w:cs="宋体" w:eastAsia="宋体" w:hint="default"/>
        </w:rPr>
        <w:t>2</w:t>
      </w:r>
      <w:r>
        <w:rPr/>
        <w:t>）竞争态势</w:t>
      </w:r>
      <w:r>
        <w:rPr>
          <w:w w:val="100"/>
        </w:rPr>
        <w:t> </w:t>
      </w:r>
      <w:r>
        <w:rPr>
          <w:spacing w:val="-2"/>
        </w:rPr>
        <w:t>一是产品同质化严重，行业内竞争激烈。在竞争中，服务保障能力和产品价格优势成为银行</w:t>
      </w:r>
    </w:p>
    <w:p>
      <w:pPr>
        <w:pStyle w:val="BodyText"/>
        <w:spacing w:line="355" w:lineRule="auto" w:before="32"/>
        <w:ind w:right="98"/>
        <w:jc w:val="left"/>
      </w:pPr>
      <w:r>
        <w:rPr>
          <w:spacing w:val="-1"/>
        </w:rPr>
        <w:t>选择厂商的重要依据。市场竞争中价格战惨烈，个别项目甚至是成本与售价倒挂，行业进入微利</w:t>
      </w:r>
      <w:r>
        <w:rPr>
          <w:spacing w:val="-55"/>
        </w:rPr>
        <w:t> </w:t>
      </w:r>
      <w:r>
        <w:rPr>
          <w:spacing w:val="-55"/>
        </w:rPr>
      </w:r>
      <w:r>
        <w:rPr/>
        <w:t>时代。</w:t>
      </w:r>
    </w:p>
    <w:p>
      <w:pPr>
        <w:pStyle w:val="BodyText"/>
        <w:spacing w:line="355" w:lineRule="auto" w:before="35"/>
        <w:ind w:right="207" w:firstLine="424"/>
        <w:jc w:val="both"/>
      </w:pPr>
      <w:r>
        <w:rPr/>
        <w:t>二是</w:t>
      </w:r>
      <w:r>
        <w:rPr>
          <w:spacing w:val="-51"/>
        </w:rPr>
        <w:t> </w:t>
      </w:r>
      <w:r>
        <w:rPr>
          <w:rFonts w:ascii="宋体" w:hAnsi="宋体" w:cs="宋体" w:eastAsia="宋体" w:hint="default"/>
        </w:rPr>
        <w:t>ATM</w:t>
      </w:r>
      <w:r>
        <w:rPr>
          <w:rFonts w:ascii="宋体" w:hAnsi="宋体" w:cs="宋体" w:eastAsia="宋体" w:hint="default"/>
          <w:spacing w:val="-53"/>
        </w:rPr>
        <w:t> </w:t>
      </w:r>
      <w:r>
        <w:rPr/>
        <w:t>行业自身受到新的冲击。伴随网上银行、手机银行、微信支付、支付宝等电子支付</w:t>
      </w:r>
      <w:r>
        <w:rPr>
          <w:w w:val="100"/>
        </w:rPr>
        <w:t> </w:t>
      </w:r>
      <w:r>
        <w:rPr/>
        <w:t>渠道的兴起和发展，使用现金的习惯受到一定影响，使用量也受到一定冲击，通过</w:t>
      </w:r>
      <w:r>
        <w:rPr>
          <w:spacing w:val="-49"/>
        </w:rPr>
        <w:t> </w:t>
      </w:r>
      <w:r>
        <w:rPr>
          <w:rFonts w:ascii="宋体" w:hAnsi="宋体" w:cs="宋体" w:eastAsia="宋体" w:hint="default"/>
        </w:rPr>
        <w:t>ATM</w:t>
      </w:r>
      <w:r>
        <w:rPr>
          <w:rFonts w:ascii="宋体" w:hAnsi="宋体" w:cs="宋体" w:eastAsia="宋体" w:hint="default"/>
          <w:spacing w:val="-51"/>
        </w:rPr>
        <w:t> </w:t>
      </w:r>
      <w:r>
        <w:rPr/>
        <w:t>设备进行</w:t>
      </w:r>
      <w:r>
        <w:rPr>
          <w:w w:val="100"/>
        </w:rPr>
        <w:t> </w:t>
      </w:r>
      <w:r>
        <w:rPr>
          <w:spacing w:val="-4"/>
        </w:rPr>
        <w:t>的交易也受到一定影响。电子支付渠道因其自身也有局限性，比如依赖智能终端、依赖支付渠道</w:t>
      </w:r>
      <w:r>
        <w:rPr>
          <w:rFonts w:ascii="宋体" w:hAnsi="宋体" w:cs="宋体" w:eastAsia="宋体" w:hint="default"/>
          <w:spacing w:val="-4"/>
        </w:rPr>
        <w:t>/</w:t>
      </w:r>
      <w:r>
        <w:rPr>
          <w:rFonts w:ascii="宋体" w:hAnsi="宋体" w:cs="宋体" w:eastAsia="宋体" w:hint="default"/>
          <w:spacing w:val="-32"/>
        </w:rPr>
        <w:t> </w:t>
      </w:r>
      <w:r>
        <w:rPr/>
        <w:t>平台、需要向平台缴纳费用等等，也会受到部分消费者抵触。</w:t>
      </w:r>
    </w:p>
    <w:p>
      <w:pPr>
        <w:pStyle w:val="BodyText"/>
        <w:spacing w:line="240" w:lineRule="auto" w:before="32"/>
        <w:ind w:left="558" w:right="98"/>
        <w:jc w:val="left"/>
      </w:pPr>
      <w:r>
        <w:rPr/>
        <w:t>报告期内，公司主营业务、主要产品及服务未发生重大变化。</w:t>
      </w:r>
    </w:p>
    <w:p>
      <w:pPr>
        <w:spacing w:line="240" w:lineRule="auto" w:before="12"/>
        <w:rPr>
          <w:rFonts w:ascii="宋体" w:hAnsi="宋体" w:cs="宋体" w:eastAsia="宋体" w:hint="default"/>
          <w:sz w:val="14"/>
          <w:szCs w:val="14"/>
        </w:rPr>
      </w:pPr>
    </w:p>
    <w:p>
      <w:pPr>
        <w:pStyle w:val="Heading2"/>
        <w:spacing w:line="240" w:lineRule="auto"/>
        <w:ind w:left="138" w:right="98"/>
        <w:jc w:val="left"/>
        <w:rPr>
          <w:b w:val="0"/>
          <w:bCs w:val="0"/>
        </w:rPr>
      </w:pPr>
      <w:r>
        <w:rPr/>
        <w:t>二、报告期内公司主要资产发生重大变化情况的说明</w:t>
      </w:r>
      <w:r>
        <w:rPr>
          <w:b w:val="0"/>
          <w:bCs w:val="0"/>
        </w:rPr>
      </w:r>
    </w:p>
    <w:p>
      <w:pPr>
        <w:pStyle w:val="BodyText"/>
        <w:spacing w:line="274" w:lineRule="exact" w:before="56"/>
        <w:ind w:right="98"/>
        <w:jc w:val="left"/>
      </w:pPr>
      <w:r>
        <w:rPr/>
        <w:t>√适用</w:t>
      </w:r>
      <w:r>
        <w:rPr>
          <w:spacing w:val="-1"/>
        </w:rPr>
        <w:t> </w:t>
      </w:r>
      <w:r>
        <w:rPr/>
        <w:t>□不适用</w:t>
      </w:r>
    </w:p>
    <w:p>
      <w:pPr>
        <w:pStyle w:val="BodyText"/>
        <w:tabs>
          <w:tab w:pos="3028" w:val="left" w:leader="none"/>
        </w:tabs>
        <w:spacing w:line="475" w:lineRule="auto"/>
        <w:ind w:right="2320"/>
        <w:jc w:val="left"/>
      </w:pPr>
      <w:r>
        <w:rPr/>
        <w:t>详见第四节</w:t>
      </w:r>
      <w:r>
        <w:rPr>
          <w:spacing w:val="-3"/>
        </w:rPr>
        <w:t> </w:t>
      </w:r>
      <w:r>
        <w:rPr/>
        <w:t>经营情况讨论与分析之二、（三）资产、负债情况分析。</w:t>
      </w:r>
      <w:r>
        <w:rPr>
          <w:w w:val="100"/>
        </w:rPr>
        <w:t> </w:t>
      </w:r>
      <w:r>
        <w:rPr/>
        <w:t>其中：境外资产</w:t>
      </w:r>
      <w:r>
        <w:rPr>
          <w:spacing w:val="-53"/>
        </w:rPr>
        <w:t> </w:t>
      </w:r>
      <w:r>
        <w:rPr>
          <w:rFonts w:ascii="宋体" w:hAnsi="宋体" w:cs="宋体" w:eastAsia="宋体" w:hint="default"/>
        </w:rPr>
        <w:t>0</w:t>
      </w:r>
      <w:r>
        <w:rPr/>
        <w:t>（单位：元</w:t>
        <w:tab/>
        <w:t>币种：人民币），占总资产的比例为</w:t>
      </w:r>
      <w:r>
        <w:rPr>
          <w:spacing w:val="-57"/>
        </w:rPr>
        <w:t> </w:t>
      </w:r>
      <w:r>
        <w:rPr>
          <w:rFonts w:ascii="宋体" w:hAnsi="宋体" w:cs="宋体" w:eastAsia="宋体" w:hint="default"/>
        </w:rPr>
        <w:t>0%</w:t>
      </w:r>
      <w:r>
        <w:rPr/>
        <w:t>。</w:t>
      </w:r>
    </w:p>
    <w:p>
      <w:pPr>
        <w:spacing w:after="0" w:line="475" w:lineRule="auto"/>
        <w:jc w:val="left"/>
        <w:sectPr>
          <w:footerReference w:type="default" r:id="rId12"/>
          <w:pgSz w:w="11910" w:h="16840"/>
          <w:pgMar w:footer="1195" w:header="880" w:top="1120" w:bottom="1380" w:left="1660" w:right="1060"/>
          <w:pgNumType w:start="1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7"/>
        <w:ind w:left="138" w:right="3084"/>
        <w:jc w:val="left"/>
        <w:rPr>
          <w:b w:val="0"/>
          <w:bCs w:val="0"/>
        </w:rPr>
      </w:pPr>
      <w:r>
        <w:rPr/>
        <w:t>三、报告期内核心竞争力分析</w:t>
      </w:r>
      <w:r>
        <w:rPr>
          <w:b w:val="0"/>
          <w:bCs w:val="0"/>
        </w:rPr>
      </w:r>
    </w:p>
    <w:p>
      <w:pPr>
        <w:spacing w:line="343" w:lineRule="auto" w:before="56"/>
        <w:ind w:left="558" w:right="3084" w:hanging="42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、多年积累的在位优势有利于公司持续稳定发展</w:t>
      </w:r>
      <w:r>
        <w:rPr>
          <w:rFonts w:ascii="宋体" w:hAnsi="宋体" w:cs="宋体" w:eastAsia="宋体" w:hint="default"/>
          <w:spacing w:val="-1"/>
          <w:sz w:val="21"/>
          <w:szCs w:val="21"/>
        </w:rPr>
      </w:r>
    </w:p>
    <w:p>
      <w:pPr>
        <w:pStyle w:val="BodyText"/>
        <w:spacing w:line="357" w:lineRule="auto" w:before="163"/>
        <w:ind w:right="308" w:firstLine="419"/>
        <w:jc w:val="both"/>
      </w:pPr>
      <w:r>
        <w:rPr>
          <w:spacing w:val="-2"/>
        </w:rPr>
        <w:t>由于金融自助设备尤其是现金类自助设备直接关系到交易的安全性和准确性，银行对设备的</w:t>
      </w:r>
      <w:r>
        <w:rPr>
          <w:w w:val="100"/>
        </w:rPr>
        <w:t> </w:t>
      </w:r>
      <w:r>
        <w:rPr>
          <w:spacing w:val="-1"/>
        </w:rPr>
        <w:t>品质要求非常高。一般都是由总行统一招标采购，经过严格的资质审查、产品性能测试、招标评</w:t>
      </w:r>
      <w:r>
        <w:rPr>
          <w:spacing w:val="-55"/>
        </w:rPr>
        <w:t> </w:t>
      </w:r>
      <w:r>
        <w:rPr>
          <w:spacing w:val="-55"/>
        </w:rPr>
      </w:r>
      <w:r>
        <w:rPr>
          <w:spacing w:val="-1"/>
        </w:rPr>
        <w:t>标等程序后才能确定入围供应商和产品；入围的供应商数量少并且入围有效期较长。在合作过程</w:t>
      </w:r>
      <w:r>
        <w:rPr>
          <w:spacing w:val="-55"/>
        </w:rPr>
        <w:t> </w:t>
      </w:r>
      <w:r>
        <w:rPr>
          <w:spacing w:val="-55"/>
        </w:rPr>
      </w:r>
      <w:r>
        <w:rPr>
          <w:spacing w:val="-1"/>
        </w:rPr>
        <w:t>中，银行通过对设备和售后服务品质的考察，将进一步建立对优质供应商的信任，往往在新一轮</w:t>
      </w:r>
      <w:r>
        <w:rPr>
          <w:spacing w:val="-55"/>
        </w:rPr>
        <w:t> </w:t>
      </w:r>
      <w:r>
        <w:rPr>
          <w:spacing w:val="-55"/>
        </w:rPr>
      </w:r>
      <w:r>
        <w:rPr/>
        <w:t>招标采购中会将其作为优先考虑的对象。</w:t>
      </w:r>
    </w:p>
    <w:p>
      <w:pPr>
        <w:pStyle w:val="BodyText"/>
        <w:spacing w:line="357" w:lineRule="auto" w:before="150"/>
        <w:ind w:right="308" w:firstLine="419"/>
        <w:jc w:val="both"/>
      </w:pPr>
      <w:r>
        <w:rPr>
          <w:spacing w:val="-2"/>
        </w:rPr>
        <w:t>在金融自助设备国产化进程提速的大背景下，经过多年的市场培育和拓展，公司凭借优质的</w:t>
      </w:r>
      <w:r>
        <w:rPr>
          <w:w w:val="100"/>
        </w:rPr>
        <w:t> </w:t>
      </w:r>
      <w:r>
        <w:rPr>
          <w:spacing w:val="-1"/>
        </w:rPr>
        <w:t>产品和全面及时的售后服务，形成了大型国有商业银行、全国性股份制商业银行、农村信用社、</w:t>
      </w:r>
      <w:r>
        <w:rPr>
          <w:spacing w:val="-55"/>
        </w:rPr>
        <w:t> </w:t>
      </w:r>
      <w:r>
        <w:rPr>
          <w:spacing w:val="-55"/>
        </w:rPr>
      </w:r>
      <w:r>
        <w:rPr>
          <w:spacing w:val="-1"/>
        </w:rPr>
        <w:t>城市商业银行等银行金融机构，以及电信运营商等企业共同组成的市场知名度高、信用状况良好</w:t>
      </w:r>
      <w:r>
        <w:rPr>
          <w:spacing w:val="-55"/>
        </w:rPr>
        <w:t> </w:t>
      </w:r>
      <w:r>
        <w:rPr>
          <w:spacing w:val="-55"/>
        </w:rPr>
      </w:r>
      <w:r>
        <w:rPr>
          <w:spacing w:val="-1"/>
        </w:rPr>
        <w:t>的多层次客户群体。广泛而多层次的客户群体，为公司积累了良好的在位优势，品牌影响力及行</w:t>
      </w:r>
      <w:r>
        <w:rPr>
          <w:spacing w:val="-55"/>
        </w:rPr>
        <w:t> </w:t>
      </w:r>
      <w:r>
        <w:rPr>
          <w:spacing w:val="-55"/>
        </w:rPr>
      </w:r>
      <w:r>
        <w:rPr>
          <w:spacing w:val="-6"/>
        </w:rPr>
        <w:t>业地位的持续提升，有利于公司继续保持和扩大市场份额，实现持续稳定发展。根据《金融时报》</w:t>
      </w:r>
      <w:r>
        <w:rPr>
          <w:spacing w:val="-51"/>
        </w:rPr>
        <w:t> </w:t>
      </w:r>
      <w:r>
        <w:rPr>
          <w:spacing w:val="-51"/>
        </w:rPr>
      </w:r>
      <w:r>
        <w:rPr/>
        <w:t>报道</w:t>
      </w:r>
      <w:r>
        <w:rPr>
          <w:rFonts w:ascii="宋体" w:hAnsi="宋体" w:cs="宋体" w:eastAsia="宋体" w:hint="default"/>
        </w:rPr>
        <w:t>,2017</w:t>
      </w:r>
      <w:r>
        <w:rPr>
          <w:rFonts w:ascii="宋体" w:hAnsi="宋体" w:cs="宋体" w:eastAsia="宋体" w:hint="default"/>
          <w:spacing w:val="-56"/>
        </w:rPr>
        <w:t> </w:t>
      </w:r>
      <w:r>
        <w:rPr/>
        <w:t>年国产</w:t>
      </w:r>
      <w:r>
        <w:rPr>
          <w:spacing w:val="-54"/>
        </w:rPr>
        <w:t> </w:t>
      </w:r>
      <w:r>
        <w:rPr>
          <w:rFonts w:ascii="宋体" w:hAnsi="宋体" w:cs="宋体" w:eastAsia="宋体" w:hint="default"/>
        </w:rPr>
        <w:t>ATM</w:t>
      </w:r>
      <w:r>
        <w:rPr>
          <w:rFonts w:ascii="宋体" w:hAnsi="宋体" w:cs="宋体" w:eastAsia="宋体" w:hint="default"/>
          <w:spacing w:val="-53"/>
        </w:rPr>
        <w:t> </w:t>
      </w:r>
      <w:r>
        <w:rPr/>
        <w:t>厂商主导了国内市场，公司市场占有率持续上升，稳居第二。</w:t>
      </w:r>
    </w:p>
    <w:p>
      <w:pPr>
        <w:pStyle w:val="Heading2"/>
        <w:spacing w:line="240" w:lineRule="auto" w:before="150"/>
        <w:ind w:left="560" w:right="3084"/>
        <w:jc w:val="left"/>
        <w:rPr>
          <w:b w:val="0"/>
          <w:bCs w:val="0"/>
        </w:rPr>
      </w:pPr>
      <w:r>
        <w:rPr>
          <w:rFonts w:ascii="宋体" w:hAnsi="宋体" w:cs="宋体" w:eastAsia="宋体" w:hint="default"/>
        </w:rPr>
        <w:t>2</w:t>
      </w:r>
      <w:r>
        <w:rPr/>
        <w:t>、公司主要产品的核心技术优势有助于公司增强市场竞争力</w:t>
      </w:r>
      <w:r>
        <w:rPr>
          <w:b w:val="0"/>
          <w:bCs w:val="0"/>
        </w:rPr>
      </w:r>
    </w:p>
    <w:p>
      <w:pPr>
        <w:spacing w:line="240" w:lineRule="auto" w:before="7"/>
        <w:rPr>
          <w:rFonts w:ascii="宋体" w:hAnsi="宋体" w:cs="宋体" w:eastAsia="宋体" w:hint="default"/>
          <w:b/>
          <w:bCs/>
          <w:sz w:val="19"/>
          <w:szCs w:val="19"/>
        </w:rPr>
      </w:pPr>
    </w:p>
    <w:p>
      <w:pPr>
        <w:pStyle w:val="BodyText"/>
        <w:spacing w:line="355" w:lineRule="auto"/>
        <w:ind w:right="310" w:firstLine="419"/>
        <w:jc w:val="both"/>
      </w:pPr>
      <w:r>
        <w:rPr>
          <w:spacing w:val="-2"/>
        </w:rPr>
        <w:t>公司的主要产品为现金类自助设备和非现金类自助设备，核心技术主要体现在硬件和软件两</w:t>
      </w:r>
      <w:r>
        <w:rPr>
          <w:w w:val="100"/>
        </w:rPr>
        <w:t> </w:t>
      </w:r>
      <w:r>
        <w:rPr/>
        <w:t>个方面。</w:t>
      </w:r>
    </w:p>
    <w:p>
      <w:pPr>
        <w:pStyle w:val="BodyText"/>
        <w:spacing w:line="357" w:lineRule="auto" w:before="152"/>
        <w:ind w:right="308" w:firstLine="419"/>
        <w:jc w:val="both"/>
      </w:pPr>
      <w:r>
        <w:rPr>
          <w:spacing w:val="-2"/>
        </w:rPr>
        <w:t>硬件核心技术包括机芯核心技术和整机设计及集成核心技术。机芯核心技术包括循环机芯、</w:t>
      </w:r>
      <w:r>
        <w:rPr>
          <w:w w:val="100"/>
        </w:rPr>
        <w:t> </w:t>
      </w:r>
      <w:r>
        <w:rPr>
          <w:spacing w:val="-1"/>
        </w:rPr>
        <w:t>出钞机芯的设计技术，具体包括高速摩擦出钞技术、钞票传输及检测技术、精密厚度测量技术、</w:t>
      </w:r>
      <w:r>
        <w:rPr>
          <w:spacing w:val="-55"/>
        </w:rPr>
        <w:t> </w:t>
      </w:r>
      <w:r>
        <w:rPr>
          <w:spacing w:val="-55"/>
        </w:rPr>
      </w:r>
      <w:r>
        <w:rPr>
          <w:spacing w:val="-6"/>
        </w:rPr>
        <w:t>一体化大容量钞箱设计技术、抓钞机械手技术、光机电一体化整合技术、精密传动机构设计技术、</w:t>
      </w:r>
      <w:r>
        <w:rPr>
          <w:spacing w:val="-54"/>
        </w:rPr>
        <w:t> </w:t>
      </w:r>
      <w:r>
        <w:rPr>
          <w:spacing w:val="-54"/>
        </w:rPr>
      </w:r>
      <w:r>
        <w:rPr>
          <w:spacing w:val="-1"/>
        </w:rPr>
        <w:t>针对钞票处理动作的复杂逻辑控制技术等。目前，公司已全面掌握上述机芯核心技术，公司自主</w:t>
      </w:r>
      <w:r>
        <w:rPr>
          <w:spacing w:val="-55"/>
        </w:rPr>
        <w:t> </w:t>
      </w:r>
      <w:r>
        <w:rPr>
          <w:spacing w:val="-55"/>
        </w:rPr>
      </w:r>
      <w:r>
        <w:rPr>
          <w:spacing w:val="-1"/>
        </w:rPr>
        <w:t>研发的循环机芯、出钞机芯生产技术已达到中试阶段，其钞票识别率和出钞速度等各项关键指标</w:t>
      </w:r>
      <w:r>
        <w:rPr>
          <w:spacing w:val="-54"/>
        </w:rPr>
        <w:t> </w:t>
      </w:r>
      <w:r>
        <w:rPr>
          <w:spacing w:val="-54"/>
        </w:rPr>
      </w:r>
      <w:r>
        <w:rPr>
          <w:spacing w:val="-1"/>
        </w:rPr>
        <w:t>均表现较好。本次首次公开发行股份的部分募集资金将用于新一代自主机芯的研发和生产项目，</w:t>
      </w:r>
      <w:r>
        <w:rPr>
          <w:spacing w:val="-56"/>
        </w:rPr>
        <w:t> </w:t>
      </w:r>
      <w:r>
        <w:rPr>
          <w:spacing w:val="-56"/>
        </w:rPr>
      </w:r>
      <w:r>
        <w:rPr/>
        <w:t>未来公司现金类自助设备将可使用自主研发的机芯。</w:t>
      </w:r>
    </w:p>
    <w:p>
      <w:pPr>
        <w:pStyle w:val="BodyText"/>
        <w:spacing w:line="355" w:lineRule="auto" w:before="152"/>
        <w:ind w:right="309" w:firstLine="419"/>
        <w:jc w:val="both"/>
        <w:rPr>
          <w:rFonts w:ascii="宋体" w:hAnsi="宋体" w:cs="宋体" w:eastAsia="宋体" w:hint="default"/>
        </w:rPr>
      </w:pPr>
      <w:r>
        <w:rPr>
          <w:spacing w:val="-2"/>
        </w:rPr>
        <w:t>软件是公司自助设备的重要核心技术。公司自助设备软件方面均为自主研发，包括机芯驱动</w:t>
      </w:r>
      <w:r>
        <w:rPr>
          <w:w w:val="100"/>
        </w:rPr>
        <w:t> </w:t>
      </w:r>
      <w:r>
        <w:rPr/>
        <w:t>软件、基础算法、基于国密算法的应用、基于国产</w:t>
      </w:r>
      <w:r>
        <w:rPr>
          <w:spacing w:val="-51"/>
        </w:rPr>
        <w:t> </w:t>
      </w:r>
      <w:r>
        <w:rPr>
          <w:rFonts w:ascii="宋体" w:hAnsi="宋体" w:cs="宋体" w:eastAsia="宋体" w:hint="default"/>
        </w:rPr>
        <w:t>Linux</w:t>
      </w:r>
      <w:r>
        <w:rPr>
          <w:rFonts w:ascii="宋体" w:hAnsi="宋体" w:cs="宋体" w:eastAsia="宋体" w:hint="default"/>
          <w:spacing w:val="-50"/>
        </w:rPr>
        <w:t> </w:t>
      </w:r>
      <w:r>
        <w:rPr/>
        <w:t>操作系统的应用、金融系统解决方案技</w:t>
      </w:r>
      <w:r>
        <w:rPr>
          <w:w w:val="100"/>
        </w:rPr>
        <w:t> </w:t>
      </w:r>
      <w:r>
        <w:rPr/>
        <w:t>术等。机芯驱动软件及相关工具研究主要针对不同品牌、型号的机芯模块，开发满足 </w:t>
      </w:r>
      <w:r>
        <w:rPr>
          <w:spacing w:val="1"/>
        </w:rPr>
        <w:t> </w:t>
      </w:r>
      <w:r>
        <w:rPr>
          <w:rFonts w:ascii="宋体" w:hAnsi="宋体" w:cs="宋体" w:eastAsia="宋体" w:hint="default"/>
        </w:rPr>
        <w:t>WOSA/XFS</w:t>
      </w:r>
    </w:p>
    <w:p>
      <w:pPr>
        <w:pStyle w:val="BodyText"/>
        <w:spacing w:line="357" w:lineRule="auto" w:before="32"/>
        <w:ind w:left="562" w:right="0" w:hanging="425"/>
        <w:jc w:val="left"/>
      </w:pPr>
      <w:r>
        <w:rPr>
          <w:spacing w:val="-2"/>
          <w:w w:val="100"/>
        </w:rPr>
        <w:t>标准及跨平台接口要求的</w:t>
      </w:r>
      <w:r>
        <w:rPr>
          <w:spacing w:val="-48"/>
          <w:w w:val="100"/>
        </w:rPr>
        <w:t> </w:t>
      </w:r>
      <w:r>
        <w:rPr>
          <w:rFonts w:ascii="宋体" w:hAnsi="宋体" w:cs="宋体" w:eastAsia="宋体" w:hint="default"/>
          <w:w w:val="100"/>
        </w:rPr>
        <w:t>SP</w:t>
      </w:r>
      <w:r>
        <w:rPr>
          <w:rFonts w:ascii="宋体" w:hAnsi="宋体" w:cs="宋体" w:eastAsia="宋体" w:hint="default"/>
          <w:spacing w:val="-46"/>
          <w:w w:val="100"/>
        </w:rPr>
        <w:t> </w:t>
      </w:r>
      <w:r>
        <w:rPr>
          <w:spacing w:val="-5"/>
          <w:w w:val="100"/>
        </w:rPr>
        <w:t>软件，其主要作用为驱动机芯模块正常运转并控制其相关指令的执行。</w:t>
      </w:r>
      <w:r>
        <w:rPr>
          <w:spacing w:val="-102"/>
          <w:w w:val="100"/>
        </w:rPr>
        <w:t> </w:t>
      </w:r>
      <w:r>
        <w:rPr>
          <w:spacing w:val="-102"/>
          <w:w w:val="100"/>
        </w:rPr>
      </w:r>
      <w:r>
        <w:rPr>
          <w:rFonts w:ascii="宋体" w:hAnsi="宋体" w:cs="宋体" w:eastAsia="宋体" w:hint="default"/>
          <w:b/>
          <w:bCs/>
        </w:rPr>
        <w:t>3</w:t>
      </w:r>
      <w:r>
        <w:rPr>
          <w:rFonts w:ascii="宋体" w:hAnsi="宋体" w:cs="宋体" w:eastAsia="宋体" w:hint="default"/>
          <w:b/>
          <w:bCs/>
        </w:rPr>
        <w:t>、成功登陆资本市场，融资渠道进一步拓宽</w:t>
      </w:r>
      <w:r>
        <w:rPr>
          <w:rFonts w:ascii="宋体" w:hAnsi="宋体" w:cs="宋体" w:eastAsia="宋体" w:hint="default"/>
          <w:b/>
          <w:bCs/>
          <w:w w:val="100"/>
        </w:rPr>
        <w:t> </w:t>
      </w:r>
      <w:r>
        <w:rPr/>
        <w:t>成功上市显著提升了公司美誉度和知名度，拓宽了融资平台，为实现主业上下新延伸提供了</w:t>
      </w:r>
    </w:p>
    <w:p>
      <w:pPr>
        <w:pStyle w:val="BodyText"/>
        <w:spacing w:line="240" w:lineRule="auto" w:before="30"/>
        <w:ind w:right="227"/>
        <w:jc w:val="left"/>
      </w:pPr>
      <w:r>
        <w:rPr/>
        <w:t>资本支持，公司将借力资本市场，打造强劲的资金链、科技链和产业链，通过一系列资本运作开</w:t>
      </w:r>
    </w:p>
    <w:p>
      <w:pPr>
        <w:spacing w:after="0" w:line="240" w:lineRule="auto"/>
        <w:jc w:val="left"/>
        <w:sectPr>
          <w:pgSz w:w="11910" w:h="16840"/>
          <w:pgMar w:header="880" w:footer="1195" w:top="1120" w:bottom="1380" w:left="1660" w:right="960"/>
        </w:sectPr>
      </w:pPr>
    </w:p>
    <w:p>
      <w:pPr>
        <w:spacing w:line="240" w:lineRule="auto" w:before="4"/>
        <w:rPr>
          <w:rFonts w:ascii="宋体" w:hAnsi="宋体" w:cs="宋体" w:eastAsia="宋体" w:hint="default"/>
          <w:sz w:val="25"/>
          <w:szCs w:val="25"/>
        </w:rPr>
      </w:pPr>
    </w:p>
    <w:p>
      <w:pPr>
        <w:pStyle w:val="BodyText"/>
        <w:spacing w:line="357" w:lineRule="auto" w:before="36"/>
        <w:ind w:right="128"/>
        <w:jc w:val="both"/>
      </w:pPr>
      <w:r>
        <w:rPr>
          <w:spacing w:val="-1"/>
        </w:rPr>
        <w:t>展并购，实现稳健扩张和产业整合，推动建立智慧银行解决方案完善产业体系，有效促进公司在</w:t>
      </w:r>
      <w:r>
        <w:rPr>
          <w:spacing w:val="-55"/>
        </w:rPr>
        <w:t> </w:t>
      </w:r>
      <w:r>
        <w:rPr>
          <w:spacing w:val="-55"/>
        </w:rPr>
      </w:r>
      <w:r>
        <w:rPr>
          <w:spacing w:val="-1"/>
        </w:rPr>
        <w:t>金融科技领域继续深耕，发展新兴技术、打造创新产品、掌握核心部件，不断推出促进金融服务</w:t>
      </w:r>
      <w:r>
        <w:rPr>
          <w:spacing w:val="-55"/>
        </w:rPr>
        <w:t> </w:t>
      </w:r>
      <w:r>
        <w:rPr>
          <w:spacing w:val="-55"/>
        </w:rPr>
      </w:r>
      <w:r>
        <w:rPr/>
        <w:t>优化变革的产品和方案，使得公司可以继续做大做强。</w:t>
      </w:r>
    </w:p>
    <w:p>
      <w:pPr>
        <w:spacing w:line="355" w:lineRule="auto" w:before="30"/>
        <w:ind w:left="562" w:right="0"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、募投项目的推动落实，产生新的效益增长</w:t>
      </w:r>
      <w:r>
        <w:rPr>
          <w:rFonts w:ascii="宋体" w:hAnsi="宋体" w:cs="宋体" w:eastAsia="宋体" w:hint="default"/>
          <w:b/>
          <w:bCs/>
          <w:w w:val="100"/>
          <w:sz w:val="21"/>
          <w:szCs w:val="21"/>
        </w:rPr>
        <w:t> </w:t>
      </w:r>
      <w:r>
        <w:rPr>
          <w:rFonts w:ascii="宋体" w:hAnsi="宋体" w:cs="宋体" w:eastAsia="宋体" w:hint="default"/>
          <w:spacing w:val="-2"/>
          <w:sz w:val="21"/>
          <w:szCs w:val="21"/>
        </w:rPr>
        <w:t>新一代现金循环设备与核心模块研发及产业化项目、银行智慧柜台与新型互联网支付终端研</w:t>
      </w:r>
    </w:p>
    <w:p>
      <w:pPr>
        <w:pStyle w:val="BodyText"/>
        <w:spacing w:line="357" w:lineRule="auto" w:before="32"/>
        <w:ind w:right="128"/>
        <w:jc w:val="both"/>
      </w:pPr>
      <w:r>
        <w:rPr>
          <w:spacing w:val="-1"/>
        </w:rPr>
        <w:t>发及产业化项目、恒银金融研究院建设项目、营销与服务网络及智能支撑平台建设项目的推动落</w:t>
      </w:r>
      <w:r>
        <w:rPr>
          <w:spacing w:val="-55"/>
        </w:rPr>
        <w:t> </w:t>
      </w:r>
      <w:r>
        <w:rPr>
          <w:spacing w:val="-55"/>
        </w:rPr>
      </w:r>
      <w:r>
        <w:rPr>
          <w:spacing w:val="-1"/>
        </w:rPr>
        <w:t>实，将完善和提升公司组织体系和价值链。同时，在人工智能、机器人领域、互联网支付渠道及</w:t>
      </w:r>
      <w:r>
        <w:rPr>
          <w:spacing w:val="-55"/>
        </w:rPr>
        <w:t> </w:t>
      </w:r>
      <w:r>
        <w:rPr>
          <w:spacing w:val="-55"/>
        </w:rPr>
      </w:r>
      <w:r>
        <w:rPr>
          <w:spacing w:val="-1"/>
        </w:rPr>
        <w:t>终端领域，在人脸识别、语音识别等生物识别领域深挖市场需求，提升研发实力，创造新的供给</w:t>
      </w:r>
      <w:r>
        <w:rPr>
          <w:spacing w:val="-55"/>
        </w:rPr>
        <w:t> </w:t>
      </w:r>
      <w:r>
        <w:rPr>
          <w:spacing w:val="-55"/>
        </w:rPr>
      </w:r>
      <w:r>
        <w:rPr/>
        <w:t>机会，形成新的产品效益，全面提升企业核心竞争力和市场占有率。</w:t>
      </w:r>
    </w:p>
    <w:p>
      <w:pPr>
        <w:pStyle w:val="Heading2"/>
        <w:spacing w:line="240" w:lineRule="auto" w:before="150"/>
        <w:ind w:left="560" w:right="0"/>
        <w:jc w:val="left"/>
        <w:rPr>
          <w:b w:val="0"/>
          <w:bCs w:val="0"/>
        </w:rPr>
      </w:pPr>
      <w:r>
        <w:rPr>
          <w:rFonts w:ascii="宋体" w:hAnsi="宋体" w:cs="宋体" w:eastAsia="宋体" w:hint="default"/>
        </w:rPr>
        <w:t>5</w:t>
      </w:r>
      <w:r>
        <w:rPr/>
        <w:t>、遍布全国的原厂售后服务网络和即时响应能力有效提升了客户满意度</w:t>
      </w:r>
      <w:r>
        <w:rPr>
          <w:b w:val="0"/>
          <w:bCs w:val="0"/>
        </w:rPr>
      </w:r>
    </w:p>
    <w:p>
      <w:pPr>
        <w:spacing w:line="240" w:lineRule="auto" w:before="7"/>
        <w:rPr>
          <w:rFonts w:ascii="宋体" w:hAnsi="宋体" w:cs="宋体" w:eastAsia="宋体" w:hint="default"/>
          <w:b/>
          <w:bCs/>
          <w:sz w:val="19"/>
          <w:szCs w:val="19"/>
        </w:rPr>
      </w:pPr>
    </w:p>
    <w:p>
      <w:pPr>
        <w:pStyle w:val="BodyText"/>
        <w:spacing w:line="355" w:lineRule="auto"/>
        <w:ind w:right="127" w:firstLine="419"/>
        <w:jc w:val="both"/>
      </w:pPr>
      <w:r>
        <w:rPr/>
        <w:t>公司建立了</w:t>
      </w:r>
      <w:r>
        <w:rPr>
          <w:spacing w:val="-50"/>
        </w:rPr>
        <w:t> </w:t>
      </w:r>
      <w:r>
        <w:rPr>
          <w:rFonts w:ascii="宋体" w:hAnsi="宋体" w:cs="宋体" w:eastAsia="宋体" w:hint="default"/>
        </w:rPr>
        <w:t>24</w:t>
      </w:r>
      <w:r>
        <w:rPr>
          <w:rFonts w:ascii="宋体" w:hAnsi="宋体" w:cs="宋体" w:eastAsia="宋体" w:hint="default"/>
          <w:spacing w:val="-53"/>
        </w:rPr>
        <w:t> </w:t>
      </w:r>
      <w:r>
        <w:rPr/>
        <w:t>小时全天候技术支持服务机构和客户服务应急响应机制，拥有覆盖</w:t>
      </w:r>
      <w:r>
        <w:rPr>
          <w:spacing w:val="-50"/>
        </w:rPr>
        <w:t> </w:t>
      </w:r>
      <w:r>
        <w:rPr>
          <w:rFonts w:ascii="宋体" w:hAnsi="宋体" w:cs="宋体" w:eastAsia="宋体" w:hint="default"/>
        </w:rPr>
        <w:t>31</w:t>
      </w:r>
      <w:r>
        <w:rPr>
          <w:rFonts w:ascii="宋体" w:hAnsi="宋体" w:cs="宋体" w:eastAsia="宋体" w:hint="default"/>
          <w:spacing w:val="-53"/>
        </w:rPr>
        <w:t> </w:t>
      </w:r>
      <w:r>
        <w:rPr/>
        <w:t>个省级</w:t>
      </w:r>
      <w:r>
        <w:rPr>
          <w:w w:val="100"/>
        </w:rPr>
        <w:t> </w:t>
      </w:r>
      <w:r>
        <w:rPr>
          <w:spacing w:val="-3"/>
        </w:rPr>
        <w:t>行政区的客服网络，提供全年（包括节假日）</w:t>
      </w:r>
      <w:r>
        <w:rPr>
          <w:rFonts w:ascii="宋体" w:hAnsi="宋体" w:cs="宋体" w:eastAsia="宋体" w:hint="default"/>
          <w:spacing w:val="-3"/>
        </w:rPr>
        <w:t>7*24</w:t>
      </w:r>
      <w:r>
        <w:rPr>
          <w:rFonts w:ascii="宋体" w:hAnsi="宋体" w:cs="宋体" w:eastAsia="宋体" w:hint="default"/>
          <w:spacing w:val="-41"/>
        </w:rPr>
        <w:t> </w:t>
      </w:r>
      <w:r>
        <w:rPr/>
        <w:t>小时的专人热线电话服务及现场维保服务。公</w:t>
      </w:r>
      <w:r>
        <w:rPr>
          <w:spacing w:val="-98"/>
        </w:rPr>
        <w:t> </w:t>
      </w:r>
      <w:r>
        <w:rPr>
          <w:spacing w:val="-98"/>
        </w:rPr>
      </w:r>
      <w:r>
        <w:rPr/>
        <w:t>司客服中心下属</w:t>
      </w:r>
      <w:r>
        <w:rPr>
          <w:spacing w:val="-51"/>
        </w:rPr>
        <w:t> </w:t>
      </w:r>
      <w:r>
        <w:rPr>
          <w:rFonts w:ascii="宋体" w:hAnsi="宋体" w:cs="宋体" w:eastAsia="宋体" w:hint="default"/>
        </w:rPr>
        <w:t>7</w:t>
      </w:r>
      <w:r>
        <w:rPr>
          <w:rFonts w:ascii="宋体" w:hAnsi="宋体" w:cs="宋体" w:eastAsia="宋体" w:hint="default"/>
          <w:spacing w:val="-49"/>
        </w:rPr>
        <w:t> </w:t>
      </w:r>
      <w:r>
        <w:rPr/>
        <w:t>个区域管理中心，充足的备件供应及物流体系，可随时保证全部设备的备件更</w:t>
      </w:r>
      <w:r>
        <w:rPr>
          <w:w w:val="100"/>
        </w:rPr>
        <w:t> </w:t>
      </w:r>
      <w:r>
        <w:rPr/>
        <w:t>换。</w:t>
      </w:r>
    </w:p>
    <w:p>
      <w:pPr>
        <w:spacing w:line="240" w:lineRule="auto" w:before="1"/>
        <w:rPr>
          <w:rFonts w:ascii="宋体" w:hAnsi="宋体" w:cs="宋体" w:eastAsia="宋体" w:hint="default"/>
          <w:sz w:val="5"/>
          <w:szCs w:val="5"/>
        </w:rPr>
      </w:pPr>
    </w:p>
    <w:p>
      <w:pPr>
        <w:spacing w:line="5955" w:lineRule="exact"/>
        <w:ind w:left="186" w:right="0" w:firstLine="0"/>
        <w:rPr>
          <w:rFonts w:ascii="宋体" w:hAnsi="宋体" w:cs="宋体" w:eastAsia="宋体" w:hint="default"/>
          <w:sz w:val="20"/>
          <w:szCs w:val="20"/>
        </w:rPr>
      </w:pPr>
      <w:r>
        <w:rPr>
          <w:rFonts w:ascii="宋体" w:hAnsi="宋体" w:cs="宋体" w:eastAsia="宋体" w:hint="default"/>
          <w:position w:val="-118"/>
          <w:sz w:val="20"/>
          <w:szCs w:val="20"/>
        </w:rPr>
        <w:drawing>
          <wp:inline distT="0" distB="0" distL="0" distR="0">
            <wp:extent cx="5586832" cy="378161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3" cstate="print"/>
                    <a:stretch>
                      <a:fillRect/>
                    </a:stretch>
                  </pic:blipFill>
                  <pic:spPr>
                    <a:xfrm>
                      <a:off x="0" y="0"/>
                      <a:ext cx="5586832" cy="3781615"/>
                    </a:xfrm>
                    <a:prstGeom prst="rect">
                      <a:avLst/>
                    </a:prstGeom>
                  </pic:spPr>
                </pic:pic>
              </a:graphicData>
            </a:graphic>
          </wp:inline>
        </w:drawing>
      </w:r>
      <w:r>
        <w:rPr>
          <w:rFonts w:ascii="宋体" w:hAnsi="宋体" w:cs="宋体" w:eastAsia="宋体" w:hint="default"/>
          <w:position w:val="-118"/>
          <w:sz w:val="20"/>
          <w:szCs w:val="20"/>
        </w:rPr>
      </w:r>
    </w:p>
    <w:p>
      <w:pPr>
        <w:spacing w:line="240" w:lineRule="auto" w:before="9"/>
        <w:rPr>
          <w:rFonts w:ascii="宋体" w:hAnsi="宋体" w:cs="宋体" w:eastAsia="宋体" w:hint="default"/>
          <w:sz w:val="8"/>
          <w:szCs w:val="8"/>
        </w:rPr>
      </w:pPr>
    </w:p>
    <w:tbl>
      <w:tblPr>
        <w:tblW w:w="0" w:type="auto"/>
        <w:jc w:val="left"/>
        <w:tblInd w:w="291" w:type="dxa"/>
        <w:tblLayout w:type="fixed"/>
        <w:tblCellMar>
          <w:top w:w="0" w:type="dxa"/>
          <w:left w:w="0" w:type="dxa"/>
          <w:bottom w:w="0" w:type="dxa"/>
          <w:right w:w="0" w:type="dxa"/>
        </w:tblCellMar>
        <w:tblLook w:val="01E0"/>
      </w:tblPr>
      <w:tblGrid>
        <w:gridCol w:w="2158"/>
        <w:gridCol w:w="1618"/>
        <w:gridCol w:w="4722"/>
      </w:tblGrid>
      <w:tr>
        <w:trPr>
          <w:trHeight w:val="403" w:hRule="exact"/>
        </w:trPr>
        <w:tc>
          <w:tcPr>
            <w:tcW w:w="2158"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23"/>
              <w:ind w:right="10"/>
              <w:jc w:val="center"/>
              <w:rPr>
                <w:rFonts w:ascii="宋体" w:hAnsi="宋体" w:cs="宋体" w:eastAsia="宋体" w:hint="default"/>
                <w:sz w:val="21"/>
                <w:szCs w:val="21"/>
              </w:rPr>
            </w:pPr>
            <w:r>
              <w:rPr>
                <w:rFonts w:ascii="宋体" w:hAnsi="宋体" w:cs="宋体" w:eastAsia="宋体" w:hint="default"/>
                <w:b/>
                <w:bCs/>
                <w:sz w:val="21"/>
                <w:szCs w:val="21"/>
              </w:rPr>
              <w:t>区域</w:t>
            </w:r>
            <w:r>
              <w:rPr>
                <w:rFonts w:ascii="宋体" w:hAnsi="宋体" w:cs="宋体" w:eastAsia="宋体" w:hint="default"/>
                <w:sz w:val="21"/>
                <w:szCs w:val="21"/>
              </w:rPr>
            </w:r>
          </w:p>
        </w:tc>
        <w:tc>
          <w:tcPr>
            <w:tcW w:w="16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b/>
                <w:bCs/>
                <w:sz w:val="21"/>
                <w:szCs w:val="21"/>
              </w:rPr>
              <w:t>管理中心位置</w:t>
            </w:r>
            <w:r>
              <w:rPr>
                <w:rFonts w:ascii="宋体" w:hAnsi="宋体" w:cs="宋体" w:eastAsia="宋体" w:hint="default"/>
                <w:sz w:val="21"/>
                <w:szCs w:val="21"/>
              </w:rPr>
            </w:r>
          </w:p>
        </w:tc>
        <w:tc>
          <w:tcPr>
            <w:tcW w:w="4722"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3"/>
              <w:ind w:left="6" w:right="0"/>
              <w:jc w:val="center"/>
              <w:rPr>
                <w:rFonts w:ascii="宋体" w:hAnsi="宋体" w:cs="宋体" w:eastAsia="宋体" w:hint="default"/>
                <w:sz w:val="21"/>
                <w:szCs w:val="21"/>
              </w:rPr>
            </w:pPr>
            <w:r>
              <w:rPr>
                <w:rFonts w:ascii="宋体" w:hAnsi="宋体" w:cs="宋体" w:eastAsia="宋体" w:hint="default"/>
                <w:b/>
                <w:bCs/>
                <w:sz w:val="21"/>
                <w:szCs w:val="21"/>
              </w:rPr>
              <w:t>辐射范围</w:t>
            </w:r>
            <w:r>
              <w:rPr>
                <w:rFonts w:ascii="宋体" w:hAnsi="宋体" w:cs="宋体" w:eastAsia="宋体" w:hint="default"/>
                <w:sz w:val="21"/>
                <w:szCs w:val="21"/>
              </w:rPr>
            </w:r>
          </w:p>
        </w:tc>
      </w:tr>
      <w:tr>
        <w:trPr>
          <w:trHeight w:val="394" w:hRule="exact"/>
        </w:trPr>
        <w:tc>
          <w:tcPr>
            <w:tcW w:w="215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3"/>
              <w:ind w:right="8"/>
              <w:jc w:val="center"/>
              <w:rPr>
                <w:rFonts w:ascii="宋体" w:hAnsi="宋体" w:cs="宋体" w:eastAsia="宋体" w:hint="default"/>
                <w:sz w:val="21"/>
                <w:szCs w:val="21"/>
              </w:rPr>
            </w:pPr>
            <w:r>
              <w:rPr>
                <w:rFonts w:ascii="宋体" w:hAnsi="宋体" w:cs="宋体" w:eastAsia="宋体" w:hint="default"/>
                <w:sz w:val="21"/>
                <w:szCs w:val="21"/>
              </w:rPr>
              <w:t>华北区域管理中心</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天津</w:t>
            </w:r>
          </w:p>
        </w:tc>
        <w:tc>
          <w:tcPr>
            <w:tcW w:w="47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北京、天津、河北、山西、内蒙古、山东</w:t>
            </w:r>
          </w:p>
        </w:tc>
      </w:tr>
      <w:tr>
        <w:trPr>
          <w:trHeight w:val="394" w:hRule="exact"/>
        </w:trPr>
        <w:tc>
          <w:tcPr>
            <w:tcW w:w="215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1"/>
              <w:ind w:right="8"/>
              <w:jc w:val="center"/>
              <w:rPr>
                <w:rFonts w:ascii="宋体" w:hAnsi="宋体" w:cs="宋体" w:eastAsia="宋体" w:hint="default"/>
                <w:sz w:val="21"/>
                <w:szCs w:val="21"/>
              </w:rPr>
            </w:pPr>
            <w:r>
              <w:rPr>
                <w:rFonts w:ascii="宋体" w:hAnsi="宋体" w:cs="宋体" w:eastAsia="宋体" w:hint="default"/>
                <w:sz w:val="21"/>
                <w:szCs w:val="21"/>
              </w:rPr>
              <w:t>华东区域管理中心</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上海</w:t>
            </w:r>
          </w:p>
        </w:tc>
        <w:tc>
          <w:tcPr>
            <w:tcW w:w="47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上海、江苏、浙江、安徽</w:t>
            </w:r>
          </w:p>
        </w:tc>
      </w:tr>
      <w:tr>
        <w:trPr>
          <w:trHeight w:val="401" w:hRule="exact"/>
        </w:trPr>
        <w:tc>
          <w:tcPr>
            <w:tcW w:w="215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1"/>
              <w:ind w:right="8"/>
              <w:jc w:val="center"/>
              <w:rPr>
                <w:rFonts w:ascii="宋体" w:hAnsi="宋体" w:cs="宋体" w:eastAsia="宋体" w:hint="default"/>
                <w:sz w:val="21"/>
                <w:szCs w:val="21"/>
              </w:rPr>
            </w:pPr>
            <w:r>
              <w:rPr>
                <w:rFonts w:ascii="宋体" w:hAnsi="宋体" w:cs="宋体" w:eastAsia="宋体" w:hint="default"/>
                <w:sz w:val="21"/>
                <w:szCs w:val="21"/>
              </w:rPr>
              <w:t>华中区域管理中心</w:t>
            </w:r>
          </w:p>
        </w:tc>
        <w:tc>
          <w:tcPr>
            <w:tcW w:w="16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郑州</w:t>
            </w:r>
          </w:p>
        </w:tc>
        <w:tc>
          <w:tcPr>
            <w:tcW w:w="472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河南、湖北、江西</w:t>
            </w:r>
          </w:p>
        </w:tc>
      </w:tr>
    </w:tbl>
    <w:p>
      <w:pPr>
        <w:spacing w:after="0" w:line="240" w:lineRule="auto"/>
        <w:jc w:val="left"/>
        <w:rPr>
          <w:rFonts w:ascii="宋体" w:hAnsi="宋体" w:cs="宋体" w:eastAsia="宋体" w:hint="default"/>
          <w:sz w:val="21"/>
          <w:szCs w:val="21"/>
        </w:rPr>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291" w:type="dxa"/>
        <w:tblLayout w:type="fixed"/>
        <w:tblCellMar>
          <w:top w:w="0" w:type="dxa"/>
          <w:left w:w="0" w:type="dxa"/>
          <w:bottom w:w="0" w:type="dxa"/>
          <w:right w:w="0" w:type="dxa"/>
        </w:tblCellMar>
        <w:tblLook w:val="01E0"/>
      </w:tblPr>
      <w:tblGrid>
        <w:gridCol w:w="2158"/>
        <w:gridCol w:w="1618"/>
        <w:gridCol w:w="4722"/>
      </w:tblGrid>
      <w:tr>
        <w:trPr>
          <w:trHeight w:val="404" w:hRule="exact"/>
        </w:trPr>
        <w:tc>
          <w:tcPr>
            <w:tcW w:w="2158"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24"/>
              <w:ind w:right="10"/>
              <w:jc w:val="center"/>
              <w:rPr>
                <w:rFonts w:ascii="宋体" w:hAnsi="宋体" w:cs="宋体" w:eastAsia="宋体" w:hint="default"/>
                <w:sz w:val="21"/>
                <w:szCs w:val="21"/>
              </w:rPr>
            </w:pPr>
            <w:r>
              <w:rPr>
                <w:rFonts w:ascii="宋体" w:hAnsi="宋体" w:cs="宋体" w:eastAsia="宋体" w:hint="default"/>
                <w:b/>
                <w:bCs/>
                <w:sz w:val="21"/>
                <w:szCs w:val="21"/>
              </w:rPr>
              <w:t>区域</w:t>
            </w:r>
            <w:r>
              <w:rPr>
                <w:rFonts w:ascii="宋体" w:hAnsi="宋体" w:cs="宋体" w:eastAsia="宋体" w:hint="default"/>
                <w:sz w:val="21"/>
                <w:szCs w:val="21"/>
              </w:rPr>
            </w:r>
          </w:p>
        </w:tc>
        <w:tc>
          <w:tcPr>
            <w:tcW w:w="16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b/>
                <w:bCs/>
                <w:sz w:val="21"/>
                <w:szCs w:val="21"/>
              </w:rPr>
              <w:t>管理中心位置</w:t>
            </w:r>
            <w:r>
              <w:rPr>
                <w:rFonts w:ascii="宋体" w:hAnsi="宋体" w:cs="宋体" w:eastAsia="宋体" w:hint="default"/>
                <w:sz w:val="21"/>
                <w:szCs w:val="21"/>
              </w:rPr>
            </w:r>
          </w:p>
        </w:tc>
        <w:tc>
          <w:tcPr>
            <w:tcW w:w="4722"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4"/>
              <w:ind w:left="6" w:right="0"/>
              <w:jc w:val="center"/>
              <w:rPr>
                <w:rFonts w:ascii="宋体" w:hAnsi="宋体" w:cs="宋体" w:eastAsia="宋体" w:hint="default"/>
                <w:sz w:val="21"/>
                <w:szCs w:val="21"/>
              </w:rPr>
            </w:pPr>
            <w:r>
              <w:rPr>
                <w:rFonts w:ascii="宋体" w:hAnsi="宋体" w:cs="宋体" w:eastAsia="宋体" w:hint="default"/>
                <w:b/>
                <w:bCs/>
                <w:sz w:val="21"/>
                <w:szCs w:val="21"/>
              </w:rPr>
              <w:t>辐射范围</w:t>
            </w:r>
            <w:r>
              <w:rPr>
                <w:rFonts w:ascii="宋体" w:hAnsi="宋体" w:cs="宋体" w:eastAsia="宋体" w:hint="default"/>
                <w:sz w:val="21"/>
                <w:szCs w:val="21"/>
              </w:rPr>
            </w:r>
          </w:p>
        </w:tc>
      </w:tr>
      <w:tr>
        <w:trPr>
          <w:trHeight w:val="394" w:hRule="exact"/>
        </w:trPr>
        <w:tc>
          <w:tcPr>
            <w:tcW w:w="215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3"/>
              <w:ind w:right="8"/>
              <w:jc w:val="center"/>
              <w:rPr>
                <w:rFonts w:ascii="宋体" w:hAnsi="宋体" w:cs="宋体" w:eastAsia="宋体" w:hint="default"/>
                <w:sz w:val="21"/>
                <w:szCs w:val="21"/>
              </w:rPr>
            </w:pPr>
            <w:r>
              <w:rPr>
                <w:rFonts w:ascii="宋体" w:hAnsi="宋体" w:cs="宋体" w:eastAsia="宋体" w:hint="default"/>
                <w:sz w:val="21"/>
                <w:szCs w:val="21"/>
              </w:rPr>
              <w:t>华南区域管理中心</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广州</w:t>
            </w:r>
          </w:p>
        </w:tc>
        <w:tc>
          <w:tcPr>
            <w:tcW w:w="47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广东、海南、广西、湖南、福建</w:t>
            </w:r>
          </w:p>
        </w:tc>
      </w:tr>
      <w:tr>
        <w:trPr>
          <w:trHeight w:val="394" w:hRule="exact"/>
        </w:trPr>
        <w:tc>
          <w:tcPr>
            <w:tcW w:w="215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1"/>
              <w:ind w:right="8"/>
              <w:jc w:val="center"/>
              <w:rPr>
                <w:rFonts w:ascii="宋体" w:hAnsi="宋体" w:cs="宋体" w:eastAsia="宋体" w:hint="default"/>
                <w:sz w:val="21"/>
                <w:szCs w:val="21"/>
              </w:rPr>
            </w:pPr>
            <w:r>
              <w:rPr>
                <w:rFonts w:ascii="宋体" w:hAnsi="宋体" w:cs="宋体" w:eastAsia="宋体" w:hint="default"/>
                <w:sz w:val="21"/>
                <w:szCs w:val="21"/>
              </w:rPr>
              <w:t>西南区域管理中心</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成都</w:t>
            </w:r>
          </w:p>
        </w:tc>
        <w:tc>
          <w:tcPr>
            <w:tcW w:w="47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重庆、四川、贵州、云南、西藏</w:t>
            </w:r>
          </w:p>
        </w:tc>
      </w:tr>
      <w:tr>
        <w:trPr>
          <w:trHeight w:val="394" w:hRule="exact"/>
        </w:trPr>
        <w:tc>
          <w:tcPr>
            <w:tcW w:w="215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1"/>
              <w:ind w:right="8"/>
              <w:jc w:val="center"/>
              <w:rPr>
                <w:rFonts w:ascii="宋体" w:hAnsi="宋体" w:cs="宋体" w:eastAsia="宋体" w:hint="default"/>
                <w:sz w:val="21"/>
                <w:szCs w:val="21"/>
              </w:rPr>
            </w:pPr>
            <w:r>
              <w:rPr>
                <w:rFonts w:ascii="宋体" w:hAnsi="宋体" w:cs="宋体" w:eastAsia="宋体" w:hint="default"/>
                <w:sz w:val="21"/>
                <w:szCs w:val="21"/>
              </w:rPr>
              <w:t>西北区域管理中心</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西安</w:t>
            </w:r>
          </w:p>
        </w:tc>
        <w:tc>
          <w:tcPr>
            <w:tcW w:w="47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新疆、陕西、甘肃、青海、宁夏</w:t>
            </w:r>
          </w:p>
        </w:tc>
      </w:tr>
      <w:tr>
        <w:trPr>
          <w:trHeight w:val="401" w:hRule="exact"/>
        </w:trPr>
        <w:tc>
          <w:tcPr>
            <w:tcW w:w="215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1"/>
              <w:ind w:right="8"/>
              <w:jc w:val="center"/>
              <w:rPr>
                <w:rFonts w:ascii="宋体" w:hAnsi="宋体" w:cs="宋体" w:eastAsia="宋体" w:hint="default"/>
                <w:sz w:val="21"/>
                <w:szCs w:val="21"/>
              </w:rPr>
            </w:pPr>
            <w:r>
              <w:rPr>
                <w:rFonts w:ascii="宋体" w:hAnsi="宋体" w:cs="宋体" w:eastAsia="宋体" w:hint="default"/>
                <w:sz w:val="21"/>
                <w:szCs w:val="21"/>
              </w:rPr>
              <w:t>东北区域管理中心</w:t>
            </w:r>
          </w:p>
        </w:tc>
        <w:tc>
          <w:tcPr>
            <w:tcW w:w="16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沈阳</w:t>
            </w:r>
          </w:p>
        </w:tc>
        <w:tc>
          <w:tcPr>
            <w:tcW w:w="472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辽宁、吉林、黑龙江</w:t>
            </w:r>
          </w:p>
        </w:tc>
      </w:tr>
    </w:tbl>
    <w:p>
      <w:pPr>
        <w:spacing w:line="400" w:lineRule="auto" w:before="88"/>
        <w:ind w:left="558" w:right="98" w:firstLine="2"/>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、优秀的研发及自主创新能力为公司保持国产化领先地位提供了有力支持</w:t>
      </w:r>
      <w:r>
        <w:rPr>
          <w:rFonts w:ascii="宋体" w:hAnsi="宋体" w:cs="宋体" w:eastAsia="宋体" w:hint="default"/>
          <w:b/>
          <w:bCs/>
          <w:w w:val="100"/>
          <w:sz w:val="21"/>
          <w:szCs w:val="21"/>
        </w:rPr>
        <w:t> </w:t>
      </w:r>
      <w:r>
        <w:rPr>
          <w:rFonts w:ascii="宋体" w:hAnsi="宋体" w:cs="宋体" w:eastAsia="宋体" w:hint="default"/>
          <w:spacing w:val="-2"/>
          <w:sz w:val="21"/>
          <w:szCs w:val="21"/>
        </w:rPr>
        <w:t>公司拥有产品研发中心、软件研发中心、博士后科研工作站、信息技术部、移动支付事业部</w:t>
      </w:r>
    </w:p>
    <w:p>
      <w:pPr>
        <w:pStyle w:val="BodyText"/>
        <w:spacing w:line="357" w:lineRule="auto"/>
        <w:ind w:right="208"/>
        <w:jc w:val="both"/>
      </w:pPr>
      <w:r>
        <w:rPr/>
        <w:t>等</w:t>
      </w:r>
      <w:r>
        <w:rPr>
          <w:spacing w:val="-51"/>
        </w:rPr>
        <w:t> </w:t>
      </w:r>
      <w:r>
        <w:rPr>
          <w:rFonts w:ascii="宋体" w:hAnsi="宋体" w:cs="宋体" w:eastAsia="宋体" w:hint="default"/>
        </w:rPr>
        <w:t>5</w:t>
      </w:r>
      <w:r>
        <w:rPr>
          <w:rFonts w:ascii="宋体" w:hAnsi="宋体" w:cs="宋体" w:eastAsia="宋体" w:hint="default"/>
          <w:spacing w:val="-49"/>
        </w:rPr>
        <w:t> </w:t>
      </w:r>
      <w:r>
        <w:rPr/>
        <w:t>个研发部门，拥有一支由博士、硕士和研究员、高级工程师等资深专家组成的开放、创新、</w:t>
      </w:r>
      <w:r>
        <w:rPr>
          <w:w w:val="100"/>
        </w:rPr>
        <w:t> </w:t>
      </w:r>
      <w:r>
        <w:rPr>
          <w:spacing w:val="-1"/>
        </w:rPr>
        <w:t>经验丰富的研发及管理团队，依托公司设立的天津市金融自助设备工程技术中心、企业技术中心</w:t>
      </w:r>
      <w:r>
        <w:rPr>
          <w:spacing w:val="-55"/>
        </w:rPr>
        <w:t> </w:t>
      </w:r>
      <w:r>
        <w:rPr>
          <w:spacing w:val="-55"/>
        </w:rPr>
      </w:r>
      <w:r>
        <w:rPr>
          <w:spacing w:val="-1"/>
        </w:rPr>
        <w:t>以及院士专家工作站等研发机构，拥有配备先进开发试验设备和检测分析仪器的独立研发及试验</w:t>
      </w:r>
      <w:r>
        <w:rPr>
          <w:spacing w:val="-55"/>
        </w:rPr>
        <w:t> </w:t>
      </w:r>
      <w:r>
        <w:rPr>
          <w:spacing w:val="-55"/>
        </w:rPr>
      </w:r>
      <w:r>
        <w:rPr>
          <w:spacing w:val="-1"/>
        </w:rPr>
        <w:t>场所。公司获批成为全国信息技术标准化技术委员会自助服务设备标准工作组组长单位，并积极</w:t>
      </w:r>
      <w:r>
        <w:rPr>
          <w:spacing w:val="-55"/>
        </w:rPr>
        <w:t> </w:t>
      </w:r>
      <w:r>
        <w:rPr>
          <w:spacing w:val="-55"/>
        </w:rPr>
      </w:r>
      <w:r>
        <w:rPr/>
        <w:t>参加标准制定工作，牵头主笔制定和参与起草</w:t>
      </w:r>
      <w:r>
        <w:rPr>
          <w:spacing w:val="-54"/>
        </w:rPr>
        <w:t> </w:t>
      </w:r>
      <w:r>
        <w:rPr>
          <w:rFonts w:ascii="宋体" w:hAnsi="宋体" w:cs="宋体" w:eastAsia="宋体" w:hint="default"/>
        </w:rPr>
        <w:t>8</w:t>
      </w:r>
      <w:r>
        <w:rPr>
          <w:rFonts w:ascii="宋体" w:hAnsi="宋体" w:cs="宋体" w:eastAsia="宋体" w:hint="default"/>
          <w:spacing w:val="-54"/>
        </w:rPr>
        <w:t> </w:t>
      </w:r>
      <w:r>
        <w:rPr/>
        <w:t>项国家标准。</w:t>
      </w:r>
    </w:p>
    <w:p>
      <w:pPr>
        <w:pStyle w:val="BodyText"/>
        <w:spacing w:line="355" w:lineRule="auto" w:before="80"/>
        <w:ind w:right="103" w:firstLine="419"/>
        <w:jc w:val="left"/>
      </w:pPr>
      <w:r>
        <w:rPr/>
        <w:t>公司将自主创新视为企业发展的根本动力，自设立以来一直高度重视产品研发和技术储备，</w:t>
      </w:r>
      <w:r>
        <w:rPr>
          <w:w w:val="100"/>
        </w:rPr>
        <w:t> </w:t>
      </w:r>
      <w:r>
        <w:rPr/>
        <w:t>持续加大研发投入和核心技术人才的引进及培养。近三年，公司研发投入分别为</w:t>
      </w:r>
      <w:r>
        <w:rPr>
          <w:spacing w:val="-49"/>
        </w:rPr>
        <w:t> </w:t>
      </w:r>
      <w:r>
        <w:rPr>
          <w:rFonts w:ascii="宋体" w:hAnsi="宋体" w:cs="宋体" w:eastAsia="宋体" w:hint="default"/>
        </w:rPr>
        <w:t>6,075.91</w:t>
      </w:r>
      <w:r>
        <w:rPr>
          <w:rFonts w:ascii="宋体" w:hAnsi="宋体" w:cs="宋体" w:eastAsia="宋体" w:hint="default"/>
          <w:spacing w:val="-47"/>
        </w:rPr>
        <w:t> </w:t>
      </w:r>
      <w:r>
        <w:rPr>
          <w:spacing w:val="-3"/>
        </w:rPr>
        <w:t>万元、</w:t>
      </w:r>
      <w:r>
        <w:rPr/>
      </w:r>
    </w:p>
    <w:p>
      <w:pPr>
        <w:pStyle w:val="BodyText"/>
        <w:spacing w:line="400" w:lineRule="auto" w:before="34"/>
        <w:ind w:left="558" w:right="98" w:hanging="420"/>
        <w:jc w:val="left"/>
      </w:pPr>
      <w:r>
        <w:rPr>
          <w:rFonts w:ascii="宋体" w:hAnsi="宋体" w:cs="宋体" w:eastAsia="宋体" w:hint="default"/>
        </w:rPr>
        <w:t>6,220.92</w:t>
      </w:r>
      <w:r>
        <w:rPr>
          <w:rFonts w:ascii="宋体" w:hAnsi="宋体" w:cs="宋体" w:eastAsia="宋体" w:hint="default"/>
          <w:spacing w:val="-56"/>
        </w:rPr>
        <w:t> </w:t>
      </w:r>
      <w:r>
        <w:rPr/>
        <w:t>万元和</w:t>
      </w:r>
      <w:r>
        <w:rPr>
          <w:spacing w:val="-54"/>
        </w:rPr>
        <w:t> </w:t>
      </w:r>
      <w:r>
        <w:rPr>
          <w:rFonts w:ascii="宋体" w:hAnsi="宋体" w:cs="宋体" w:eastAsia="宋体" w:hint="default"/>
        </w:rPr>
        <w:t>8,033.36</w:t>
      </w:r>
      <w:r>
        <w:rPr>
          <w:rFonts w:ascii="宋体" w:hAnsi="宋体" w:cs="宋体" w:eastAsia="宋体" w:hint="default"/>
          <w:spacing w:val="-53"/>
        </w:rPr>
        <w:t> </w:t>
      </w:r>
      <w:r>
        <w:rPr/>
        <w:t>万元，占营业收入的比例分别为</w:t>
      </w:r>
      <w:r>
        <w:rPr>
          <w:spacing w:val="-54"/>
        </w:rPr>
        <w:t> </w:t>
      </w:r>
      <w:r>
        <w:rPr>
          <w:rFonts w:ascii="宋体" w:hAnsi="宋体" w:cs="宋体" w:eastAsia="宋体" w:hint="default"/>
        </w:rPr>
        <w:t>6.66%</w:t>
      </w:r>
      <w:r>
        <w:rPr/>
        <w:t>、</w:t>
      </w:r>
      <w:r>
        <w:rPr>
          <w:rFonts w:ascii="宋体" w:hAnsi="宋体" w:cs="宋体" w:eastAsia="宋体" w:hint="default"/>
        </w:rPr>
        <w:t>5.32%</w:t>
      </w:r>
      <w:r>
        <w:rPr/>
        <w:t>和</w:t>
      </w:r>
      <w:r>
        <w:rPr>
          <w:spacing w:val="-56"/>
        </w:rPr>
        <w:t> </w:t>
      </w:r>
      <w:r>
        <w:rPr>
          <w:rFonts w:ascii="宋体" w:hAnsi="宋体" w:cs="宋体" w:eastAsia="宋体" w:hint="default"/>
        </w:rPr>
        <w:t>5.41%</w:t>
      </w:r>
      <w:r>
        <w:rPr/>
        <w:t>。</w:t>
      </w:r>
      <w:r>
        <w:rPr>
          <w:w w:val="100"/>
        </w:rPr>
        <w:t> </w:t>
      </w:r>
      <w:r>
        <w:rPr>
          <w:spacing w:val="-2"/>
        </w:rPr>
        <w:t>公司重视产品市场调查、新兴市场跟踪及未来行业的发展分析，研发中心与营销中心的有效</w:t>
      </w:r>
    </w:p>
    <w:p>
      <w:pPr>
        <w:pStyle w:val="BodyText"/>
        <w:spacing w:line="268" w:lineRule="exact"/>
        <w:ind w:right="0"/>
        <w:jc w:val="both"/>
      </w:pPr>
      <w:r>
        <w:rPr>
          <w:spacing w:val="-4"/>
        </w:rPr>
        <w:t>衔接，保证了公司研发产品的市场领先地位。截至</w:t>
      </w:r>
      <w:r>
        <w:rPr>
          <w:spacing w:val="-44"/>
        </w:rPr>
        <w:t> </w:t>
      </w:r>
      <w:r>
        <w:rPr>
          <w:rFonts w:ascii="宋体" w:hAnsi="宋体" w:cs="宋体" w:eastAsia="宋体" w:hint="default"/>
        </w:rPr>
        <w:t>2017</w:t>
      </w:r>
      <w:r>
        <w:rPr>
          <w:rFonts w:ascii="宋体" w:hAnsi="宋体" w:cs="宋体" w:eastAsia="宋体" w:hint="default"/>
          <w:spacing w:val="-45"/>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w:t>
      </w:r>
      <w:r>
        <w:rPr>
          <w:spacing w:val="-45"/>
        </w:rPr>
        <w:t> </w:t>
      </w:r>
      <w:r>
        <w:rPr>
          <w:rFonts w:ascii="宋体" w:hAnsi="宋体" w:cs="宋体" w:eastAsia="宋体" w:hint="default"/>
        </w:rPr>
        <w:t>31</w:t>
      </w:r>
      <w:r>
        <w:rPr>
          <w:rFonts w:ascii="宋体" w:hAnsi="宋体" w:cs="宋体" w:eastAsia="宋体" w:hint="default"/>
          <w:spacing w:val="-48"/>
        </w:rPr>
        <w:t> </w:t>
      </w:r>
      <w:r>
        <w:rPr>
          <w:spacing w:val="-5"/>
        </w:rPr>
        <w:t>日，公司已获专利</w:t>
      </w:r>
      <w:r>
        <w:rPr>
          <w:spacing w:val="-44"/>
        </w:rPr>
        <w:t> </w:t>
      </w:r>
      <w:r>
        <w:rPr>
          <w:rFonts w:ascii="宋体" w:hAnsi="宋体" w:cs="宋体" w:eastAsia="宋体" w:hint="default"/>
        </w:rPr>
        <w:t>179</w:t>
      </w:r>
      <w:r>
        <w:rPr>
          <w:rFonts w:ascii="宋体" w:hAnsi="宋体" w:cs="宋体" w:eastAsia="宋体" w:hint="default"/>
          <w:spacing w:val="-48"/>
        </w:rPr>
        <w:t> </w:t>
      </w:r>
      <w:r>
        <w:rPr>
          <w:spacing w:val="-9"/>
        </w:rPr>
        <w:t>项、软</w:t>
      </w:r>
    </w:p>
    <w:p>
      <w:pPr>
        <w:pStyle w:val="BodyText"/>
        <w:spacing w:line="355" w:lineRule="auto" w:before="133"/>
        <w:ind w:right="208"/>
        <w:jc w:val="both"/>
      </w:pPr>
      <w:r>
        <w:rPr/>
        <w:t>件著作权</w:t>
      </w:r>
      <w:r>
        <w:rPr>
          <w:spacing w:val="-51"/>
        </w:rPr>
        <w:t> </w:t>
      </w:r>
      <w:r>
        <w:rPr>
          <w:rFonts w:ascii="宋体" w:hAnsi="宋体" w:cs="宋体" w:eastAsia="宋体" w:hint="default"/>
        </w:rPr>
        <w:t>146</w:t>
      </w:r>
      <w:r>
        <w:rPr>
          <w:rFonts w:ascii="宋体" w:hAnsi="宋体" w:cs="宋体" w:eastAsia="宋体" w:hint="default"/>
          <w:spacing w:val="-50"/>
        </w:rPr>
        <w:t> </w:t>
      </w:r>
      <w:r>
        <w:rPr/>
        <w:t>项，拥有自主研发的取款、存取款机芯核心技术。同时，公司将序列号识别、人脸</w:t>
      </w:r>
      <w:r>
        <w:rPr>
          <w:w w:val="100"/>
        </w:rPr>
        <w:t> </w:t>
      </w:r>
      <w:r>
        <w:rPr/>
        <w:t>识别、指纹、虹膜等先进技术应用到金融自助设备终端，提高了金融自助设备的安全性。</w:t>
      </w:r>
    </w:p>
    <w:p>
      <w:pPr>
        <w:pStyle w:val="BodyText"/>
        <w:spacing w:line="355" w:lineRule="auto" w:before="34"/>
        <w:ind w:right="208" w:firstLine="419"/>
        <w:jc w:val="both"/>
      </w:pPr>
      <w:r>
        <w:rPr>
          <w:spacing w:val="-2"/>
        </w:rPr>
        <w:t>智慧银行是银行未来发展的重要趋势，其转型升级的相关智能化设备将成为未来市场新增的</w:t>
      </w:r>
      <w:r>
        <w:rPr>
          <w:w w:val="100"/>
        </w:rPr>
        <w:t> </w:t>
      </w:r>
      <w:r>
        <w:rPr>
          <w:spacing w:val="-1"/>
        </w:rPr>
        <w:t>主流产品。公司目前已成为农业银行超级柜台、中国银行智能柜台、建设银行和邮储银行智慧柜</w:t>
      </w:r>
      <w:r>
        <w:rPr>
          <w:spacing w:val="-55"/>
        </w:rPr>
        <w:t> </w:t>
      </w:r>
      <w:r>
        <w:rPr>
          <w:spacing w:val="-55"/>
        </w:rPr>
      </w:r>
      <w:r>
        <w:rPr>
          <w:spacing w:val="-1"/>
        </w:rPr>
        <w:t>员机等主要供货商。公司与以上重要客户的合作将促使公司在新兴产品的制造理念、研发技术等</w:t>
      </w:r>
      <w:r>
        <w:rPr>
          <w:spacing w:val="-55"/>
        </w:rPr>
        <w:t> </w:t>
      </w:r>
      <w:r>
        <w:rPr>
          <w:spacing w:val="-55"/>
        </w:rPr>
      </w:r>
      <w:r>
        <w:rPr/>
        <w:t>方面保持前瞻性地位，为稳固公司行业地位提供有力支持。</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1"/>
        <w:tabs>
          <w:tab w:pos="1259" w:val="left" w:leader="none"/>
        </w:tabs>
        <w:spacing w:line="240" w:lineRule="auto"/>
        <w:ind w:right="77"/>
        <w:jc w:val="center"/>
        <w:rPr>
          <w:b w:val="0"/>
          <w:bCs w:val="0"/>
        </w:rPr>
      </w:pPr>
      <w:bookmarkStart w:name="_TOC_250008" w:id="4"/>
      <w:r>
        <w:rPr>
          <w:w w:val="95"/>
        </w:rPr>
        <w:t>第四节</w:t>
        <w:tab/>
      </w:r>
      <w:r>
        <w:rPr/>
        <w:t>经营情况讨论与分析</w:t>
      </w:r>
      <w:bookmarkEnd w:id="4"/>
      <w:r>
        <w:rPr>
          <w:b w:val="0"/>
          <w:bCs w:val="0"/>
        </w:rPr>
      </w:r>
    </w:p>
    <w:p>
      <w:pPr>
        <w:spacing w:line="240" w:lineRule="auto" w:before="4"/>
        <w:rPr>
          <w:rFonts w:ascii="黑体" w:hAnsi="黑体" w:cs="黑体" w:eastAsia="黑体" w:hint="default"/>
          <w:b/>
          <w:bCs/>
          <w:sz w:val="19"/>
          <w:szCs w:val="19"/>
        </w:rPr>
      </w:pPr>
    </w:p>
    <w:p>
      <w:pPr>
        <w:pStyle w:val="Heading2"/>
        <w:spacing w:line="240" w:lineRule="auto"/>
        <w:ind w:left="138" w:right="0"/>
        <w:jc w:val="both"/>
        <w:rPr>
          <w:b w:val="0"/>
          <w:bCs w:val="0"/>
        </w:rPr>
      </w:pPr>
      <w:r>
        <w:rPr/>
        <w:t>一、经营情况讨论与分析</w:t>
      </w:r>
      <w:r>
        <w:rPr>
          <w:b w:val="0"/>
          <w:bCs w:val="0"/>
        </w:rPr>
      </w:r>
    </w:p>
    <w:p>
      <w:pPr>
        <w:pStyle w:val="BodyText"/>
        <w:spacing w:line="355" w:lineRule="auto" w:before="58"/>
        <w:ind w:right="209" w:firstLine="419"/>
        <w:jc w:val="both"/>
      </w:pPr>
      <w:r>
        <w:rPr>
          <w:rFonts w:ascii="宋体" w:hAnsi="宋体" w:cs="宋体" w:eastAsia="宋体" w:hint="default"/>
        </w:rPr>
        <w:t>2017</w:t>
      </w:r>
      <w:r>
        <w:rPr>
          <w:rFonts w:ascii="宋体" w:hAnsi="宋体" w:cs="宋体" w:eastAsia="宋体" w:hint="default"/>
          <w:spacing w:val="-14"/>
        </w:rPr>
        <w:t> </w:t>
      </w:r>
      <w:r>
        <w:rPr>
          <w:spacing w:val="-3"/>
        </w:rPr>
        <w:t>年，行业市场需求量下降，银行采购意愿趋于保守，产品个性化需求明显。公司为有效</w:t>
      </w:r>
      <w:r>
        <w:rPr>
          <w:w w:val="100"/>
        </w:rPr>
        <w:t> </w:t>
      </w:r>
      <w:r>
        <w:rPr>
          <w:spacing w:val="-1"/>
        </w:rPr>
        <w:t>应对同质产品以及激烈的竞争压力，积极开拓市场，加强研发创新，提升客户服务，通过降本增</w:t>
      </w:r>
      <w:r>
        <w:rPr>
          <w:spacing w:val="-55"/>
        </w:rPr>
        <w:t> </w:t>
      </w:r>
      <w:r>
        <w:rPr>
          <w:spacing w:val="-55"/>
        </w:rPr>
      </w:r>
      <w:r>
        <w:rPr/>
        <w:t>效提升盈利力、精益研发提升竞争力，于</w:t>
      </w:r>
      <w:r>
        <w:rPr>
          <w:spacing w:val="-51"/>
        </w:rPr>
        <w:t> </w:t>
      </w:r>
      <w:r>
        <w:rPr>
          <w:rFonts w:ascii="宋体" w:hAnsi="宋体" w:cs="宋体" w:eastAsia="宋体" w:hint="default"/>
        </w:rPr>
        <w:t>2017</w:t>
      </w:r>
      <w:r>
        <w:rPr>
          <w:rFonts w:ascii="宋体" w:hAnsi="宋体" w:cs="宋体" w:eastAsia="宋体" w:hint="default"/>
          <w:spacing w:val="-54"/>
        </w:rPr>
        <w:t> </w:t>
      </w:r>
      <w:r>
        <w:rPr/>
        <w:t>年</w:t>
      </w:r>
      <w:r>
        <w:rPr>
          <w:spacing w:val="-51"/>
        </w:rPr>
        <w:t> </w:t>
      </w:r>
      <w:r>
        <w:rPr>
          <w:rFonts w:ascii="宋体" w:hAnsi="宋体" w:cs="宋体" w:eastAsia="宋体" w:hint="default"/>
        </w:rPr>
        <w:t>9</w:t>
      </w:r>
      <w:r>
        <w:rPr>
          <w:rFonts w:ascii="宋体" w:hAnsi="宋体" w:cs="宋体" w:eastAsia="宋体" w:hint="default"/>
          <w:spacing w:val="-54"/>
        </w:rPr>
        <w:t> </w:t>
      </w:r>
      <w:r>
        <w:rPr/>
        <w:t>月</w:t>
      </w:r>
      <w:r>
        <w:rPr>
          <w:spacing w:val="-51"/>
        </w:rPr>
        <w:t> </w:t>
      </w:r>
      <w:r>
        <w:rPr>
          <w:rFonts w:ascii="宋体" w:hAnsi="宋体" w:cs="宋体" w:eastAsia="宋体" w:hint="default"/>
        </w:rPr>
        <w:t>20</w:t>
      </w:r>
      <w:r>
        <w:rPr>
          <w:rFonts w:ascii="宋体" w:hAnsi="宋体" w:cs="宋体" w:eastAsia="宋体" w:hint="default"/>
          <w:spacing w:val="-54"/>
        </w:rPr>
        <w:t> </w:t>
      </w:r>
      <w:r>
        <w:rPr/>
        <w:t>日登陆上海证券交易所，成为主板市场</w:t>
      </w:r>
      <w:r>
        <w:rPr>
          <w:w w:val="100"/>
        </w:rPr>
        <w:t> </w:t>
      </w:r>
      <w:r>
        <w:rPr/>
        <w:t>第一家专注于金融自助设备及解决方案的上市公司，为未来的腾飞插上了资本的翅膀。</w:t>
      </w:r>
    </w:p>
    <w:p>
      <w:pPr>
        <w:pStyle w:val="BodyText"/>
        <w:spacing w:line="357" w:lineRule="auto" w:before="34"/>
        <w:ind w:right="98" w:firstLine="419"/>
        <w:jc w:val="left"/>
      </w:pPr>
      <w:r>
        <w:rPr>
          <w:spacing w:val="-1"/>
        </w:rPr>
        <w:t>公司以“硬件</w:t>
      </w:r>
      <w:r>
        <w:rPr>
          <w:rFonts w:ascii="宋体" w:hAnsi="宋体" w:cs="宋体" w:eastAsia="宋体" w:hint="default"/>
          <w:spacing w:val="-1"/>
        </w:rPr>
        <w:t>+</w:t>
      </w:r>
      <w:r>
        <w:rPr>
          <w:spacing w:val="-1"/>
        </w:rPr>
        <w:t>软件</w:t>
      </w:r>
      <w:r>
        <w:rPr>
          <w:rFonts w:ascii="宋体" w:hAnsi="宋体" w:cs="宋体" w:eastAsia="宋体" w:hint="default"/>
          <w:spacing w:val="-1"/>
        </w:rPr>
        <w:t>+</w:t>
      </w:r>
      <w:r>
        <w:rPr>
          <w:spacing w:val="-1"/>
        </w:rPr>
        <w:t>服务”战略定位为统领，融合“内生增长</w:t>
      </w:r>
      <w:r>
        <w:rPr>
          <w:rFonts w:ascii="宋体" w:hAnsi="宋体" w:cs="宋体" w:eastAsia="宋体" w:hint="default"/>
          <w:spacing w:val="-1"/>
        </w:rPr>
        <w:t>+</w:t>
      </w:r>
      <w:r>
        <w:rPr>
          <w:spacing w:val="-1"/>
        </w:rPr>
        <w:t>外延扩张”并举的发展方式，</w:t>
      </w:r>
      <w:r>
        <w:rPr>
          <w:w w:val="100"/>
        </w:rPr>
        <w:t> </w:t>
      </w:r>
      <w:r>
        <w:rPr>
          <w:spacing w:val="-7"/>
        </w:rPr>
        <w:t>夯实既有优势业务，持续培育新兴业务，形成稳健、长远的发展格局，致力于成为行业领先的“智</w:t>
      </w:r>
    </w:p>
    <w:p>
      <w:pPr>
        <w:spacing w:after="0" w:line="357" w:lineRule="auto"/>
        <w:jc w:val="left"/>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BodyText"/>
        <w:spacing w:line="357" w:lineRule="auto" w:before="36"/>
        <w:ind w:left="218" w:right="308"/>
        <w:jc w:val="both"/>
      </w:pPr>
      <w:r>
        <w:rPr>
          <w:spacing w:val="-1"/>
        </w:rPr>
        <w:t>慧银行解决方案提供商”。受日益普及移动支付的巨大冲击，金融自助设备行业整体出现了前所</w:t>
      </w:r>
      <w:r>
        <w:rPr>
          <w:spacing w:val="-55"/>
        </w:rPr>
        <w:t> </w:t>
      </w:r>
      <w:r>
        <w:rPr>
          <w:spacing w:val="-55"/>
        </w:rPr>
      </w:r>
      <w:r>
        <w:rPr>
          <w:spacing w:val="-1"/>
        </w:rPr>
        <w:t>未有的困境，市场需求量缩减，设备价格下降等不利因素，公司管理层积极应对，从市场开拓、</w:t>
      </w:r>
      <w:r>
        <w:rPr>
          <w:spacing w:val="-55"/>
        </w:rPr>
        <w:t> </w:t>
      </w:r>
      <w:r>
        <w:rPr>
          <w:spacing w:val="-55"/>
        </w:rPr>
      </w:r>
      <w:r>
        <w:rPr/>
        <w:t>产品研发、设备维保等方面，精耕细作，深挖潜力，取得了较好的效果。</w:t>
      </w:r>
    </w:p>
    <w:p>
      <w:pPr>
        <w:pStyle w:val="BodyText"/>
        <w:spacing w:line="357" w:lineRule="auto" w:before="30"/>
        <w:ind w:left="218" w:right="307" w:firstLine="419"/>
        <w:jc w:val="right"/>
      </w:pPr>
      <w:r>
        <w:rPr>
          <w:spacing w:val="-2"/>
        </w:rPr>
        <w:t>公司突破入围中国银行，实现工、农、中、建、交、邮六大行全部入围，股份制银行入围也</w:t>
      </w:r>
      <w:r>
        <w:rPr>
          <w:w w:val="100"/>
        </w:rPr>
        <w:t> </w:t>
      </w:r>
      <w:r>
        <w:rPr>
          <w:spacing w:val="-1"/>
        </w:rPr>
        <w:t>显著增多，农信社客户群继续扩大，城商行客户稳步增加。与客户合作进一步深入，在原有合作</w:t>
      </w:r>
      <w:r>
        <w:rPr>
          <w:spacing w:val="-71"/>
        </w:rPr>
        <w:t> </w:t>
      </w:r>
      <w:r>
        <w:rPr>
          <w:spacing w:val="-71"/>
        </w:rPr>
      </w:r>
      <w:r>
        <w:rPr>
          <w:spacing w:val="-1"/>
        </w:rPr>
        <w:t>基础上，扩大了产品供应类型。贯彻落实智慧银行解决方案提供商的市场定位，成功推进以智能</w:t>
      </w:r>
      <w:r>
        <w:rPr>
          <w:spacing w:val="-71"/>
        </w:rPr>
        <w:t> </w:t>
      </w:r>
      <w:r>
        <w:rPr>
          <w:spacing w:val="-71"/>
        </w:rPr>
      </w:r>
      <w:r>
        <w:rPr>
          <w:spacing w:val="-1"/>
        </w:rPr>
        <w:t>柜台、大额高存为典型的智慧银行产品入围，有力促进公司发展成为金融自助设备行业智慧银行</w:t>
      </w:r>
      <w:r>
        <w:rPr>
          <w:spacing w:val="-71"/>
        </w:rPr>
        <w:t> </w:t>
      </w:r>
      <w:r>
        <w:rPr>
          <w:spacing w:val="-71"/>
        </w:rPr>
      </w:r>
      <w:r>
        <w:rPr>
          <w:spacing w:val="-1"/>
        </w:rPr>
        <w:t>建设领军企业。现金类设备和非现金类设备市场占有率位居国内第二。公司积极开拓港澳台及国</w:t>
      </w:r>
      <w:r>
        <w:rPr>
          <w:spacing w:val="-71"/>
        </w:rPr>
        <w:t> </w:t>
      </w:r>
      <w:r>
        <w:rPr>
          <w:spacing w:val="-71"/>
        </w:rPr>
      </w:r>
      <w:r>
        <w:rPr>
          <w:spacing w:val="-2"/>
        </w:rPr>
        <w:t>际市场，台湾三商批量供货，伊朗、孟加拉国测试、试用，签署印度、尼日利亚市场代理协议。</w:t>
      </w:r>
      <w:r>
        <w:rPr>
          <w:spacing w:val="-53"/>
        </w:rPr>
        <w:t> </w:t>
      </w:r>
      <w:r>
        <w:rPr>
          <w:spacing w:val="-53"/>
        </w:rPr>
      </w:r>
      <w:r>
        <w:rPr>
          <w:spacing w:val="-1"/>
        </w:rPr>
        <w:t>公司率先定位为智慧银行解决方案提供商</w:t>
      </w:r>
      <w:r>
        <w:rPr>
          <w:rFonts w:ascii="宋体" w:hAnsi="宋体" w:cs="宋体" w:eastAsia="宋体" w:hint="default"/>
          <w:spacing w:val="-1"/>
        </w:rPr>
        <w:t>,</w:t>
      </w:r>
      <w:r>
        <w:rPr>
          <w:spacing w:val="-1"/>
        </w:rPr>
        <w:t>并进行了一系列的产品和技术创新</w:t>
      </w:r>
      <w:r>
        <w:rPr>
          <w:rFonts w:ascii="宋体" w:hAnsi="宋体" w:cs="宋体" w:eastAsia="宋体" w:hint="default"/>
          <w:spacing w:val="-1"/>
        </w:rPr>
        <w:t>,</w:t>
      </w:r>
      <w:r>
        <w:rPr>
          <w:spacing w:val="-1"/>
        </w:rPr>
        <w:t>研发了大量的</w:t>
      </w:r>
    </w:p>
    <w:p>
      <w:pPr>
        <w:pStyle w:val="BodyText"/>
        <w:spacing w:line="355" w:lineRule="auto" w:before="32"/>
        <w:ind w:left="218" w:right="0"/>
        <w:jc w:val="left"/>
      </w:pPr>
      <w:r>
        <w:rPr>
          <w:spacing w:val="-4"/>
          <w:w w:val="100"/>
        </w:rPr>
        <w:t>软硬件产品</w:t>
      </w:r>
      <w:r>
        <w:rPr>
          <w:rFonts w:ascii="宋体" w:hAnsi="宋体" w:cs="宋体" w:eastAsia="宋体" w:hint="default"/>
          <w:spacing w:val="-4"/>
          <w:w w:val="100"/>
        </w:rPr>
        <w:t>,</w:t>
      </w:r>
      <w:r>
        <w:rPr>
          <w:spacing w:val="-4"/>
          <w:w w:val="100"/>
        </w:rPr>
        <w:t>帮助银行提升运营效率</w:t>
      </w:r>
      <w:r>
        <w:rPr>
          <w:rFonts w:ascii="宋体" w:hAnsi="宋体" w:cs="宋体" w:eastAsia="宋体" w:hint="default"/>
          <w:spacing w:val="-4"/>
          <w:w w:val="100"/>
        </w:rPr>
        <w:t>,</w:t>
      </w:r>
      <w:r>
        <w:rPr>
          <w:spacing w:val="-4"/>
          <w:w w:val="100"/>
        </w:rPr>
        <w:t>让其客户在任何时间、任何场合</w:t>
      </w:r>
      <w:r>
        <w:rPr>
          <w:rFonts w:ascii="宋体" w:hAnsi="宋体" w:cs="宋体" w:eastAsia="宋体" w:hint="default"/>
          <w:spacing w:val="-4"/>
          <w:w w:val="100"/>
        </w:rPr>
        <w:t>,</w:t>
      </w:r>
      <w:r>
        <w:rPr>
          <w:spacing w:val="-4"/>
          <w:w w:val="100"/>
        </w:rPr>
        <w:t>都能够享受到智能化和高效、</w:t>
      </w:r>
      <w:r>
        <w:rPr>
          <w:spacing w:val="-82"/>
          <w:w w:val="100"/>
        </w:rPr>
        <w:t> </w:t>
      </w:r>
      <w:r>
        <w:rPr>
          <w:spacing w:val="-82"/>
          <w:w w:val="100"/>
        </w:rPr>
      </w:r>
      <w:r>
        <w:rPr/>
        <w:t>便捷的金融服务。公司先后推出了高速大额存取款一体机、中行智能柜台、建行智能引导分流设</w:t>
      </w:r>
      <w:r>
        <w:rPr>
          <w:spacing w:val="-97"/>
        </w:rPr>
        <w:t> </w:t>
      </w:r>
      <w:r>
        <w:rPr>
          <w:spacing w:val="-97"/>
        </w:rPr>
      </w:r>
      <w:r>
        <w:rPr>
          <w:spacing w:val="-6"/>
        </w:rPr>
        <w:t>备、邮储</w:t>
      </w:r>
      <w:r>
        <w:rPr>
          <w:spacing w:val="-46"/>
        </w:rPr>
        <w:t> </w:t>
      </w:r>
      <w:r>
        <w:rPr>
          <w:rFonts w:ascii="宋体" w:hAnsi="宋体" w:cs="宋体" w:eastAsia="宋体" w:hint="default"/>
          <w:spacing w:val="-5"/>
        </w:rPr>
        <w:t>ITM</w:t>
      </w:r>
      <w:r>
        <w:rPr>
          <w:spacing w:val="-5"/>
        </w:rPr>
        <w:t>、浦发</w:t>
      </w:r>
      <w:r>
        <w:rPr>
          <w:spacing w:val="-46"/>
        </w:rPr>
        <w:t> </w:t>
      </w:r>
      <w:r>
        <w:rPr>
          <w:rFonts w:ascii="宋体" w:hAnsi="宋体" w:cs="宋体" w:eastAsia="宋体" w:hint="default"/>
          <w:spacing w:val="-4"/>
        </w:rPr>
        <w:t>VTM</w:t>
      </w:r>
      <w:r>
        <w:rPr>
          <w:spacing w:val="-4"/>
        </w:rPr>
        <w:t>、广发智慧柜台、平安银行</w:t>
      </w:r>
      <w:r>
        <w:rPr>
          <w:spacing w:val="-46"/>
        </w:rPr>
        <w:t> </w:t>
      </w:r>
      <w:r>
        <w:rPr>
          <w:rFonts w:ascii="宋体" w:hAnsi="宋体" w:cs="宋体" w:eastAsia="宋体" w:hint="default"/>
        </w:rPr>
        <w:t>CTM</w:t>
      </w:r>
      <w:r>
        <w:rPr>
          <w:rFonts w:ascii="宋体" w:hAnsi="宋体" w:cs="宋体" w:eastAsia="宋体" w:hint="default"/>
          <w:spacing w:val="-46"/>
        </w:rPr>
        <w:t> </w:t>
      </w:r>
      <w:r>
        <w:rPr>
          <w:spacing w:val="-3"/>
        </w:rPr>
        <w:t>等多款多功能金融产品，形成了完备的产</w:t>
      </w:r>
      <w:r>
        <w:rPr>
          <w:spacing w:val="-73"/>
        </w:rPr>
        <w:t> </w:t>
      </w:r>
      <w:r>
        <w:rPr>
          <w:spacing w:val="-73"/>
        </w:rPr>
      </w:r>
      <w:r>
        <w:rPr/>
        <w:t>品体系，为传统银行向智慧银行转型升级，在现金类、非现金类、支付安全类等方面提供了全方</w:t>
      </w:r>
      <w:r>
        <w:rPr>
          <w:spacing w:val="-97"/>
        </w:rPr>
        <w:t> </w:t>
      </w:r>
      <w:r>
        <w:rPr>
          <w:spacing w:val="-97"/>
        </w:rPr>
      </w:r>
      <w:r>
        <w:rPr/>
        <w:t>位的智能产品、技术和服务，充分适配了银行的个性业务需求。</w:t>
      </w:r>
    </w:p>
    <w:p>
      <w:pPr>
        <w:pStyle w:val="BodyText"/>
        <w:spacing w:line="357" w:lineRule="auto" w:before="34"/>
        <w:ind w:left="218" w:right="0" w:firstLine="419"/>
        <w:jc w:val="left"/>
      </w:pPr>
      <w:r>
        <w:rPr>
          <w:spacing w:val="-4"/>
          <w:w w:val="100"/>
        </w:rPr>
        <w:t>报告期内，公司获批成为全国信息技术标准化技术委员会自助服务设备标准工作组组长单位，</w:t>
      </w:r>
      <w:r>
        <w:rPr>
          <w:w w:val="100"/>
        </w:rPr>
        <w:t> </w:t>
      </w:r>
      <w:r>
        <w:rPr/>
        <w:t>并积极参加标准制定工作，牵头主笔参与起草和制定</w:t>
      </w:r>
      <w:r>
        <w:rPr>
          <w:spacing w:val="-55"/>
        </w:rPr>
        <w:t> </w:t>
      </w:r>
      <w:r>
        <w:rPr>
          <w:rFonts w:ascii="宋体" w:hAnsi="宋体" w:cs="宋体" w:eastAsia="宋体" w:hint="default"/>
        </w:rPr>
        <w:t>8</w:t>
      </w:r>
      <w:r>
        <w:rPr>
          <w:rFonts w:ascii="宋体" w:hAnsi="宋体" w:cs="宋体" w:eastAsia="宋体" w:hint="default"/>
          <w:spacing w:val="-55"/>
        </w:rPr>
        <w:t> </w:t>
      </w:r>
      <w:r>
        <w:rPr/>
        <w:t>项国家标准。</w:t>
      </w:r>
    </w:p>
    <w:p>
      <w:pPr>
        <w:pStyle w:val="BodyText"/>
        <w:spacing w:line="355" w:lineRule="auto" w:before="30"/>
        <w:ind w:left="218" w:right="303" w:firstLine="419"/>
        <w:jc w:val="left"/>
      </w:pPr>
      <w:r>
        <w:rPr/>
        <w:t>公司成立了国内首个</w:t>
      </w:r>
      <w:r>
        <w:rPr>
          <w:spacing w:val="-48"/>
        </w:rPr>
        <w:t> </w:t>
      </w:r>
      <w:r>
        <w:rPr>
          <w:rFonts w:ascii="宋体" w:hAnsi="宋体" w:cs="宋体" w:eastAsia="宋体" w:hint="default"/>
        </w:rPr>
        <w:t>ATM</w:t>
      </w:r>
      <w:r>
        <w:rPr>
          <w:rFonts w:ascii="宋体" w:hAnsi="宋体" w:cs="宋体" w:eastAsia="宋体" w:hint="default"/>
          <w:spacing w:val="-51"/>
        </w:rPr>
        <w:t> </w:t>
      </w:r>
      <w:r>
        <w:rPr/>
        <w:t>行业非公企业党委，坚持抓实“四融四助”企业党建观，使党建工</w:t>
      </w:r>
      <w:r>
        <w:rPr>
          <w:w w:val="100"/>
        </w:rPr>
        <w:t> </w:t>
      </w:r>
      <w:r>
        <w:rPr/>
        <w:t>作成为企业价值链上的重要环节，形成了党建强、发展强的良好局面。</w:t>
      </w:r>
    </w:p>
    <w:p>
      <w:pPr>
        <w:spacing w:line="240" w:lineRule="auto" w:before="13"/>
        <w:rPr>
          <w:rFonts w:ascii="宋体" w:hAnsi="宋体" w:cs="宋体" w:eastAsia="宋体" w:hint="default"/>
          <w:sz w:val="27"/>
          <w:szCs w:val="27"/>
        </w:rPr>
      </w:pPr>
    </w:p>
    <w:p>
      <w:pPr>
        <w:pStyle w:val="Heading2"/>
        <w:spacing w:line="240" w:lineRule="auto"/>
        <w:ind w:right="0"/>
        <w:jc w:val="left"/>
        <w:rPr>
          <w:b w:val="0"/>
          <w:bCs w:val="0"/>
        </w:rPr>
      </w:pPr>
      <w:r>
        <w:rPr/>
        <w:t>二、报告期内主要经营情况</w:t>
      </w:r>
      <w:r>
        <w:rPr>
          <w:b w:val="0"/>
          <w:bCs w:val="0"/>
        </w:rPr>
      </w:r>
    </w:p>
    <w:p>
      <w:pPr>
        <w:pStyle w:val="BodyText"/>
        <w:spacing w:line="357" w:lineRule="auto" w:before="56"/>
        <w:ind w:left="218" w:right="0" w:firstLine="419"/>
        <w:jc w:val="left"/>
      </w:pPr>
      <w:r>
        <w:rPr>
          <w:rFonts w:ascii="宋体" w:hAnsi="宋体" w:cs="宋体" w:eastAsia="宋体" w:hint="default"/>
        </w:rPr>
        <w:t>2017</w:t>
      </w:r>
      <w:r>
        <w:rPr>
          <w:rFonts w:ascii="宋体" w:hAnsi="宋体" w:cs="宋体" w:eastAsia="宋体" w:hint="default"/>
          <w:spacing w:val="-57"/>
        </w:rPr>
        <w:t> </w:t>
      </w:r>
      <w:r>
        <w:rPr/>
        <w:t>年度，公司实现营业收入</w:t>
      </w:r>
      <w:r>
        <w:rPr>
          <w:spacing w:val="-55"/>
        </w:rPr>
        <w:t> </w:t>
      </w:r>
      <w:r>
        <w:rPr>
          <w:rFonts w:ascii="宋体" w:hAnsi="宋体" w:cs="宋体" w:eastAsia="宋体" w:hint="default"/>
        </w:rPr>
        <w:t>148,415.53</w:t>
      </w:r>
      <w:r>
        <w:rPr>
          <w:rFonts w:ascii="宋体" w:hAnsi="宋体" w:cs="宋体" w:eastAsia="宋体" w:hint="default"/>
          <w:spacing w:val="-55"/>
        </w:rPr>
        <w:t> </w:t>
      </w:r>
      <w:r>
        <w:rPr/>
        <w:t>万元，同比增长</w:t>
      </w:r>
      <w:r>
        <w:rPr>
          <w:spacing w:val="-55"/>
        </w:rPr>
        <w:t> </w:t>
      </w:r>
      <w:r>
        <w:rPr>
          <w:rFonts w:ascii="宋体" w:hAnsi="宋体" w:cs="宋体" w:eastAsia="宋体" w:hint="default"/>
        </w:rPr>
        <w:t>26.99%</w:t>
      </w:r>
      <w:r>
        <w:rPr/>
        <w:t>；实现归属于上市公司股</w:t>
      </w:r>
      <w:r>
        <w:rPr>
          <w:w w:val="100"/>
        </w:rPr>
        <w:t> </w:t>
      </w:r>
      <w:r>
        <w:rPr/>
        <w:t>东的净利润</w:t>
      </w:r>
      <w:r>
        <w:rPr>
          <w:spacing w:val="-54"/>
        </w:rPr>
        <w:t> </w:t>
      </w:r>
      <w:r>
        <w:rPr>
          <w:rFonts w:ascii="宋体" w:hAnsi="宋体" w:cs="宋体" w:eastAsia="宋体" w:hint="default"/>
        </w:rPr>
        <w:t>14,921.25</w:t>
      </w:r>
      <w:r>
        <w:rPr>
          <w:rFonts w:ascii="宋体" w:hAnsi="宋体" w:cs="宋体" w:eastAsia="宋体" w:hint="default"/>
          <w:spacing w:val="-53"/>
        </w:rPr>
        <w:t> </w:t>
      </w:r>
      <w:r>
        <w:rPr/>
        <w:t>万元，同比增长</w:t>
      </w:r>
      <w:r>
        <w:rPr>
          <w:spacing w:val="-54"/>
        </w:rPr>
        <w:t> </w:t>
      </w:r>
      <w:r>
        <w:rPr>
          <w:rFonts w:ascii="宋体" w:hAnsi="宋体" w:cs="宋体" w:eastAsia="宋体" w:hint="default"/>
        </w:rPr>
        <w:t>3.69%</w:t>
      </w:r>
      <w:r>
        <w:rPr/>
        <w:t>；公司总资产</w:t>
      </w:r>
      <w:r>
        <w:rPr>
          <w:spacing w:val="-53"/>
        </w:rPr>
        <w:t> </w:t>
      </w:r>
      <w:r>
        <w:rPr>
          <w:rFonts w:ascii="宋体" w:hAnsi="宋体" w:cs="宋体" w:eastAsia="宋体" w:hint="default"/>
        </w:rPr>
        <w:t>233,271.31</w:t>
      </w:r>
      <w:r>
        <w:rPr>
          <w:rFonts w:ascii="宋体" w:hAnsi="宋体" w:cs="宋体" w:eastAsia="宋体" w:hint="default"/>
          <w:spacing w:val="-54"/>
        </w:rPr>
        <w:t> </w:t>
      </w:r>
      <w:r>
        <w:rPr/>
        <w:t>万元，同比增长</w:t>
      </w:r>
      <w:r>
        <w:rPr>
          <w:spacing w:val="-53"/>
        </w:rPr>
        <w:t> </w:t>
      </w:r>
      <w:r>
        <w:rPr>
          <w:rFonts w:ascii="宋体" w:hAnsi="宋体" w:cs="宋体" w:eastAsia="宋体" w:hint="default"/>
        </w:rPr>
        <w:t>25.89%</w:t>
      </w:r>
      <w:r>
        <w:rPr/>
        <w:t>。</w:t>
      </w:r>
    </w:p>
    <w:p>
      <w:pPr>
        <w:spacing w:line="240" w:lineRule="auto" w:before="1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0" w:footer="1195" w:top="1120" w:bottom="1380" w:left="1580" w:right="960"/>
        </w:sectPr>
      </w:pPr>
    </w:p>
    <w:p>
      <w:pPr>
        <w:pStyle w:val="Heading2"/>
        <w:tabs>
          <w:tab w:pos="1057" w:val="left" w:leader="none"/>
        </w:tabs>
        <w:spacing w:line="240" w:lineRule="auto" w:before="36"/>
        <w:ind w:right="-17"/>
        <w:jc w:val="left"/>
        <w:rPr>
          <w:b w:val="0"/>
          <w:bCs w:val="0"/>
        </w:rPr>
      </w:pPr>
      <w:r>
        <w:rPr>
          <w:rFonts w:ascii="宋体" w:hAnsi="宋体" w:cs="宋体" w:eastAsia="宋体" w:hint="default"/>
          <w:spacing w:val="-1"/>
        </w:rPr>
        <w:t>(</w:t>
      </w:r>
      <w:r>
        <w:rPr>
          <w:spacing w:val="-1"/>
        </w:rPr>
        <w:t>一</w:t>
      </w:r>
      <w:r>
        <w:rPr>
          <w:rFonts w:ascii="宋体" w:hAnsi="宋体" w:cs="宋体" w:eastAsia="宋体" w:hint="default"/>
          <w:spacing w:val="-1"/>
        </w:rPr>
        <w:t>)</w:t>
        <w:tab/>
      </w:r>
      <w:r>
        <w:rPr/>
        <w:t>主营业务分析</w:t>
      </w:r>
      <w:r>
        <w:rPr>
          <w:b w:val="0"/>
          <w:bCs w:val="0"/>
        </w:rPr>
      </w:r>
    </w:p>
    <w:p>
      <w:pPr>
        <w:spacing w:line="240" w:lineRule="auto" w:before="4"/>
        <w:rPr>
          <w:rFonts w:ascii="宋体" w:hAnsi="宋体" w:cs="宋体" w:eastAsia="宋体" w:hint="default"/>
          <w:b/>
          <w:bCs/>
          <w:sz w:val="28"/>
          <w:szCs w:val="28"/>
        </w:rPr>
      </w:pPr>
      <w:r>
        <w:rPr/>
        <w:br w:type="column"/>
      </w:r>
      <w:r>
        <w:rPr>
          <w:rFonts w:ascii="宋体"/>
          <w:b/>
          <w:sz w:val="28"/>
        </w:rPr>
      </w:r>
    </w:p>
    <w:p>
      <w:pPr>
        <w:pStyle w:val="Heading2"/>
        <w:spacing w:line="240" w:lineRule="auto"/>
        <w:ind w:right="0"/>
        <w:jc w:val="left"/>
        <w:rPr>
          <w:b w:val="0"/>
          <w:bCs w:val="0"/>
        </w:rPr>
      </w:pP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39" w:val="left" w:leader="none"/>
        </w:tabs>
        <w:spacing w:line="240" w:lineRule="auto" w:before="178"/>
        <w:ind w:left="193"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960"/>
          <w:cols w:num="3" w:equalWidth="0">
            <w:col w:w="2326" w:space="377"/>
            <w:col w:w="4016" w:space="40"/>
            <w:col w:w="261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58"/>
        <w:gridCol w:w="1896"/>
        <w:gridCol w:w="1898"/>
        <w:gridCol w:w="1897"/>
      </w:tblGrid>
      <w:tr>
        <w:trPr>
          <w:trHeight w:val="28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4"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1,484,155,291.00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pacing w:val="-1"/>
                <w:sz w:val="21"/>
              </w:rPr>
              <w:t>1,168,731,972.09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26.99</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978,291,188.90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730,069,313.59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34.00</w:t>
            </w:r>
          </w:p>
        </w:tc>
      </w:tr>
      <w:tr>
        <w:trPr>
          <w:trHeight w:val="28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232,459,942.40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194,424,805.74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19.56</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124,781,189.01</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103,087,517.52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21.04</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4,728,473.59</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17,767,772.10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-73.39</w:t>
            </w:r>
          </w:p>
        </w:tc>
      </w:tr>
      <w:tr>
        <w:trPr>
          <w:trHeight w:val="28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214,661,149.07</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95,381,281.89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125.06</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-540,516,353.39</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-1,904,925.82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416,881,097.81</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47,624,865.98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775.34</w:t>
            </w:r>
          </w:p>
        </w:tc>
      </w:tr>
      <w:tr>
        <w:trPr>
          <w:trHeight w:val="28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80,333,565.09</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62,209,208.84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29.13</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960"/>
        </w:sectPr>
      </w:pPr>
    </w:p>
    <w:p>
      <w:pPr>
        <w:spacing w:line="240" w:lineRule="auto" w:before="4"/>
        <w:rPr>
          <w:rFonts w:ascii="宋体" w:hAnsi="宋体" w:cs="宋体" w:eastAsia="宋体" w:hint="default"/>
          <w:sz w:val="25"/>
          <w:szCs w:val="25"/>
        </w:rPr>
      </w:pPr>
    </w:p>
    <w:p>
      <w:pPr>
        <w:pStyle w:val="Heading2"/>
        <w:tabs>
          <w:tab w:pos="637" w:val="left" w:leader="none"/>
        </w:tabs>
        <w:spacing w:line="240" w:lineRule="auto" w:before="36"/>
        <w:ind w:right="3084"/>
        <w:jc w:val="left"/>
        <w:rPr>
          <w:b w:val="0"/>
          <w:bCs w:val="0"/>
        </w:rPr>
      </w:pPr>
      <w:r>
        <w:rPr>
          <w:rFonts w:ascii="宋体" w:hAnsi="宋体" w:cs="宋体" w:eastAsia="宋体" w:hint="default"/>
          <w:w w:val="95"/>
        </w:rPr>
        <w:t>1.</w:t>
        <w:tab/>
      </w:r>
      <w:r>
        <w:rPr/>
        <w:t>收入和成本分析</w:t>
      </w:r>
      <w:r>
        <w:rPr>
          <w:b w:val="0"/>
          <w:bCs w:val="0"/>
        </w:rPr>
      </w:r>
    </w:p>
    <w:p>
      <w:pPr>
        <w:pStyle w:val="BodyText"/>
        <w:spacing w:line="272" w:lineRule="exact" w:before="86"/>
        <w:ind w:left="218" w:right="7167"/>
        <w:jc w:val="left"/>
      </w:pPr>
      <w:r>
        <w:rPr/>
        <w:t>√适用</w:t>
      </w:r>
      <w:r>
        <w:rPr>
          <w:spacing w:val="-2"/>
        </w:rPr>
        <w:t> </w:t>
      </w:r>
      <w:r>
        <w:rPr/>
        <w:t>□不适用</w:t>
      </w:r>
      <w:r>
        <w:rPr>
          <w:w w:val="100"/>
        </w:rPr>
        <w:t> </w:t>
      </w:r>
      <w:r>
        <w:rPr>
          <w:spacing w:val="-1"/>
        </w:rPr>
        <w:t>营业收入变动原因：</w:t>
      </w:r>
    </w:p>
    <w:p>
      <w:pPr>
        <w:pStyle w:val="BodyText"/>
        <w:spacing w:line="355" w:lineRule="auto" w:before="110"/>
        <w:ind w:left="218" w:right="228" w:firstLine="419"/>
        <w:jc w:val="both"/>
      </w:pPr>
      <w:r>
        <w:rPr>
          <w:spacing w:val="-3"/>
        </w:rPr>
        <w:t>报告期内，公司营业收入较上年同期增长</w:t>
      </w:r>
      <w:r>
        <w:rPr>
          <w:spacing w:val="-50"/>
        </w:rPr>
        <w:t> </w:t>
      </w:r>
      <w:r>
        <w:rPr>
          <w:rFonts w:ascii="宋体" w:hAnsi="宋体" w:cs="宋体" w:eastAsia="宋体" w:hint="default"/>
        </w:rPr>
        <w:t>26.99%</w:t>
      </w:r>
      <w:r>
        <w:rPr/>
        <w:t>，主要原因是公司借助银行网点向智慧柜员</w:t>
      </w:r>
      <w:r>
        <w:rPr>
          <w:w w:val="100"/>
        </w:rPr>
        <w:t> </w:t>
      </w:r>
      <w:r>
        <w:rPr>
          <w:spacing w:val="-1"/>
        </w:rPr>
        <w:t>转型升级的机会，实现了智能自助设备的销售快速增长，并且公司现金类设备的销售也保持了稳</w:t>
      </w:r>
      <w:r>
        <w:rPr>
          <w:spacing w:val="-55"/>
        </w:rPr>
        <w:t> </w:t>
      </w:r>
      <w:r>
        <w:rPr>
          <w:spacing w:val="-55"/>
        </w:rPr>
      </w:r>
      <w:r>
        <w:rPr/>
        <w:t>步增长等原因综合影响所。</w:t>
      </w:r>
    </w:p>
    <w:p>
      <w:pPr>
        <w:pStyle w:val="BodyText"/>
        <w:spacing w:line="355" w:lineRule="auto" w:before="32"/>
        <w:ind w:left="218" w:right="228" w:firstLine="419"/>
        <w:jc w:val="both"/>
      </w:pPr>
      <w:r>
        <w:rPr/>
        <w:t>营业成本变动原因系报告期营业成本较上年同期增长</w:t>
      </w:r>
      <w:r>
        <w:rPr>
          <w:spacing w:val="-30"/>
        </w:rPr>
        <w:t> </w:t>
      </w:r>
      <w:r>
        <w:rPr>
          <w:rFonts w:ascii="宋体" w:hAnsi="宋体" w:cs="宋体" w:eastAsia="宋体" w:hint="default"/>
          <w:spacing w:val="-4"/>
        </w:rPr>
        <w:t>34.00%</w:t>
      </w:r>
      <w:r>
        <w:rPr>
          <w:spacing w:val="-4"/>
        </w:rPr>
        <w:t>，主要是由于收入总额增加，营</w:t>
      </w:r>
      <w:r>
        <w:rPr>
          <w:w w:val="100"/>
        </w:rPr>
        <w:t> </w:t>
      </w:r>
      <w:r>
        <w:rPr/>
        <w:t>业成本也同比增加影响所致。</w:t>
      </w:r>
    </w:p>
    <w:p>
      <w:pPr>
        <w:spacing w:line="240" w:lineRule="auto" w:before="3"/>
        <w:rPr>
          <w:rFonts w:ascii="宋体" w:hAnsi="宋体" w:cs="宋体" w:eastAsia="宋体" w:hint="default"/>
          <w:sz w:val="25"/>
          <w:szCs w:val="25"/>
        </w:rPr>
      </w:pPr>
    </w:p>
    <w:p>
      <w:pPr>
        <w:pStyle w:val="Heading2"/>
        <w:spacing w:line="240" w:lineRule="auto" w:before="36"/>
        <w:ind w:right="3084"/>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tabs>
          <w:tab w:pos="946" w:val="left" w:leader="none"/>
        </w:tabs>
        <w:spacing w:line="240" w:lineRule="auto" w:before="58"/>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97"/>
        <w:gridCol w:w="1899"/>
        <w:gridCol w:w="1685"/>
        <w:gridCol w:w="1094"/>
        <w:gridCol w:w="1092"/>
        <w:gridCol w:w="1095"/>
        <w:gridCol w:w="1087"/>
      </w:tblGrid>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26"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分行业</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225"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27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0"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40" w:lineRule="auto"/>
              <w:ind w:left="172" w:right="117"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40" w:lineRule="auto"/>
              <w:ind w:left="172" w:right="120"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554"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制造业</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1,356,700,959.98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908,259,840.76</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33.05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25.24</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32.71</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hanging="34"/>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71"/>
                <w:sz w:val="21"/>
                <w:szCs w:val="21"/>
              </w:rPr>
              <w:t> </w:t>
            </w:r>
            <w:r>
              <w:rPr>
                <w:rFonts w:ascii="宋体" w:hAnsi="宋体" w:cs="宋体" w:eastAsia="宋体" w:hint="default"/>
                <w:sz w:val="21"/>
                <w:szCs w:val="21"/>
              </w:rPr>
              <w:t>3.77</w:t>
            </w:r>
          </w:p>
          <w:p>
            <w:pPr>
              <w:pStyle w:val="TableParagraph"/>
              <w:spacing w:line="274" w:lineRule="exact"/>
              <w:ind w:left="134"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7"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服务业</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127,284,864.19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69,885,562.02</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45.10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50.04</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54.68</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hanging="34"/>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71"/>
                <w:sz w:val="21"/>
                <w:szCs w:val="21"/>
              </w:rPr>
              <w:t> </w:t>
            </w:r>
            <w:r>
              <w:rPr>
                <w:rFonts w:ascii="宋体" w:hAnsi="宋体" w:cs="宋体" w:eastAsia="宋体" w:hint="default"/>
                <w:sz w:val="21"/>
                <w:szCs w:val="21"/>
              </w:rPr>
              <w:t>1.65</w:t>
            </w:r>
          </w:p>
          <w:p>
            <w:pPr>
              <w:pStyle w:val="TableParagraph"/>
              <w:spacing w:line="273" w:lineRule="exact"/>
              <w:ind w:left="134"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281"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828"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分产品</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3"/>
              <w:ind w:left="225"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7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7"/>
              <w:ind w:left="172" w:right="117"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7"/>
              <w:ind w:left="172" w:right="120"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554"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现金类自</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助设备</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846,402,956.27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525,844,643.49</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37.87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5.46</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8.00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hanging="34"/>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71"/>
                <w:sz w:val="21"/>
                <w:szCs w:val="21"/>
              </w:rPr>
              <w:t> </w:t>
            </w:r>
            <w:r>
              <w:rPr>
                <w:rFonts w:ascii="宋体" w:hAnsi="宋体" w:cs="宋体" w:eastAsia="宋体" w:hint="default"/>
                <w:sz w:val="21"/>
                <w:szCs w:val="21"/>
              </w:rPr>
              <w:t>1.46</w:t>
            </w:r>
          </w:p>
          <w:p>
            <w:pPr>
              <w:pStyle w:val="TableParagraph"/>
              <w:spacing w:line="273" w:lineRule="exact"/>
              <w:ind w:left="134"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其 中</w:t>
            </w:r>
            <w:r>
              <w:rPr>
                <w:rFonts w:ascii="宋体" w:hAnsi="宋体" w:cs="宋体" w:eastAsia="宋体" w:hint="default"/>
                <w:spacing w:val="41"/>
                <w:sz w:val="21"/>
                <w:szCs w:val="21"/>
              </w:rPr>
              <w:t> </w:t>
            </w:r>
            <w:r>
              <w:rPr>
                <w:rFonts w:ascii="宋体" w:hAnsi="宋体" w:cs="宋体" w:eastAsia="宋体" w:hint="default"/>
                <w:sz w:val="21"/>
                <w:szCs w:val="21"/>
              </w:rPr>
              <w:t>：</w:t>
            </w:r>
          </w:p>
          <w:p>
            <w:pPr>
              <w:pStyle w:val="TableParagraph"/>
              <w:spacing w:line="240" w:lineRule="auto" w:before="29"/>
              <w:ind w:left="136" w:right="0"/>
              <w:jc w:val="center"/>
              <w:rPr>
                <w:rFonts w:ascii="Calibri" w:hAnsi="Calibri" w:cs="Calibri" w:eastAsia="Calibri" w:hint="default"/>
                <w:sz w:val="21"/>
                <w:szCs w:val="21"/>
              </w:rPr>
            </w:pPr>
            <w:r>
              <w:rPr>
                <w:rFonts w:ascii="Calibri"/>
                <w:spacing w:val="-7"/>
                <w:sz w:val="21"/>
              </w:rPr>
              <w:t>ATM</w:t>
            </w:r>
            <w:r>
              <w:rPr>
                <w:rFonts w:ascii="Calibri"/>
                <w:sz w:val="21"/>
              </w:rPr>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31,407,789.78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20,516,290.66</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34.68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5.16</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6.18</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hanging="34"/>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71"/>
                <w:sz w:val="21"/>
                <w:szCs w:val="21"/>
              </w:rPr>
              <w:t> </w:t>
            </w:r>
            <w:r>
              <w:rPr>
                <w:rFonts w:ascii="宋体" w:hAnsi="宋体" w:cs="宋体" w:eastAsia="宋体" w:hint="default"/>
                <w:sz w:val="21"/>
                <w:szCs w:val="21"/>
              </w:rPr>
              <w:t>0.63</w:t>
            </w:r>
          </w:p>
          <w:p>
            <w:pPr>
              <w:pStyle w:val="TableParagraph"/>
              <w:spacing w:line="274" w:lineRule="exact"/>
              <w:ind w:left="134"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2" w:right="0"/>
              <w:jc w:val="center"/>
              <w:rPr>
                <w:rFonts w:ascii="Calibri" w:hAnsi="Calibri" w:cs="Calibri" w:eastAsia="Calibri" w:hint="default"/>
                <w:sz w:val="21"/>
                <w:szCs w:val="21"/>
              </w:rPr>
            </w:pPr>
            <w:r>
              <w:rPr>
                <w:rFonts w:ascii="Calibri"/>
                <w:sz w:val="21"/>
              </w:rPr>
              <w:t>CRS</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814,995,166.49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505,328,352.83</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38.00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5.47</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8.08</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hanging="34"/>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71"/>
                <w:sz w:val="21"/>
                <w:szCs w:val="21"/>
              </w:rPr>
              <w:t> </w:t>
            </w:r>
            <w:r>
              <w:rPr>
                <w:rFonts w:ascii="宋体" w:hAnsi="宋体" w:cs="宋体" w:eastAsia="宋体" w:hint="default"/>
                <w:sz w:val="21"/>
                <w:szCs w:val="21"/>
              </w:rPr>
              <w:t>1.49</w:t>
            </w:r>
          </w:p>
          <w:p>
            <w:pPr>
              <w:pStyle w:val="TableParagraph"/>
              <w:spacing w:line="274" w:lineRule="exact"/>
              <w:ind w:left="134"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非现金类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自助设备</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422,137,247.35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330,525,043.76</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21.70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126.22</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142.01</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hanging="34"/>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71"/>
                <w:sz w:val="21"/>
                <w:szCs w:val="21"/>
              </w:rPr>
              <w:t> </w:t>
            </w:r>
            <w:r>
              <w:rPr>
                <w:rFonts w:ascii="宋体" w:hAnsi="宋体" w:cs="宋体" w:eastAsia="宋体" w:hint="default"/>
                <w:sz w:val="21"/>
                <w:szCs w:val="21"/>
              </w:rPr>
              <w:t>5.11</w:t>
            </w:r>
          </w:p>
          <w:p>
            <w:pPr>
              <w:pStyle w:val="TableParagraph"/>
              <w:spacing w:line="274" w:lineRule="exact"/>
              <w:ind w:left="134"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5"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移动支付</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5,431,760.55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3,151,575.83</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z w:val="21"/>
              </w:rPr>
              <w:t>41.98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-67.67</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z w:val="21"/>
              </w:rPr>
              <w:t>-73.96</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firstLine="158"/>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0"/>
                <w:sz w:val="21"/>
                <w:szCs w:val="21"/>
              </w:rPr>
              <w:t> </w:t>
            </w:r>
            <w:r>
              <w:rPr>
                <w:rFonts w:ascii="宋体" w:hAnsi="宋体" w:cs="宋体" w:eastAsia="宋体" w:hint="default"/>
                <w:spacing w:val="-3"/>
                <w:sz w:val="21"/>
                <w:szCs w:val="21"/>
              </w:rPr>
              <w:t>14</w:t>
            </w:r>
            <w:r>
              <w:rPr>
                <w:rFonts w:ascii="宋体" w:hAnsi="宋体" w:cs="宋体" w:eastAsia="宋体" w:hint="default"/>
                <w:sz w:val="21"/>
                <w:szCs w:val="21"/>
              </w:rPr>
            </w:r>
          </w:p>
          <w:p>
            <w:pPr>
              <w:pStyle w:val="TableParagraph"/>
              <w:spacing w:line="275" w:lineRule="exact"/>
              <w:ind w:left="134"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7"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6"/>
              <w:jc w:val="center"/>
              <w:rPr>
                <w:rFonts w:ascii="宋体" w:hAnsi="宋体" w:cs="宋体" w:eastAsia="宋体" w:hint="default"/>
                <w:sz w:val="21"/>
                <w:szCs w:val="21"/>
              </w:rPr>
            </w:pPr>
            <w:r>
              <w:rPr>
                <w:rFonts w:ascii="宋体" w:hAnsi="宋体" w:cs="宋体" w:eastAsia="宋体" w:hint="default"/>
                <w:sz w:val="21"/>
                <w:szCs w:val="21"/>
              </w:rPr>
              <w:t>设备配件</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82,728,995.81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48,738,577.68</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41.09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6.96</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-0.19</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hanging="34"/>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71"/>
                <w:sz w:val="21"/>
                <w:szCs w:val="21"/>
              </w:rPr>
              <w:t> </w:t>
            </w:r>
            <w:r>
              <w:rPr>
                <w:rFonts w:ascii="宋体" w:hAnsi="宋体" w:cs="宋体" w:eastAsia="宋体" w:hint="default"/>
                <w:sz w:val="21"/>
                <w:szCs w:val="21"/>
              </w:rPr>
              <w:t>4.22</w:t>
            </w:r>
          </w:p>
          <w:p>
            <w:pPr>
              <w:pStyle w:val="TableParagraph"/>
              <w:spacing w:line="273" w:lineRule="exact"/>
              <w:ind w:left="134"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服务及软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件</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127,284,864.19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69,885,562.02</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45.10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50.04</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54.68</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hanging="34"/>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71"/>
                <w:sz w:val="21"/>
                <w:szCs w:val="21"/>
              </w:rPr>
              <w:t> </w:t>
            </w:r>
            <w:r>
              <w:rPr>
                <w:rFonts w:ascii="宋体" w:hAnsi="宋体" w:cs="宋体" w:eastAsia="宋体" w:hint="default"/>
                <w:sz w:val="21"/>
                <w:szCs w:val="21"/>
              </w:rPr>
              <w:t>1.65</w:t>
            </w:r>
          </w:p>
          <w:p>
            <w:pPr>
              <w:pStyle w:val="TableParagraph"/>
              <w:spacing w:line="273" w:lineRule="exact"/>
              <w:ind w:left="134"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281"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828"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分地区</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225"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7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7"/>
              <w:ind w:left="172" w:right="117"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7"/>
              <w:ind w:left="172" w:right="120"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554"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国内</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1,476,111,977.42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972,371,060.07</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34.13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27.04</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34.64</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hanging="34"/>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71"/>
                <w:sz w:val="21"/>
                <w:szCs w:val="21"/>
              </w:rPr>
              <w:t> </w:t>
            </w:r>
            <w:r>
              <w:rPr>
                <w:rFonts w:ascii="宋体" w:hAnsi="宋体" w:cs="宋体" w:eastAsia="宋体" w:hint="default"/>
                <w:sz w:val="21"/>
                <w:szCs w:val="21"/>
              </w:rPr>
              <w:t>3.53</w:t>
            </w:r>
          </w:p>
          <w:p>
            <w:pPr>
              <w:pStyle w:val="TableParagraph"/>
              <w:spacing w:line="274" w:lineRule="exact"/>
              <w:ind w:left="134"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5"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国外</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7,873,846.75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5,774,342.71</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z w:val="21"/>
              </w:rPr>
              <w:t>26.66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-19.06</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z w:val="21"/>
              </w:rPr>
              <w:t>-21.84</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hanging="34"/>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71"/>
                <w:sz w:val="21"/>
                <w:szCs w:val="21"/>
              </w:rPr>
              <w:t> </w:t>
            </w:r>
            <w:r>
              <w:rPr>
                <w:rFonts w:ascii="宋体" w:hAnsi="宋体" w:cs="宋体" w:eastAsia="宋体" w:hint="default"/>
                <w:sz w:val="21"/>
                <w:szCs w:val="21"/>
              </w:rPr>
              <w:t>2.61</w:t>
            </w:r>
          </w:p>
          <w:p>
            <w:pPr>
              <w:pStyle w:val="TableParagraph"/>
              <w:spacing w:line="274" w:lineRule="exact"/>
              <w:ind w:left="134" w:right="0"/>
              <w:jc w:val="left"/>
              <w:rPr>
                <w:rFonts w:ascii="宋体" w:hAnsi="宋体" w:cs="宋体" w:eastAsia="宋体" w:hint="default"/>
                <w:sz w:val="21"/>
                <w:szCs w:val="21"/>
              </w:rPr>
            </w:pPr>
            <w:r>
              <w:rPr>
                <w:rFonts w:ascii="宋体" w:hAnsi="宋体" w:cs="宋体" w:eastAsia="宋体" w:hint="default"/>
                <w:sz w:val="21"/>
                <w:szCs w:val="21"/>
              </w:rPr>
              <w:t>个百分点</w:t>
            </w:r>
          </w:p>
        </w:tc>
      </w:tr>
    </w:tbl>
    <w:p>
      <w:pPr>
        <w:spacing w:after="0" w:line="274"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BodyText"/>
        <w:spacing w:line="274" w:lineRule="exact" w:before="36"/>
        <w:ind w:left="358" w:right="344"/>
        <w:jc w:val="left"/>
      </w:pPr>
      <w:r>
        <w:rPr/>
        <w:t>主营业务分行业、分产品、分地区情况的说明</w:t>
      </w:r>
    </w:p>
    <w:p>
      <w:pPr>
        <w:pStyle w:val="BodyText"/>
        <w:spacing w:line="272" w:lineRule="exact"/>
        <w:ind w:left="358" w:right="344"/>
        <w:jc w:val="left"/>
      </w:pPr>
      <w:r>
        <w:rPr/>
        <w:t>√适用</w:t>
      </w:r>
      <w:r>
        <w:rPr>
          <w:spacing w:val="-1"/>
        </w:rPr>
        <w:t> </w:t>
      </w:r>
      <w:r>
        <w:rPr/>
        <w:t>□不适用</w:t>
      </w:r>
    </w:p>
    <w:p>
      <w:pPr>
        <w:pStyle w:val="BodyText"/>
        <w:spacing w:line="357" w:lineRule="auto"/>
        <w:ind w:left="778" w:right="344"/>
        <w:jc w:val="left"/>
      </w:pPr>
      <w:r>
        <w:rPr/>
        <w:t>报告期内，公司实现主营业务收入</w:t>
      </w:r>
      <w:r>
        <w:rPr>
          <w:spacing w:val="-54"/>
        </w:rPr>
        <w:t> </w:t>
      </w:r>
      <w:r>
        <w:rPr>
          <w:rFonts w:ascii="宋体" w:hAnsi="宋体" w:cs="宋体" w:eastAsia="宋体" w:hint="default"/>
        </w:rPr>
        <w:t>148,398.58</w:t>
      </w:r>
      <w:r>
        <w:rPr>
          <w:rFonts w:ascii="宋体" w:hAnsi="宋体" w:cs="宋体" w:eastAsia="宋体" w:hint="default"/>
          <w:spacing w:val="-53"/>
        </w:rPr>
        <w:t> </w:t>
      </w:r>
      <w:r>
        <w:rPr/>
        <w:t>万元，比上年同期增长</w:t>
      </w:r>
      <w:r>
        <w:rPr>
          <w:spacing w:val="-54"/>
        </w:rPr>
        <w:t> </w:t>
      </w:r>
      <w:r>
        <w:rPr>
          <w:rFonts w:ascii="宋体" w:hAnsi="宋体" w:cs="宋体" w:eastAsia="宋体" w:hint="default"/>
        </w:rPr>
        <w:t>27.03%</w:t>
      </w:r>
      <w:r>
        <w:rPr/>
        <w:t>，其中：</w:t>
      </w:r>
      <w:r>
        <w:rPr>
          <w:w w:val="100"/>
        </w:rPr>
        <w:t> </w:t>
      </w:r>
      <w:r>
        <w:rPr/>
        <w:t>现金类自助设备营业收入</w:t>
      </w:r>
      <w:r>
        <w:rPr>
          <w:spacing w:val="-34"/>
        </w:rPr>
        <w:t> </w:t>
      </w:r>
      <w:r>
        <w:rPr>
          <w:rFonts w:ascii="宋体" w:hAnsi="宋体" w:cs="宋体" w:eastAsia="宋体" w:hint="default"/>
        </w:rPr>
        <w:t>84,640.30</w:t>
      </w:r>
      <w:r>
        <w:rPr>
          <w:rFonts w:ascii="宋体" w:hAnsi="宋体" w:cs="宋体" w:eastAsia="宋体" w:hint="default"/>
          <w:spacing w:val="-35"/>
        </w:rPr>
        <w:t> </w:t>
      </w:r>
      <w:r>
        <w:rPr/>
        <w:t>万元，比上年同期增长</w:t>
      </w:r>
      <w:r>
        <w:rPr>
          <w:spacing w:val="-32"/>
        </w:rPr>
        <w:t> </w:t>
      </w:r>
      <w:r>
        <w:rPr>
          <w:rFonts w:ascii="宋体" w:hAnsi="宋体" w:cs="宋体" w:eastAsia="宋体" w:hint="default"/>
        </w:rPr>
        <w:t>5.46%</w:t>
      </w:r>
      <w:r>
        <w:rPr/>
        <w:t>，主要系该类设备销售结</w:t>
      </w:r>
    </w:p>
    <w:p>
      <w:pPr>
        <w:pStyle w:val="BodyText"/>
        <w:spacing w:line="240" w:lineRule="auto" w:before="30"/>
        <w:ind w:left="358" w:right="344"/>
        <w:jc w:val="left"/>
      </w:pPr>
      <w:r>
        <w:rPr/>
        <w:t>构变化所致。</w:t>
      </w:r>
    </w:p>
    <w:p>
      <w:pPr>
        <w:pStyle w:val="BodyText"/>
        <w:spacing w:line="355" w:lineRule="auto" w:before="133"/>
        <w:ind w:left="358" w:right="345" w:firstLine="419"/>
        <w:jc w:val="left"/>
      </w:pPr>
      <w:r>
        <w:rPr/>
        <w:t>非现金类自助设备营业收入</w:t>
      </w:r>
      <w:r>
        <w:rPr>
          <w:spacing w:val="-33"/>
        </w:rPr>
        <w:t> </w:t>
      </w:r>
      <w:r>
        <w:rPr>
          <w:rFonts w:ascii="宋体" w:hAnsi="宋体" w:cs="宋体" w:eastAsia="宋体" w:hint="default"/>
        </w:rPr>
        <w:t>42,213.72</w:t>
      </w:r>
      <w:r>
        <w:rPr>
          <w:rFonts w:ascii="宋体" w:hAnsi="宋体" w:cs="宋体" w:eastAsia="宋体" w:hint="default"/>
          <w:spacing w:val="-33"/>
        </w:rPr>
        <w:t> </w:t>
      </w:r>
      <w:r>
        <w:rPr/>
        <w:t>万元，比上年同期增长</w:t>
      </w:r>
      <w:r>
        <w:rPr>
          <w:spacing w:val="-35"/>
        </w:rPr>
        <w:t> </w:t>
      </w:r>
      <w:r>
        <w:rPr>
          <w:rFonts w:ascii="宋体" w:hAnsi="宋体" w:cs="宋体" w:eastAsia="宋体" w:hint="default"/>
        </w:rPr>
        <w:t>126.22%</w:t>
      </w:r>
      <w:r>
        <w:rPr/>
        <w:t>，主要系银行智慧银</w:t>
      </w:r>
      <w:r>
        <w:rPr>
          <w:w w:val="100"/>
        </w:rPr>
        <w:t> </w:t>
      </w:r>
      <w:r>
        <w:rPr/>
        <w:t>行转型升级过程中智能自助设备市场需求迅速增长所致。</w:t>
      </w:r>
    </w:p>
    <w:p>
      <w:pPr>
        <w:pStyle w:val="BodyText"/>
        <w:spacing w:line="357" w:lineRule="auto" w:before="32"/>
        <w:ind w:left="358" w:right="344" w:firstLine="419"/>
        <w:jc w:val="left"/>
      </w:pPr>
      <w:r>
        <w:rPr/>
        <w:t>移动支付产品营业收入</w:t>
      </w:r>
      <w:r>
        <w:rPr>
          <w:spacing w:val="-48"/>
        </w:rPr>
        <w:t> </w:t>
      </w:r>
      <w:r>
        <w:rPr>
          <w:rFonts w:ascii="宋体" w:hAnsi="宋体" w:cs="宋体" w:eastAsia="宋体" w:hint="default"/>
        </w:rPr>
        <w:t>543.18</w:t>
      </w:r>
      <w:r>
        <w:rPr>
          <w:rFonts w:ascii="宋体" w:hAnsi="宋体" w:cs="宋体" w:eastAsia="宋体" w:hint="default"/>
          <w:spacing w:val="-51"/>
        </w:rPr>
        <w:t> </w:t>
      </w:r>
      <w:r>
        <w:rPr>
          <w:spacing w:val="-4"/>
        </w:rPr>
        <w:t>万元，比上年同期减少</w:t>
      </w:r>
      <w:r>
        <w:rPr>
          <w:spacing w:val="-49"/>
        </w:rPr>
        <w:t> </w:t>
      </w:r>
      <w:r>
        <w:rPr>
          <w:rFonts w:ascii="宋体" w:hAnsi="宋体" w:cs="宋体" w:eastAsia="宋体" w:hint="default"/>
          <w:spacing w:val="-3"/>
        </w:rPr>
        <w:t>67.67%</w:t>
      </w:r>
      <w:r>
        <w:rPr>
          <w:spacing w:val="-3"/>
        </w:rPr>
        <w:t>，主要系</w:t>
      </w:r>
      <w:r>
        <w:rPr>
          <w:spacing w:val="-51"/>
        </w:rPr>
        <w:t> </w:t>
      </w:r>
      <w:r>
        <w:rPr>
          <w:rFonts w:ascii="宋体" w:hAnsi="宋体" w:cs="宋体" w:eastAsia="宋体" w:hint="default"/>
        </w:rPr>
        <w:t>Ukey</w:t>
      </w:r>
      <w:r>
        <w:rPr>
          <w:rFonts w:ascii="宋体" w:hAnsi="宋体" w:cs="宋体" w:eastAsia="宋体" w:hint="default"/>
          <w:spacing w:val="-48"/>
        </w:rPr>
        <w:t> </w:t>
      </w:r>
      <w:r>
        <w:rPr/>
        <w:t>市场需求缩减所</w:t>
      </w:r>
      <w:r>
        <w:rPr>
          <w:w w:val="100"/>
        </w:rPr>
        <w:t> </w:t>
      </w:r>
      <w:r>
        <w:rPr/>
        <w:t>致。</w:t>
      </w:r>
    </w:p>
    <w:p>
      <w:pPr>
        <w:pStyle w:val="BodyText"/>
        <w:spacing w:line="355" w:lineRule="auto" w:before="31"/>
        <w:ind w:left="358" w:right="344" w:firstLine="419"/>
        <w:jc w:val="left"/>
      </w:pPr>
      <w:r>
        <w:rPr/>
        <w:t>设备配件营业收入</w:t>
      </w:r>
      <w:r>
        <w:rPr>
          <w:spacing w:val="-37"/>
        </w:rPr>
        <w:t> </w:t>
      </w:r>
      <w:r>
        <w:rPr>
          <w:rFonts w:ascii="宋体" w:hAnsi="宋体" w:cs="宋体" w:eastAsia="宋体" w:hint="default"/>
        </w:rPr>
        <w:t>8,272.90</w:t>
      </w:r>
      <w:r>
        <w:rPr>
          <w:rFonts w:ascii="宋体" w:hAnsi="宋体" w:cs="宋体" w:eastAsia="宋体" w:hint="default"/>
          <w:spacing w:val="-38"/>
        </w:rPr>
        <w:t> </w:t>
      </w:r>
      <w:r>
        <w:rPr>
          <w:spacing w:val="-4"/>
        </w:rPr>
        <w:t>万元，比上年同期增长</w:t>
      </w:r>
      <w:r>
        <w:rPr>
          <w:spacing w:val="-41"/>
        </w:rPr>
        <w:t> </w:t>
      </w:r>
      <w:r>
        <w:rPr>
          <w:rFonts w:ascii="宋体" w:hAnsi="宋体" w:cs="宋体" w:eastAsia="宋体" w:hint="default"/>
          <w:spacing w:val="-3"/>
        </w:rPr>
        <w:t>6.96%</w:t>
      </w:r>
      <w:r>
        <w:rPr>
          <w:spacing w:val="-3"/>
        </w:rPr>
        <w:t>，主要系客户设备运营过程中单独</w:t>
      </w:r>
      <w:r>
        <w:rPr>
          <w:w w:val="100"/>
        </w:rPr>
        <w:t> </w:t>
      </w:r>
      <w:r>
        <w:rPr/>
        <w:t>采购的必备配件需求增长所致。</w:t>
      </w:r>
    </w:p>
    <w:p>
      <w:pPr>
        <w:pStyle w:val="BodyText"/>
        <w:spacing w:line="357" w:lineRule="auto" w:before="32"/>
        <w:ind w:left="358" w:right="344" w:firstLine="419"/>
        <w:jc w:val="left"/>
      </w:pPr>
      <w:r>
        <w:rPr/>
        <w:t>服务及软件营业收入</w:t>
      </w:r>
      <w:r>
        <w:rPr>
          <w:spacing w:val="-38"/>
        </w:rPr>
        <w:t> </w:t>
      </w:r>
      <w:r>
        <w:rPr>
          <w:rFonts w:ascii="宋体" w:hAnsi="宋体" w:cs="宋体" w:eastAsia="宋体" w:hint="default"/>
        </w:rPr>
        <w:t>12,728.49</w:t>
      </w:r>
      <w:r>
        <w:rPr>
          <w:rFonts w:ascii="宋体" w:hAnsi="宋体" w:cs="宋体" w:eastAsia="宋体" w:hint="default"/>
          <w:spacing w:val="-42"/>
        </w:rPr>
        <w:t> </w:t>
      </w:r>
      <w:r>
        <w:rPr>
          <w:spacing w:val="-4"/>
        </w:rPr>
        <w:t>万元，比上年同期增长</w:t>
      </w:r>
      <w:r>
        <w:rPr>
          <w:spacing w:val="-39"/>
        </w:rPr>
        <w:t> </w:t>
      </w:r>
      <w:r>
        <w:rPr>
          <w:rFonts w:ascii="宋体" w:hAnsi="宋体" w:cs="宋体" w:eastAsia="宋体" w:hint="default"/>
          <w:spacing w:val="-3"/>
        </w:rPr>
        <w:t>50.04%</w:t>
      </w:r>
      <w:r>
        <w:rPr>
          <w:spacing w:val="-3"/>
        </w:rPr>
        <w:t>，主要系免费维保期到期后客</w:t>
      </w:r>
      <w:r>
        <w:rPr>
          <w:w w:val="100"/>
        </w:rPr>
        <w:t> </w:t>
      </w:r>
      <w:r>
        <w:rPr/>
        <w:t>户延续维保服务需求增长所致。</w:t>
      </w:r>
    </w:p>
    <w:p>
      <w:pPr>
        <w:pStyle w:val="BodyText"/>
        <w:spacing w:line="240" w:lineRule="auto" w:before="30"/>
        <w:ind w:left="358" w:right="344"/>
        <w:jc w:val="left"/>
      </w:pPr>
      <w:r>
        <w:rPr/>
        <w:t>主营业务收入地区分类情况的说明：</w:t>
      </w:r>
    </w:p>
    <w:p>
      <w:pPr>
        <w:pStyle w:val="BodyText"/>
        <w:spacing w:line="355" w:lineRule="auto" w:before="133"/>
        <w:ind w:left="358" w:right="344" w:firstLine="419"/>
        <w:jc w:val="left"/>
      </w:pPr>
      <w:r>
        <w:rPr>
          <w:spacing w:val="-3"/>
        </w:rPr>
        <w:t>国内市场营业收入保持稳定增长，比上年同期增长</w:t>
      </w:r>
      <w:r>
        <w:rPr>
          <w:spacing w:val="7"/>
        </w:rPr>
        <w:t> </w:t>
      </w:r>
      <w:r>
        <w:rPr>
          <w:rFonts w:ascii="宋体" w:hAnsi="宋体" w:cs="宋体" w:eastAsia="宋体" w:hint="default"/>
          <w:spacing w:val="-3"/>
        </w:rPr>
        <w:t>27.42%</w:t>
      </w:r>
      <w:r>
        <w:rPr>
          <w:spacing w:val="-3"/>
        </w:rPr>
        <w:t>，主要系非现金类自助设备及服务</w:t>
      </w:r>
      <w:r>
        <w:rPr>
          <w:w w:val="100"/>
        </w:rPr>
        <w:t> </w:t>
      </w:r>
      <w:r>
        <w:rPr/>
        <w:t>收入带来的增长。</w:t>
      </w:r>
    </w:p>
    <w:p>
      <w:pPr>
        <w:pStyle w:val="BodyText"/>
        <w:spacing w:line="240" w:lineRule="auto" w:before="32"/>
        <w:ind w:left="778" w:right="344"/>
        <w:jc w:val="left"/>
      </w:pPr>
      <w:r>
        <w:rPr>
          <w:spacing w:val="-2"/>
        </w:rPr>
        <w:t>国外市场营业收入比上年同期减少</w:t>
      </w:r>
      <w:r>
        <w:rPr>
          <w:spacing w:val="19"/>
        </w:rPr>
        <w:t> </w:t>
      </w:r>
      <w:r>
        <w:rPr>
          <w:rFonts w:ascii="宋体" w:hAnsi="宋体" w:cs="宋体" w:eastAsia="宋体" w:hint="default"/>
          <w:spacing w:val="-2"/>
        </w:rPr>
        <w:t>19.06%</w:t>
      </w:r>
      <w:r>
        <w:rPr>
          <w:spacing w:val="-2"/>
        </w:rPr>
        <w:t>，主要系公司重点区域市场需求缩减所致。</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40" w:lineRule="auto"/>
        <w:ind w:left="358" w:right="344"/>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pStyle w:val="BodyText"/>
        <w:spacing w:line="240" w:lineRule="auto" w:before="58"/>
        <w:ind w:left="358" w:right="344"/>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245" w:type="dxa"/>
        <w:tblLayout w:type="fixed"/>
        <w:tblCellMar>
          <w:top w:w="0" w:type="dxa"/>
          <w:left w:w="0" w:type="dxa"/>
          <w:bottom w:w="0" w:type="dxa"/>
          <w:right w:w="0" w:type="dxa"/>
        </w:tblCellMar>
        <w:tblLook w:val="01E0"/>
      </w:tblPr>
      <w:tblGrid>
        <w:gridCol w:w="1291"/>
        <w:gridCol w:w="1294"/>
        <w:gridCol w:w="1291"/>
        <w:gridCol w:w="1294"/>
        <w:gridCol w:w="1294"/>
        <w:gridCol w:w="1294"/>
        <w:gridCol w:w="1291"/>
      </w:tblGrid>
      <w:tr>
        <w:trPr>
          <w:trHeight w:val="554"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0"/>
              <w:jc w:val="left"/>
              <w:rPr>
                <w:rFonts w:ascii="宋体" w:hAnsi="宋体" w:cs="宋体" w:eastAsia="宋体" w:hint="default"/>
                <w:sz w:val="21"/>
                <w:szCs w:val="21"/>
              </w:rPr>
            </w:pPr>
            <w:r>
              <w:rPr>
                <w:rFonts w:ascii="宋体" w:hAnsi="宋体" w:cs="宋体" w:eastAsia="宋体" w:hint="default"/>
                <w:sz w:val="21"/>
                <w:szCs w:val="21"/>
              </w:rPr>
              <w:t>主要产品</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3" w:right="0"/>
              <w:jc w:val="left"/>
              <w:rPr>
                <w:rFonts w:ascii="宋体" w:hAnsi="宋体" w:cs="宋体" w:eastAsia="宋体" w:hint="default"/>
                <w:sz w:val="21"/>
                <w:szCs w:val="21"/>
              </w:rPr>
            </w:pPr>
            <w:r>
              <w:rPr>
                <w:rFonts w:ascii="宋体" w:hAnsi="宋体" w:cs="宋体" w:eastAsia="宋体" w:hint="default"/>
                <w:sz w:val="21"/>
                <w:szCs w:val="21"/>
              </w:rPr>
              <w:t>生产量</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4" w:right="0"/>
              <w:jc w:val="left"/>
              <w:rPr>
                <w:rFonts w:ascii="宋体" w:hAnsi="宋体" w:cs="宋体" w:eastAsia="宋体" w:hint="default"/>
                <w:sz w:val="21"/>
                <w:szCs w:val="21"/>
              </w:rPr>
            </w:pPr>
            <w:r>
              <w:rPr>
                <w:rFonts w:ascii="宋体" w:hAnsi="宋体" w:cs="宋体" w:eastAsia="宋体" w:hint="default"/>
                <w:sz w:val="21"/>
                <w:szCs w:val="21"/>
              </w:rPr>
              <w:t>销售量</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6" w:right="0"/>
              <w:jc w:val="left"/>
              <w:rPr>
                <w:rFonts w:ascii="宋体" w:hAnsi="宋体" w:cs="宋体" w:eastAsia="宋体" w:hint="default"/>
                <w:sz w:val="21"/>
                <w:szCs w:val="21"/>
              </w:rPr>
            </w:pPr>
            <w:r>
              <w:rPr>
                <w:rFonts w:ascii="宋体" w:hAnsi="宋体" w:cs="宋体" w:eastAsia="宋体" w:hint="default"/>
                <w:sz w:val="21"/>
                <w:szCs w:val="21"/>
              </w:rPr>
              <w:t>库存量</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12"/>
              <w:jc w:val="left"/>
              <w:rPr>
                <w:rFonts w:ascii="宋体" w:hAnsi="宋体" w:cs="宋体" w:eastAsia="宋体" w:hint="default"/>
                <w:sz w:val="21"/>
                <w:szCs w:val="21"/>
              </w:rPr>
            </w:pPr>
            <w:r>
              <w:rPr>
                <w:rFonts w:ascii="宋体" w:hAnsi="宋体" w:cs="宋体" w:eastAsia="宋体" w:hint="default"/>
                <w:sz w:val="21"/>
                <w:szCs w:val="21"/>
              </w:rPr>
              <w:t>生产量比上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12"/>
              <w:jc w:val="left"/>
              <w:rPr>
                <w:rFonts w:ascii="宋体" w:hAnsi="宋体" w:cs="宋体" w:eastAsia="宋体" w:hint="default"/>
                <w:sz w:val="21"/>
                <w:szCs w:val="21"/>
              </w:rPr>
            </w:pPr>
            <w:r>
              <w:rPr>
                <w:rFonts w:ascii="宋体" w:hAnsi="宋体" w:cs="宋体" w:eastAsia="宋体" w:hint="default"/>
                <w:sz w:val="21"/>
                <w:szCs w:val="21"/>
              </w:rPr>
              <w:t>销售量比上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firstLine="12"/>
              <w:jc w:val="left"/>
              <w:rPr>
                <w:rFonts w:ascii="宋体" w:hAnsi="宋体" w:cs="宋体" w:eastAsia="宋体" w:hint="default"/>
                <w:sz w:val="21"/>
                <w:szCs w:val="21"/>
              </w:rPr>
            </w:pPr>
            <w:r>
              <w:rPr>
                <w:rFonts w:ascii="宋体" w:hAnsi="宋体" w:cs="宋体" w:eastAsia="宋体" w:hint="default"/>
                <w:sz w:val="21"/>
                <w:szCs w:val="21"/>
              </w:rPr>
              <w:t>库存量比上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Calibri" w:hAnsi="Calibri" w:cs="Calibri" w:eastAsia="Calibri" w:hint="default"/>
                <w:sz w:val="21"/>
                <w:szCs w:val="21"/>
              </w:rPr>
            </w:pPr>
            <w:r>
              <w:rPr>
                <w:rFonts w:ascii="Calibri"/>
                <w:spacing w:val="-7"/>
                <w:sz w:val="21"/>
              </w:rPr>
              <w:t>ATM</w:t>
            </w:r>
            <w:r>
              <w:rPr>
                <w:rFonts w:ascii="Calibri"/>
                <w:sz w:val="21"/>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662</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644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811</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-22.30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1.74</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0.37</w:t>
            </w:r>
          </w:p>
        </w:tc>
      </w:tr>
      <w:tr>
        <w:trPr>
          <w:trHeight w:val="281"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Calibri" w:hAnsi="Calibri" w:cs="Calibri" w:eastAsia="Calibri" w:hint="default"/>
                <w:sz w:val="21"/>
                <w:szCs w:val="21"/>
              </w:rPr>
            </w:pPr>
            <w:r>
              <w:rPr>
                <w:rFonts w:ascii="Calibri"/>
                <w:sz w:val="21"/>
              </w:rPr>
              <w:t>CRS</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8,442</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9,757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5,663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-7.73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15.65</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-19.91</w:t>
            </w:r>
          </w:p>
        </w:tc>
      </w:tr>
      <w:tr>
        <w:trPr>
          <w:trHeight w:val="283"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自助终端</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12,264</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16,276</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6,366</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-17.59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49.94</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-38.81</w:t>
            </w:r>
          </w:p>
        </w:tc>
      </w:tr>
    </w:tbl>
    <w:p>
      <w:pPr>
        <w:spacing w:line="240" w:lineRule="auto" w:before="7"/>
        <w:rPr>
          <w:rFonts w:ascii="宋体" w:hAnsi="宋体" w:cs="宋体" w:eastAsia="宋体" w:hint="default"/>
          <w:sz w:val="15"/>
          <w:szCs w:val="15"/>
        </w:rPr>
      </w:pPr>
    </w:p>
    <w:p>
      <w:pPr>
        <w:pStyle w:val="BodyText"/>
        <w:spacing w:line="273" w:lineRule="exact" w:before="36"/>
        <w:ind w:left="358" w:right="344"/>
        <w:jc w:val="left"/>
      </w:pPr>
      <w:r>
        <w:rPr/>
        <w:t>产销量情况说明</w:t>
      </w:r>
    </w:p>
    <w:p>
      <w:pPr>
        <w:pStyle w:val="BodyText"/>
        <w:spacing w:line="357" w:lineRule="auto"/>
        <w:ind w:left="358" w:right="347" w:firstLine="419"/>
        <w:jc w:val="both"/>
      </w:pPr>
      <w:r>
        <w:rPr/>
        <w:t>自助终端产品销售量</w:t>
      </w:r>
      <w:r>
        <w:rPr>
          <w:spacing w:val="-35"/>
        </w:rPr>
        <w:t> </w:t>
      </w:r>
      <w:r>
        <w:rPr>
          <w:rFonts w:ascii="宋体" w:hAnsi="宋体" w:cs="宋体" w:eastAsia="宋体" w:hint="default"/>
        </w:rPr>
        <w:t>16,276</w:t>
      </w:r>
      <w:r>
        <w:rPr>
          <w:rFonts w:ascii="宋体" w:hAnsi="宋体" w:cs="宋体" w:eastAsia="宋体" w:hint="default"/>
          <w:spacing w:val="-33"/>
        </w:rPr>
        <w:t> </w:t>
      </w:r>
      <w:r>
        <w:rPr/>
        <w:t>台，较上年同期增长</w:t>
      </w:r>
      <w:r>
        <w:rPr>
          <w:spacing w:val="-33"/>
        </w:rPr>
        <w:t> </w:t>
      </w:r>
      <w:r>
        <w:rPr>
          <w:rFonts w:ascii="宋体" w:hAnsi="宋体" w:cs="宋体" w:eastAsia="宋体" w:hint="default"/>
        </w:rPr>
        <w:t>49.94%</w:t>
      </w:r>
      <w:r>
        <w:rPr/>
        <w:t>，主要为抓住了银行网点向智慧银</w:t>
      </w:r>
      <w:r>
        <w:rPr>
          <w:w w:val="100"/>
        </w:rPr>
        <w:t> </w:t>
      </w:r>
      <w:r>
        <w:rPr>
          <w:spacing w:val="-4"/>
        </w:rPr>
        <w:t>行转型升级的机会，实现智能自助设备销售迅速增长；自助终端产品生产量</w:t>
      </w:r>
      <w:r>
        <w:rPr>
          <w:spacing w:val="-23"/>
        </w:rPr>
        <w:t> </w:t>
      </w:r>
      <w:r>
        <w:rPr>
          <w:rFonts w:ascii="宋体" w:hAnsi="宋体" w:cs="宋体" w:eastAsia="宋体" w:hint="default"/>
        </w:rPr>
        <w:t>12,264</w:t>
      </w:r>
      <w:r>
        <w:rPr>
          <w:rFonts w:ascii="宋体" w:hAnsi="宋体" w:cs="宋体" w:eastAsia="宋体" w:hint="default"/>
          <w:spacing w:val="-23"/>
        </w:rPr>
        <w:t> </w:t>
      </w:r>
      <w:r>
        <w:rPr>
          <w:spacing w:val="-7"/>
        </w:rPr>
        <w:t>台，较上年同</w:t>
      </w:r>
      <w:r>
        <w:rPr>
          <w:spacing w:val="-92"/>
        </w:rPr>
        <w:t> </w:t>
      </w:r>
      <w:r>
        <w:rPr>
          <w:spacing w:val="-92"/>
        </w:rPr>
      </w:r>
      <w:r>
        <w:rPr/>
        <w:t>期下降</w:t>
      </w:r>
      <w:r>
        <w:rPr>
          <w:spacing w:val="28"/>
        </w:rPr>
        <w:t> </w:t>
      </w:r>
      <w:r>
        <w:rPr>
          <w:rFonts w:ascii="宋体" w:hAnsi="宋体" w:cs="宋体" w:eastAsia="宋体" w:hint="default"/>
          <w:spacing w:val="-8"/>
        </w:rPr>
        <w:t>17.59%</w:t>
      </w:r>
      <w:r>
        <w:rPr>
          <w:spacing w:val="-8"/>
        </w:rPr>
        <w:t>，主要为公司加强库存管理，加速存货周转速度，降低库存量，控制生产数量所致。</w:t>
      </w:r>
    </w:p>
    <w:p>
      <w:pPr>
        <w:spacing w:line="240" w:lineRule="auto" w:before="11"/>
        <w:rPr>
          <w:rFonts w:ascii="宋体" w:hAnsi="宋体" w:cs="宋体" w:eastAsia="宋体" w:hint="default"/>
          <w:sz w:val="24"/>
          <w:szCs w:val="24"/>
        </w:rPr>
      </w:pPr>
    </w:p>
    <w:p>
      <w:pPr>
        <w:pStyle w:val="Heading2"/>
        <w:spacing w:line="240" w:lineRule="auto" w:before="36"/>
        <w:ind w:left="358" w:right="344"/>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58"/>
        <w:ind w:left="0" w:right="350"/>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526"/>
        <w:gridCol w:w="1133"/>
        <w:gridCol w:w="1687"/>
        <w:gridCol w:w="843"/>
        <w:gridCol w:w="1687"/>
        <w:gridCol w:w="769"/>
        <w:gridCol w:w="970"/>
        <w:gridCol w:w="708"/>
      </w:tblGrid>
      <w:tr>
        <w:trPr>
          <w:trHeight w:val="283" w:hRule="exact"/>
        </w:trPr>
        <w:tc>
          <w:tcPr>
            <w:tcW w:w="932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64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50" w:right="137" w:hanging="209"/>
              <w:jc w:val="left"/>
              <w:rPr>
                <w:rFonts w:ascii="宋体" w:hAnsi="宋体" w:cs="宋体" w:eastAsia="宋体" w:hint="default"/>
                <w:sz w:val="21"/>
                <w:szCs w:val="21"/>
              </w:rPr>
            </w:pPr>
            <w:r>
              <w:rPr>
                <w:rFonts w:ascii="宋体" w:hAnsi="宋体" w:cs="宋体" w:eastAsia="宋体" w:hint="default"/>
                <w:sz w:val="21"/>
                <w:szCs w:val="21"/>
              </w:rPr>
              <w:t>成本构成</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03" w:right="204"/>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占总</w:t>
            </w:r>
            <w:r>
              <w:rPr>
                <w:rFonts w:ascii="宋体" w:hAnsi="宋体" w:cs="宋体" w:eastAsia="宋体" w:hint="default"/>
                <w:spacing w:val="-103"/>
                <w:sz w:val="21"/>
                <w:szCs w:val="21"/>
              </w:rPr>
              <w:t> </w:t>
            </w:r>
            <w:r>
              <w:rPr>
                <w:rFonts w:ascii="宋体" w:hAnsi="宋体" w:cs="宋体" w:eastAsia="宋体" w:hint="default"/>
                <w:sz w:val="21"/>
                <w:szCs w:val="21"/>
              </w:rPr>
              <w:t>成本</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0"/>
              <w:jc w:val="both"/>
              <w:rPr>
                <w:rFonts w:ascii="宋体" w:hAnsi="宋体" w:cs="宋体" w:eastAsia="宋体" w:hint="default"/>
                <w:sz w:val="21"/>
                <w:szCs w:val="21"/>
              </w:rPr>
            </w:pPr>
            <w:r>
              <w:rPr>
                <w:rFonts w:ascii="宋体" w:hAnsi="宋体" w:cs="宋体" w:eastAsia="宋体" w:hint="default"/>
                <w:sz w:val="21"/>
                <w:szCs w:val="21"/>
              </w:rPr>
              <w:t>上年</w:t>
            </w:r>
          </w:p>
          <w:p>
            <w:pPr>
              <w:pStyle w:val="TableParagraph"/>
              <w:spacing w:line="237" w:lineRule="auto" w:before="2"/>
              <w:ind w:left="165" w:right="170"/>
              <w:jc w:val="both"/>
              <w:rPr>
                <w:rFonts w:ascii="宋体" w:hAnsi="宋体" w:cs="宋体" w:eastAsia="宋体" w:hint="default"/>
                <w:sz w:val="21"/>
                <w:szCs w:val="21"/>
              </w:rPr>
            </w:pPr>
            <w:r>
              <w:rPr>
                <w:rFonts w:ascii="宋体" w:hAnsi="宋体" w:cs="宋体" w:eastAsia="宋体" w:hint="default"/>
                <w:sz w:val="21"/>
                <w:szCs w:val="21"/>
              </w:rPr>
              <w:t>同期</w:t>
            </w:r>
            <w:r>
              <w:rPr>
                <w:rFonts w:ascii="宋体" w:hAnsi="宋体" w:cs="宋体" w:eastAsia="宋体" w:hint="default"/>
                <w:spacing w:val="-103"/>
                <w:sz w:val="21"/>
                <w:szCs w:val="21"/>
              </w:rPr>
              <w:t> </w:t>
            </w:r>
            <w:r>
              <w:rPr>
                <w:rFonts w:ascii="宋体" w:hAnsi="宋体" w:cs="宋体" w:eastAsia="宋体" w:hint="default"/>
                <w:sz w:val="21"/>
                <w:szCs w:val="21"/>
              </w:rPr>
              <w:t>占总</w:t>
            </w:r>
            <w:r>
              <w:rPr>
                <w:rFonts w:ascii="宋体" w:hAnsi="宋体" w:cs="宋体" w:eastAsia="宋体" w:hint="default"/>
                <w:spacing w:val="-103"/>
                <w:sz w:val="21"/>
                <w:szCs w:val="21"/>
              </w:rPr>
              <w:t> </w:t>
            </w:r>
            <w:r>
              <w:rPr>
                <w:rFonts w:ascii="宋体" w:hAnsi="宋体" w:cs="宋体" w:eastAsia="宋体" w:hint="default"/>
                <w:sz w:val="21"/>
                <w:szCs w:val="21"/>
              </w:rPr>
              <w:t>成本</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63" w:right="161"/>
              <w:jc w:val="both"/>
              <w:rPr>
                <w:rFonts w:ascii="宋体" w:hAnsi="宋体" w:cs="宋体" w:eastAsia="宋体" w:hint="default"/>
                <w:sz w:val="21"/>
                <w:szCs w:val="21"/>
              </w:rPr>
            </w:pPr>
            <w:r>
              <w:rPr>
                <w:rFonts w:ascii="宋体" w:hAnsi="宋体" w:cs="宋体" w:eastAsia="宋体" w:hint="default"/>
                <w:sz w:val="21"/>
                <w:szCs w:val="21"/>
              </w:rPr>
              <w:t>本期金</w:t>
            </w:r>
            <w:r>
              <w:rPr>
                <w:rFonts w:ascii="宋体" w:hAnsi="宋体" w:cs="宋体" w:eastAsia="宋体" w:hint="default"/>
                <w:spacing w:val="-102"/>
                <w:sz w:val="21"/>
                <w:szCs w:val="21"/>
              </w:rPr>
              <w:t> </w:t>
            </w: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39" w:right="134"/>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bl>
    <w:p>
      <w:pPr>
        <w:spacing w:after="0" w:line="240" w:lineRule="auto"/>
        <w:jc w:val="left"/>
        <w:rPr>
          <w:rFonts w:ascii="宋体" w:hAnsi="宋体" w:cs="宋体" w:eastAsia="宋体" w:hint="default"/>
          <w:sz w:val="21"/>
          <w:szCs w:val="21"/>
        </w:rPr>
        <w:sectPr>
          <w:pgSz w:w="11910" w:h="16840"/>
          <w:pgMar w:header="880" w:footer="1195" w:top="1120" w:bottom="1380" w:left="1440" w:right="9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1526"/>
        <w:gridCol w:w="1133"/>
        <w:gridCol w:w="1687"/>
        <w:gridCol w:w="843"/>
        <w:gridCol w:w="1687"/>
        <w:gridCol w:w="769"/>
        <w:gridCol w:w="970"/>
        <w:gridCol w:w="708"/>
      </w:tblGrid>
      <w:tr>
        <w:trPr>
          <w:trHeight w:val="28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891,926,824.85</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91.19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672,592,399.92</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92.19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32.61</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人工费</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11,084,236.59</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7,153,799.60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0.98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54.94</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5,248,779.33</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0.54</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4,656,313.32</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0.64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12.72</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14,460,492.12</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1.48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7,179,275.25</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0.98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101.42</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人工费</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42,276,375.03</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4.32</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27,560,593.72</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3.78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53.39</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13,148,694.87</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1.34</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10,440,034.36</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25.94</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32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1645"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50" w:right="137" w:hanging="209"/>
              <w:jc w:val="left"/>
              <w:rPr>
                <w:rFonts w:ascii="宋体" w:hAnsi="宋体" w:cs="宋体" w:eastAsia="宋体" w:hint="default"/>
                <w:sz w:val="21"/>
                <w:szCs w:val="21"/>
              </w:rPr>
            </w:pPr>
            <w:r>
              <w:rPr>
                <w:rFonts w:ascii="宋体" w:hAnsi="宋体" w:cs="宋体" w:eastAsia="宋体" w:hint="default"/>
                <w:sz w:val="21"/>
                <w:szCs w:val="21"/>
              </w:rPr>
              <w:t>成本构成</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03" w:right="204"/>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占总</w:t>
            </w:r>
            <w:r>
              <w:rPr>
                <w:rFonts w:ascii="宋体" w:hAnsi="宋体" w:cs="宋体" w:eastAsia="宋体" w:hint="default"/>
                <w:spacing w:val="-103"/>
                <w:sz w:val="21"/>
                <w:szCs w:val="21"/>
              </w:rPr>
              <w:t> </w:t>
            </w:r>
            <w:r>
              <w:rPr>
                <w:rFonts w:ascii="宋体" w:hAnsi="宋体" w:cs="宋体" w:eastAsia="宋体" w:hint="default"/>
                <w:sz w:val="21"/>
                <w:szCs w:val="21"/>
              </w:rPr>
              <w:t>成本</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0"/>
              <w:jc w:val="both"/>
              <w:rPr>
                <w:rFonts w:ascii="宋体" w:hAnsi="宋体" w:cs="宋体" w:eastAsia="宋体" w:hint="default"/>
                <w:sz w:val="21"/>
                <w:szCs w:val="21"/>
              </w:rPr>
            </w:pPr>
            <w:r>
              <w:rPr>
                <w:rFonts w:ascii="宋体" w:hAnsi="宋体" w:cs="宋体" w:eastAsia="宋体" w:hint="default"/>
                <w:sz w:val="21"/>
                <w:szCs w:val="21"/>
              </w:rPr>
              <w:t>上年</w:t>
            </w:r>
          </w:p>
          <w:p>
            <w:pPr>
              <w:pStyle w:val="TableParagraph"/>
              <w:spacing w:line="237" w:lineRule="auto" w:before="2"/>
              <w:ind w:left="165" w:right="170"/>
              <w:jc w:val="both"/>
              <w:rPr>
                <w:rFonts w:ascii="宋体" w:hAnsi="宋体" w:cs="宋体" w:eastAsia="宋体" w:hint="default"/>
                <w:sz w:val="21"/>
                <w:szCs w:val="21"/>
              </w:rPr>
            </w:pPr>
            <w:r>
              <w:rPr>
                <w:rFonts w:ascii="宋体" w:hAnsi="宋体" w:cs="宋体" w:eastAsia="宋体" w:hint="default"/>
                <w:sz w:val="21"/>
                <w:szCs w:val="21"/>
              </w:rPr>
              <w:t>同期</w:t>
            </w:r>
            <w:r>
              <w:rPr>
                <w:rFonts w:ascii="宋体" w:hAnsi="宋体" w:cs="宋体" w:eastAsia="宋体" w:hint="default"/>
                <w:spacing w:val="-103"/>
                <w:sz w:val="21"/>
                <w:szCs w:val="21"/>
              </w:rPr>
              <w:t> </w:t>
            </w:r>
            <w:r>
              <w:rPr>
                <w:rFonts w:ascii="宋体" w:hAnsi="宋体" w:cs="宋体" w:eastAsia="宋体" w:hint="default"/>
                <w:sz w:val="21"/>
                <w:szCs w:val="21"/>
              </w:rPr>
              <w:t>占总</w:t>
            </w:r>
            <w:r>
              <w:rPr>
                <w:rFonts w:ascii="宋体" w:hAnsi="宋体" w:cs="宋体" w:eastAsia="宋体" w:hint="default"/>
                <w:spacing w:val="-103"/>
                <w:sz w:val="21"/>
                <w:szCs w:val="21"/>
              </w:rPr>
              <w:t> </w:t>
            </w:r>
            <w:r>
              <w:rPr>
                <w:rFonts w:ascii="宋体" w:hAnsi="宋体" w:cs="宋体" w:eastAsia="宋体" w:hint="default"/>
                <w:sz w:val="21"/>
                <w:szCs w:val="21"/>
              </w:rPr>
              <w:t>成本</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63" w:right="161"/>
              <w:jc w:val="both"/>
              <w:rPr>
                <w:rFonts w:ascii="宋体" w:hAnsi="宋体" w:cs="宋体" w:eastAsia="宋体" w:hint="default"/>
                <w:sz w:val="21"/>
                <w:szCs w:val="21"/>
              </w:rPr>
            </w:pPr>
            <w:r>
              <w:rPr>
                <w:rFonts w:ascii="宋体" w:hAnsi="宋体" w:cs="宋体" w:eastAsia="宋体" w:hint="default"/>
                <w:sz w:val="21"/>
                <w:szCs w:val="21"/>
              </w:rPr>
              <w:t>本期金</w:t>
            </w:r>
            <w:r>
              <w:rPr>
                <w:rFonts w:ascii="宋体" w:hAnsi="宋体" w:cs="宋体" w:eastAsia="宋体" w:hint="default"/>
                <w:spacing w:val="-102"/>
                <w:sz w:val="21"/>
                <w:szCs w:val="21"/>
              </w:rPr>
              <w:t> </w:t>
            </w: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39" w:right="134"/>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现金类自助设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513,040,426.66</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53.55</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476,821,275.00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67.09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7.60</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现金类自助设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人工费</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8,467,377.85</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0.88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6,028,840.35</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0.85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40.45</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现金类自助设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4,336,838.98</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0.45</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4,042,933.10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0.57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7.27</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ATM</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19,438,612.99</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18,224,526.04</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6.66</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34" w:right="0"/>
              <w:jc w:val="left"/>
              <w:rPr>
                <w:rFonts w:ascii="宋体" w:hAnsi="宋体" w:cs="宋体" w:eastAsia="宋体" w:hint="default"/>
                <w:sz w:val="21"/>
                <w:szCs w:val="21"/>
              </w:rPr>
            </w:pPr>
            <w:r>
              <w:rPr>
                <w:rFonts w:ascii="宋体"/>
                <w:sz w:val="21"/>
              </w:rPr>
              <w:t>ATM</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人工费</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721,987.02</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620,369.75</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16.38</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sz w:val="21"/>
              </w:rPr>
              <w:t>ATM</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355,690.65</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0.04</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476,578.80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-25.37</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sz w:val="21"/>
              </w:rPr>
              <w:t>CRS</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493,601,813.67</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51.53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458,596,748.96</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64.52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7.63</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sz w:val="21"/>
              </w:rPr>
              <w:t>CRS</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人工费</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7,745,390.83</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0.81</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5,408,470.60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0.76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43.21</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sz w:val="21"/>
              </w:rPr>
              <w:t>CRS</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3,981,148.32</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0.42</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3,566,354.30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0.50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11.63</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非现金类自助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设备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326,996,244.68</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34.13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134,837,162.13</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18.97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142.51</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非现金类自助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设备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人工费</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2,616,858.73</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0.27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1,124,959.25</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0.16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132.62</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非现金类自助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设备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911,940.35</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0.10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613,380.22</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48.67</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移动支付产品</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3,151,575.83</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0.33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12,101,399.17</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-73.96</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设备配件</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48,738,577.68</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48,832,563.61</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6.87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-0.19</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服务及软件</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14,460,492.12</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1.51</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7,179,275.25</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101.42</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服务及软件</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人工费</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42,276,375.03</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4.41</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27,560,593.72</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3.88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53.39</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服务及软件</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13,148,694.87</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10,440,034.36</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25.94</w:t>
            </w:r>
          </w:p>
        </w:tc>
        <w:tc>
          <w:tcPr>
            <w:tcW w:w="70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left="358" w:right="344"/>
        <w:jc w:val="left"/>
      </w:pPr>
      <w:r>
        <w:rPr/>
        <w:t>成本分析其他情况说明</w:t>
      </w:r>
    </w:p>
    <w:p>
      <w:pPr>
        <w:pStyle w:val="BodyText"/>
        <w:spacing w:line="272" w:lineRule="exact"/>
        <w:ind w:left="358" w:right="344"/>
        <w:jc w:val="left"/>
      </w:pPr>
      <w:r>
        <w:rPr/>
        <w:t>√适用</w:t>
      </w:r>
      <w:r>
        <w:rPr>
          <w:spacing w:val="-1"/>
        </w:rPr>
        <w:t> </w:t>
      </w:r>
      <w:r>
        <w:rPr/>
        <w:t>□不适用</w:t>
      </w:r>
    </w:p>
    <w:p>
      <w:pPr>
        <w:pStyle w:val="BodyText"/>
        <w:spacing w:line="355" w:lineRule="auto"/>
        <w:ind w:left="778" w:right="343"/>
        <w:jc w:val="left"/>
      </w:pPr>
      <w:r>
        <w:rPr/>
        <w:t>报告期内，公司主营业务成本</w:t>
      </w:r>
      <w:r>
        <w:rPr>
          <w:spacing w:val="-53"/>
        </w:rPr>
        <w:t> </w:t>
      </w:r>
      <w:r>
        <w:rPr>
          <w:rFonts w:ascii="宋体" w:hAnsi="宋体" w:cs="宋体" w:eastAsia="宋体" w:hint="default"/>
        </w:rPr>
        <w:t>97,814.54</w:t>
      </w:r>
      <w:r>
        <w:rPr>
          <w:rFonts w:ascii="宋体" w:hAnsi="宋体" w:cs="宋体" w:eastAsia="宋体" w:hint="default"/>
          <w:spacing w:val="-56"/>
        </w:rPr>
        <w:t> </w:t>
      </w:r>
      <w:r>
        <w:rPr/>
        <w:t>万元，比上年同期增长</w:t>
      </w:r>
      <w:r>
        <w:rPr>
          <w:spacing w:val="-54"/>
        </w:rPr>
        <w:t> </w:t>
      </w:r>
      <w:r>
        <w:rPr>
          <w:rFonts w:ascii="宋体" w:hAnsi="宋体" w:cs="宋体" w:eastAsia="宋体" w:hint="default"/>
        </w:rPr>
        <w:t>34.07%</w:t>
      </w:r>
      <w:r>
        <w:rPr/>
        <w:t>，其中：</w:t>
      </w:r>
      <w:r>
        <w:rPr>
          <w:w w:val="100"/>
        </w:rPr>
        <w:t> </w:t>
      </w:r>
      <w:r>
        <w:rPr/>
        <w:t>现金类自助设备营业成本</w:t>
      </w:r>
      <w:r>
        <w:rPr>
          <w:spacing w:val="-34"/>
        </w:rPr>
        <w:t> </w:t>
      </w:r>
      <w:r>
        <w:rPr>
          <w:rFonts w:ascii="宋体" w:hAnsi="宋体" w:cs="宋体" w:eastAsia="宋体" w:hint="default"/>
        </w:rPr>
        <w:t>52,584.46</w:t>
      </w:r>
      <w:r>
        <w:rPr>
          <w:rFonts w:ascii="宋体" w:hAnsi="宋体" w:cs="宋体" w:eastAsia="宋体" w:hint="default"/>
          <w:spacing w:val="-34"/>
        </w:rPr>
        <w:t> </w:t>
      </w:r>
      <w:r>
        <w:rPr/>
        <w:t>万元，比上年同期增长</w:t>
      </w:r>
      <w:r>
        <w:rPr>
          <w:spacing w:val="-32"/>
        </w:rPr>
        <w:t> </w:t>
      </w:r>
      <w:r>
        <w:rPr>
          <w:rFonts w:ascii="宋体" w:hAnsi="宋体" w:cs="宋体" w:eastAsia="宋体" w:hint="default"/>
        </w:rPr>
        <w:t>8.00%</w:t>
      </w:r>
      <w:r>
        <w:rPr/>
        <w:t>，主要系该类收入增长所</w:t>
      </w:r>
    </w:p>
    <w:p>
      <w:pPr>
        <w:pStyle w:val="BodyText"/>
        <w:spacing w:line="240" w:lineRule="auto" w:before="32"/>
        <w:ind w:left="358" w:right="344"/>
        <w:jc w:val="left"/>
      </w:pPr>
      <w:r>
        <w:rPr/>
        <w:t>致。</w:t>
      </w:r>
    </w:p>
    <w:p>
      <w:pPr>
        <w:pStyle w:val="BodyText"/>
        <w:spacing w:line="357" w:lineRule="auto" w:before="133"/>
        <w:ind w:left="358" w:right="345" w:firstLine="419"/>
        <w:jc w:val="left"/>
      </w:pPr>
      <w:r>
        <w:rPr/>
        <w:t>非现金类自助设备营业成本</w:t>
      </w:r>
      <w:r>
        <w:rPr>
          <w:spacing w:val="-33"/>
        </w:rPr>
        <w:t> </w:t>
      </w:r>
      <w:r>
        <w:rPr>
          <w:rFonts w:ascii="宋体" w:hAnsi="宋体" w:cs="宋体" w:eastAsia="宋体" w:hint="default"/>
        </w:rPr>
        <w:t>33,052.50</w:t>
      </w:r>
      <w:r>
        <w:rPr>
          <w:rFonts w:ascii="宋体" w:hAnsi="宋体" w:cs="宋体" w:eastAsia="宋体" w:hint="default"/>
          <w:spacing w:val="-33"/>
        </w:rPr>
        <w:t> </w:t>
      </w:r>
      <w:r>
        <w:rPr/>
        <w:t>万元，比上年同期增长</w:t>
      </w:r>
      <w:r>
        <w:rPr>
          <w:spacing w:val="-35"/>
        </w:rPr>
        <w:t> </w:t>
      </w:r>
      <w:r>
        <w:rPr>
          <w:rFonts w:ascii="宋体" w:hAnsi="宋体" w:cs="宋体" w:eastAsia="宋体" w:hint="default"/>
        </w:rPr>
        <w:t>142.01%</w:t>
      </w:r>
      <w:r>
        <w:rPr/>
        <w:t>，主要系该类设备销</w:t>
      </w:r>
      <w:r>
        <w:rPr>
          <w:w w:val="100"/>
        </w:rPr>
        <w:t> </w:t>
      </w:r>
      <w:r>
        <w:rPr/>
        <w:t>售增长迅速，导致其营业成本增长迅速所致。</w:t>
      </w:r>
    </w:p>
    <w:p>
      <w:pPr>
        <w:pStyle w:val="BodyText"/>
        <w:spacing w:line="240" w:lineRule="auto" w:before="30"/>
        <w:ind w:left="778" w:right="0"/>
        <w:jc w:val="left"/>
      </w:pPr>
      <w:r>
        <w:rPr/>
        <w:t>移动支付产品营业成本</w:t>
      </w:r>
      <w:r>
        <w:rPr>
          <w:spacing w:val="-40"/>
        </w:rPr>
        <w:t> </w:t>
      </w:r>
      <w:r>
        <w:rPr>
          <w:rFonts w:ascii="宋体" w:hAnsi="宋体" w:cs="宋体" w:eastAsia="宋体" w:hint="default"/>
        </w:rPr>
        <w:t>315.16</w:t>
      </w:r>
      <w:r>
        <w:rPr>
          <w:rFonts w:ascii="宋体" w:hAnsi="宋体" w:cs="宋体" w:eastAsia="宋体" w:hint="default"/>
          <w:spacing w:val="-43"/>
        </w:rPr>
        <w:t> </w:t>
      </w:r>
      <w:r>
        <w:rPr>
          <w:spacing w:val="-9"/>
        </w:rPr>
        <w:t>万元，较上年同期减少</w:t>
      </w:r>
      <w:r>
        <w:rPr>
          <w:spacing w:val="-41"/>
        </w:rPr>
        <w:t> </w:t>
      </w:r>
      <w:r>
        <w:rPr>
          <w:rFonts w:ascii="宋体" w:hAnsi="宋体" w:cs="宋体" w:eastAsia="宋体" w:hint="default"/>
          <w:spacing w:val="-5"/>
        </w:rPr>
        <w:t>73.96%</w:t>
      </w:r>
      <w:r>
        <w:rPr>
          <w:spacing w:val="-5"/>
        </w:rPr>
        <w:t>，主要该类产品销售下降所致。</w:t>
      </w:r>
    </w:p>
    <w:p>
      <w:pPr>
        <w:spacing w:after="0" w:line="240" w:lineRule="auto"/>
        <w:jc w:val="left"/>
        <w:sectPr>
          <w:pgSz w:w="11910" w:h="16840"/>
          <w:pgMar w:header="880" w:footer="1195" w:top="1120" w:bottom="1380" w:left="1440" w:right="920"/>
        </w:sectPr>
      </w:pPr>
    </w:p>
    <w:p>
      <w:pPr>
        <w:spacing w:line="240" w:lineRule="auto" w:before="4"/>
        <w:rPr>
          <w:rFonts w:ascii="宋体" w:hAnsi="宋体" w:cs="宋体" w:eastAsia="宋体" w:hint="default"/>
          <w:sz w:val="25"/>
          <w:szCs w:val="25"/>
        </w:rPr>
      </w:pPr>
    </w:p>
    <w:p>
      <w:pPr>
        <w:pStyle w:val="BodyText"/>
        <w:spacing w:line="357" w:lineRule="auto" w:before="36"/>
        <w:ind w:left="638" w:right="223"/>
        <w:jc w:val="left"/>
      </w:pPr>
      <w:r>
        <w:rPr/>
        <w:t>设备配件营业成本</w:t>
      </w:r>
      <w:r>
        <w:rPr>
          <w:spacing w:val="-53"/>
        </w:rPr>
        <w:t> </w:t>
      </w:r>
      <w:r>
        <w:rPr>
          <w:rFonts w:ascii="宋体" w:hAnsi="宋体" w:cs="宋体" w:eastAsia="宋体" w:hint="default"/>
        </w:rPr>
        <w:t>4,873.86</w:t>
      </w:r>
      <w:r>
        <w:rPr>
          <w:rFonts w:ascii="宋体" w:hAnsi="宋体" w:cs="宋体" w:eastAsia="宋体" w:hint="default"/>
          <w:spacing w:val="-54"/>
        </w:rPr>
        <w:t> </w:t>
      </w:r>
      <w:r>
        <w:rPr/>
        <w:t>万元，较上年同期减少</w:t>
      </w:r>
      <w:r>
        <w:rPr>
          <w:spacing w:val="-56"/>
        </w:rPr>
        <w:t> </w:t>
      </w:r>
      <w:r>
        <w:rPr>
          <w:rFonts w:ascii="宋体" w:hAnsi="宋体" w:cs="宋体" w:eastAsia="宋体" w:hint="default"/>
        </w:rPr>
        <w:t>0.19%</w:t>
      </w:r>
      <w:r>
        <w:rPr/>
        <w:t>，主要系采购成本下降所致。</w:t>
      </w:r>
      <w:r>
        <w:rPr>
          <w:w w:val="100"/>
        </w:rPr>
        <w:t> </w:t>
      </w:r>
      <w:r>
        <w:rPr/>
        <w:t>服务及软件营业成本</w:t>
      </w:r>
      <w:r>
        <w:rPr>
          <w:spacing w:val="-34"/>
        </w:rPr>
        <w:t> </w:t>
      </w:r>
      <w:r>
        <w:rPr>
          <w:rFonts w:ascii="宋体" w:hAnsi="宋体" w:cs="宋体" w:eastAsia="宋体" w:hint="default"/>
        </w:rPr>
        <w:t>6,988.56</w:t>
      </w:r>
      <w:r>
        <w:rPr>
          <w:rFonts w:ascii="宋体" w:hAnsi="宋体" w:cs="宋体" w:eastAsia="宋体" w:hint="default"/>
          <w:spacing w:val="-34"/>
        </w:rPr>
        <w:t> </w:t>
      </w:r>
      <w:r>
        <w:rPr/>
        <w:t>万元，较上年同期增长</w:t>
      </w:r>
      <w:r>
        <w:rPr>
          <w:spacing w:val="-32"/>
        </w:rPr>
        <w:t> </w:t>
      </w:r>
      <w:r>
        <w:rPr>
          <w:rFonts w:ascii="宋体" w:hAnsi="宋体" w:cs="宋体" w:eastAsia="宋体" w:hint="default"/>
        </w:rPr>
        <w:t>54.68%</w:t>
      </w:r>
      <w:r>
        <w:rPr/>
        <w:t>，主要系维保服务增长，期维</w:t>
      </w:r>
    </w:p>
    <w:p>
      <w:pPr>
        <w:pStyle w:val="BodyText"/>
        <w:spacing w:line="240" w:lineRule="auto" w:before="30"/>
        <w:ind w:left="218" w:right="3084"/>
        <w:jc w:val="left"/>
      </w:pPr>
      <w:r>
        <w:rPr/>
        <w:t>保成本增加所致。</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40" w:lineRule="auto"/>
        <w:ind w:right="3084"/>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73" w:lineRule="exact" w:before="56"/>
        <w:ind w:left="218" w:right="3084"/>
        <w:jc w:val="left"/>
      </w:pPr>
      <w:r>
        <w:rPr/>
        <w:t>√适用</w:t>
      </w:r>
      <w:r>
        <w:rPr>
          <w:spacing w:val="-1"/>
        </w:rPr>
        <w:t> </w:t>
      </w:r>
      <w:r>
        <w:rPr/>
        <w:t>□不适用</w:t>
      </w:r>
    </w:p>
    <w:p>
      <w:pPr>
        <w:pStyle w:val="BodyText"/>
        <w:spacing w:line="357" w:lineRule="auto"/>
        <w:ind w:left="218" w:right="296" w:firstLine="419"/>
        <w:jc w:val="left"/>
      </w:pPr>
      <w:r>
        <w:rPr/>
        <w:t>前五名客户销售额</w:t>
      </w:r>
      <w:r>
        <w:rPr>
          <w:spacing w:val="-56"/>
        </w:rPr>
        <w:t> </w:t>
      </w:r>
      <w:r>
        <w:rPr>
          <w:rFonts w:ascii="宋体" w:hAnsi="宋体" w:cs="宋体" w:eastAsia="宋体" w:hint="default"/>
        </w:rPr>
        <w:t>126,140.15</w:t>
      </w:r>
      <w:r>
        <w:rPr>
          <w:rFonts w:ascii="宋体" w:hAnsi="宋体" w:cs="宋体" w:eastAsia="宋体" w:hint="default"/>
          <w:spacing w:val="-59"/>
        </w:rPr>
        <w:t> </w:t>
      </w:r>
      <w:r>
        <w:rPr/>
        <w:t>万元，占年度销售总额</w:t>
      </w:r>
      <w:r>
        <w:rPr>
          <w:spacing w:val="-57"/>
        </w:rPr>
        <w:t> </w:t>
      </w:r>
      <w:r>
        <w:rPr>
          <w:rFonts w:ascii="宋体" w:hAnsi="宋体" w:cs="宋体" w:eastAsia="宋体" w:hint="default"/>
        </w:rPr>
        <w:t>85.00%</w:t>
      </w:r>
      <w:r>
        <w:rPr/>
        <w:t>；其中前五名客户销售额中关</w:t>
      </w:r>
      <w:r>
        <w:rPr>
          <w:w w:val="100"/>
        </w:rPr>
        <w:t> </w:t>
      </w:r>
      <w:r>
        <w:rPr/>
        <w:t>联方销售额</w:t>
      </w:r>
      <w:r>
        <w:rPr>
          <w:spacing w:val="-54"/>
        </w:rPr>
        <w:t> </w:t>
      </w:r>
      <w:r>
        <w:rPr>
          <w:rFonts w:ascii="宋体" w:hAnsi="宋体" w:cs="宋体" w:eastAsia="宋体" w:hint="default"/>
        </w:rPr>
        <w:t>0</w:t>
      </w:r>
      <w:r>
        <w:rPr>
          <w:rFonts w:ascii="宋体" w:hAnsi="宋体" w:cs="宋体" w:eastAsia="宋体" w:hint="default"/>
          <w:spacing w:val="-54"/>
        </w:rPr>
        <w:t> </w:t>
      </w:r>
      <w:r>
        <w:rPr/>
        <w:t>万元，占年度销售总额</w:t>
      </w:r>
      <w:r>
        <w:rPr>
          <w:spacing w:val="-53"/>
        </w:rPr>
        <w:t> </w:t>
      </w:r>
      <w:r>
        <w:rPr>
          <w:rFonts w:ascii="宋体" w:hAnsi="宋体" w:cs="宋体" w:eastAsia="宋体" w:hint="default"/>
        </w:rPr>
        <w:t>0.00</w:t>
      </w:r>
      <w:r>
        <w:rPr>
          <w:rFonts w:ascii="宋体" w:hAnsi="宋体" w:cs="宋体" w:eastAsia="宋体" w:hint="default"/>
          <w:spacing w:val="-2"/>
        </w:rPr>
        <w:t> </w:t>
      </w:r>
      <w:r>
        <w:rPr>
          <w:rFonts w:ascii="宋体" w:hAnsi="宋体" w:cs="宋体" w:eastAsia="宋体" w:hint="default"/>
        </w:rPr>
        <w:t>%</w:t>
      </w:r>
      <w:r>
        <w:rPr/>
        <w:t>。</w:t>
      </w:r>
    </w:p>
    <w:p>
      <w:pPr>
        <w:pStyle w:val="BodyText"/>
        <w:spacing w:line="240" w:lineRule="auto" w:before="30"/>
        <w:ind w:left="0" w:right="230"/>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871" w:right="0"/>
              <w:jc w:val="left"/>
              <w:rPr>
                <w:rFonts w:ascii="宋体" w:hAnsi="宋体" w:cs="宋体" w:eastAsia="宋体" w:hint="default"/>
                <w:sz w:val="21"/>
                <w:szCs w:val="21"/>
              </w:rPr>
            </w:pPr>
            <w:r>
              <w:rPr>
                <w:rFonts w:ascii="宋体" w:hAnsi="宋体" w:cs="宋体" w:eastAsia="宋体" w:hint="default"/>
                <w:sz w:val="21"/>
                <w:szCs w:val="21"/>
              </w:rPr>
              <w:t>销售收入合计</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68" w:right="0"/>
              <w:jc w:val="left"/>
              <w:rPr>
                <w:rFonts w:ascii="宋体" w:hAnsi="宋体" w:cs="宋体" w:eastAsia="宋体" w:hint="default"/>
                <w:sz w:val="21"/>
                <w:szCs w:val="21"/>
              </w:rPr>
            </w:pPr>
            <w:r>
              <w:rPr>
                <w:rFonts w:ascii="宋体" w:hAnsi="宋体" w:cs="宋体" w:eastAsia="宋体" w:hint="default"/>
                <w:sz w:val="21"/>
                <w:szCs w:val="21"/>
              </w:rPr>
              <w:t>占全年收入比重</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客户一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679,694,141.90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45.80%</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客户二</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291,889,253.77</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19.67%</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客户三</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178,675,646.68</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12.04%</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客户四</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81,081,076.82</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5.46%</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客户五</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30,061,370.31</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2.03%</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1,261,401,489.48</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85.00%</w:t>
            </w:r>
          </w:p>
        </w:tc>
      </w:tr>
    </w:tbl>
    <w:p>
      <w:pPr>
        <w:spacing w:line="240" w:lineRule="auto" w:before="7"/>
        <w:rPr>
          <w:rFonts w:ascii="宋体" w:hAnsi="宋体" w:cs="宋体" w:eastAsia="宋体" w:hint="default"/>
          <w:sz w:val="15"/>
          <w:szCs w:val="15"/>
        </w:rPr>
      </w:pPr>
    </w:p>
    <w:p>
      <w:pPr>
        <w:pStyle w:val="BodyText"/>
        <w:spacing w:line="355" w:lineRule="auto" w:before="36"/>
        <w:ind w:left="218" w:right="227" w:firstLine="419"/>
        <w:jc w:val="left"/>
      </w:pPr>
      <w:r>
        <w:rPr/>
        <w:t>前五名供应商采购额</w:t>
      </w:r>
      <w:r>
        <w:rPr>
          <w:spacing w:val="-38"/>
        </w:rPr>
        <w:t> </w:t>
      </w:r>
      <w:r>
        <w:rPr>
          <w:rFonts w:ascii="宋体" w:hAnsi="宋体" w:cs="宋体" w:eastAsia="宋体" w:hint="default"/>
        </w:rPr>
        <w:t>49,192.32</w:t>
      </w:r>
      <w:r>
        <w:rPr>
          <w:rFonts w:ascii="宋体" w:hAnsi="宋体" w:cs="宋体" w:eastAsia="宋体" w:hint="default"/>
          <w:spacing w:val="-42"/>
        </w:rPr>
        <w:t> </w:t>
      </w:r>
      <w:r>
        <w:rPr>
          <w:spacing w:val="-4"/>
        </w:rPr>
        <w:t>万元，占年度采购总额</w:t>
      </w:r>
      <w:r>
        <w:rPr>
          <w:spacing w:val="-40"/>
        </w:rPr>
        <w:t> </w:t>
      </w:r>
      <w:r>
        <w:rPr>
          <w:rFonts w:ascii="宋体" w:hAnsi="宋体" w:cs="宋体" w:eastAsia="宋体" w:hint="default"/>
          <w:spacing w:val="-3"/>
        </w:rPr>
        <w:t>55.68%</w:t>
      </w:r>
      <w:r>
        <w:rPr>
          <w:spacing w:val="-3"/>
        </w:rPr>
        <w:t>；其中前五名供应商采购额中</w:t>
      </w:r>
      <w:r>
        <w:rPr>
          <w:w w:val="100"/>
        </w:rPr>
        <w:t> </w:t>
      </w:r>
      <w:r>
        <w:rPr/>
        <w:t>关联方采购额</w:t>
      </w:r>
      <w:r>
        <w:rPr>
          <w:spacing w:val="-54"/>
        </w:rPr>
        <w:t> </w:t>
      </w:r>
      <w:r>
        <w:rPr>
          <w:rFonts w:ascii="宋体" w:hAnsi="宋体" w:cs="宋体" w:eastAsia="宋体" w:hint="default"/>
        </w:rPr>
        <w:t>0</w:t>
      </w:r>
      <w:r>
        <w:rPr>
          <w:rFonts w:ascii="宋体" w:hAnsi="宋体" w:cs="宋体" w:eastAsia="宋体" w:hint="default"/>
          <w:spacing w:val="-56"/>
        </w:rPr>
        <w:t> </w:t>
      </w:r>
      <w:r>
        <w:rPr/>
        <w:t>万元，占年度采购总额</w:t>
      </w:r>
      <w:r>
        <w:rPr>
          <w:spacing w:val="-53"/>
        </w:rPr>
        <w:t> </w:t>
      </w:r>
      <w:r>
        <w:rPr>
          <w:rFonts w:ascii="宋体" w:hAnsi="宋体" w:cs="宋体" w:eastAsia="宋体" w:hint="default"/>
        </w:rPr>
        <w:t>0.00%</w:t>
      </w:r>
      <w:r>
        <w:rPr/>
        <w:t>。</w:t>
      </w:r>
    </w:p>
    <w:p>
      <w:pPr>
        <w:pStyle w:val="BodyText"/>
        <w:spacing w:line="240" w:lineRule="auto" w:before="32"/>
        <w:ind w:left="0" w:right="230"/>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供应商</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974" w:right="0"/>
              <w:jc w:val="left"/>
              <w:rPr>
                <w:rFonts w:ascii="宋体" w:hAnsi="宋体" w:cs="宋体" w:eastAsia="宋体" w:hint="default"/>
                <w:sz w:val="21"/>
                <w:szCs w:val="21"/>
              </w:rPr>
            </w:pPr>
            <w:r>
              <w:rPr>
                <w:rFonts w:ascii="宋体" w:hAnsi="宋体" w:cs="宋体" w:eastAsia="宋体" w:hint="default"/>
                <w:sz w:val="21"/>
                <w:szCs w:val="21"/>
              </w:rPr>
              <w:t>采购额合计</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62" w:right="0"/>
              <w:jc w:val="left"/>
              <w:rPr>
                <w:rFonts w:ascii="宋体" w:hAnsi="宋体" w:cs="宋体" w:eastAsia="宋体" w:hint="default"/>
                <w:sz w:val="21"/>
                <w:szCs w:val="21"/>
              </w:rPr>
            </w:pPr>
            <w:r>
              <w:rPr>
                <w:rFonts w:ascii="宋体" w:hAnsi="宋体" w:cs="宋体" w:eastAsia="宋体" w:hint="default"/>
                <w:sz w:val="21"/>
                <w:szCs w:val="21"/>
              </w:rPr>
              <w:t>占全年采购额比重</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供应商一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361,462,428.25</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40.91%</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供应商二</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37,769,182.33</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4.27%</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供应商三</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35,660,339.88</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4.04%</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供应商四</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34,487,500.30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3.90%</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供应商五</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22,543,747.80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2.55%</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491,923,198.56</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55.68%</w:t>
            </w:r>
          </w:p>
        </w:tc>
      </w:tr>
    </w:tbl>
    <w:p>
      <w:pPr>
        <w:spacing w:line="240" w:lineRule="auto" w:before="7"/>
        <w:rPr>
          <w:rFonts w:ascii="宋体" w:hAnsi="宋体" w:cs="宋体" w:eastAsia="宋体" w:hint="default"/>
          <w:sz w:val="15"/>
          <w:szCs w:val="15"/>
        </w:rPr>
      </w:pPr>
    </w:p>
    <w:p>
      <w:pPr>
        <w:pStyle w:val="BodyText"/>
        <w:spacing w:line="273" w:lineRule="exact" w:before="36"/>
        <w:ind w:left="218" w:right="3084"/>
        <w:jc w:val="left"/>
      </w:pPr>
      <w:r>
        <w:rPr/>
        <w:t>其他说明</w:t>
      </w:r>
    </w:p>
    <w:p>
      <w:pPr>
        <w:pStyle w:val="BodyText"/>
        <w:spacing w:line="273" w:lineRule="exact"/>
        <w:ind w:left="638" w:right="3084"/>
        <w:jc w:val="left"/>
      </w:pPr>
      <w:r>
        <w:rPr/>
        <w:t>无。</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580" w:right="1040"/>
        </w:sectPr>
      </w:pPr>
    </w:p>
    <w:p>
      <w:pPr>
        <w:pStyle w:val="Heading2"/>
        <w:tabs>
          <w:tab w:pos="637" w:val="left" w:leader="none"/>
        </w:tabs>
        <w:spacing w:line="240" w:lineRule="auto" w:before="36"/>
        <w:ind w:right="-18"/>
        <w:jc w:val="left"/>
        <w:rPr>
          <w:b w:val="0"/>
          <w:bCs w:val="0"/>
        </w:rPr>
      </w:pPr>
      <w:r>
        <w:rPr>
          <w:rFonts w:ascii="宋体" w:hAnsi="宋体" w:cs="宋体" w:eastAsia="宋体" w:hint="default"/>
          <w:w w:val="95"/>
        </w:rPr>
        <w:t>2.</w:t>
        <w:tab/>
      </w:r>
      <w:r>
        <w:rPr/>
        <w:t>费用</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8" w:right="0"/>
        <w:jc w:val="left"/>
      </w:pPr>
      <w:r>
        <w:rPr/>
        <w:t>单位：元</w:t>
      </w:r>
    </w:p>
    <w:p>
      <w:pPr>
        <w:spacing w:after="0" w:line="240" w:lineRule="auto"/>
        <w:jc w:val="left"/>
        <w:sectPr>
          <w:type w:val="continuous"/>
          <w:pgSz w:w="11910" w:h="16840"/>
          <w:pgMar w:top="1120" w:bottom="1380" w:left="1580" w:right="1040"/>
          <w:cols w:num="2" w:equalWidth="0">
            <w:col w:w="1795" w:space="6198"/>
            <w:col w:w="129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85"/>
        <w:gridCol w:w="1985"/>
        <w:gridCol w:w="1983"/>
        <w:gridCol w:w="1135"/>
        <w:gridCol w:w="2561"/>
      </w:tblGrid>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4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4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9"/>
              <w:jc w:val="right"/>
              <w:rPr>
                <w:rFonts w:ascii="宋体" w:hAnsi="宋体" w:cs="宋体" w:eastAsia="宋体" w:hint="default"/>
                <w:sz w:val="21"/>
                <w:szCs w:val="21"/>
              </w:rPr>
            </w:pPr>
            <w:r>
              <w:rPr>
                <w:rFonts w:ascii="宋体" w:hAnsi="宋体" w:cs="宋体" w:eastAsia="宋体" w:hint="default"/>
                <w:spacing w:val="-1"/>
                <w:sz w:val="21"/>
                <w:szCs w:val="21"/>
              </w:rPr>
              <w:t>同比增长</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232,459,942.40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194,424,805.74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19.56%</w:t>
            </w: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124,781,189.01</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103,087,517.52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21.04%</w:t>
            </w: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4,728,473.59</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17,767,772.10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-73.39%</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
              <w:jc w:val="center"/>
              <w:rPr>
                <w:rFonts w:ascii="宋体" w:hAnsi="宋体" w:cs="宋体" w:eastAsia="宋体" w:hint="default"/>
                <w:sz w:val="21"/>
                <w:szCs w:val="21"/>
              </w:rPr>
            </w:pPr>
            <w:r>
              <w:rPr>
                <w:rFonts w:ascii="宋体" w:hAnsi="宋体" w:cs="宋体" w:eastAsia="宋体" w:hint="default"/>
                <w:sz w:val="21"/>
                <w:szCs w:val="21"/>
              </w:rPr>
              <w:t>主要系银行借款减少所致</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7,108,516.97</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9,728,730.20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-26.93%</w:t>
            </w: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21,258,225.42</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22,644,386.62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-6.12%</w:t>
            </w:r>
          </w:p>
        </w:tc>
        <w:tc>
          <w:tcPr>
            <w:tcW w:w="25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tabs>
          <w:tab w:pos="637" w:val="left" w:leader="none"/>
        </w:tabs>
        <w:spacing w:line="290" w:lineRule="auto" w:before="36"/>
        <w:ind w:right="96"/>
        <w:jc w:val="left"/>
        <w:rPr>
          <w:b w:val="0"/>
          <w:bCs w:val="0"/>
        </w:rPr>
      </w:pPr>
      <w:r>
        <w:rPr>
          <w:rFonts w:ascii="宋体" w:hAnsi="宋体" w:cs="宋体" w:eastAsia="宋体" w:hint="default"/>
          <w:w w:val="95"/>
        </w:rPr>
        <w:t>3.</w:t>
        <w:tab/>
      </w:r>
      <w:r>
        <w:rPr/>
        <w:t>研发投入</w:t>
      </w:r>
      <w:r>
        <w:rPr>
          <w:w w:val="100"/>
        </w:rPr>
        <w:t> </w:t>
      </w:r>
      <w:r>
        <w:rPr/>
        <w:t>研发投入情况表</w:t>
      </w:r>
      <w:r>
        <w:rPr>
          <w:b w:val="0"/>
          <w:bCs w:val="0"/>
        </w:rPr>
      </w:r>
    </w:p>
    <w:p>
      <w:pPr>
        <w:pStyle w:val="BodyText"/>
        <w:spacing w:line="240" w:lineRule="auto" w:before="14"/>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18" w:right="0"/>
        <w:jc w:val="left"/>
      </w:pPr>
      <w:r>
        <w:rPr/>
        <w:t>单位：元</w:t>
      </w:r>
    </w:p>
    <w:p>
      <w:pPr>
        <w:spacing w:after="0" w:line="240" w:lineRule="auto"/>
        <w:jc w:val="left"/>
        <w:sectPr>
          <w:type w:val="continuous"/>
          <w:pgSz w:w="11910" w:h="16840"/>
          <w:pgMar w:top="1120" w:bottom="1380" w:left="1580" w:right="1040"/>
          <w:cols w:num="2" w:equalWidth="0">
            <w:col w:w="1795" w:space="6198"/>
            <w:col w:w="1297"/>
          </w:cols>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795"/>
        <w:gridCol w:w="5255"/>
      </w:tblGrid>
      <w:tr>
        <w:trPr>
          <w:trHeight w:val="28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80,333,565.09</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80,333,565.09</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5.41</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764</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研发人员数量占公司总人数的比例（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31.13</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2"/>
        <w:rPr>
          <w:rFonts w:ascii="宋体" w:hAnsi="宋体" w:cs="宋体" w:eastAsia="宋体" w:hint="default"/>
          <w:sz w:val="20"/>
          <w:szCs w:val="20"/>
        </w:rPr>
      </w:pPr>
    </w:p>
    <w:p>
      <w:pPr>
        <w:pStyle w:val="Heading2"/>
        <w:spacing w:line="240" w:lineRule="auto" w:before="36"/>
        <w:ind w:right="3084"/>
        <w:jc w:val="left"/>
        <w:rPr>
          <w:b w:val="0"/>
          <w:bCs w:val="0"/>
        </w:rPr>
      </w:pPr>
      <w:r>
        <w:rPr/>
        <w:t>情况说明</w:t>
      </w:r>
      <w:r>
        <w:rPr>
          <w:b w:val="0"/>
          <w:bCs w:val="0"/>
        </w:rPr>
      </w:r>
    </w:p>
    <w:p>
      <w:pPr>
        <w:pStyle w:val="BodyText"/>
        <w:spacing w:line="290" w:lineRule="auto" w:before="56"/>
        <w:ind w:left="638" w:right="227" w:hanging="420"/>
        <w:jc w:val="left"/>
      </w:pPr>
      <w:r>
        <w:rPr/>
        <w:t>√适用</w:t>
      </w:r>
      <w:r>
        <w:rPr>
          <w:spacing w:val="-2"/>
        </w:rPr>
        <w:t> </w:t>
      </w:r>
      <w:r>
        <w:rPr/>
        <w:t>□不适用</w:t>
      </w:r>
      <w:r>
        <w:rPr>
          <w:w w:val="100"/>
        </w:rPr>
        <w:t> </w:t>
      </w:r>
      <w:r>
        <w:rPr>
          <w:spacing w:val="-2"/>
        </w:rPr>
        <w:t>一直以来，公司高度重视技术研发，把研发放在战略的高度，坚持研发高投入，不断研发新</w:t>
      </w:r>
    </w:p>
    <w:p>
      <w:pPr>
        <w:pStyle w:val="BodyText"/>
        <w:spacing w:line="240" w:lineRule="auto" w:before="89"/>
        <w:ind w:left="218" w:right="0"/>
        <w:jc w:val="left"/>
        <w:rPr>
          <w:rFonts w:ascii="宋体" w:hAnsi="宋体" w:cs="宋体" w:eastAsia="宋体" w:hint="default"/>
        </w:rPr>
      </w:pPr>
      <w:r>
        <w:rPr>
          <w:spacing w:val="-4"/>
        </w:rPr>
        <w:t>技术，开发新产品，完善核心技术，全面提升公司综合竞争力。</w:t>
      </w:r>
      <w:r>
        <w:rPr>
          <w:rFonts w:ascii="宋体" w:hAnsi="宋体" w:cs="宋体" w:eastAsia="宋体" w:hint="default"/>
          <w:spacing w:val="-4"/>
        </w:rPr>
        <w:t>2017 </w:t>
      </w:r>
      <w:r>
        <w:rPr>
          <w:spacing w:val="-4"/>
        </w:rPr>
        <w:t>年，公司研发投入</w:t>
      </w:r>
      <w:r>
        <w:rPr>
          <w:spacing w:val="-45"/>
        </w:rPr>
        <w:t> </w:t>
      </w:r>
      <w:r>
        <w:rPr>
          <w:rFonts w:ascii="宋体" w:hAnsi="宋体" w:cs="宋体" w:eastAsia="宋体" w:hint="default"/>
        </w:rPr>
        <w:t>8,033.36</w:t>
      </w:r>
    </w:p>
    <w:p>
      <w:pPr>
        <w:pStyle w:val="BodyText"/>
        <w:spacing w:line="240" w:lineRule="auto" w:before="133"/>
        <w:ind w:left="218" w:right="0"/>
        <w:jc w:val="left"/>
        <w:rPr>
          <w:rFonts w:ascii="宋体" w:hAnsi="宋体" w:cs="宋体" w:eastAsia="宋体" w:hint="default"/>
        </w:rPr>
      </w:pPr>
      <w:r>
        <w:rPr/>
        <w:t>万元，占公司营业收入</w:t>
      </w:r>
      <w:r>
        <w:rPr>
          <w:spacing w:val="-54"/>
        </w:rPr>
        <w:t> </w:t>
      </w:r>
      <w:r>
        <w:rPr>
          <w:rFonts w:ascii="宋体" w:hAnsi="宋体" w:cs="宋体" w:eastAsia="宋体" w:hint="default"/>
        </w:rPr>
        <w:t>5.41%</w:t>
      </w:r>
      <w:r>
        <w:rPr/>
        <w:t>，报告期内，截至</w:t>
      </w:r>
      <w:r>
        <w:rPr>
          <w:spacing w:val="-52"/>
        </w:rPr>
        <w:t> </w:t>
      </w:r>
      <w:r>
        <w:rPr>
          <w:rFonts w:ascii="宋体" w:hAnsi="宋体" w:cs="宋体" w:eastAsia="宋体" w:hint="default"/>
        </w:rPr>
        <w:t>2017</w:t>
      </w:r>
      <w:r>
        <w:rPr>
          <w:rFonts w:ascii="宋体" w:hAnsi="宋体" w:cs="宋体" w:eastAsia="宋体" w:hint="default"/>
          <w:spacing w:val="-54"/>
        </w:rPr>
        <w:t> </w:t>
      </w:r>
      <w:r>
        <w:rPr/>
        <w:t>年</w:t>
      </w:r>
      <w:r>
        <w:rPr>
          <w:spacing w:val="-52"/>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5"/>
        </w:rPr>
        <w:t> </w:t>
      </w:r>
      <w:r>
        <w:rPr/>
        <w:t>日，公司已经获得了专利权</w:t>
      </w:r>
      <w:r>
        <w:rPr>
          <w:spacing w:val="-52"/>
        </w:rPr>
        <w:t> </w:t>
      </w:r>
      <w:r>
        <w:rPr>
          <w:rFonts w:ascii="宋体" w:hAnsi="宋体" w:cs="宋体" w:eastAsia="宋体" w:hint="default"/>
        </w:rPr>
        <w:t>179</w:t>
      </w:r>
    </w:p>
    <w:p>
      <w:pPr>
        <w:pStyle w:val="BodyText"/>
        <w:spacing w:line="240" w:lineRule="auto" w:before="133"/>
        <w:ind w:left="218" w:right="0"/>
        <w:jc w:val="left"/>
      </w:pPr>
      <w:r>
        <w:rPr/>
        <w:t>项、软件著作权</w:t>
      </w:r>
      <w:r>
        <w:rPr>
          <w:spacing w:val="-51"/>
        </w:rPr>
        <w:t> </w:t>
      </w:r>
      <w:r>
        <w:rPr>
          <w:rFonts w:ascii="宋体" w:hAnsi="宋体" w:cs="宋体" w:eastAsia="宋体" w:hint="default"/>
        </w:rPr>
        <w:t>146</w:t>
      </w:r>
      <w:r>
        <w:rPr>
          <w:rFonts w:ascii="宋体" w:hAnsi="宋体" w:cs="宋体" w:eastAsia="宋体" w:hint="default"/>
          <w:spacing w:val="-52"/>
        </w:rPr>
        <w:t> </w:t>
      </w:r>
      <w:r>
        <w:rPr/>
        <w:t>项，公司是全国信息技术标准化技术委员会自助服务设备标准工作组组长单</w:t>
      </w:r>
    </w:p>
    <w:p>
      <w:pPr>
        <w:pStyle w:val="BodyText"/>
        <w:spacing w:line="240" w:lineRule="auto" w:before="133"/>
        <w:ind w:left="218" w:right="227"/>
        <w:jc w:val="left"/>
      </w:pPr>
      <w:r>
        <w:rPr/>
        <w:t>位，积极参加标准制定工作，牵头主笔制定和参与起草国家标准</w:t>
      </w:r>
      <w:r>
        <w:rPr>
          <w:spacing w:val="-53"/>
        </w:rPr>
        <w:t> </w:t>
      </w:r>
      <w:r>
        <w:rPr>
          <w:rFonts w:ascii="宋体" w:hAnsi="宋体" w:cs="宋体" w:eastAsia="宋体" w:hint="default"/>
        </w:rPr>
        <w:t>8</w:t>
      </w:r>
      <w:r>
        <w:rPr>
          <w:rFonts w:ascii="宋体" w:hAnsi="宋体" w:cs="宋体" w:eastAsia="宋体" w:hint="default"/>
          <w:spacing w:val="-55"/>
        </w:rPr>
        <w:t> </w:t>
      </w:r>
      <w:r>
        <w:rPr/>
        <w:t>项。</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tabs>
          <w:tab w:pos="637" w:val="left" w:leader="none"/>
        </w:tabs>
        <w:spacing w:line="240" w:lineRule="auto"/>
        <w:ind w:right="3084"/>
        <w:jc w:val="left"/>
        <w:rPr>
          <w:b w:val="0"/>
          <w:bCs w:val="0"/>
        </w:rPr>
      </w:pPr>
      <w:r>
        <w:rPr>
          <w:rFonts w:ascii="宋体" w:hAnsi="宋体" w:cs="宋体" w:eastAsia="宋体" w:hint="default"/>
          <w:w w:val="95"/>
        </w:rPr>
        <w:t>4.</w:t>
        <w:tab/>
      </w:r>
      <w:r>
        <w:rPr/>
        <w:t>现金流</w:t>
      </w:r>
      <w:r>
        <w:rPr>
          <w:b w:val="0"/>
          <w:bCs w:val="0"/>
        </w:rPr>
      </w:r>
    </w:p>
    <w:p>
      <w:pPr>
        <w:pStyle w:val="BodyText"/>
        <w:spacing w:line="273" w:lineRule="exact" w:before="58"/>
        <w:ind w:left="218" w:right="3084"/>
        <w:jc w:val="left"/>
      </w:pPr>
      <w:r>
        <w:rPr/>
        <w:t>√适用</w:t>
      </w:r>
      <w:r>
        <w:rPr>
          <w:spacing w:val="-1"/>
        </w:rPr>
        <w:t> </w:t>
      </w:r>
      <w:r>
        <w:rPr/>
        <w:t>□不适用</w:t>
      </w:r>
    </w:p>
    <w:p>
      <w:pPr>
        <w:pStyle w:val="BodyText"/>
        <w:spacing w:line="273" w:lineRule="exact"/>
        <w:ind w:left="215" w:right="3084"/>
        <w:jc w:val="left"/>
      </w:pPr>
      <w:r>
        <w:rPr>
          <w:rFonts w:ascii="宋体" w:hAnsi="宋体" w:cs="宋体" w:eastAsia="宋体" w:hint="default"/>
        </w:rPr>
        <w:t>(1)</w:t>
      </w:r>
      <w:r>
        <w:rPr>
          <w:rFonts w:ascii="宋体" w:hAnsi="宋体" w:cs="宋体" w:eastAsia="宋体" w:hint="default"/>
          <w:spacing w:val="-61"/>
        </w:rPr>
        <w:t> </w:t>
      </w:r>
      <w:r>
        <w:rPr/>
        <w:t>经营活动产生的现金流量：</w:t>
      </w:r>
    </w:p>
    <w:p>
      <w:pPr>
        <w:pStyle w:val="BodyText"/>
        <w:spacing w:line="240" w:lineRule="auto" w:before="133"/>
        <w:ind w:left="638" w:right="0"/>
        <w:jc w:val="left"/>
      </w:pPr>
      <w:r>
        <w:rPr>
          <w:rFonts w:ascii="宋体" w:hAnsi="宋体" w:cs="宋体" w:eastAsia="宋体" w:hint="default"/>
        </w:rPr>
        <w:t>2017</w:t>
      </w:r>
      <w:r>
        <w:rPr>
          <w:rFonts w:ascii="宋体" w:hAnsi="宋体" w:cs="宋体" w:eastAsia="宋体" w:hint="default"/>
          <w:spacing w:val="-42"/>
        </w:rPr>
        <w:t> </w:t>
      </w:r>
      <w:r>
        <w:rPr/>
        <w:t>年</w:t>
      </w:r>
      <w:r>
        <w:rPr>
          <w:rFonts w:ascii="宋体" w:hAnsi="宋体" w:cs="宋体" w:eastAsia="宋体" w:hint="default"/>
        </w:rPr>
        <w:t>,</w:t>
      </w:r>
      <w:r>
        <w:rPr/>
        <w:t>公司经营活动产生的现金流入</w:t>
      </w:r>
      <w:r>
        <w:rPr>
          <w:spacing w:val="-42"/>
        </w:rPr>
        <w:t> </w:t>
      </w:r>
      <w:r>
        <w:rPr>
          <w:rFonts w:ascii="宋体" w:hAnsi="宋体" w:cs="宋体" w:eastAsia="宋体" w:hint="default"/>
        </w:rPr>
        <w:t>199,850.96</w:t>
      </w:r>
      <w:r>
        <w:rPr>
          <w:rFonts w:ascii="宋体" w:hAnsi="宋体" w:cs="宋体" w:eastAsia="宋体" w:hint="default"/>
          <w:spacing w:val="-44"/>
        </w:rPr>
        <w:t> </w:t>
      </w:r>
      <w:r>
        <w:rPr/>
        <w:t>万元，比去年同期</w:t>
      </w:r>
      <w:r>
        <w:rPr>
          <w:spacing w:val="-42"/>
        </w:rPr>
        <w:t> </w:t>
      </w:r>
      <w:r>
        <w:rPr>
          <w:rFonts w:ascii="宋体" w:hAnsi="宋体" w:cs="宋体" w:eastAsia="宋体" w:hint="default"/>
        </w:rPr>
        <w:t>180,758.22</w:t>
      </w:r>
      <w:r>
        <w:rPr>
          <w:rFonts w:ascii="宋体" w:hAnsi="宋体" w:cs="宋体" w:eastAsia="宋体" w:hint="default"/>
          <w:spacing w:val="-41"/>
        </w:rPr>
        <w:t> </w:t>
      </w:r>
      <w:r>
        <w:rPr/>
        <w:t>万元增加</w:t>
      </w:r>
    </w:p>
    <w:p>
      <w:pPr>
        <w:pStyle w:val="BodyText"/>
        <w:spacing w:line="357" w:lineRule="auto" w:before="133"/>
        <w:ind w:left="218" w:right="226"/>
        <w:jc w:val="left"/>
      </w:pPr>
      <w:r>
        <w:rPr>
          <w:rFonts w:ascii="宋体" w:hAnsi="宋体" w:cs="宋体" w:eastAsia="宋体" w:hint="default"/>
        </w:rPr>
        <w:t>10.56%</w:t>
      </w:r>
      <w:r>
        <w:rPr/>
        <w:t>，其中销售商品、提供劳务收到的现金流入</w:t>
      </w:r>
      <w:r>
        <w:rPr>
          <w:spacing w:val="-52"/>
        </w:rPr>
        <w:t> </w:t>
      </w:r>
      <w:r>
        <w:rPr>
          <w:rFonts w:ascii="宋体" w:hAnsi="宋体" w:cs="宋体" w:eastAsia="宋体" w:hint="default"/>
        </w:rPr>
        <w:t>153,173.39</w:t>
      </w:r>
      <w:r>
        <w:rPr>
          <w:rFonts w:ascii="宋体" w:hAnsi="宋体" w:cs="宋体" w:eastAsia="宋体" w:hint="default"/>
          <w:spacing w:val="-53"/>
        </w:rPr>
        <w:t> </w:t>
      </w:r>
      <w:r>
        <w:rPr/>
        <w:t>万元，比去年同期</w:t>
      </w:r>
      <w:r>
        <w:rPr>
          <w:spacing w:val="-50"/>
        </w:rPr>
        <w:t> </w:t>
      </w:r>
      <w:r>
        <w:rPr>
          <w:rFonts w:ascii="宋体" w:hAnsi="宋体" w:cs="宋体" w:eastAsia="宋体" w:hint="default"/>
        </w:rPr>
        <w:t>135,409.05</w:t>
      </w:r>
      <w:r>
        <w:rPr>
          <w:rFonts w:ascii="宋体" w:hAnsi="宋体" w:cs="宋体" w:eastAsia="宋体" w:hint="default"/>
          <w:spacing w:val="-53"/>
        </w:rPr>
        <w:t> </w:t>
      </w:r>
      <w:r>
        <w:rPr/>
        <w:t>万</w:t>
      </w:r>
      <w:r>
        <w:rPr>
          <w:w w:val="100"/>
        </w:rPr>
        <w:t> </w:t>
      </w:r>
      <w:r>
        <w:rPr/>
        <w:t>元增加</w:t>
      </w:r>
      <w:r>
        <w:rPr>
          <w:spacing w:val="-56"/>
        </w:rPr>
        <w:t> </w:t>
      </w:r>
      <w:r>
        <w:rPr>
          <w:rFonts w:ascii="宋体" w:hAnsi="宋体" w:cs="宋体" w:eastAsia="宋体" w:hint="default"/>
        </w:rPr>
        <w:t>13.12%</w:t>
      </w:r>
      <w:r>
        <w:rPr/>
        <w:t>，主要系销售收入增加销售回款增多所致。</w:t>
      </w:r>
    </w:p>
    <w:p>
      <w:pPr>
        <w:pStyle w:val="BodyText"/>
        <w:spacing w:line="355" w:lineRule="auto" w:before="30"/>
        <w:ind w:left="218" w:right="0" w:firstLine="419"/>
        <w:jc w:val="left"/>
      </w:pPr>
      <w:r>
        <w:rPr/>
        <w:t>经营活动产生的现金流出</w:t>
      </w:r>
      <w:r>
        <w:rPr>
          <w:spacing w:val="-43"/>
        </w:rPr>
        <w:t> </w:t>
      </w:r>
      <w:r>
        <w:rPr>
          <w:rFonts w:ascii="宋体" w:hAnsi="宋体" w:cs="宋体" w:eastAsia="宋体" w:hint="default"/>
        </w:rPr>
        <w:t>178,384.85</w:t>
      </w:r>
      <w:r>
        <w:rPr>
          <w:rFonts w:ascii="宋体" w:hAnsi="宋体" w:cs="宋体" w:eastAsia="宋体" w:hint="default"/>
          <w:spacing w:val="-43"/>
        </w:rPr>
        <w:t> </w:t>
      </w:r>
      <w:r>
        <w:rPr/>
        <w:t>万元，比去年同期</w:t>
      </w:r>
      <w:r>
        <w:rPr>
          <w:spacing w:val="-41"/>
        </w:rPr>
        <w:t> </w:t>
      </w:r>
      <w:r>
        <w:rPr>
          <w:rFonts w:ascii="宋体" w:hAnsi="宋体" w:cs="宋体" w:eastAsia="宋体" w:hint="default"/>
        </w:rPr>
        <w:t>171,220.10</w:t>
      </w:r>
      <w:r>
        <w:rPr>
          <w:rFonts w:ascii="宋体" w:hAnsi="宋体" w:cs="宋体" w:eastAsia="宋体" w:hint="default"/>
          <w:spacing w:val="-41"/>
        </w:rPr>
        <w:t> </w:t>
      </w:r>
      <w:r>
        <w:rPr/>
        <w:t>万元增加</w:t>
      </w:r>
      <w:r>
        <w:rPr>
          <w:spacing w:val="-40"/>
        </w:rPr>
        <w:t> </w:t>
      </w:r>
      <w:r>
        <w:rPr>
          <w:rFonts w:ascii="宋体" w:hAnsi="宋体" w:cs="宋体" w:eastAsia="宋体" w:hint="default"/>
        </w:rPr>
        <w:t>4.18%</w:t>
      </w:r>
      <w:r>
        <w:rPr/>
        <w:t>，主要</w:t>
      </w:r>
      <w:r>
        <w:rPr>
          <w:w w:val="100"/>
        </w:rPr>
        <w:t> </w:t>
      </w:r>
      <w:r>
        <w:rPr/>
        <w:t>系购买商品、接受劳务支付的现金流出增加所致。</w:t>
      </w:r>
    </w:p>
    <w:p>
      <w:pPr>
        <w:pStyle w:val="BodyText"/>
        <w:spacing w:line="357" w:lineRule="auto" w:before="32"/>
        <w:ind w:left="218" w:right="0" w:firstLine="419"/>
        <w:jc w:val="left"/>
      </w:pPr>
      <w:r>
        <w:rPr/>
        <w:t>经营活动产生的现金流量净额</w:t>
      </w:r>
      <w:r>
        <w:rPr>
          <w:spacing w:val="-20"/>
        </w:rPr>
        <w:t> </w:t>
      </w:r>
      <w:r>
        <w:rPr>
          <w:rFonts w:ascii="宋体" w:hAnsi="宋体" w:cs="宋体" w:eastAsia="宋体" w:hint="default"/>
        </w:rPr>
        <w:t>21,466.40</w:t>
      </w:r>
      <w:r>
        <w:rPr>
          <w:rFonts w:ascii="宋体" w:hAnsi="宋体" w:cs="宋体" w:eastAsia="宋体" w:hint="default"/>
          <w:spacing w:val="-23"/>
        </w:rPr>
        <w:t> </w:t>
      </w:r>
      <w:r>
        <w:rPr/>
        <w:t>万元，比去年同期</w:t>
      </w:r>
      <w:r>
        <w:rPr>
          <w:spacing w:val="-20"/>
        </w:rPr>
        <w:t> </w:t>
      </w:r>
      <w:r>
        <w:rPr>
          <w:rFonts w:ascii="宋体" w:hAnsi="宋体" w:cs="宋体" w:eastAsia="宋体" w:hint="default"/>
        </w:rPr>
        <w:t>9,538.13</w:t>
      </w:r>
      <w:r>
        <w:rPr>
          <w:rFonts w:ascii="宋体" w:hAnsi="宋体" w:cs="宋体" w:eastAsia="宋体" w:hint="default"/>
          <w:spacing w:val="-20"/>
        </w:rPr>
        <w:t> </w:t>
      </w:r>
      <w:r>
        <w:rPr/>
        <w:t>万元增加</w:t>
      </w:r>
      <w:r>
        <w:rPr>
          <w:spacing w:val="-20"/>
        </w:rPr>
        <w:t> </w:t>
      </w:r>
      <w:r>
        <w:rPr>
          <w:rFonts w:ascii="宋体" w:hAnsi="宋体" w:cs="宋体" w:eastAsia="宋体" w:hint="default"/>
        </w:rPr>
        <w:t>11,928.27</w:t>
      </w:r>
      <w:r>
        <w:rPr>
          <w:rFonts w:ascii="宋体" w:hAnsi="宋体" w:cs="宋体" w:eastAsia="宋体" w:hint="default"/>
          <w:w w:val="100"/>
        </w:rPr>
        <w:t> </w:t>
      </w:r>
      <w:r>
        <w:rPr/>
        <w:t>万元，同比增长</w:t>
      </w:r>
      <w:r>
        <w:rPr>
          <w:spacing w:val="-56"/>
        </w:rPr>
        <w:t> </w:t>
      </w:r>
      <w:r>
        <w:rPr>
          <w:rFonts w:ascii="宋体" w:hAnsi="宋体" w:cs="宋体" w:eastAsia="宋体" w:hint="default"/>
        </w:rPr>
        <w:t>125.06%</w:t>
      </w:r>
      <w:r>
        <w:rPr/>
        <w:t>。</w:t>
      </w:r>
    </w:p>
    <w:p>
      <w:pPr>
        <w:pStyle w:val="BodyText"/>
        <w:spacing w:line="240" w:lineRule="auto" w:before="30"/>
        <w:ind w:left="215" w:right="3084"/>
        <w:jc w:val="left"/>
      </w:pPr>
      <w:r>
        <w:rPr>
          <w:rFonts w:ascii="宋体" w:hAnsi="宋体" w:cs="宋体" w:eastAsia="宋体" w:hint="default"/>
        </w:rPr>
        <w:t>(2)</w:t>
      </w:r>
      <w:r>
        <w:rPr>
          <w:rFonts w:ascii="宋体" w:hAnsi="宋体" w:cs="宋体" w:eastAsia="宋体" w:hint="default"/>
          <w:spacing w:val="-61"/>
        </w:rPr>
        <w:t> </w:t>
      </w:r>
      <w:r>
        <w:rPr/>
        <w:t>投资活动产生的现金流量：</w:t>
      </w:r>
    </w:p>
    <w:p>
      <w:pPr>
        <w:pStyle w:val="BodyText"/>
        <w:spacing w:line="240" w:lineRule="auto" w:before="133"/>
        <w:ind w:left="638" w:right="0"/>
        <w:jc w:val="left"/>
      </w:pPr>
      <w:r>
        <w:rPr>
          <w:rFonts w:ascii="宋体" w:hAnsi="宋体" w:cs="宋体" w:eastAsia="宋体" w:hint="default"/>
        </w:rPr>
        <w:t>2017</w:t>
      </w:r>
      <w:r>
        <w:rPr>
          <w:rFonts w:ascii="宋体" w:hAnsi="宋体" w:cs="宋体" w:eastAsia="宋体" w:hint="default"/>
          <w:spacing w:val="-35"/>
        </w:rPr>
        <w:t> </w:t>
      </w:r>
      <w:r>
        <w:rPr/>
        <w:t>年</w:t>
      </w:r>
      <w:r>
        <w:rPr>
          <w:rFonts w:ascii="宋体" w:hAnsi="宋体" w:cs="宋体" w:eastAsia="宋体" w:hint="default"/>
        </w:rPr>
        <w:t>,</w:t>
      </w:r>
      <w:r>
        <w:rPr/>
        <w:t>公司投资活动产生的现金流量净额</w:t>
      </w:r>
      <w:r>
        <w:rPr>
          <w:rFonts w:ascii="宋体" w:hAnsi="宋体" w:cs="宋体" w:eastAsia="宋体" w:hint="default"/>
        </w:rPr>
        <w:t>-54,051.64</w:t>
      </w:r>
      <w:r>
        <w:rPr>
          <w:rFonts w:ascii="宋体" w:hAnsi="宋体" w:cs="宋体" w:eastAsia="宋体" w:hint="default"/>
          <w:spacing w:val="-33"/>
        </w:rPr>
        <w:t> </w:t>
      </w:r>
      <w:r>
        <w:rPr/>
        <w:t>万元，比去年同期</w:t>
      </w:r>
      <w:r>
        <w:rPr>
          <w:rFonts w:ascii="宋体" w:hAnsi="宋体" w:cs="宋体" w:eastAsia="宋体" w:hint="default"/>
        </w:rPr>
        <w:t>-190.49</w:t>
      </w:r>
      <w:r>
        <w:rPr>
          <w:rFonts w:ascii="宋体" w:hAnsi="宋体" w:cs="宋体" w:eastAsia="宋体" w:hint="default"/>
          <w:spacing w:val="-36"/>
        </w:rPr>
        <w:t> </w:t>
      </w:r>
      <w:r>
        <w:rPr/>
        <w:t>万元减少</w:t>
      </w:r>
    </w:p>
    <w:p>
      <w:pPr>
        <w:pStyle w:val="BodyText"/>
        <w:spacing w:line="240" w:lineRule="auto" w:before="133"/>
        <w:ind w:left="218" w:right="227"/>
        <w:jc w:val="left"/>
      </w:pPr>
      <w:r>
        <w:rPr>
          <w:rFonts w:ascii="宋体" w:hAnsi="宋体" w:cs="宋体" w:eastAsia="宋体" w:hint="default"/>
        </w:rPr>
        <w:t>53,861.43</w:t>
      </w:r>
      <w:r>
        <w:rPr>
          <w:rFonts w:ascii="宋体" w:hAnsi="宋体" w:cs="宋体" w:eastAsia="宋体" w:hint="default"/>
          <w:spacing w:val="-58"/>
        </w:rPr>
        <w:t> </w:t>
      </w:r>
      <w:r>
        <w:rPr/>
        <w:t>万元，同比增长</w:t>
      </w:r>
      <w:r>
        <w:rPr>
          <w:spacing w:val="-55"/>
        </w:rPr>
        <w:t> </w:t>
      </w:r>
      <w:r>
        <w:rPr>
          <w:rFonts w:ascii="宋体" w:hAnsi="宋体" w:cs="宋体" w:eastAsia="宋体" w:hint="default"/>
        </w:rPr>
        <w:t>28,274.67%</w:t>
      </w:r>
      <w:r>
        <w:rPr/>
        <w:t>，主要系报告期内公司投资理财现金流出较多所致。</w:t>
      </w:r>
    </w:p>
    <w:p>
      <w:pPr>
        <w:pStyle w:val="BodyText"/>
        <w:spacing w:line="240" w:lineRule="auto" w:before="133"/>
        <w:ind w:left="215" w:right="3084"/>
        <w:jc w:val="left"/>
      </w:pPr>
      <w:r>
        <w:rPr>
          <w:rFonts w:ascii="宋体" w:hAnsi="宋体" w:cs="宋体" w:eastAsia="宋体" w:hint="default"/>
        </w:rPr>
        <w:t>(3)</w:t>
      </w:r>
      <w:r>
        <w:rPr>
          <w:rFonts w:ascii="宋体" w:hAnsi="宋体" w:cs="宋体" w:eastAsia="宋体" w:hint="default"/>
          <w:spacing w:val="-61"/>
        </w:rPr>
        <w:t> </w:t>
      </w:r>
      <w:r>
        <w:rPr/>
        <w:t>筹资活动产生的现金流量：</w:t>
      </w:r>
    </w:p>
    <w:p>
      <w:pPr>
        <w:pStyle w:val="BodyText"/>
        <w:spacing w:line="240" w:lineRule="auto" w:before="135"/>
        <w:ind w:left="638" w:right="0"/>
        <w:jc w:val="left"/>
      </w:pPr>
      <w:r>
        <w:rPr>
          <w:rFonts w:ascii="宋体" w:hAnsi="宋体" w:cs="宋体" w:eastAsia="宋体" w:hint="default"/>
        </w:rPr>
        <w:t>2017</w:t>
      </w:r>
      <w:r>
        <w:rPr>
          <w:rFonts w:ascii="宋体" w:hAnsi="宋体" w:cs="宋体" w:eastAsia="宋体" w:hint="default"/>
          <w:spacing w:val="-52"/>
        </w:rPr>
        <w:t> </w:t>
      </w:r>
      <w:r>
        <w:rPr/>
        <w:t>年</w:t>
      </w:r>
      <w:r>
        <w:rPr>
          <w:rFonts w:ascii="宋体" w:hAnsi="宋体" w:cs="宋体" w:eastAsia="宋体" w:hint="default"/>
        </w:rPr>
        <w:t>,</w:t>
      </w:r>
      <w:r>
        <w:rPr/>
        <w:t>公司筹资活动产生的现金流量净额</w:t>
      </w:r>
      <w:r>
        <w:rPr>
          <w:spacing w:val="-50"/>
        </w:rPr>
        <w:t> </w:t>
      </w:r>
      <w:r>
        <w:rPr>
          <w:rFonts w:ascii="宋体" w:hAnsi="宋体" w:cs="宋体" w:eastAsia="宋体" w:hint="default"/>
        </w:rPr>
        <w:t>41,688.11</w:t>
      </w:r>
      <w:r>
        <w:rPr>
          <w:rFonts w:ascii="宋体" w:hAnsi="宋体" w:cs="宋体" w:eastAsia="宋体" w:hint="default"/>
          <w:spacing w:val="-50"/>
        </w:rPr>
        <w:t> </w:t>
      </w:r>
      <w:r>
        <w:rPr>
          <w:spacing w:val="-7"/>
        </w:rPr>
        <w:t>万元，比去年同期</w:t>
      </w:r>
      <w:r>
        <w:rPr>
          <w:spacing w:val="-52"/>
        </w:rPr>
        <w:t> </w:t>
      </w:r>
      <w:r>
        <w:rPr>
          <w:rFonts w:ascii="宋体" w:hAnsi="宋体" w:cs="宋体" w:eastAsia="宋体" w:hint="default"/>
        </w:rPr>
        <w:t>4,762.49</w:t>
      </w:r>
      <w:r>
        <w:rPr>
          <w:rFonts w:ascii="宋体" w:hAnsi="宋体" w:cs="宋体" w:eastAsia="宋体" w:hint="default"/>
          <w:spacing w:val="-52"/>
        </w:rPr>
        <w:t> </w:t>
      </w:r>
      <w:r>
        <w:rPr/>
        <w:t>万元增加</w:t>
      </w:r>
    </w:p>
    <w:p>
      <w:pPr>
        <w:pStyle w:val="BodyText"/>
        <w:spacing w:line="240" w:lineRule="auto" w:before="133"/>
        <w:ind w:left="218" w:right="227"/>
        <w:jc w:val="left"/>
      </w:pPr>
      <w:r>
        <w:rPr>
          <w:rFonts w:ascii="宋体" w:hAnsi="宋体" w:cs="宋体" w:eastAsia="宋体" w:hint="default"/>
        </w:rPr>
        <w:t>36,925.62</w:t>
      </w:r>
      <w:r>
        <w:rPr>
          <w:rFonts w:ascii="宋体" w:hAnsi="宋体" w:cs="宋体" w:eastAsia="宋体" w:hint="default"/>
          <w:spacing w:val="-56"/>
        </w:rPr>
        <w:t> </w:t>
      </w:r>
      <w:r>
        <w:rPr/>
        <w:t>万元，同比增长</w:t>
      </w:r>
      <w:r>
        <w:rPr>
          <w:spacing w:val="-53"/>
        </w:rPr>
        <w:t> </w:t>
      </w:r>
      <w:r>
        <w:rPr>
          <w:rFonts w:ascii="宋体" w:hAnsi="宋体" w:cs="宋体" w:eastAsia="宋体" w:hint="default"/>
        </w:rPr>
        <w:t>775.34%</w:t>
      </w:r>
      <w:r>
        <w:rPr/>
        <w:t>，主要系公司公开发行股票吸收投资收到的现金增加所致。</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tabs>
          <w:tab w:pos="1057" w:val="left" w:leader="none"/>
        </w:tabs>
        <w:spacing w:line="240" w:lineRule="auto"/>
        <w:ind w:right="3084"/>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非主营业务导致利润重大变化的说明</w:t>
      </w:r>
      <w:r>
        <w:rPr>
          <w:b w:val="0"/>
          <w:bCs w:val="0"/>
          <w:spacing w:val="-1"/>
        </w:rPr>
      </w:r>
    </w:p>
    <w:p>
      <w:pPr>
        <w:pStyle w:val="BodyText"/>
        <w:spacing w:line="240" w:lineRule="auto" w:before="56"/>
        <w:ind w:left="218" w:right="308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1057" w:val="left" w:leader="none"/>
        </w:tabs>
        <w:spacing w:line="240" w:lineRule="auto"/>
        <w:ind w:right="3084"/>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资产、负债情况分析</w:t>
      </w:r>
      <w:r>
        <w:rPr>
          <w:b w:val="0"/>
          <w:bCs w:val="0"/>
        </w:rPr>
      </w:r>
    </w:p>
    <w:p>
      <w:pPr>
        <w:pStyle w:val="BodyText"/>
        <w:spacing w:line="240" w:lineRule="auto" w:before="56"/>
        <w:ind w:left="218" w:right="3084"/>
        <w:jc w:val="left"/>
      </w:pPr>
      <w:r>
        <w:rPr/>
        <w:t>√适用</w:t>
      </w:r>
      <w:r>
        <w:rPr>
          <w:spacing w:val="-1"/>
        </w:rPr>
        <w:t> </w:t>
      </w:r>
      <w:r>
        <w:rPr/>
        <w:t>□不适用</w:t>
      </w:r>
    </w:p>
    <w:p>
      <w:pPr>
        <w:spacing w:after="0" w:line="240" w:lineRule="auto"/>
        <w:jc w:val="left"/>
        <w:sectPr>
          <w:footerReference w:type="default" r:id="rId14"/>
          <w:pgSz w:w="11910" w:h="16840"/>
          <w:pgMar w:footer="1195" w:header="880" w:top="1120" w:bottom="1380" w:left="1580" w:right="1040"/>
        </w:sectPr>
      </w:pPr>
    </w:p>
    <w:p>
      <w:pPr>
        <w:spacing w:line="240" w:lineRule="auto" w:before="4"/>
        <w:rPr>
          <w:rFonts w:ascii="宋体" w:hAnsi="宋体" w:cs="宋体" w:eastAsia="宋体" w:hint="default"/>
          <w:sz w:val="25"/>
          <w:szCs w:val="25"/>
        </w:rPr>
      </w:pPr>
    </w:p>
    <w:p>
      <w:pPr>
        <w:pStyle w:val="Heading2"/>
        <w:tabs>
          <w:tab w:pos="1682" w:val="left" w:leader="none"/>
        </w:tabs>
        <w:spacing w:line="240" w:lineRule="auto" w:before="36"/>
        <w:ind w:left="1258" w:right="623"/>
        <w:jc w:val="left"/>
        <w:rPr>
          <w:b w:val="0"/>
          <w:bCs w:val="0"/>
        </w:rPr>
      </w:pPr>
      <w:r>
        <w:rPr>
          <w:rFonts w:ascii="宋体" w:hAnsi="宋体" w:cs="宋体" w:eastAsia="宋体" w:hint="default"/>
          <w:w w:val="95"/>
        </w:rPr>
        <w:t>1.</w:t>
        <w:tab/>
      </w:r>
      <w:r>
        <w:rPr/>
        <w:t>资产及负债状况</w:t>
      </w:r>
      <w:r>
        <w:rPr>
          <w:b w:val="0"/>
          <w:bCs w:val="0"/>
        </w:rPr>
      </w:r>
    </w:p>
    <w:p>
      <w:pPr>
        <w:pStyle w:val="BodyText"/>
        <w:spacing w:line="240" w:lineRule="auto" w:before="58"/>
        <w:ind w:left="0" w:right="630"/>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275"/>
        <w:gridCol w:w="1704"/>
        <w:gridCol w:w="1136"/>
        <w:gridCol w:w="1702"/>
        <w:gridCol w:w="1277"/>
        <w:gridCol w:w="1160"/>
        <w:gridCol w:w="2239"/>
      </w:tblGrid>
      <w:tr>
        <w:trPr>
          <w:trHeight w:val="1099"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本期期末</w:t>
            </w:r>
          </w:p>
          <w:p>
            <w:pPr>
              <w:pStyle w:val="TableParagraph"/>
              <w:spacing w:line="272" w:lineRule="exact" w:before="26"/>
              <w:ind w:left="141" w:right="140"/>
              <w:jc w:val="center"/>
              <w:rPr>
                <w:rFonts w:ascii="宋体" w:hAnsi="宋体" w:cs="宋体" w:eastAsia="宋体" w:hint="default"/>
                <w:sz w:val="21"/>
                <w:szCs w:val="21"/>
              </w:rPr>
            </w:pP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49" w:lineRule="exact"/>
              <w:ind w:left="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7" w:right="103"/>
              <w:jc w:val="both"/>
              <w:rPr>
                <w:rFonts w:ascii="宋体" w:hAnsi="宋体" w:cs="宋体" w:eastAsia="宋体" w:hint="default"/>
                <w:sz w:val="21"/>
                <w:szCs w:val="21"/>
              </w:rPr>
            </w:pPr>
            <w:r>
              <w:rPr>
                <w:rFonts w:ascii="宋体" w:hAnsi="宋体" w:cs="宋体" w:eastAsia="宋体" w:hint="default"/>
                <w:sz w:val="21"/>
                <w:szCs w:val="21"/>
              </w:rPr>
              <w:t>上期期末数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占总资产的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hAnsi="宋体" w:cs="宋体" w:eastAsia="宋体" w:hint="default"/>
                <w:sz w:val="21"/>
                <w:szCs w:val="21"/>
              </w:rPr>
              <w:t>本期期末</w:t>
            </w:r>
          </w:p>
          <w:p>
            <w:pPr>
              <w:pStyle w:val="TableParagraph"/>
              <w:spacing w:line="237" w:lineRule="auto"/>
              <w:ind w:left="100" w:right="-5" w:firstLine="52"/>
              <w:jc w:val="left"/>
              <w:rPr>
                <w:rFonts w:ascii="宋体" w:hAnsi="宋体" w:cs="宋体" w:eastAsia="宋体" w:hint="default"/>
                <w:sz w:val="21"/>
                <w:szCs w:val="21"/>
              </w:rPr>
            </w:pPr>
            <w:r>
              <w:rPr>
                <w:rFonts w:ascii="宋体" w:hAnsi="宋体" w:cs="宋体" w:eastAsia="宋体" w:hint="default"/>
                <w:sz w:val="21"/>
                <w:szCs w:val="21"/>
              </w:rPr>
              <w:t>金额较上</w:t>
            </w:r>
            <w:r>
              <w:rPr>
                <w:rFonts w:ascii="宋体" w:hAnsi="宋体" w:cs="宋体" w:eastAsia="宋体" w:hint="default"/>
                <w:w w:val="100"/>
                <w:sz w:val="21"/>
                <w:szCs w:val="21"/>
              </w:rPr>
              <w:t> </w:t>
            </w:r>
            <w:r>
              <w:rPr>
                <w:rFonts w:ascii="宋体" w:hAnsi="宋体" w:cs="宋体" w:eastAsia="宋体" w:hint="default"/>
                <w:sz w:val="21"/>
                <w:szCs w:val="21"/>
              </w:rPr>
              <w:t>期期末变</w:t>
            </w:r>
            <w:r>
              <w:rPr>
                <w:rFonts w:ascii="宋体" w:hAnsi="宋体" w:cs="宋体" w:eastAsia="宋体" w:hint="default"/>
                <w:w w:val="100"/>
                <w:sz w:val="21"/>
                <w:szCs w:val="21"/>
              </w:rPr>
              <w:t> </w:t>
            </w:r>
            <w:r>
              <w:rPr>
                <w:rFonts w:ascii="宋体" w:hAnsi="宋体" w:cs="宋体" w:eastAsia="宋体" w:hint="default"/>
                <w:spacing w:val="-19"/>
                <w:w w:val="100"/>
                <w:sz w:val="21"/>
                <w:szCs w:val="21"/>
              </w:rPr>
              <w:t>动比例（</w:t>
            </w:r>
            <w:r>
              <w:rPr>
                <w:rFonts w:ascii="宋体" w:hAnsi="宋体" w:cs="宋体" w:eastAsia="宋体" w:hint="default"/>
                <w:spacing w:val="-19"/>
                <w:w w:val="100"/>
                <w:sz w:val="21"/>
                <w:szCs w:val="21"/>
              </w:rPr>
              <w:t>%</w:t>
            </w:r>
            <w:r>
              <w:rPr>
                <w:rFonts w:ascii="宋体" w:hAnsi="宋体" w:cs="宋体" w:eastAsia="宋体" w:hint="default"/>
                <w:spacing w:val="-19"/>
                <w:w w:val="100"/>
                <w:sz w:val="21"/>
                <w:szCs w:val="21"/>
              </w:rPr>
              <w:t>）</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693" w:right="0"/>
              <w:jc w:val="left"/>
              <w:rPr>
                <w:rFonts w:ascii="宋体" w:hAnsi="宋体" w:cs="宋体" w:eastAsia="宋体" w:hint="default"/>
                <w:sz w:val="21"/>
                <w:szCs w:val="21"/>
              </w:rPr>
            </w:pPr>
            <w:r>
              <w:rPr>
                <w:rFonts w:ascii="宋体" w:hAnsi="宋体" w:cs="宋体" w:eastAsia="宋体" w:hint="default"/>
                <w:sz w:val="21"/>
                <w:szCs w:val="21"/>
              </w:rPr>
              <w:t>情况说明</w:t>
            </w:r>
          </w:p>
        </w:tc>
      </w:tr>
      <w:tr>
        <w:trPr>
          <w:trHeight w:val="557"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10,251,877.73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0.44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33,030,649.06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1.78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-68.96</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主要预付货款到货，预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付货款减少</w:t>
            </w:r>
          </w:p>
        </w:tc>
      </w:tr>
      <w:tr>
        <w:trPr>
          <w:trHeight w:val="55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537,810,486.11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23.06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1,132,075.48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0.06</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47,406.59</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主要系委托理财增加</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所致</w:t>
            </w:r>
          </w:p>
        </w:tc>
      </w:tr>
      <w:tr>
        <w:trPr>
          <w:trHeight w:val="555"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2,215,671.93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848,511.01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0.05</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161.12</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主要系公司购置的软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件尚未验收</w:t>
            </w:r>
          </w:p>
        </w:tc>
      </w:tr>
      <w:tr>
        <w:trPr>
          <w:trHeight w:val="826"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39,092,593.58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21,997,857.24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1.19</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77.71</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主要系预提维保费增</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12"/>
                <w:sz w:val="21"/>
                <w:szCs w:val="21"/>
              </w:rPr>
              <w:t>加确认可抵扣暂时性</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差异</w:t>
            </w:r>
          </w:p>
        </w:tc>
      </w:tr>
      <w:tr>
        <w:trPr>
          <w:trHeight w:val="557"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272,500,000.00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14.71</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-100.00</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 </w:t>
            </w:r>
            <w:r>
              <w:rPr>
                <w:rFonts w:ascii="宋体" w:hAnsi="宋体" w:cs="宋体" w:eastAsia="宋体" w:hint="default"/>
                <w:sz w:val="21"/>
                <w:szCs w:val="21"/>
              </w:rPr>
              <w:t>2017</w:t>
            </w:r>
            <w:r>
              <w:rPr>
                <w:rFonts w:ascii="宋体" w:hAnsi="宋体" w:cs="宋体" w:eastAsia="宋体" w:hint="default"/>
                <w:spacing w:val="-78"/>
                <w:sz w:val="21"/>
                <w:szCs w:val="21"/>
              </w:rPr>
              <w:t> </w:t>
            </w:r>
            <w:r>
              <w:rPr>
                <w:rFonts w:ascii="宋体" w:hAnsi="宋体" w:cs="宋体" w:eastAsia="宋体" w:hint="default"/>
                <w:sz w:val="21"/>
                <w:szCs w:val="21"/>
              </w:rPr>
              <w:t>年末银行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借款减少所致</w:t>
            </w:r>
          </w:p>
        </w:tc>
      </w:tr>
      <w:tr>
        <w:trPr>
          <w:trHeight w:val="55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114,848,303.72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237,111,874.46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12.80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-51.56</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主要系应付票据到期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承付</w:t>
            </w:r>
          </w:p>
        </w:tc>
      </w:tr>
      <w:tr>
        <w:trPr>
          <w:trHeight w:val="55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27,530,654.78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46,504,828.33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2.51</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-40.80</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主要系期末需缴纳的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税金减少所致</w:t>
            </w:r>
          </w:p>
        </w:tc>
      </w:tr>
      <w:tr>
        <w:trPr>
          <w:trHeight w:val="55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411,556.61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0.02</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主要系期末借款减少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所致</w:t>
            </w:r>
          </w:p>
        </w:tc>
      </w:tr>
      <w:tr>
        <w:trPr>
          <w:trHeight w:val="555"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4,799,387.02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6,965,836.50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-31.10</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主要系期末未付员工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报销款减少</w:t>
            </w:r>
          </w:p>
        </w:tc>
      </w:tr>
      <w:tr>
        <w:trPr>
          <w:trHeight w:val="55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219,880,372.40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119,893,066.71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6.47</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83.40</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主要系销售收入增加，</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预提维保支出增加</w:t>
            </w:r>
          </w:p>
        </w:tc>
      </w:tr>
    </w:tbl>
    <w:p>
      <w:pPr>
        <w:spacing w:line="240" w:lineRule="auto" w:before="7"/>
        <w:rPr>
          <w:rFonts w:ascii="宋体" w:hAnsi="宋体" w:cs="宋体" w:eastAsia="宋体" w:hint="default"/>
          <w:sz w:val="15"/>
          <w:szCs w:val="15"/>
        </w:rPr>
      </w:pPr>
    </w:p>
    <w:p>
      <w:pPr>
        <w:pStyle w:val="BodyText"/>
        <w:spacing w:line="272" w:lineRule="exact" w:before="64"/>
        <w:ind w:left="1258" w:right="8608"/>
        <w:jc w:val="left"/>
      </w:pPr>
      <w:r>
        <w:rPr/>
        <w:t>其他说明</w:t>
      </w:r>
      <w:r>
        <w:rPr>
          <w:w w:val="100"/>
        </w:rPr>
        <w:t> </w:t>
      </w:r>
      <w:r>
        <w:rPr/>
        <w:t>无</w:t>
      </w:r>
    </w:p>
    <w:p>
      <w:pPr>
        <w:spacing w:line="240" w:lineRule="auto" w:before="4"/>
        <w:rPr>
          <w:rFonts w:ascii="宋体" w:hAnsi="宋体" w:cs="宋体" w:eastAsia="宋体" w:hint="default"/>
          <w:sz w:val="23"/>
          <w:szCs w:val="23"/>
        </w:rPr>
      </w:pPr>
    </w:p>
    <w:p>
      <w:pPr>
        <w:pStyle w:val="Heading2"/>
        <w:tabs>
          <w:tab w:pos="1682" w:val="left" w:leader="none"/>
        </w:tabs>
        <w:spacing w:line="240" w:lineRule="auto"/>
        <w:ind w:left="1258" w:right="623"/>
        <w:jc w:val="left"/>
        <w:rPr>
          <w:b w:val="0"/>
          <w:bCs w:val="0"/>
        </w:rPr>
      </w:pPr>
      <w:r>
        <w:rPr>
          <w:rFonts w:ascii="宋体" w:hAnsi="宋体" w:cs="宋体" w:eastAsia="宋体" w:hint="default"/>
          <w:w w:val="95"/>
        </w:rPr>
        <w:t>2.</w:t>
        <w:tab/>
      </w:r>
      <w:r>
        <w:rPr/>
        <w:t>截至报告期末主要资产受限情况</w:t>
      </w:r>
      <w:r>
        <w:rPr>
          <w:b w:val="0"/>
          <w:bCs w:val="0"/>
        </w:rPr>
      </w:r>
    </w:p>
    <w:p>
      <w:pPr>
        <w:pStyle w:val="BodyText"/>
        <w:spacing w:line="273" w:lineRule="exact" w:before="58"/>
        <w:ind w:left="1258" w:right="623"/>
        <w:jc w:val="left"/>
      </w:pPr>
      <w:r>
        <w:rPr/>
        <w:t>√适用</w:t>
      </w:r>
      <w:r>
        <w:rPr>
          <w:spacing w:val="-1"/>
        </w:rPr>
        <w:t> </w:t>
      </w:r>
      <w:r>
        <w:rPr/>
        <w:t>□不适用</w:t>
      </w:r>
    </w:p>
    <w:p>
      <w:pPr>
        <w:pStyle w:val="BodyText"/>
        <w:spacing w:line="273" w:lineRule="exact"/>
        <w:ind w:left="1258" w:right="623"/>
        <w:jc w:val="left"/>
      </w:pPr>
      <w:r>
        <w:rPr/>
        <w:t>截止报告期末，公司货币资金</w:t>
      </w:r>
      <w:r>
        <w:rPr>
          <w:spacing w:val="-56"/>
        </w:rPr>
        <w:t> </w:t>
      </w:r>
      <w:r>
        <w:rPr>
          <w:rFonts w:ascii="宋体" w:hAnsi="宋体" w:cs="宋体" w:eastAsia="宋体" w:hint="default"/>
        </w:rPr>
        <w:t>8,907.13</w:t>
      </w:r>
      <w:r>
        <w:rPr>
          <w:rFonts w:ascii="宋体" w:hAnsi="宋体" w:cs="宋体" w:eastAsia="宋体" w:hint="default"/>
          <w:spacing w:val="-57"/>
        </w:rPr>
        <w:t> </w:t>
      </w:r>
      <w:r>
        <w:rPr/>
        <w:t>万元，因信用证、票据保证金而受限。</w:t>
      </w:r>
    </w:p>
    <w:p>
      <w:pPr>
        <w:spacing w:line="240" w:lineRule="auto" w:before="3"/>
        <w:rPr>
          <w:rFonts w:ascii="宋体" w:hAnsi="宋体" w:cs="宋体" w:eastAsia="宋体" w:hint="default"/>
          <w:sz w:val="25"/>
          <w:szCs w:val="25"/>
        </w:rPr>
      </w:pPr>
    </w:p>
    <w:p>
      <w:pPr>
        <w:pStyle w:val="Heading2"/>
        <w:tabs>
          <w:tab w:pos="1682" w:val="left" w:leader="none"/>
        </w:tabs>
        <w:spacing w:line="240" w:lineRule="auto"/>
        <w:ind w:left="1258" w:right="623"/>
        <w:jc w:val="left"/>
        <w:rPr>
          <w:b w:val="0"/>
          <w:bCs w:val="0"/>
        </w:rPr>
      </w:pPr>
      <w:r>
        <w:rPr>
          <w:rFonts w:ascii="宋体" w:hAnsi="宋体" w:cs="宋体" w:eastAsia="宋体" w:hint="default"/>
          <w:w w:val="95"/>
        </w:rPr>
        <w:t>3.</w:t>
        <w:tab/>
      </w:r>
      <w:r>
        <w:rPr/>
        <w:t>其他说明</w:t>
      </w:r>
      <w:r>
        <w:rPr>
          <w:b w:val="0"/>
          <w:bCs w:val="0"/>
        </w:rPr>
      </w:r>
    </w:p>
    <w:p>
      <w:pPr>
        <w:pStyle w:val="BodyText"/>
        <w:spacing w:line="240" w:lineRule="auto" w:before="58"/>
        <w:ind w:left="1258" w:right="62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2097" w:val="left" w:leader="none"/>
        </w:tabs>
        <w:spacing w:line="240" w:lineRule="auto"/>
        <w:ind w:left="1258" w:right="623"/>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行业经营性信息分析</w:t>
      </w:r>
      <w:r>
        <w:rPr>
          <w:b w:val="0"/>
          <w:bCs w:val="0"/>
        </w:rPr>
      </w:r>
    </w:p>
    <w:p>
      <w:pPr>
        <w:pStyle w:val="BodyText"/>
        <w:spacing w:line="272" w:lineRule="exact" w:before="84"/>
        <w:ind w:left="1678" w:right="623" w:hanging="420"/>
        <w:jc w:val="left"/>
      </w:pPr>
      <w:r>
        <w:rPr/>
        <w:t>√适用</w:t>
      </w:r>
      <w:r>
        <w:rPr>
          <w:spacing w:val="-2"/>
        </w:rPr>
        <w:t> </w:t>
      </w:r>
      <w:r>
        <w:rPr/>
        <w:t>□不适用</w:t>
      </w:r>
      <w:r>
        <w:rPr>
          <w:w w:val="100"/>
        </w:rPr>
        <w:t> </w:t>
      </w:r>
      <w:r>
        <w:rPr>
          <w:spacing w:val="-2"/>
        </w:rPr>
        <w:t>国内市场进入国产品牌主导的价格竞争阶段，产品同质化严重，竞争激烈，价格下滑，行业</w:t>
      </w:r>
    </w:p>
    <w:p>
      <w:pPr>
        <w:pStyle w:val="BodyText"/>
        <w:spacing w:line="355" w:lineRule="auto" w:before="110"/>
        <w:ind w:left="1258" w:right="623"/>
        <w:jc w:val="left"/>
      </w:pPr>
      <w:r>
        <w:rPr/>
        <w:t>进入微利时代。行业经营性信息分析可参考本报告“第三节公司业务概要</w:t>
      </w:r>
      <w:r>
        <w:rPr>
          <w:spacing w:val="5"/>
        </w:rPr>
        <w:t> </w:t>
      </w:r>
      <w:r>
        <w:rPr/>
        <w:t>一、</w:t>
      </w:r>
      <w:r>
        <w:rPr>
          <w:rFonts w:ascii="宋体" w:hAnsi="宋体" w:cs="宋体" w:eastAsia="宋体" w:hint="default"/>
        </w:rPr>
        <w:t>3</w:t>
      </w:r>
      <w:r>
        <w:rPr/>
        <w:t>、行业情况”相</w:t>
      </w:r>
      <w:r>
        <w:rPr>
          <w:w w:val="100"/>
        </w:rPr>
        <w:t> </w:t>
      </w:r>
      <w:r>
        <w:rPr/>
        <w:t>关内容。</w:t>
      </w:r>
    </w:p>
    <w:p>
      <w:pPr>
        <w:pStyle w:val="BodyText"/>
        <w:spacing w:line="357" w:lineRule="auto" w:before="32"/>
        <w:ind w:left="1258" w:right="620" w:firstLine="419"/>
        <w:jc w:val="left"/>
      </w:pPr>
      <w:r>
        <w:rPr/>
        <w:t>目前，国内</w:t>
      </w:r>
      <w:r>
        <w:rPr>
          <w:spacing w:val="-49"/>
        </w:rPr>
        <w:t> </w:t>
      </w:r>
      <w:r>
        <w:rPr>
          <w:rFonts w:ascii="宋体" w:hAnsi="宋体" w:cs="宋体" w:eastAsia="宋体" w:hint="default"/>
        </w:rPr>
        <w:t>ATM</w:t>
      </w:r>
      <w:r>
        <w:rPr>
          <w:rFonts w:ascii="宋体" w:hAnsi="宋体" w:cs="宋体" w:eastAsia="宋体" w:hint="default"/>
          <w:spacing w:val="-51"/>
        </w:rPr>
        <w:t> </w:t>
      </w:r>
      <w:r>
        <w:rPr/>
        <w:t>市场设备供应商主要有：广电运通、恒银金融、怡化电脑、</w:t>
      </w:r>
      <w:r>
        <w:rPr>
          <w:rFonts w:ascii="宋体" w:hAnsi="宋体" w:cs="宋体" w:eastAsia="宋体" w:hint="default"/>
        </w:rPr>
        <w:t>Hitach</w:t>
      </w:r>
      <w:r>
        <w:rPr/>
        <w:t>、东信、</w:t>
      </w:r>
      <w:r>
        <w:rPr>
          <w:w w:val="100"/>
        </w:rPr>
        <w:t> </w:t>
      </w:r>
      <w:r>
        <w:rPr/>
        <w:t>御银股份和新达通等。其中，广电运通、恒银金融两家国产厂商总销售份额在</w:t>
      </w:r>
      <w:r>
        <w:rPr>
          <w:spacing w:val="8"/>
        </w:rPr>
        <w:t> </w:t>
      </w:r>
      <w:r>
        <w:rPr>
          <w:rFonts w:ascii="宋体" w:hAnsi="宋体" w:cs="宋体" w:eastAsia="宋体" w:hint="default"/>
        </w:rPr>
        <w:t>50%</w:t>
      </w:r>
      <w:r>
        <w:rPr/>
        <w:t>以上，市场集</w:t>
      </w:r>
    </w:p>
    <w:p>
      <w:pPr>
        <w:spacing w:after="0" w:line="357" w:lineRule="auto"/>
        <w:jc w:val="left"/>
        <w:sectPr>
          <w:footerReference w:type="default" r:id="rId15"/>
          <w:pgSz w:w="11910" w:h="16840"/>
          <w:pgMar w:footer="1195" w:header="880" w:top="1120" w:bottom="1380" w:left="540" w:right="640"/>
          <w:pgNumType w:start="21"/>
        </w:sectPr>
      </w:pPr>
    </w:p>
    <w:p>
      <w:pPr>
        <w:spacing w:line="240" w:lineRule="auto" w:before="4"/>
        <w:rPr>
          <w:rFonts w:ascii="宋体" w:hAnsi="宋体" w:cs="宋体" w:eastAsia="宋体" w:hint="default"/>
          <w:sz w:val="25"/>
          <w:szCs w:val="25"/>
        </w:rPr>
      </w:pPr>
    </w:p>
    <w:p>
      <w:pPr>
        <w:pStyle w:val="BodyText"/>
        <w:spacing w:line="357" w:lineRule="auto" w:before="36"/>
        <w:ind w:right="0"/>
        <w:jc w:val="left"/>
      </w:pPr>
      <w:r>
        <w:rPr>
          <w:spacing w:val="-1"/>
        </w:rPr>
        <w:t>中度进一步提高。智慧柜员机类等非现金类设备，国产厂商长城、恒银金融、浪潮、证通电子等</w:t>
      </w:r>
      <w:r>
        <w:rPr>
          <w:spacing w:val="-54"/>
        </w:rPr>
        <w:t> </w:t>
      </w:r>
      <w:r>
        <w:rPr>
          <w:spacing w:val="-54"/>
        </w:rPr>
      </w:r>
      <w:r>
        <w:rPr/>
        <w:t>占有绝对优势。</w:t>
      </w:r>
    </w:p>
    <w:p>
      <w:pPr>
        <w:spacing w:after="0" w:line="357"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7"/>
        <w:ind w:left="138" w:right="0"/>
        <w:jc w:val="both"/>
        <w:rPr>
          <w:b w:val="0"/>
          <w:bCs w:val="0"/>
        </w:rPr>
      </w:pPr>
      <w:r>
        <w:rPr>
          <w:rFonts w:ascii="宋体" w:hAnsi="宋体" w:cs="宋体" w:eastAsia="宋体" w:hint="default"/>
        </w:rPr>
        <w:t>(</w:t>
      </w:r>
      <w:r>
        <w:rPr/>
        <w:t>五</w:t>
      </w:r>
      <w:r>
        <w:rPr>
          <w:rFonts w:ascii="宋体" w:hAnsi="宋体" w:cs="宋体" w:eastAsia="宋体" w:hint="default"/>
        </w:rPr>
        <w:t>)  </w:t>
      </w:r>
      <w:r>
        <w:rPr>
          <w:rFonts w:ascii="宋体" w:hAnsi="宋体" w:cs="宋体" w:eastAsia="宋体" w:hint="default"/>
          <w:spacing w:val="101"/>
        </w:rPr>
        <w:t> </w:t>
      </w:r>
      <w:r>
        <w:rPr/>
        <w:t>投资状况分析</w:t>
      </w:r>
      <w:r>
        <w:rPr>
          <w:b w:val="0"/>
          <w:bCs w:val="0"/>
        </w:rPr>
      </w:r>
    </w:p>
    <w:p>
      <w:pPr>
        <w:pStyle w:val="Heading2"/>
        <w:spacing w:line="240" w:lineRule="auto" w:before="56"/>
        <w:ind w:left="138" w:right="0"/>
        <w:jc w:val="both"/>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spacing w:line="240" w:lineRule="auto" w:before="58"/>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spacing w:line="240" w:lineRule="auto" w:before="56"/>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spacing w:line="240" w:lineRule="auto" w:before="58"/>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spacing w:line="240" w:lineRule="auto" w:before="56"/>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w:t>
      </w:r>
      <w:r>
        <w:rPr/>
        <w:t>六</w:t>
      </w:r>
      <w:r>
        <w:rPr>
          <w:rFonts w:ascii="宋体" w:hAnsi="宋体" w:cs="宋体" w:eastAsia="宋体" w:hint="default"/>
        </w:rPr>
        <w:t>)  </w:t>
      </w:r>
      <w:r>
        <w:rPr>
          <w:rFonts w:ascii="宋体" w:hAnsi="宋体" w:cs="宋体" w:eastAsia="宋体" w:hint="default"/>
          <w:spacing w:val="102"/>
        </w:rPr>
        <w:t> </w:t>
      </w:r>
      <w:r>
        <w:rPr/>
        <w:t>重大资产和股权出售</w:t>
      </w:r>
      <w:r>
        <w:rPr>
          <w:b w:val="0"/>
          <w:bCs w:val="0"/>
        </w:rPr>
      </w:r>
    </w:p>
    <w:p>
      <w:pPr>
        <w:pStyle w:val="BodyText"/>
        <w:spacing w:line="240" w:lineRule="auto" w:before="58"/>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w:t>
      </w:r>
      <w:r>
        <w:rPr/>
        <w:t>七</w:t>
      </w:r>
      <w:r>
        <w:rPr>
          <w:rFonts w:ascii="宋体" w:hAnsi="宋体" w:cs="宋体" w:eastAsia="宋体" w:hint="default"/>
        </w:rPr>
        <w:t>)  </w:t>
      </w:r>
      <w:r>
        <w:rPr>
          <w:rFonts w:ascii="宋体" w:hAnsi="宋体" w:cs="宋体" w:eastAsia="宋体" w:hint="default"/>
          <w:spacing w:val="99"/>
        </w:rPr>
        <w:t> </w:t>
      </w:r>
      <w:r>
        <w:rPr/>
        <w:t>主要控股参股公司分析</w:t>
      </w:r>
      <w:r>
        <w:rPr>
          <w:b w:val="0"/>
          <w:bCs w:val="0"/>
        </w:rPr>
      </w:r>
    </w:p>
    <w:p>
      <w:pPr>
        <w:pStyle w:val="BodyText"/>
        <w:spacing w:line="240" w:lineRule="auto" w:before="56"/>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w:t>
      </w:r>
      <w:r>
        <w:rPr/>
        <w:t>八</w:t>
      </w:r>
      <w:r>
        <w:rPr>
          <w:rFonts w:ascii="宋体" w:hAnsi="宋体" w:cs="宋体" w:eastAsia="宋体" w:hint="default"/>
        </w:rPr>
        <w:t>)  </w:t>
      </w:r>
      <w:r>
        <w:rPr>
          <w:rFonts w:ascii="宋体" w:hAnsi="宋体" w:cs="宋体" w:eastAsia="宋体" w:hint="default"/>
          <w:spacing w:val="97"/>
        </w:rPr>
        <w:t> </w:t>
      </w:r>
      <w:r>
        <w:rPr/>
        <w:t>公司控制的结构化主体情况</w:t>
      </w:r>
      <w:r>
        <w:rPr>
          <w:b w:val="0"/>
          <w:bCs w:val="0"/>
        </w:rPr>
      </w:r>
    </w:p>
    <w:p>
      <w:pPr>
        <w:pStyle w:val="BodyText"/>
        <w:spacing w:line="240" w:lineRule="auto" w:before="56"/>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977" w:val="left" w:leader="none"/>
        </w:tabs>
        <w:spacing w:line="290" w:lineRule="auto"/>
        <w:ind w:left="138" w:right="5169"/>
        <w:jc w:val="left"/>
        <w:rPr>
          <w:b w:val="0"/>
          <w:bCs w:val="0"/>
        </w:rPr>
      </w:pPr>
      <w:r>
        <w:rPr>
          <w:spacing w:val="-1"/>
        </w:rPr>
        <w:t>三、公司关于公司未来发展的讨论与分析</w:t>
      </w:r>
      <w:r>
        <w:rPr>
          <w:spacing w:val="-88"/>
        </w:rPr>
        <w:t> </w:t>
      </w:r>
      <w:r>
        <w:rPr>
          <w:spacing w:val="-88"/>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t>行业格局和趋势</w:t>
      </w:r>
      <w:r>
        <w:rPr>
          <w:b w:val="0"/>
          <w:bCs w:val="0"/>
        </w:rPr>
      </w:r>
    </w:p>
    <w:p>
      <w:pPr>
        <w:pStyle w:val="BodyText"/>
        <w:spacing w:line="274" w:lineRule="exact" w:before="12"/>
        <w:ind w:right="0"/>
        <w:jc w:val="both"/>
      </w:pPr>
      <w:r>
        <w:rPr/>
        <w:t>√适用</w:t>
      </w:r>
      <w:r>
        <w:rPr>
          <w:spacing w:val="-1"/>
        </w:rPr>
        <w:t> </w:t>
      </w:r>
      <w:r>
        <w:rPr/>
        <w:t>□不适用</w:t>
      </w:r>
    </w:p>
    <w:p>
      <w:pPr>
        <w:pStyle w:val="BodyText"/>
        <w:spacing w:line="355" w:lineRule="auto"/>
        <w:ind w:right="128" w:firstLine="419"/>
        <w:jc w:val="both"/>
      </w:pPr>
      <w:r>
        <w:rPr>
          <w:rFonts w:ascii="宋体" w:hAnsi="宋体" w:cs="宋体" w:eastAsia="宋体" w:hint="default"/>
        </w:rPr>
        <w:t>2017</w:t>
      </w:r>
      <w:r>
        <w:rPr>
          <w:rFonts w:ascii="宋体" w:hAnsi="宋体" w:cs="宋体" w:eastAsia="宋体" w:hint="default"/>
          <w:spacing w:val="-10"/>
        </w:rPr>
        <w:t> </w:t>
      </w:r>
      <w:r>
        <w:rPr>
          <w:spacing w:val="-3"/>
        </w:rPr>
        <w:t>年，金融机构利用先进技术，推动创新发展，不断优化业务流程和服务手段，推进技术</w:t>
      </w:r>
      <w:r>
        <w:rPr>
          <w:w w:val="100"/>
        </w:rPr>
        <w:t> </w:t>
      </w:r>
      <w:r>
        <w:rPr/>
        <w:t>架构转型升级，</w:t>
      </w:r>
      <w:r>
        <w:rPr>
          <w:spacing w:val="18"/>
        </w:rPr>
        <w:t> </w:t>
      </w:r>
      <w:r>
        <w:rPr>
          <w:rFonts w:ascii="宋体" w:hAnsi="宋体" w:cs="宋体" w:eastAsia="宋体" w:hint="default"/>
        </w:rPr>
        <w:t>ATM</w:t>
      </w:r>
      <w:r>
        <w:rPr>
          <w:rFonts w:ascii="宋体" w:hAnsi="宋体" w:cs="宋体" w:eastAsia="宋体" w:hint="default"/>
          <w:spacing w:val="-31"/>
        </w:rPr>
        <w:t> </w:t>
      </w:r>
      <w:r>
        <w:rPr>
          <w:spacing w:val="-3"/>
        </w:rPr>
        <w:t>厂商纷纷依托新科技加快战略转型和智慧再升级，推动金融自助设备和新兴</w:t>
      </w:r>
      <w:r>
        <w:rPr>
          <w:spacing w:val="-96"/>
        </w:rPr>
        <w:t> </w:t>
      </w:r>
      <w:r>
        <w:rPr>
          <w:spacing w:val="-96"/>
        </w:rPr>
      </w:r>
      <w:r>
        <w:rPr/>
        <w:t>金融科技的深度融合，随着</w:t>
      </w:r>
      <w:r>
        <w:rPr>
          <w:spacing w:val="-49"/>
        </w:rPr>
        <w:t> </w:t>
      </w:r>
      <w:r>
        <w:rPr>
          <w:rFonts w:ascii="宋体" w:hAnsi="宋体" w:cs="宋体" w:eastAsia="宋体" w:hint="default"/>
        </w:rPr>
        <w:t>ATM</w:t>
      </w:r>
      <w:r>
        <w:rPr>
          <w:rFonts w:ascii="宋体" w:hAnsi="宋体" w:cs="宋体" w:eastAsia="宋体" w:hint="default"/>
          <w:spacing w:val="-51"/>
        </w:rPr>
        <w:t> </w:t>
      </w:r>
      <w:r>
        <w:rPr/>
        <w:t>行业国产化、智能化不断加速，行业格局和产品结构产生深刻变</w:t>
      </w:r>
      <w:r>
        <w:rPr>
          <w:w w:val="100"/>
        </w:rPr>
        <w:t> </w:t>
      </w:r>
      <w:r>
        <w:rPr/>
        <w:t>革，行业发展未来仍有广阔空间。</w:t>
      </w:r>
    </w:p>
    <w:p>
      <w:pPr>
        <w:pStyle w:val="BodyText"/>
        <w:spacing w:line="355" w:lineRule="auto" w:before="35"/>
        <w:ind w:left="558" w:right="0" w:hanging="12"/>
        <w:jc w:val="left"/>
      </w:pPr>
      <w:r>
        <w:rPr>
          <w:rFonts w:ascii="宋体" w:hAnsi="宋体" w:cs="宋体" w:eastAsia="宋体" w:hint="default"/>
          <w:b/>
          <w:bCs/>
        </w:rPr>
        <w:t>1</w:t>
      </w:r>
      <w:r>
        <w:rPr>
          <w:rFonts w:ascii="宋体" w:hAnsi="宋体" w:cs="宋体" w:eastAsia="宋体" w:hint="default"/>
          <w:b/>
          <w:bCs/>
        </w:rPr>
        <w:t>、行业竞争格局</w:t>
      </w:r>
      <w:r>
        <w:rPr>
          <w:rFonts w:ascii="宋体" w:hAnsi="宋体" w:cs="宋体" w:eastAsia="宋体" w:hint="default"/>
          <w:b/>
          <w:bCs/>
          <w:spacing w:val="-104"/>
        </w:rPr>
        <w:t> </w:t>
      </w:r>
      <w:r>
        <w:rPr>
          <w:spacing w:val="-2"/>
        </w:rPr>
        <w:t>国内市场进入国产品牌主导的价格竞争阶段，产品同质化严重，竞争激烈，价格下滑，行业</w:t>
      </w:r>
    </w:p>
    <w:p>
      <w:pPr>
        <w:pStyle w:val="BodyText"/>
        <w:spacing w:line="357" w:lineRule="auto" w:before="32"/>
        <w:ind w:right="128"/>
        <w:jc w:val="both"/>
      </w:pPr>
      <w:r>
        <w:rPr>
          <w:spacing w:val="-1"/>
        </w:rPr>
        <w:t>进入微利时代。在竞争中，服务保障能力和产品价格优势成为银行选择厂商的重要依据。市场竞</w:t>
      </w:r>
      <w:r>
        <w:rPr>
          <w:spacing w:val="-55"/>
        </w:rPr>
        <w:t> </w:t>
      </w:r>
      <w:r>
        <w:rPr>
          <w:spacing w:val="-55"/>
        </w:rPr>
      </w:r>
      <w:r>
        <w:rPr/>
        <w:t>争中价格战惨烈，个别项目甚至是成本与售价倒挂，行业进入微利时代。目前，国内</w:t>
      </w:r>
      <w:r>
        <w:rPr>
          <w:spacing w:val="-49"/>
        </w:rPr>
        <w:t> </w:t>
      </w:r>
      <w:r>
        <w:rPr>
          <w:rFonts w:ascii="宋体" w:hAnsi="宋体" w:cs="宋体" w:eastAsia="宋体" w:hint="default"/>
        </w:rPr>
        <w:t>ATM</w:t>
      </w:r>
      <w:r>
        <w:rPr>
          <w:rFonts w:ascii="宋体" w:hAnsi="宋体" w:cs="宋体" w:eastAsia="宋体" w:hint="default"/>
          <w:spacing w:val="-47"/>
        </w:rPr>
        <w:t> </w:t>
      </w:r>
      <w:r>
        <w:rPr>
          <w:spacing w:val="-3"/>
        </w:rPr>
        <w:t>市场设</w:t>
      </w:r>
      <w:r>
        <w:rPr>
          <w:spacing w:val="-3"/>
          <w:w w:val="100"/>
        </w:rPr>
        <w:t> </w:t>
      </w:r>
      <w:r>
        <w:rPr>
          <w:spacing w:val="-1"/>
        </w:rPr>
        <w:t>备供应商主要有：广电运通、恒银金融、怡化、</w:t>
      </w:r>
      <w:r>
        <w:rPr>
          <w:rFonts w:ascii="宋体" w:hAnsi="宋体" w:cs="宋体" w:eastAsia="宋体" w:hint="default"/>
          <w:spacing w:val="-1"/>
        </w:rPr>
        <w:t>Hitach</w:t>
      </w:r>
      <w:r>
        <w:rPr>
          <w:spacing w:val="-1"/>
        </w:rPr>
        <w:t>、东信、御银股份和新达通等。其中，广</w:t>
      </w:r>
      <w:r>
        <w:rPr>
          <w:spacing w:val="-52"/>
        </w:rPr>
        <w:t> </w:t>
      </w:r>
      <w:r>
        <w:rPr>
          <w:spacing w:val="-52"/>
        </w:rPr>
      </w:r>
      <w:r>
        <w:rPr/>
        <w:t>电运通、恒银金融两家国产厂商总销售份额在</w:t>
      </w:r>
      <w:r>
        <w:rPr>
          <w:spacing w:val="8"/>
        </w:rPr>
        <w:t> </w:t>
      </w:r>
      <w:r>
        <w:rPr>
          <w:rFonts w:ascii="宋体" w:hAnsi="宋体" w:cs="宋体" w:eastAsia="宋体" w:hint="default"/>
        </w:rPr>
        <w:t>50%</w:t>
      </w:r>
      <w:r>
        <w:rPr/>
        <w:t>以上，市场集中度进一步提高。智慧柜员机类</w:t>
      </w:r>
      <w:r>
        <w:rPr>
          <w:w w:val="100"/>
        </w:rPr>
        <w:t> </w:t>
      </w:r>
      <w:r>
        <w:rPr/>
        <w:t>等非现金类设备，国产厂商长城、恒银金融、浪潮、证通等占有绝对优势。</w:t>
      </w:r>
    </w:p>
    <w:p>
      <w:pPr>
        <w:pStyle w:val="BodyText"/>
        <w:spacing w:line="357" w:lineRule="auto" w:before="30"/>
        <w:ind w:right="128" w:firstLine="419"/>
        <w:jc w:val="both"/>
      </w:pPr>
      <w:r>
        <w:rPr>
          <w:spacing w:val="-2"/>
        </w:rPr>
        <w:t>公司专注于现金类自助设备和非现金类自助设备的研发、生产、销售与服务，行业内率先提</w:t>
      </w:r>
      <w:r>
        <w:rPr>
          <w:w w:val="100"/>
        </w:rPr>
        <w:t> </w:t>
      </w:r>
      <w:r>
        <w:rPr>
          <w:spacing w:val="-1"/>
        </w:rPr>
        <w:t>出智慧银行解决方案，已与多家大型国有商业银行、全国性股份制商业银行、城市商业银行、农</w:t>
      </w:r>
      <w:r>
        <w:rPr>
          <w:spacing w:val="-55"/>
        </w:rPr>
        <w:t> </w:t>
      </w:r>
      <w:r>
        <w:rPr>
          <w:spacing w:val="-55"/>
        </w:rPr>
      </w:r>
      <w:r>
        <w:rPr>
          <w:spacing w:val="-1"/>
        </w:rPr>
        <w:t>村信用社等众多客户建立了广泛而稳固的合作关系，多年积累的在位优势为公司的持续盈利提供</w:t>
      </w:r>
    </w:p>
    <w:p>
      <w:pPr>
        <w:spacing w:after="0" w:line="357" w:lineRule="auto"/>
        <w:jc w:val="both"/>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BodyText"/>
        <w:spacing w:line="357" w:lineRule="auto" w:before="36"/>
        <w:ind w:right="128"/>
        <w:jc w:val="both"/>
      </w:pPr>
      <w:r>
        <w:rPr>
          <w:spacing w:val="-1"/>
        </w:rPr>
        <w:t>了重要保证。报告期内，公司现金类设备市场占有率稳居国内第二，智慧柜员机等非现金类设备</w:t>
      </w:r>
      <w:r>
        <w:rPr>
          <w:spacing w:val="-55"/>
        </w:rPr>
        <w:t> </w:t>
      </w:r>
      <w:r>
        <w:rPr>
          <w:spacing w:val="-55"/>
        </w:rPr>
      </w:r>
      <w:r>
        <w:rPr/>
        <w:t>市场占有率亦居国内第二。</w:t>
      </w:r>
    </w:p>
    <w:p>
      <w:pPr>
        <w:pStyle w:val="Heading2"/>
        <w:spacing w:line="240" w:lineRule="auto" w:before="30"/>
        <w:ind w:left="545" w:right="0"/>
        <w:jc w:val="left"/>
        <w:rPr>
          <w:b w:val="0"/>
          <w:bCs w:val="0"/>
        </w:rPr>
      </w:pPr>
      <w:r>
        <w:rPr>
          <w:rFonts w:ascii="宋体" w:hAnsi="宋体" w:cs="宋体" w:eastAsia="宋体" w:hint="default"/>
        </w:rPr>
        <w:t>2</w:t>
      </w:r>
      <w:r>
        <w:rPr/>
        <w:t>、行业发展趋势</w:t>
      </w:r>
      <w:r>
        <w:rPr>
          <w:b w:val="0"/>
          <w:bCs w:val="0"/>
        </w:rPr>
      </w:r>
    </w:p>
    <w:p>
      <w:pPr>
        <w:pStyle w:val="BodyText"/>
        <w:spacing w:line="355" w:lineRule="auto" w:before="133"/>
        <w:ind w:left="558" w:right="0"/>
        <w:jc w:val="left"/>
      </w:pPr>
      <w:r>
        <w:rPr/>
        <w:t>（</w:t>
      </w:r>
      <w:r>
        <w:rPr>
          <w:rFonts w:ascii="宋体" w:hAnsi="宋体" w:cs="宋体" w:eastAsia="宋体" w:hint="default"/>
        </w:rPr>
        <w:t>1</w:t>
      </w:r>
      <w:r>
        <w:rPr/>
        <w:t>）现金类设备。</w:t>
      </w:r>
      <w:r>
        <w:rPr>
          <w:w w:val="100"/>
        </w:rPr>
        <w:t> </w:t>
      </w:r>
      <w:r>
        <w:rPr>
          <w:spacing w:val="-2"/>
        </w:rPr>
        <w:t>伴随网上银行、手机银行、微信支付、支付宝等电子支付渠道的兴起和发展，现金交易频率</w:t>
      </w:r>
    </w:p>
    <w:p>
      <w:pPr>
        <w:pStyle w:val="BodyText"/>
        <w:spacing w:line="357" w:lineRule="auto" w:before="32"/>
        <w:ind w:right="127"/>
        <w:jc w:val="both"/>
      </w:pPr>
      <w:r>
        <w:rPr>
          <w:spacing w:val="-1"/>
        </w:rPr>
        <w:t>降低，对金融自助设备行业发展产生一定影响，长远来看，未来支付领域现金依旧是重要的支付</w:t>
      </w:r>
      <w:r>
        <w:rPr>
          <w:spacing w:val="-55"/>
        </w:rPr>
        <w:t> </w:t>
      </w:r>
      <w:r>
        <w:rPr>
          <w:spacing w:val="-55"/>
        </w:rPr>
      </w:r>
      <w:r>
        <w:rPr>
          <w:spacing w:val="-4"/>
        </w:rPr>
        <w:t>工具，据中国人民银行发布的《</w:t>
      </w:r>
      <w:r>
        <w:rPr>
          <w:rFonts w:ascii="宋体" w:hAnsi="宋体" w:cs="宋体" w:eastAsia="宋体" w:hint="default"/>
          <w:spacing w:val="-4"/>
        </w:rPr>
        <w:t>2017</w:t>
      </w:r>
      <w:r>
        <w:rPr>
          <w:rFonts w:ascii="宋体" w:hAnsi="宋体" w:cs="宋体" w:eastAsia="宋体" w:hint="default"/>
          <w:spacing w:val="-41"/>
        </w:rPr>
        <w:t> </w:t>
      </w:r>
      <w:r>
        <w:rPr>
          <w:spacing w:val="-4"/>
        </w:rPr>
        <w:t>年支付体系运行总体情况》显示，截至</w:t>
      </w:r>
      <w:r>
        <w:rPr>
          <w:spacing w:val="-38"/>
        </w:rPr>
        <w:t> </w:t>
      </w:r>
      <w:r>
        <w:rPr>
          <w:rFonts w:ascii="宋体" w:hAnsi="宋体" w:cs="宋体" w:eastAsia="宋体" w:hint="default"/>
        </w:rPr>
        <w:t>2017</w:t>
      </w:r>
      <w:r>
        <w:rPr>
          <w:rFonts w:ascii="宋体" w:hAnsi="宋体" w:cs="宋体" w:eastAsia="宋体" w:hint="default"/>
          <w:spacing w:val="-37"/>
        </w:rPr>
        <w:t> </w:t>
      </w:r>
      <w:r>
        <w:rPr>
          <w:spacing w:val="-5"/>
        </w:rPr>
        <w:t>年末，国内</w:t>
      </w:r>
      <w:r>
        <w:rPr>
          <w:spacing w:val="-38"/>
        </w:rPr>
        <w:t> </w:t>
      </w:r>
      <w:r>
        <w:rPr>
          <w:rFonts w:ascii="宋体" w:hAnsi="宋体" w:cs="宋体" w:eastAsia="宋体" w:hint="default"/>
        </w:rPr>
        <w:t>ATM</w:t>
      </w:r>
      <w:r>
        <w:rPr>
          <w:rFonts w:ascii="宋体" w:hAnsi="宋体" w:cs="宋体" w:eastAsia="宋体" w:hint="default"/>
          <w:spacing w:val="-99"/>
        </w:rPr>
        <w:t> </w:t>
      </w:r>
      <w:r>
        <w:rPr>
          <w:rFonts w:ascii="宋体" w:hAnsi="宋体" w:cs="宋体" w:eastAsia="宋体" w:hint="default"/>
          <w:spacing w:val="-99"/>
        </w:rPr>
      </w:r>
      <w:r>
        <w:rPr/>
        <w:t>保有量</w:t>
      </w:r>
      <w:r>
        <w:rPr>
          <w:spacing w:val="-44"/>
        </w:rPr>
        <w:t> </w:t>
      </w:r>
      <w:r>
        <w:rPr>
          <w:rFonts w:ascii="宋体" w:hAnsi="宋体" w:cs="宋体" w:eastAsia="宋体" w:hint="default"/>
        </w:rPr>
        <w:t>96.06</w:t>
      </w:r>
      <w:r>
        <w:rPr>
          <w:rFonts w:ascii="宋体" w:hAnsi="宋体" w:cs="宋体" w:eastAsia="宋体" w:hint="default"/>
          <w:spacing w:val="-44"/>
        </w:rPr>
        <w:t> </w:t>
      </w:r>
      <w:r>
        <w:rPr>
          <w:spacing w:val="-5"/>
        </w:rPr>
        <w:t>万台，较去年</w:t>
      </w:r>
      <w:r>
        <w:rPr>
          <w:spacing w:val="-43"/>
        </w:rPr>
        <w:t> </w:t>
      </w:r>
      <w:r>
        <w:rPr>
          <w:rFonts w:ascii="宋体" w:hAnsi="宋体" w:cs="宋体" w:eastAsia="宋体" w:hint="default"/>
        </w:rPr>
        <w:t>92.42</w:t>
      </w:r>
      <w:r>
        <w:rPr>
          <w:rFonts w:ascii="宋体" w:hAnsi="宋体" w:cs="宋体" w:eastAsia="宋体" w:hint="default"/>
          <w:spacing w:val="-44"/>
        </w:rPr>
        <w:t> </w:t>
      </w:r>
      <w:r>
        <w:rPr/>
        <w:t>万台增长</w:t>
      </w:r>
      <w:r>
        <w:rPr>
          <w:spacing w:val="-44"/>
        </w:rPr>
        <w:t> </w:t>
      </w:r>
      <w:r>
        <w:rPr>
          <w:rFonts w:ascii="宋体" w:hAnsi="宋体" w:cs="宋体" w:eastAsia="宋体" w:hint="default"/>
          <w:spacing w:val="-3"/>
        </w:rPr>
        <w:t>3.9%</w:t>
      </w:r>
      <w:r>
        <w:rPr>
          <w:spacing w:val="-3"/>
        </w:rPr>
        <w:t>，继续保持增长势头，增速有所放缓进入稳定增</w:t>
      </w:r>
      <w:r>
        <w:rPr>
          <w:spacing w:val="-101"/>
        </w:rPr>
        <w:t> </w:t>
      </w:r>
      <w:r>
        <w:rPr>
          <w:spacing w:val="-101"/>
        </w:rPr>
      </w:r>
      <w:r>
        <w:rPr/>
        <w:t>长阶段。全国银行卡在用发卡数量稳步增长，达到</w:t>
      </w:r>
      <w:r>
        <w:rPr>
          <w:spacing w:val="-43"/>
        </w:rPr>
        <w:t> </w:t>
      </w:r>
      <w:r>
        <w:rPr>
          <w:rFonts w:ascii="宋体" w:hAnsi="宋体" w:cs="宋体" w:eastAsia="宋体" w:hint="default"/>
        </w:rPr>
        <w:t>66.93</w:t>
      </w:r>
      <w:r>
        <w:rPr>
          <w:rFonts w:ascii="宋体" w:hAnsi="宋体" w:cs="宋体" w:eastAsia="宋体" w:hint="default"/>
          <w:spacing w:val="-41"/>
        </w:rPr>
        <w:t> </w:t>
      </w:r>
      <w:r>
        <w:rPr/>
        <w:t>亿张，同比增长</w:t>
      </w:r>
      <w:r>
        <w:rPr>
          <w:spacing w:val="-41"/>
        </w:rPr>
        <w:t> </w:t>
      </w:r>
      <w:r>
        <w:rPr>
          <w:rFonts w:ascii="宋体" w:hAnsi="宋体" w:cs="宋体" w:eastAsia="宋体" w:hint="default"/>
        </w:rPr>
        <w:t>9.27%</w:t>
      </w:r>
      <w:r>
        <w:rPr/>
        <w:t>，每台</w:t>
      </w:r>
      <w:r>
        <w:rPr>
          <w:spacing w:val="-41"/>
        </w:rPr>
        <w:t> </w:t>
      </w:r>
      <w:r>
        <w:rPr>
          <w:rFonts w:ascii="宋体" w:hAnsi="宋体" w:cs="宋体" w:eastAsia="宋体" w:hint="default"/>
        </w:rPr>
        <w:t>ATM</w:t>
      </w:r>
      <w:r>
        <w:rPr>
          <w:rFonts w:ascii="宋体" w:hAnsi="宋体" w:cs="宋体" w:eastAsia="宋体" w:hint="default"/>
          <w:spacing w:val="-43"/>
        </w:rPr>
        <w:t> </w:t>
      </w:r>
      <w:r>
        <w:rPr/>
        <w:t>对应</w:t>
      </w:r>
      <w:r>
        <w:rPr>
          <w:w w:val="100"/>
        </w:rPr>
        <w:t> </w:t>
      </w:r>
      <w:r>
        <w:rPr/>
        <w:t>的银行卡数量</w:t>
      </w:r>
      <w:r>
        <w:rPr>
          <w:spacing w:val="-44"/>
        </w:rPr>
        <w:t> </w:t>
      </w:r>
      <w:r>
        <w:rPr>
          <w:rFonts w:ascii="宋体" w:hAnsi="宋体" w:cs="宋体" w:eastAsia="宋体" w:hint="default"/>
        </w:rPr>
        <w:t>6968</w:t>
      </w:r>
      <w:r>
        <w:rPr>
          <w:rFonts w:ascii="宋体" w:hAnsi="宋体" w:cs="宋体" w:eastAsia="宋体" w:hint="default"/>
          <w:spacing w:val="-47"/>
        </w:rPr>
        <w:t> </w:t>
      </w:r>
      <w:r>
        <w:rPr/>
        <w:t>张，较去年增长</w:t>
      </w:r>
      <w:r>
        <w:rPr>
          <w:spacing w:val="-44"/>
        </w:rPr>
        <w:t> </w:t>
      </w:r>
      <w:r>
        <w:rPr>
          <w:rFonts w:ascii="宋体" w:hAnsi="宋体" w:cs="宋体" w:eastAsia="宋体" w:hint="default"/>
        </w:rPr>
        <w:t>5.1%</w:t>
      </w:r>
      <w:r>
        <w:rPr/>
        <w:t>。每万人对应的</w:t>
      </w:r>
      <w:r>
        <w:rPr>
          <w:spacing w:val="-44"/>
        </w:rPr>
        <w:t> </w:t>
      </w:r>
      <w:r>
        <w:rPr>
          <w:rFonts w:ascii="宋体" w:hAnsi="宋体" w:cs="宋体" w:eastAsia="宋体" w:hint="default"/>
        </w:rPr>
        <w:t>ATM</w:t>
      </w:r>
      <w:r>
        <w:rPr>
          <w:rFonts w:ascii="宋体" w:hAnsi="宋体" w:cs="宋体" w:eastAsia="宋体" w:hint="default"/>
          <w:spacing w:val="-47"/>
        </w:rPr>
        <w:t> </w:t>
      </w:r>
      <w:r>
        <w:rPr/>
        <w:t>数量</w:t>
      </w:r>
      <w:r>
        <w:rPr>
          <w:spacing w:val="-46"/>
        </w:rPr>
        <w:t> </w:t>
      </w:r>
      <w:r>
        <w:rPr>
          <w:rFonts w:ascii="宋体" w:hAnsi="宋体" w:cs="宋体" w:eastAsia="宋体" w:hint="default"/>
        </w:rPr>
        <w:t>6.95</w:t>
      </w:r>
      <w:r>
        <w:rPr>
          <w:rFonts w:ascii="宋体" w:hAnsi="宋体" w:cs="宋体" w:eastAsia="宋体" w:hint="default"/>
          <w:spacing w:val="-44"/>
        </w:rPr>
        <w:t> </w:t>
      </w:r>
      <w:r>
        <w:rPr/>
        <w:t>台</w:t>
      </w:r>
      <w:r>
        <w:rPr>
          <w:rFonts w:ascii="宋体" w:hAnsi="宋体" w:cs="宋体" w:eastAsia="宋体" w:hint="default"/>
        </w:rPr>
        <w:t>,</w:t>
      </w:r>
      <w:r>
        <w:rPr/>
        <w:t>与发达国家相比仍有</w:t>
      </w:r>
      <w:r>
        <w:rPr>
          <w:w w:val="100"/>
        </w:rPr>
        <w:t> </w:t>
      </w:r>
      <w:r>
        <w:rPr/>
        <w:t>不小差距，现金类设备仍有增长空间。</w:t>
      </w:r>
    </w:p>
    <w:p>
      <w:pPr>
        <w:pStyle w:val="BodyText"/>
        <w:spacing w:line="357" w:lineRule="auto" w:before="30"/>
        <w:ind w:right="127" w:firstLine="419"/>
        <w:jc w:val="both"/>
      </w:pPr>
      <w:r>
        <w:rPr/>
        <w:t>市场保有的</w:t>
      </w:r>
      <w:r>
        <w:rPr>
          <w:spacing w:val="-46"/>
        </w:rPr>
        <w:t> </w:t>
      </w:r>
      <w:r>
        <w:rPr>
          <w:rFonts w:ascii="宋体" w:hAnsi="宋体" w:cs="宋体" w:eastAsia="宋体" w:hint="default"/>
        </w:rPr>
        <w:t>ATM</w:t>
      </w:r>
      <w:r>
        <w:rPr>
          <w:rFonts w:ascii="宋体" w:hAnsi="宋体" w:cs="宋体" w:eastAsia="宋体" w:hint="default"/>
          <w:spacing w:val="-48"/>
        </w:rPr>
        <w:t> </w:t>
      </w:r>
      <w:r>
        <w:rPr>
          <w:spacing w:val="-4"/>
        </w:rPr>
        <w:t>将迎来替代升级。从历史数据来看，</w:t>
      </w:r>
      <w:r>
        <w:rPr>
          <w:rFonts w:ascii="宋体" w:hAnsi="宋体" w:cs="宋体" w:eastAsia="宋体" w:hint="default"/>
          <w:spacing w:val="-4"/>
        </w:rPr>
        <w:t>2007</w:t>
      </w:r>
      <w:r>
        <w:rPr>
          <w:rFonts w:ascii="宋体" w:hAnsi="宋体" w:cs="宋体" w:eastAsia="宋体" w:hint="default"/>
          <w:spacing w:val="-46"/>
        </w:rPr>
        <w:t> </w:t>
      </w:r>
      <w:r>
        <w:rPr/>
        <w:t>年之后我国</w:t>
      </w:r>
      <w:r>
        <w:rPr>
          <w:spacing w:val="-48"/>
        </w:rPr>
        <w:t> </w:t>
      </w:r>
      <w:r>
        <w:rPr>
          <w:rFonts w:ascii="宋体" w:hAnsi="宋体" w:cs="宋体" w:eastAsia="宋体" w:hint="default"/>
        </w:rPr>
        <w:t>ATM</w:t>
      </w:r>
      <w:r>
        <w:rPr>
          <w:rFonts w:ascii="宋体" w:hAnsi="宋体" w:cs="宋体" w:eastAsia="宋体" w:hint="default"/>
          <w:spacing w:val="-47"/>
        </w:rPr>
        <w:t> </w:t>
      </w:r>
      <w:r>
        <w:rPr/>
        <w:t>市场迎来了一轮大</w:t>
      </w:r>
      <w:r>
        <w:rPr>
          <w:w w:val="100"/>
        </w:rPr>
        <w:t> </w:t>
      </w:r>
      <w:r>
        <w:rPr/>
        <w:t>规模出货，保有量增长率一度达到</w:t>
      </w:r>
      <w:r>
        <w:rPr>
          <w:spacing w:val="-52"/>
        </w:rPr>
        <w:t> </w:t>
      </w:r>
      <w:r>
        <w:rPr>
          <w:rFonts w:ascii="宋体" w:hAnsi="宋体" w:cs="宋体" w:eastAsia="宋体" w:hint="default"/>
        </w:rPr>
        <w:t>30%</w:t>
      </w:r>
      <w:r>
        <w:rPr/>
        <w:t>以上。通常</w:t>
      </w:r>
      <w:r>
        <w:rPr>
          <w:spacing w:val="-52"/>
        </w:rPr>
        <w:t> </w:t>
      </w:r>
      <w:r>
        <w:rPr>
          <w:rFonts w:ascii="宋体" w:hAnsi="宋体" w:cs="宋体" w:eastAsia="宋体" w:hint="default"/>
        </w:rPr>
        <w:t>ATM</w:t>
      </w:r>
      <w:r>
        <w:rPr>
          <w:rFonts w:ascii="宋体" w:hAnsi="宋体" w:cs="宋体" w:eastAsia="宋体" w:hint="default"/>
          <w:spacing w:val="-52"/>
        </w:rPr>
        <w:t> </w:t>
      </w:r>
      <w:r>
        <w:rPr/>
        <w:t>的生命周期为</w:t>
      </w:r>
      <w:r>
        <w:rPr>
          <w:spacing w:val="-53"/>
        </w:rPr>
        <w:t> </w:t>
      </w:r>
      <w:r>
        <w:rPr>
          <w:rFonts w:ascii="宋体" w:hAnsi="宋体" w:cs="宋体" w:eastAsia="宋体" w:hint="default"/>
        </w:rPr>
        <w:t>5-8</w:t>
      </w:r>
      <w:r>
        <w:rPr>
          <w:rFonts w:ascii="宋体" w:hAnsi="宋体" w:cs="宋体" w:eastAsia="宋体" w:hint="default"/>
          <w:spacing w:val="-52"/>
        </w:rPr>
        <w:t> </w:t>
      </w:r>
      <w:r>
        <w:rPr/>
        <w:t>年，</w:t>
      </w:r>
      <w:r>
        <w:rPr>
          <w:rFonts w:ascii="宋体" w:hAnsi="宋体" w:cs="宋体" w:eastAsia="宋体" w:hint="default"/>
        </w:rPr>
        <w:t>2012</w:t>
      </w:r>
      <w:r>
        <w:rPr>
          <w:rFonts w:ascii="宋体" w:hAnsi="宋体" w:cs="宋体" w:eastAsia="宋体" w:hint="default"/>
          <w:spacing w:val="-55"/>
        </w:rPr>
        <w:t> </w:t>
      </w:r>
      <w:r>
        <w:rPr/>
        <w:t>年及以后布放</w:t>
      </w:r>
      <w:r>
        <w:rPr>
          <w:w w:val="100"/>
        </w:rPr>
        <w:t> 的</w:t>
      </w:r>
      <w:r>
        <w:rPr>
          <w:spacing w:val="-72"/>
          <w:w w:val="100"/>
        </w:rPr>
        <w:t> </w:t>
      </w:r>
      <w:r>
        <w:rPr>
          <w:rFonts w:ascii="宋体" w:hAnsi="宋体" w:cs="宋体" w:eastAsia="宋体" w:hint="default"/>
          <w:w w:val="100"/>
        </w:rPr>
        <w:t>ATM</w:t>
      </w:r>
      <w:r>
        <w:rPr>
          <w:rFonts w:ascii="宋体" w:hAnsi="宋体" w:cs="宋体" w:eastAsia="宋体" w:hint="default"/>
          <w:spacing w:val="-72"/>
          <w:w w:val="100"/>
        </w:rPr>
        <w:t> </w:t>
      </w:r>
      <w:r>
        <w:rPr>
          <w:spacing w:val="-7"/>
          <w:w w:val="100"/>
        </w:rPr>
        <w:t>整机更换需求将在未来逐步释放，将成为未来支撑</w:t>
      </w:r>
      <w:r>
        <w:rPr>
          <w:spacing w:val="-71"/>
          <w:w w:val="100"/>
        </w:rPr>
        <w:t> </w:t>
      </w:r>
      <w:r>
        <w:rPr>
          <w:rFonts w:ascii="宋体" w:hAnsi="宋体" w:cs="宋体" w:eastAsia="宋体" w:hint="default"/>
          <w:w w:val="100"/>
        </w:rPr>
        <w:t>ATM</w:t>
      </w:r>
      <w:r>
        <w:rPr>
          <w:rFonts w:ascii="宋体" w:hAnsi="宋体" w:cs="宋体" w:eastAsia="宋体" w:hint="default"/>
          <w:spacing w:val="-75"/>
          <w:w w:val="100"/>
        </w:rPr>
        <w:t> </w:t>
      </w:r>
      <w:r>
        <w:rPr>
          <w:spacing w:val="-2"/>
          <w:w w:val="100"/>
        </w:rPr>
        <w:t>行业持续发展的重要驱动因素之一。</w:t>
      </w:r>
      <w:r>
        <w:rPr>
          <w:spacing w:val="-102"/>
          <w:w w:val="100"/>
        </w:rPr>
        <w:t> </w:t>
      </w:r>
      <w:r>
        <w:rPr>
          <w:spacing w:val="-102"/>
          <w:w w:val="100"/>
        </w:rPr>
      </w:r>
      <w:r>
        <w:rPr>
          <w:spacing w:val="-1"/>
        </w:rPr>
        <w:t>本轮整机更换将主要以存取款一体机代替功能单一的自动取款机，同时，应用人脸识别、静脉核</w:t>
      </w:r>
      <w:r>
        <w:rPr>
          <w:spacing w:val="-55"/>
        </w:rPr>
        <w:t> </w:t>
      </w:r>
      <w:r>
        <w:rPr>
          <w:spacing w:val="-55"/>
        </w:rPr>
      </w:r>
      <w:r>
        <w:rPr>
          <w:spacing w:val="-1"/>
        </w:rPr>
        <w:t>验、虹膜识别等生物识别技术，具有大额高速存取款、发卡、转账、查询、回单打印等功能，支</w:t>
      </w:r>
      <w:r>
        <w:rPr>
          <w:spacing w:val="-55"/>
        </w:rPr>
        <w:t> </w:t>
      </w:r>
      <w:r>
        <w:rPr>
          <w:spacing w:val="-55"/>
        </w:rPr>
      </w:r>
      <w:r>
        <w:rPr>
          <w:spacing w:val="-1"/>
        </w:rPr>
        <w:t>持存折、存单、支票，可购买理财以及进行理财测评等特色业务模块的现金类智能设备，将越来</w:t>
      </w:r>
      <w:r>
        <w:rPr>
          <w:spacing w:val="-55"/>
        </w:rPr>
        <w:t> </w:t>
      </w:r>
      <w:r>
        <w:rPr>
          <w:spacing w:val="-55"/>
        </w:rPr>
      </w:r>
      <w:r>
        <w:rPr/>
        <w:t>越得到市场青睐，此类产品的厂商市场带动效果将更为明显，引领行业发展。</w:t>
      </w:r>
    </w:p>
    <w:p>
      <w:pPr>
        <w:pStyle w:val="BodyText"/>
        <w:spacing w:line="357" w:lineRule="auto" w:before="30"/>
        <w:ind w:right="127" w:firstLine="419"/>
        <w:jc w:val="both"/>
      </w:pPr>
      <w:r>
        <w:rPr>
          <w:spacing w:val="-1"/>
        </w:rPr>
        <w:t>随着我国进入高质量发展阶段，社会主要矛盾已经转化为人民日益增长的美好生活需要和不</w:t>
      </w:r>
      <w:r>
        <w:rPr>
          <w:w w:val="100"/>
        </w:rPr>
        <w:t> </w:t>
      </w:r>
      <w:r>
        <w:rPr>
          <w:spacing w:val="-1"/>
        </w:rPr>
        <w:t>平衡不充分的发展之间的矛盾，国家对金融服务不平衡不充分的问题日益重视，普惠金融发展进</w:t>
      </w:r>
      <w:r>
        <w:rPr>
          <w:spacing w:val="-54"/>
        </w:rPr>
        <w:t> </w:t>
      </w:r>
      <w:r>
        <w:rPr>
          <w:spacing w:val="-54"/>
        </w:rPr>
      </w:r>
      <w:r>
        <w:rPr>
          <w:spacing w:val="-1"/>
        </w:rPr>
        <w:t>入新的阶段，惠农金融机具增长潜力较大。建立惠及全民的金融服务体系，让更多人群获取价格</w:t>
      </w:r>
      <w:r>
        <w:rPr>
          <w:spacing w:val="-55"/>
        </w:rPr>
        <w:t> </w:t>
      </w:r>
      <w:r>
        <w:rPr>
          <w:spacing w:val="-55"/>
        </w:rPr>
      </w:r>
      <w:r>
        <w:rPr>
          <w:spacing w:val="-1"/>
        </w:rPr>
        <w:t>合理、便捷安全的金融服务，未来在广大农村和中西部等经济欠发达地区，多种个性化惠农金融</w:t>
      </w:r>
      <w:r>
        <w:rPr>
          <w:spacing w:val="-55"/>
        </w:rPr>
        <w:t> </w:t>
      </w:r>
      <w:r>
        <w:rPr>
          <w:spacing w:val="-55"/>
        </w:rPr>
      </w:r>
      <w:r>
        <w:rPr>
          <w:spacing w:val="-6"/>
        </w:rPr>
        <w:t>现金设备将迎来快速发展期，现金类设备将针对特殊群体有更多个性化设置，向着“机器解放人”</w:t>
      </w:r>
      <w:r>
        <w:rPr>
          <w:spacing w:val="-54"/>
        </w:rPr>
        <w:t> </w:t>
      </w:r>
      <w:r>
        <w:rPr>
          <w:spacing w:val="-54"/>
        </w:rPr>
      </w:r>
      <w:r>
        <w:rPr/>
        <w:t>的目标不断发展，解决差异化的需求，随时随地提供各种金融服务。</w:t>
      </w:r>
    </w:p>
    <w:p>
      <w:pPr>
        <w:pStyle w:val="BodyText"/>
        <w:spacing w:line="355" w:lineRule="auto" w:before="33"/>
        <w:ind w:left="558" w:right="0"/>
        <w:jc w:val="left"/>
      </w:pPr>
      <w:r>
        <w:rPr/>
        <w:t>（</w:t>
      </w:r>
      <w:r>
        <w:rPr>
          <w:rFonts w:ascii="宋体" w:hAnsi="宋体" w:cs="宋体" w:eastAsia="宋体" w:hint="default"/>
        </w:rPr>
        <w:t>2</w:t>
      </w:r>
      <w:r>
        <w:rPr/>
        <w:t>）智慧柜员机类设备。</w:t>
      </w:r>
      <w:r>
        <w:rPr>
          <w:w w:val="100"/>
        </w:rPr>
        <w:t> </w:t>
      </w:r>
      <w:r>
        <w:rPr>
          <w:spacing w:val="-1"/>
        </w:rPr>
        <w:t>国内各大银行均已将智慧银行网点转型升级作为战略重点并积极推进实施，利用智能化的技</w:t>
      </w:r>
    </w:p>
    <w:p>
      <w:pPr>
        <w:pStyle w:val="BodyText"/>
        <w:spacing w:line="357" w:lineRule="auto" w:before="32"/>
        <w:ind w:right="127"/>
        <w:jc w:val="both"/>
      </w:pPr>
      <w:r>
        <w:rPr>
          <w:spacing w:val="-1"/>
        </w:rPr>
        <w:t>术和手段改造现有的流程和客户服务模式，塑造新服务、新产品、新的运营和业务模式，提高网</w:t>
      </w:r>
      <w:r>
        <w:rPr>
          <w:spacing w:val="-55"/>
        </w:rPr>
        <w:t> </w:t>
      </w:r>
      <w:r>
        <w:rPr>
          <w:spacing w:val="-55"/>
        </w:rPr>
      </w:r>
      <w:r>
        <w:rPr>
          <w:spacing w:val="-1"/>
        </w:rPr>
        <w:t>点资源利用效率，应用新型智能化金融自助设备全面提高网点综合金融服务水平，短期而言，银</w:t>
      </w:r>
      <w:r>
        <w:rPr>
          <w:spacing w:val="-55"/>
        </w:rPr>
        <w:t> </w:t>
      </w:r>
      <w:r>
        <w:rPr>
          <w:spacing w:val="-55"/>
        </w:rPr>
      </w:r>
      <w:r>
        <w:rPr>
          <w:spacing w:val="-1"/>
        </w:rPr>
        <w:t>行业将利用自助设备实现流程优化，自助设备采购量将显著提升，长期而言，智慧银行将利用智</w:t>
      </w:r>
      <w:r>
        <w:rPr>
          <w:spacing w:val="-55"/>
        </w:rPr>
        <w:t> </w:t>
      </w:r>
      <w:r>
        <w:rPr>
          <w:spacing w:val="-55"/>
        </w:rPr>
      </w:r>
      <w:r>
        <w:rPr>
          <w:spacing w:val="-1"/>
        </w:rPr>
        <w:t>能设备、数字媒体和人机交互技术等实现全面智能化，成为具有多项功能的综合性网点。届时银</w:t>
      </w:r>
      <w:r>
        <w:rPr>
          <w:spacing w:val="-55"/>
        </w:rPr>
        <w:t> </w:t>
      </w:r>
      <w:r>
        <w:rPr>
          <w:spacing w:val="-55"/>
        </w:rPr>
      </w:r>
      <w:r>
        <w:rPr>
          <w:spacing w:val="-1"/>
        </w:rPr>
        <w:t>行的需求不局限于某一类智能设备，而是智慧银行综合解决方案，应用人工智能、大数据、云计</w:t>
      </w:r>
      <w:r>
        <w:rPr>
          <w:spacing w:val="-55"/>
        </w:rPr>
        <w:t> </w:t>
      </w:r>
      <w:r>
        <w:rPr>
          <w:spacing w:val="-55"/>
        </w:rPr>
      </w:r>
      <w:r>
        <w:rPr>
          <w:spacing w:val="-2"/>
        </w:rPr>
        <w:t>算、区块链等新兴科技，围绕智慧银行转型升级的相关智能化设备将成为未来市场的主流产品。</w:t>
      </w:r>
    </w:p>
    <w:p>
      <w:pPr>
        <w:spacing w:after="0" w:line="357" w:lineRule="auto"/>
        <w:jc w:val="both"/>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BodyText"/>
        <w:spacing w:line="357" w:lineRule="auto" w:before="36"/>
        <w:ind w:right="128" w:firstLine="419"/>
        <w:jc w:val="both"/>
      </w:pPr>
      <w:r>
        <w:rPr/>
        <w:t>国内</w:t>
      </w:r>
      <w:r>
        <w:rPr>
          <w:spacing w:val="-51"/>
        </w:rPr>
        <w:t> </w:t>
      </w:r>
      <w:r>
        <w:rPr>
          <w:rFonts w:ascii="宋体" w:hAnsi="宋体" w:cs="宋体" w:eastAsia="宋体" w:hint="default"/>
        </w:rPr>
        <w:t>ATM</w:t>
      </w:r>
      <w:r>
        <w:rPr>
          <w:rFonts w:ascii="宋体" w:hAnsi="宋体" w:cs="宋体" w:eastAsia="宋体" w:hint="default"/>
          <w:spacing w:val="-49"/>
        </w:rPr>
        <w:t> </w:t>
      </w:r>
      <w:r>
        <w:rPr/>
        <w:t>市场进入加速“洗牌”阶段，银行网点将利用智能设备、数字媒体和人机交互技术</w:t>
      </w:r>
      <w:r>
        <w:rPr>
          <w:w w:val="100"/>
        </w:rPr>
        <w:t> </w:t>
      </w:r>
      <w:r>
        <w:rPr>
          <w:spacing w:val="-1"/>
        </w:rPr>
        <w:t>等实现全面智能化，转型成为具有多项功能的综合性网点。具备先进理念、先发经验、自主研发</w:t>
      </w:r>
      <w:r>
        <w:rPr>
          <w:spacing w:val="-55"/>
        </w:rPr>
        <w:t> </w:t>
      </w:r>
      <w:r>
        <w:rPr>
          <w:spacing w:val="-55"/>
        </w:rPr>
      </w:r>
      <w:r>
        <w:rPr/>
        <w:t>能力的智慧银行综合解决方案的提供商将逐步主导市场。</w:t>
      </w:r>
    </w:p>
    <w:p>
      <w:pPr>
        <w:pStyle w:val="BodyText"/>
        <w:spacing w:line="357" w:lineRule="auto" w:before="30"/>
        <w:ind w:right="127" w:firstLine="419"/>
        <w:jc w:val="both"/>
      </w:pPr>
      <w:r>
        <w:rPr/>
        <w:t>国际市场方面，西欧、北美</w:t>
      </w:r>
      <w:r>
        <w:rPr>
          <w:spacing w:val="-52"/>
        </w:rPr>
        <w:t> </w:t>
      </w:r>
      <w:r>
        <w:rPr>
          <w:rFonts w:ascii="宋体" w:hAnsi="宋体" w:cs="宋体" w:eastAsia="宋体" w:hint="default"/>
        </w:rPr>
        <w:t>ATM</w:t>
      </w:r>
      <w:r>
        <w:rPr>
          <w:rFonts w:ascii="宋体" w:hAnsi="宋体" w:cs="宋体" w:eastAsia="宋体" w:hint="default"/>
          <w:spacing w:val="-52"/>
        </w:rPr>
        <w:t> </w:t>
      </w:r>
      <w:r>
        <w:rPr/>
        <w:t>市场已经趋于饱和，增长率显著低于全球</w:t>
      </w:r>
      <w:r>
        <w:rPr>
          <w:spacing w:val="-52"/>
        </w:rPr>
        <w:t> </w:t>
      </w:r>
      <w:r>
        <w:rPr>
          <w:rFonts w:ascii="宋体" w:hAnsi="宋体" w:cs="宋体" w:eastAsia="宋体" w:hint="default"/>
        </w:rPr>
        <w:t>ATM</w:t>
      </w:r>
      <w:r>
        <w:rPr>
          <w:rFonts w:ascii="宋体" w:hAnsi="宋体" w:cs="宋体" w:eastAsia="宋体" w:hint="default"/>
          <w:spacing w:val="-52"/>
        </w:rPr>
        <w:t> </w:t>
      </w:r>
      <w:r>
        <w:rPr/>
        <w:t>设备安装数量</w:t>
      </w:r>
      <w:r>
        <w:rPr>
          <w:w w:val="100"/>
        </w:rPr>
        <w:t> </w:t>
      </w:r>
      <w:r>
        <w:rPr>
          <w:spacing w:val="-1"/>
        </w:rPr>
        <w:t>的平均水平，增速较快的国家是印度和印度尼西亚，占亚太地区新增数量的四分之一。同时，中</w:t>
      </w:r>
      <w:r>
        <w:rPr>
          <w:spacing w:val="-56"/>
        </w:rPr>
        <w:t> </w:t>
      </w:r>
      <w:r>
        <w:rPr>
          <w:spacing w:val="-56"/>
        </w:rPr>
      </w:r>
      <w:r>
        <w:rPr>
          <w:spacing w:val="-1"/>
        </w:rPr>
        <w:t>东地区、非洲、中东欧等地区也表现出较为强劲的增长势头，随着“一带一路”的持续发展，沿</w:t>
      </w:r>
      <w:r>
        <w:rPr>
          <w:spacing w:val="-54"/>
        </w:rPr>
        <w:t> </w:t>
      </w:r>
      <w:r>
        <w:rPr>
          <w:spacing w:val="-54"/>
        </w:rPr>
      </w:r>
      <w:r>
        <w:rPr/>
        <w:t>线国家的金融自助设备市场处于起步阶段，未来在国产厂商在国际市场还有很大的发展空间。</w:t>
      </w:r>
    </w:p>
    <w:p>
      <w:pPr>
        <w:pStyle w:val="Heading2"/>
        <w:spacing w:line="240" w:lineRule="auto" w:before="90"/>
        <w:ind w:left="138"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01"/>
        </w:rPr>
        <w:t> </w:t>
      </w:r>
      <w:r>
        <w:rPr/>
        <w:t>公司发展战略</w:t>
      </w:r>
      <w:r>
        <w:rPr>
          <w:b w:val="0"/>
          <w:bCs w:val="0"/>
        </w:rPr>
      </w:r>
    </w:p>
    <w:p>
      <w:pPr>
        <w:pStyle w:val="BodyText"/>
        <w:spacing w:line="240" w:lineRule="auto" w:before="57"/>
        <w:ind w:left="558" w:right="0" w:hanging="420"/>
        <w:jc w:val="left"/>
      </w:pPr>
      <w:r>
        <w:rPr/>
        <w:t>√适用</w:t>
      </w:r>
      <w:r>
        <w:rPr>
          <w:spacing w:val="-2"/>
        </w:rPr>
        <w:t> </w:t>
      </w:r>
      <w:r>
        <w:rPr/>
        <w:t>□不适用</w:t>
      </w:r>
      <w:r>
        <w:rPr>
          <w:w w:val="100"/>
        </w:rPr>
        <w:t> </w:t>
      </w:r>
      <w:r>
        <w:rPr>
          <w:spacing w:val="-2"/>
        </w:rPr>
        <w:t>贯彻高质量发展理念，在金融自助设备行业持续深耕，坚定不移干好主营业务，发扬工匠精</w:t>
      </w:r>
    </w:p>
    <w:p>
      <w:pPr>
        <w:pStyle w:val="BodyText"/>
        <w:spacing w:line="357" w:lineRule="auto" w:before="133"/>
        <w:ind w:right="127"/>
        <w:jc w:val="both"/>
      </w:pPr>
      <w:r>
        <w:rPr>
          <w:spacing w:val="-1"/>
        </w:rPr>
        <w:t>神，对传统现金类设备精益求精，根据市场需求不断改进硬件、产品和服务，投入优质资源打造</w:t>
      </w:r>
      <w:r>
        <w:rPr>
          <w:spacing w:val="-56"/>
        </w:rPr>
        <w:t> </w:t>
      </w:r>
      <w:r>
        <w:rPr>
          <w:spacing w:val="-56"/>
        </w:rPr>
      </w:r>
      <w:r>
        <w:rPr>
          <w:spacing w:val="-4"/>
        </w:rPr>
        <w:t>精品</w:t>
      </w:r>
      <w:r>
        <w:rPr>
          <w:rFonts w:ascii="宋体" w:hAnsi="宋体" w:cs="宋体" w:eastAsia="宋体" w:hint="default"/>
          <w:spacing w:val="-4"/>
        </w:rPr>
        <w:t>,</w:t>
      </w:r>
      <w:r>
        <w:rPr>
          <w:spacing w:val="-4"/>
        </w:rPr>
        <w:t>推出引领市场需求的标杆产品，不断扩大现金类智能设备的市场优势。深入了解农村市场的</w:t>
      </w:r>
      <w:r>
        <w:rPr>
          <w:spacing w:val="-38"/>
        </w:rPr>
        <w:t> </w:t>
      </w:r>
      <w:r>
        <w:rPr>
          <w:spacing w:val="-38"/>
        </w:rPr>
      </w:r>
      <w:r>
        <w:rPr>
          <w:spacing w:val="-1"/>
        </w:rPr>
        <w:t>需求，大力发展助农金融机具，服务普惠金融，打通金融服务“最后一公里”，积极参与惠农支</w:t>
      </w:r>
      <w:r>
        <w:rPr>
          <w:spacing w:val="-56"/>
        </w:rPr>
        <w:t> </w:t>
      </w:r>
      <w:r>
        <w:rPr>
          <w:spacing w:val="-56"/>
        </w:rPr>
      </w:r>
      <w:r>
        <w:rPr>
          <w:spacing w:val="-1"/>
        </w:rPr>
        <w:t>付环境建设。聚焦智慧银行转型升级所带来的重大历史机遇，深入挖掘传统银行向智慧银行转型</w:t>
      </w:r>
      <w:r>
        <w:rPr>
          <w:spacing w:val="-55"/>
        </w:rPr>
        <w:t> </w:t>
      </w:r>
      <w:r>
        <w:rPr>
          <w:spacing w:val="-55"/>
        </w:rPr>
      </w:r>
      <w:r>
        <w:rPr>
          <w:spacing w:val="-4"/>
        </w:rPr>
        <w:t>过程中带来的设备升级、流程再造、服务创新等各业务价值链</w:t>
      </w:r>
      <w:r>
        <w:rPr>
          <w:rFonts w:ascii="宋体" w:hAnsi="宋体" w:cs="宋体" w:eastAsia="宋体" w:hint="default"/>
          <w:spacing w:val="-4"/>
        </w:rPr>
        <w:t>,</w:t>
      </w:r>
      <w:r>
        <w:rPr>
          <w:spacing w:val="-4"/>
        </w:rPr>
        <w:t>以“先进的金融智能终端”为业务</w:t>
      </w:r>
      <w:r>
        <w:rPr>
          <w:spacing w:val="-34"/>
        </w:rPr>
        <w:t> </w:t>
      </w:r>
      <w:r>
        <w:rPr>
          <w:spacing w:val="-34"/>
        </w:rPr>
      </w:r>
      <w:r>
        <w:rPr>
          <w:spacing w:val="-1"/>
        </w:rPr>
        <w:t>切入点，以“领先的前沿技术应用”为利润增长点，以“灵活贴合的服务模式”为市场提升点，</w:t>
      </w:r>
      <w:r>
        <w:rPr>
          <w:spacing w:val="-55"/>
        </w:rPr>
        <w:t> </w:t>
      </w:r>
      <w:r>
        <w:rPr>
          <w:spacing w:val="-55"/>
        </w:rPr>
      </w:r>
      <w:r>
        <w:rPr>
          <w:spacing w:val="-4"/>
        </w:rPr>
        <w:t>坚持“硬件</w:t>
      </w:r>
      <w:r>
        <w:rPr>
          <w:rFonts w:ascii="宋体" w:hAnsi="宋体" w:cs="宋体" w:eastAsia="宋体" w:hint="default"/>
          <w:spacing w:val="-4"/>
        </w:rPr>
        <w:t>+</w:t>
      </w:r>
      <w:r>
        <w:rPr>
          <w:spacing w:val="-4"/>
        </w:rPr>
        <w:t>软件</w:t>
      </w:r>
      <w:r>
        <w:rPr>
          <w:rFonts w:ascii="宋体" w:hAnsi="宋体" w:cs="宋体" w:eastAsia="宋体" w:hint="default"/>
          <w:spacing w:val="-4"/>
        </w:rPr>
        <w:t>+</w:t>
      </w:r>
      <w:r>
        <w:rPr>
          <w:spacing w:val="-4"/>
        </w:rPr>
        <w:t>服务”同步驱动的战略定位，融合“内生增长</w:t>
      </w:r>
      <w:r>
        <w:rPr>
          <w:rFonts w:ascii="宋体" w:hAnsi="宋体" w:cs="宋体" w:eastAsia="宋体" w:hint="default"/>
          <w:spacing w:val="-4"/>
        </w:rPr>
        <w:t>+</w:t>
      </w:r>
      <w:r>
        <w:rPr>
          <w:spacing w:val="-4"/>
        </w:rPr>
        <w:t>外延扩张”并举的发展方式，为</w:t>
      </w:r>
      <w:r>
        <w:rPr>
          <w:spacing w:val="-29"/>
        </w:rPr>
        <w:t> </w:t>
      </w:r>
      <w:r>
        <w:rPr>
          <w:spacing w:val="-29"/>
        </w:rPr>
      </w:r>
      <w:r>
        <w:rPr>
          <w:spacing w:val="-1"/>
        </w:rPr>
        <w:t>“智慧银行”转型提供全产品、多系列的金融设备。加快机器解放人的步伐，推动智能机器人的</w:t>
      </w:r>
      <w:r>
        <w:rPr>
          <w:spacing w:val="-56"/>
        </w:rPr>
        <w:t> </w:t>
      </w:r>
      <w:r>
        <w:rPr>
          <w:spacing w:val="-56"/>
        </w:rPr>
      </w:r>
      <w:r>
        <w:rPr>
          <w:spacing w:val="-1"/>
        </w:rPr>
        <w:t>推广应用，大力发展聚合支付，助力银行商业模式创新，夯实既有优势业务的同时，持续培育新</w:t>
      </w:r>
      <w:r>
        <w:rPr>
          <w:spacing w:val="-55"/>
        </w:rPr>
        <w:t> </w:t>
      </w:r>
      <w:r>
        <w:rPr>
          <w:spacing w:val="-55"/>
        </w:rPr>
      </w:r>
      <w:r>
        <w:rPr>
          <w:spacing w:val="-7"/>
        </w:rPr>
        <w:t>兴业务，形成稳健、长远的发展格局，逐步将公司打造成为全球领先的智慧银行解决方案提供商。</w:t>
      </w:r>
    </w:p>
    <w:p>
      <w:pPr>
        <w:pStyle w:val="Heading2"/>
        <w:spacing w:line="240" w:lineRule="auto" w:before="90"/>
        <w:ind w:left="138"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00"/>
        </w:rPr>
        <w:t> </w:t>
      </w:r>
      <w:r>
        <w:rPr/>
        <w:t>经营计划</w:t>
      </w:r>
      <w:r>
        <w:rPr>
          <w:b w:val="0"/>
          <w:bCs w:val="0"/>
        </w:rPr>
      </w:r>
    </w:p>
    <w:p>
      <w:pPr>
        <w:pStyle w:val="BodyText"/>
        <w:spacing w:line="273" w:lineRule="exact" w:before="58"/>
        <w:ind w:right="0"/>
        <w:jc w:val="both"/>
      </w:pPr>
      <w:r>
        <w:rPr/>
        <w:t>√适用</w:t>
      </w:r>
      <w:r>
        <w:rPr>
          <w:spacing w:val="-1"/>
        </w:rPr>
        <w:t> </w:t>
      </w:r>
      <w:r>
        <w:rPr/>
        <w:t>□不适用</w:t>
      </w:r>
    </w:p>
    <w:p>
      <w:pPr>
        <w:pStyle w:val="BodyText"/>
        <w:spacing w:line="357" w:lineRule="auto"/>
        <w:ind w:right="127" w:firstLine="419"/>
        <w:jc w:val="both"/>
      </w:pPr>
      <w:r>
        <w:rPr>
          <w:rFonts w:ascii="宋体" w:hAnsi="宋体" w:cs="宋体" w:eastAsia="宋体" w:hint="default"/>
        </w:rPr>
        <w:t>2018</w:t>
      </w:r>
      <w:r>
        <w:rPr>
          <w:rFonts w:ascii="宋体" w:hAnsi="宋体" w:cs="宋体" w:eastAsia="宋体" w:hint="default"/>
          <w:spacing w:val="-11"/>
        </w:rPr>
        <w:t> </w:t>
      </w:r>
      <w:r>
        <w:rPr>
          <w:spacing w:val="-3"/>
        </w:rPr>
        <w:t>年是贯彻落实党的十九大精神的开局之年。是决胜全面建设小康社会、实施“十三五”</w:t>
      </w:r>
      <w:r>
        <w:rPr>
          <w:w w:val="100"/>
        </w:rPr>
        <w:t> </w:t>
      </w:r>
      <w:r>
        <w:rPr>
          <w:spacing w:val="-1"/>
        </w:rPr>
        <w:t>规划承上启下的关键一年。对公司来讲，经过多年的蓄势调整和持续管理改善，新的利润增长点</w:t>
      </w:r>
      <w:r>
        <w:rPr>
          <w:spacing w:val="-55"/>
        </w:rPr>
        <w:t> </w:t>
      </w:r>
      <w:r>
        <w:rPr>
          <w:spacing w:val="-55"/>
        </w:rPr>
      </w:r>
      <w:r>
        <w:rPr>
          <w:spacing w:val="-1"/>
        </w:rPr>
        <w:t>正加速形成，公司已具备向更高质量、更高效益迈进的有利条件和雄厚基础。为此，公司将重点</w:t>
      </w:r>
      <w:r>
        <w:rPr>
          <w:spacing w:val="-54"/>
        </w:rPr>
        <w:t> </w:t>
      </w:r>
      <w:r>
        <w:rPr>
          <w:spacing w:val="-54"/>
        </w:rPr>
      </w:r>
      <w:r>
        <w:rPr/>
        <w:t>做好以下工作：</w:t>
      </w:r>
    </w:p>
    <w:p>
      <w:pPr>
        <w:pStyle w:val="BodyText"/>
        <w:spacing w:line="355" w:lineRule="auto" w:before="30"/>
        <w:ind w:left="558" w:right="0" w:hanging="8"/>
        <w:jc w:val="left"/>
      </w:pPr>
      <w:r>
        <w:rPr>
          <w:rFonts w:ascii="宋体" w:hAnsi="宋体" w:cs="宋体" w:eastAsia="宋体" w:hint="default"/>
          <w:b/>
          <w:bCs/>
        </w:rPr>
        <w:t>1</w:t>
      </w:r>
      <w:r>
        <w:rPr>
          <w:rFonts w:ascii="宋体" w:hAnsi="宋体" w:cs="宋体" w:eastAsia="宋体" w:hint="default"/>
          <w:b/>
          <w:bCs/>
        </w:rPr>
        <w:t>、扩大在位优势</w:t>
      </w:r>
      <w:r>
        <w:rPr>
          <w:rFonts w:ascii="宋体" w:hAnsi="宋体" w:cs="宋体" w:eastAsia="宋体" w:hint="default"/>
          <w:b/>
          <w:bCs/>
          <w:spacing w:val="-104"/>
        </w:rPr>
        <w:t> </w:t>
      </w:r>
      <w:r>
        <w:rPr>
          <w:spacing w:val="-2"/>
        </w:rPr>
        <w:t>紧紧把握银行网点智能升级契机，继续做深、做透智慧银行产品，发挥智慧银行解决方案提</w:t>
      </w:r>
    </w:p>
    <w:p>
      <w:pPr>
        <w:pStyle w:val="BodyText"/>
        <w:spacing w:line="357" w:lineRule="auto" w:before="32"/>
        <w:ind w:right="128"/>
        <w:jc w:val="both"/>
      </w:pPr>
      <w:r>
        <w:rPr>
          <w:spacing w:val="-1"/>
        </w:rPr>
        <w:t>供商的优势，积极向人工智能领域和多品牌服务转型，以市场需求、客户需求为中心，通过深耕</w:t>
      </w:r>
      <w:r>
        <w:rPr>
          <w:spacing w:val="-55"/>
        </w:rPr>
        <w:t> </w:t>
      </w:r>
      <w:r>
        <w:rPr>
          <w:spacing w:val="-55"/>
        </w:rPr>
      </w:r>
      <w:r>
        <w:rPr>
          <w:spacing w:val="-1"/>
        </w:rPr>
        <w:t>细作，深度挖掘新老客户潜在需求，创造市场机会，积极拓展新客户，争取更大的市场占有率，</w:t>
      </w:r>
      <w:r>
        <w:rPr>
          <w:spacing w:val="-55"/>
        </w:rPr>
        <w:t> </w:t>
      </w:r>
      <w:r>
        <w:rPr>
          <w:spacing w:val="-55"/>
        </w:rPr>
      </w:r>
      <w:r>
        <w:rPr>
          <w:spacing w:val="-1"/>
        </w:rPr>
        <w:t>力争在工、农、中、建、交、邮国有六大行全面入围供货的基础上，不断扩大供货规模；努力实</w:t>
      </w:r>
      <w:r>
        <w:rPr>
          <w:spacing w:val="-55"/>
        </w:rPr>
        <w:t> </w:t>
      </w:r>
      <w:r>
        <w:rPr>
          <w:spacing w:val="-55"/>
        </w:rPr>
      </w:r>
      <w:r>
        <w:rPr>
          <w:spacing w:val="-1"/>
        </w:rPr>
        <w:t>现全国性股份制银行大部分入围，在机器人、现金智能柜员机、多品牌服务上实现新的突破；抓</w:t>
      </w:r>
      <w:r>
        <w:rPr>
          <w:spacing w:val="-56"/>
        </w:rPr>
        <w:t> </w:t>
      </w:r>
      <w:r>
        <w:rPr>
          <w:spacing w:val="-56"/>
        </w:rPr>
      </w:r>
      <w:r>
        <w:rPr>
          <w:spacing w:val="-1"/>
        </w:rPr>
        <w:t>住城商行网点智能化、互联网转型的大趋势；认真分析农信、农商客户需求，积极开拓智慧网点</w:t>
      </w:r>
      <w:r>
        <w:rPr>
          <w:spacing w:val="-55"/>
        </w:rPr>
        <w:t> </w:t>
      </w:r>
      <w:r>
        <w:rPr>
          <w:spacing w:val="-55"/>
        </w:rPr>
      </w:r>
      <w:r>
        <w:rPr>
          <w:spacing w:val="-1"/>
        </w:rPr>
        <w:t>平台系统建设，大力发展助农金融机具，力争实现市场突破。进一步拓展代理渠道，成立国际业</w:t>
      </w:r>
    </w:p>
    <w:p>
      <w:pPr>
        <w:pStyle w:val="BodyText"/>
        <w:spacing w:line="240" w:lineRule="auto" w:before="30"/>
        <w:ind w:right="0"/>
        <w:jc w:val="both"/>
      </w:pPr>
      <w:r>
        <w:rPr/>
        <w:t>务支撑项目组，稳固既有的台湾市场，寻求伊朗、孟加拉、印度、尼日利亚等市场的发展机会，</w:t>
      </w:r>
    </w:p>
    <w:p>
      <w:pPr>
        <w:spacing w:after="0" w:line="240" w:lineRule="auto"/>
        <w:jc w:val="both"/>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BodyText"/>
        <w:spacing w:line="357" w:lineRule="auto" w:before="36"/>
        <w:ind w:right="128"/>
        <w:jc w:val="both"/>
      </w:pPr>
      <w:r>
        <w:rPr>
          <w:spacing w:val="-1"/>
        </w:rPr>
        <w:t>使国际业务实现更大的突破，特别是利用一带一路国家发展的大机遇，实现新的市场开拓。利用</w:t>
      </w:r>
      <w:r>
        <w:rPr>
          <w:spacing w:val="-55"/>
        </w:rPr>
        <w:t> </w:t>
      </w:r>
      <w:r>
        <w:rPr>
          <w:spacing w:val="-55"/>
        </w:rPr>
      </w:r>
      <w:r>
        <w:rPr>
          <w:spacing w:val="-7"/>
        </w:rPr>
        <w:t>公司在位优势，提升自有品牌维保服务水平，拓展第三方品牌维保工作，创造出新的利润增长点。</w:t>
      </w:r>
    </w:p>
    <w:p>
      <w:pPr>
        <w:pStyle w:val="BodyText"/>
        <w:spacing w:line="355" w:lineRule="auto" w:before="30"/>
        <w:ind w:left="558" w:right="0" w:firstLine="2"/>
        <w:jc w:val="left"/>
      </w:pPr>
      <w:r>
        <w:rPr>
          <w:rFonts w:ascii="宋体" w:hAnsi="宋体" w:cs="宋体" w:eastAsia="宋体" w:hint="default"/>
          <w:b/>
          <w:bCs/>
        </w:rPr>
        <w:t>2</w:t>
      </w:r>
      <w:r>
        <w:rPr>
          <w:rFonts w:ascii="宋体" w:hAnsi="宋体" w:cs="宋体" w:eastAsia="宋体" w:hint="default"/>
          <w:b/>
          <w:bCs/>
        </w:rPr>
        <w:t>、增强研发实力</w:t>
      </w:r>
      <w:r>
        <w:rPr>
          <w:rFonts w:ascii="宋体" w:hAnsi="宋体" w:cs="宋体" w:eastAsia="宋体" w:hint="default"/>
          <w:b/>
          <w:bCs/>
          <w:w w:val="100"/>
        </w:rPr>
        <w:t> </w:t>
      </w:r>
      <w:r>
        <w:rPr>
          <w:spacing w:val="-2"/>
        </w:rPr>
        <w:t>公司整合研发资源，完善研发体系，成立了恒银金融研究院，下设智慧银行研发部、人工智</w:t>
      </w:r>
    </w:p>
    <w:p>
      <w:pPr>
        <w:pStyle w:val="BodyText"/>
        <w:spacing w:line="357" w:lineRule="auto" w:before="32"/>
        <w:ind w:right="127"/>
        <w:jc w:val="both"/>
      </w:pPr>
      <w:r>
        <w:rPr>
          <w:spacing w:val="-1"/>
        </w:rPr>
        <w:t>能研发部和聚合支付研发部，并根据市场和行业形势，设立北京、上海、成都和广州研究分院，</w:t>
      </w:r>
      <w:r>
        <w:rPr>
          <w:spacing w:val="-55"/>
        </w:rPr>
        <w:t> </w:t>
      </w:r>
      <w:r>
        <w:rPr>
          <w:spacing w:val="-55"/>
        </w:rPr>
      </w:r>
      <w:r>
        <w:rPr>
          <w:spacing w:val="-1"/>
        </w:rPr>
        <w:t>通过全国布局，发挥总部及各研究分院的地理、人才、技术、信息资源及市场资源等优势，全面</w:t>
      </w:r>
      <w:r>
        <w:rPr>
          <w:spacing w:val="-55"/>
        </w:rPr>
        <w:t> </w:t>
      </w:r>
      <w:r>
        <w:rPr>
          <w:spacing w:val="-55"/>
        </w:rPr>
      </w:r>
      <w:r>
        <w:rPr>
          <w:spacing w:val="-6"/>
        </w:rPr>
        <w:t>提升公司的研发实力。对于主力产品精益求精，聚焦精品占领市场，大力推广智慧银行解决方案，</w:t>
      </w:r>
      <w:r>
        <w:rPr>
          <w:spacing w:val="-54"/>
        </w:rPr>
        <w:t> </w:t>
      </w:r>
      <w:r>
        <w:rPr>
          <w:spacing w:val="-54"/>
        </w:rPr>
      </w:r>
      <w:r>
        <w:rPr>
          <w:spacing w:val="-1"/>
        </w:rPr>
        <w:t>整合现有产品体系与技术储备，加大非现金智能终端创新产品的开发力度，完成智慧柜台、超级</w:t>
      </w:r>
      <w:r>
        <w:rPr>
          <w:spacing w:val="-55"/>
        </w:rPr>
        <w:t> </w:t>
      </w:r>
      <w:r>
        <w:rPr>
          <w:spacing w:val="-55"/>
        </w:rPr>
      </w:r>
      <w:r>
        <w:rPr>
          <w:spacing w:val="-1"/>
        </w:rPr>
        <w:t>柜台等集成化、自动化、智能化程度更高的金融设备的研发及产业化，为“智慧银行”转型提供</w:t>
      </w:r>
      <w:r>
        <w:rPr>
          <w:spacing w:val="-55"/>
        </w:rPr>
        <w:t> </w:t>
      </w:r>
      <w:r>
        <w:rPr>
          <w:spacing w:val="-55"/>
        </w:rPr>
      </w:r>
      <w:r>
        <w:rPr>
          <w:spacing w:val="-1"/>
        </w:rPr>
        <w:t>全产品、多系列的金融产品。进行人工智能开发，掌握核心技术知识产权，拓展产品线，丰富产</w:t>
      </w:r>
      <w:r>
        <w:rPr>
          <w:spacing w:val="-55"/>
        </w:rPr>
        <w:t> </w:t>
      </w:r>
      <w:r>
        <w:rPr>
          <w:spacing w:val="-55"/>
        </w:rPr>
      </w:r>
      <w:r>
        <w:rPr>
          <w:spacing w:val="-1"/>
        </w:rPr>
        <w:t>品类型，改进人机交互体验，不断完善机器人解决方案，加强智能机器人的推广应用，助力银行</w:t>
      </w:r>
      <w:r>
        <w:rPr>
          <w:spacing w:val="-55"/>
        </w:rPr>
        <w:t> </w:t>
      </w:r>
      <w:r>
        <w:rPr>
          <w:spacing w:val="-55"/>
        </w:rPr>
      </w:r>
      <w:r>
        <w:rPr>
          <w:spacing w:val="-1"/>
        </w:rPr>
        <w:t>商业模式创新。加强核心模块的开发和应用，推进自主循环机芯研发工作，完成第二代机芯的组</w:t>
      </w:r>
      <w:r>
        <w:rPr>
          <w:spacing w:val="-55"/>
        </w:rPr>
        <w:t> </w:t>
      </w:r>
      <w:r>
        <w:rPr>
          <w:spacing w:val="-55"/>
        </w:rPr>
      </w:r>
      <w:r>
        <w:rPr/>
        <w:t>装、测试。</w:t>
      </w:r>
    </w:p>
    <w:p>
      <w:pPr>
        <w:pStyle w:val="BodyText"/>
        <w:spacing w:line="355" w:lineRule="auto" w:before="30"/>
        <w:ind w:left="558" w:right="0" w:firstLine="2"/>
        <w:jc w:val="left"/>
      </w:pPr>
      <w:r>
        <w:rPr>
          <w:rFonts w:ascii="宋体" w:hAnsi="宋体" w:cs="宋体" w:eastAsia="宋体" w:hint="default"/>
          <w:b/>
          <w:bCs/>
        </w:rPr>
        <w:t>3</w:t>
      </w:r>
      <w:r>
        <w:rPr>
          <w:rFonts w:ascii="宋体" w:hAnsi="宋体" w:cs="宋体" w:eastAsia="宋体" w:hint="default"/>
          <w:b/>
          <w:bCs/>
        </w:rPr>
        <w:t>、加强软实力建设</w:t>
      </w:r>
      <w:r>
        <w:rPr>
          <w:rFonts w:ascii="宋体" w:hAnsi="宋体" w:cs="宋体" w:eastAsia="宋体" w:hint="default"/>
          <w:b/>
          <w:bCs/>
          <w:w w:val="100"/>
        </w:rPr>
        <w:t> </w:t>
      </w:r>
      <w:r>
        <w:rPr>
          <w:spacing w:val="-2"/>
        </w:rPr>
        <w:t>借助专家团队推进内控建设升级，理顺和规范公司治理体系，严格过程控制、规范控制，有</w:t>
      </w:r>
    </w:p>
    <w:p>
      <w:pPr>
        <w:pStyle w:val="BodyText"/>
        <w:spacing w:line="357" w:lineRule="auto" w:before="34"/>
        <w:ind w:right="130"/>
        <w:jc w:val="both"/>
      </w:pPr>
      <w:r>
        <w:rPr>
          <w:spacing w:val="-7"/>
        </w:rPr>
        <w:t>力防范财务和经营风险。开展全员、全过程、全方位的精益管理，提升经营意识、提高经营质量。</w:t>
      </w:r>
      <w:r>
        <w:rPr>
          <w:spacing w:val="-13"/>
        </w:rPr>
        <w:t> </w:t>
      </w:r>
      <w:r>
        <w:rPr>
          <w:spacing w:val="-13"/>
        </w:rPr>
      </w:r>
      <w:r>
        <w:rPr>
          <w:spacing w:val="-4"/>
        </w:rPr>
        <w:t>加强生产管理，优化产品生产工艺，增加生产治具，合理配置资源，提高设备生产效率</w:t>
      </w:r>
      <w:r>
        <w:rPr>
          <w:rFonts w:ascii="宋体" w:hAnsi="宋体" w:cs="宋体" w:eastAsia="宋体" w:hint="default"/>
          <w:spacing w:val="-4"/>
        </w:rPr>
        <w:t>,</w:t>
      </w:r>
      <w:r>
        <w:rPr>
          <w:spacing w:val="-4"/>
        </w:rPr>
        <w:t>树立全员</w:t>
      </w:r>
      <w:r>
        <w:rPr>
          <w:spacing w:val="-35"/>
        </w:rPr>
        <w:t> </w:t>
      </w:r>
      <w:r>
        <w:rPr>
          <w:spacing w:val="-35"/>
        </w:rPr>
      </w:r>
      <w:r>
        <w:rPr/>
        <w:t>降本意识，提升公司盈利水平。</w:t>
      </w:r>
    </w:p>
    <w:p>
      <w:pPr>
        <w:spacing w:line="355" w:lineRule="auto" w:before="30"/>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加强人才队伍和企业文化建设，打造人才新高地，以高端人才引领高端发展</w:t>
      </w:r>
      <w:r>
        <w:rPr>
          <w:rFonts w:ascii="宋体" w:hAnsi="宋体" w:cs="宋体" w:eastAsia="宋体" w:hint="default"/>
          <w:b/>
          <w:bCs/>
          <w:w w:val="100"/>
          <w:sz w:val="21"/>
          <w:szCs w:val="21"/>
        </w:rPr>
        <w:t> </w:t>
      </w:r>
      <w:r>
        <w:rPr>
          <w:rFonts w:ascii="宋体" w:hAnsi="宋体" w:cs="宋体" w:eastAsia="宋体" w:hint="default"/>
          <w:spacing w:val="-2"/>
          <w:sz w:val="21"/>
          <w:szCs w:val="21"/>
        </w:rPr>
        <w:t>创新人才引进方式，优化人力资源配置，建立股权激励机制，对公司高级管理人员、专业技</w:t>
      </w:r>
    </w:p>
    <w:p>
      <w:pPr>
        <w:pStyle w:val="BodyText"/>
        <w:spacing w:line="357" w:lineRule="auto" w:before="34"/>
        <w:ind w:right="128"/>
        <w:jc w:val="both"/>
      </w:pPr>
      <w:r>
        <w:rPr>
          <w:spacing w:val="-1"/>
        </w:rPr>
        <w:t>术骨干和认同公司价值、认同公司企业文化，有能力且愿意与公司长期共同发展的员工进行股权</w:t>
      </w:r>
      <w:r>
        <w:rPr>
          <w:spacing w:val="-55"/>
        </w:rPr>
        <w:t> </w:t>
      </w:r>
      <w:r>
        <w:rPr>
          <w:spacing w:val="-55"/>
        </w:rPr>
      </w:r>
      <w:r>
        <w:rPr>
          <w:spacing w:val="-1"/>
        </w:rPr>
        <w:t>激励，享受股票分红和股价升值收益，将员工个人长远利益和公司价值增长紧密联系起来，吸引</w:t>
      </w:r>
      <w:r>
        <w:rPr>
          <w:spacing w:val="-55"/>
        </w:rPr>
        <w:t> </w:t>
      </w:r>
      <w:r>
        <w:rPr>
          <w:spacing w:val="-55"/>
        </w:rPr>
      </w:r>
      <w:r>
        <w:rPr>
          <w:spacing w:val="-7"/>
        </w:rPr>
        <w:t>和保持一支高素质、有活力、有竞争力的高管及核心骨干，创造员工积极主动工作氛围。培育“公</w:t>
      </w:r>
      <w:r>
        <w:rPr>
          <w:spacing w:val="-13"/>
        </w:rPr>
        <w:t> </w:t>
      </w:r>
      <w:r>
        <w:rPr>
          <w:spacing w:val="-13"/>
        </w:rPr>
      </w:r>
      <w:r>
        <w:rPr>
          <w:spacing w:val="-1"/>
        </w:rPr>
        <w:t>司以人为本，员工以司为家”文化，同心同向同行，组织优秀员工境外游，举办丰富多彩文体活</w:t>
      </w:r>
      <w:r>
        <w:rPr>
          <w:spacing w:val="-55"/>
        </w:rPr>
        <w:t> </w:t>
      </w:r>
      <w:r>
        <w:rPr>
          <w:spacing w:val="-55"/>
        </w:rPr>
      </w:r>
      <w:r>
        <w:rPr>
          <w:spacing w:val="-1"/>
        </w:rPr>
        <w:t>动，激发员工的士气、斗志和创造力，让正能量的企业文化成为员工思想、工作、生活的自觉，</w:t>
      </w:r>
      <w:r>
        <w:rPr>
          <w:spacing w:val="-55"/>
        </w:rPr>
        <w:t> </w:t>
      </w:r>
      <w:r>
        <w:rPr>
          <w:spacing w:val="-55"/>
        </w:rPr>
      </w:r>
      <w:r>
        <w:rPr/>
        <w:t>实现企业、员工乃至社会共赢。</w:t>
      </w:r>
    </w:p>
    <w:p>
      <w:pPr>
        <w:spacing w:line="355" w:lineRule="auto" w:before="3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、抓好党建促进企业健康发展</w:t>
      </w:r>
      <w:r>
        <w:rPr>
          <w:rFonts w:ascii="宋体" w:hAnsi="宋体" w:cs="宋体" w:eastAsia="宋体" w:hint="default"/>
          <w:b/>
          <w:bCs/>
          <w:w w:val="100"/>
          <w:sz w:val="21"/>
          <w:szCs w:val="21"/>
        </w:rPr>
        <w:t> </w:t>
      </w:r>
      <w:r>
        <w:rPr>
          <w:rFonts w:ascii="宋体" w:hAnsi="宋体" w:cs="宋体" w:eastAsia="宋体" w:hint="default"/>
          <w:spacing w:val="-2"/>
          <w:sz w:val="21"/>
          <w:szCs w:val="21"/>
        </w:rPr>
        <w:t>以十九大精神为行动指南，不断创新思路，强化措施，狠抓落实，统筹推进公司党建工作，</w:t>
      </w:r>
    </w:p>
    <w:p>
      <w:pPr>
        <w:pStyle w:val="BodyText"/>
        <w:spacing w:line="357" w:lineRule="auto" w:before="32"/>
        <w:ind w:right="128"/>
        <w:jc w:val="both"/>
      </w:pPr>
      <w:r>
        <w:rPr>
          <w:spacing w:val="-1"/>
        </w:rPr>
        <w:t>实现党建经营新融合。加强公司党的组织建设，在全国各省区办事处建立党支部，真正将支部建</w:t>
      </w:r>
      <w:r>
        <w:rPr>
          <w:spacing w:val="-55"/>
        </w:rPr>
        <w:t> </w:t>
      </w:r>
      <w:r>
        <w:rPr>
          <w:spacing w:val="-55"/>
        </w:rPr>
      </w:r>
      <w:r>
        <w:rPr>
          <w:spacing w:val="-1"/>
        </w:rPr>
        <w:t>在“连队”上，夯实党建工作组织基础，继续开展红色主题教育实践活动，增强党员的责任感和</w:t>
      </w:r>
      <w:r>
        <w:rPr>
          <w:spacing w:val="-55"/>
        </w:rPr>
        <w:t> </w:t>
      </w:r>
      <w:r>
        <w:rPr>
          <w:spacing w:val="-55"/>
        </w:rPr>
      </w:r>
      <w:r>
        <w:rPr>
          <w:spacing w:val="-1"/>
        </w:rPr>
        <w:t>使命感，汇聚公司健康发展内生动力，营造积极向上工作氛围。与更多金融机构开展党建共建，</w:t>
      </w:r>
      <w:r>
        <w:rPr>
          <w:spacing w:val="-55"/>
        </w:rPr>
        <w:t> </w:t>
      </w:r>
      <w:r>
        <w:rPr>
          <w:spacing w:val="-55"/>
        </w:rPr>
      </w:r>
      <w:r>
        <w:rPr/>
        <w:t>不断提升公司党建水平，拓宽合作平台，促进公司健康稳定快速发展。</w:t>
      </w:r>
    </w:p>
    <w:p>
      <w:pPr>
        <w:pStyle w:val="Heading2"/>
        <w:spacing w:line="240" w:lineRule="auto" w:before="30"/>
        <w:ind w:left="560" w:right="0"/>
        <w:jc w:val="left"/>
        <w:rPr>
          <w:b w:val="0"/>
          <w:bCs w:val="0"/>
        </w:rPr>
      </w:pPr>
      <w:r>
        <w:rPr>
          <w:rFonts w:ascii="宋体" w:hAnsi="宋体" w:cs="宋体" w:eastAsia="宋体" w:hint="default"/>
        </w:rPr>
        <w:t>6</w:t>
      </w:r>
      <w:r>
        <w:rPr/>
        <w:t>、落实募投项目，探索资本运作</w:t>
      </w:r>
      <w:r>
        <w:rPr>
          <w:b w:val="0"/>
          <w:bCs w:val="0"/>
        </w:rPr>
      </w:r>
    </w:p>
    <w:p>
      <w:pPr>
        <w:spacing w:after="0" w:line="240" w:lineRule="auto"/>
        <w:jc w:val="left"/>
        <w:sectPr>
          <w:pgSz w:w="11910" w:h="16840"/>
          <w:pgMar w:header="880" w:footer="1195" w:top="1120" w:bottom="1380" w:left="1660" w:right="1140"/>
        </w:sectPr>
      </w:pPr>
    </w:p>
    <w:p>
      <w:pPr>
        <w:spacing w:line="240" w:lineRule="auto" w:before="4"/>
        <w:rPr>
          <w:rFonts w:ascii="宋体" w:hAnsi="宋体" w:cs="宋体" w:eastAsia="宋体" w:hint="default"/>
          <w:b/>
          <w:bCs/>
          <w:sz w:val="25"/>
          <w:szCs w:val="25"/>
        </w:rPr>
      </w:pPr>
    </w:p>
    <w:p>
      <w:pPr>
        <w:pStyle w:val="BodyText"/>
        <w:spacing w:line="357" w:lineRule="auto" w:before="36"/>
        <w:ind w:right="128" w:firstLine="419"/>
        <w:jc w:val="both"/>
      </w:pPr>
      <w:r>
        <w:rPr>
          <w:spacing w:val="-2"/>
        </w:rPr>
        <w:t>精心组织实施，推动募投项目具体工作落地，履行依法依规披露义务。按《上市公司证券发</w:t>
      </w:r>
      <w:r>
        <w:rPr>
          <w:w w:val="100"/>
        </w:rPr>
        <w:t> </w:t>
      </w:r>
      <w:r>
        <w:rPr>
          <w:spacing w:val="-1"/>
        </w:rPr>
        <w:t>行管理办法》《关于前次募集资金使用情况报告的规定》等法律法规，按规定的格式和要求，定</w:t>
      </w:r>
      <w:r>
        <w:rPr>
          <w:spacing w:val="-55"/>
        </w:rPr>
        <w:t> </w:t>
      </w:r>
      <w:r>
        <w:rPr>
          <w:spacing w:val="-55"/>
        </w:rPr>
      </w:r>
      <w:r>
        <w:rPr>
          <w:spacing w:val="-1"/>
        </w:rPr>
        <w:t>期报告披露募集项目的实施进度、资金使用以及项目效益情况，同时，要加强与监管机构沟通，</w:t>
      </w:r>
      <w:r>
        <w:rPr>
          <w:spacing w:val="-55"/>
        </w:rPr>
        <w:t> </w:t>
      </w:r>
      <w:r>
        <w:rPr>
          <w:spacing w:val="-55"/>
        </w:rPr>
      </w:r>
      <w:r>
        <w:rPr/>
        <w:t>避免漏披、错披，影响市场投资者的决策。</w:t>
      </w:r>
    </w:p>
    <w:p>
      <w:pPr>
        <w:pStyle w:val="BodyText"/>
        <w:spacing w:line="357" w:lineRule="auto" w:before="30"/>
        <w:ind w:right="128" w:firstLine="419"/>
        <w:jc w:val="both"/>
      </w:pPr>
      <w:r>
        <w:rPr>
          <w:spacing w:val="-2"/>
        </w:rPr>
        <w:t>以智慧金融为主体，做好市值管理，实现产品市场和资本市场有效的互动和融合，推动公司</w:t>
      </w:r>
      <w:r>
        <w:rPr>
          <w:w w:val="100"/>
        </w:rPr>
        <w:t> </w:t>
      </w:r>
      <w:r>
        <w:rPr>
          <w:spacing w:val="-1"/>
        </w:rPr>
        <w:t>在两个市场健康长效发展。对投资者、分析员、监管机构和媒体关系实现有效的管理，增大投资</w:t>
      </w:r>
      <w:r>
        <w:rPr>
          <w:spacing w:val="-55"/>
        </w:rPr>
        <w:t> </w:t>
      </w:r>
      <w:r>
        <w:rPr>
          <w:spacing w:val="-55"/>
        </w:rPr>
      </w:r>
      <w:r>
        <w:rPr>
          <w:spacing w:val="-1"/>
        </w:rPr>
        <w:t>者的沟通范围和深度，关注公司的股东结构，吸引有实力的公募私募基金持有公司股票，推动中</w:t>
      </w:r>
      <w:r>
        <w:rPr>
          <w:spacing w:val="-55"/>
        </w:rPr>
        <w:t> </w:t>
      </w:r>
      <w:r>
        <w:rPr>
          <w:spacing w:val="-55"/>
        </w:rPr>
      </w:r>
      <w:r>
        <w:rPr>
          <w:spacing w:val="-1"/>
        </w:rPr>
        <w:t>小股东权益维护等方面的工作，确保公司在二级市场有一个良好的表现。探索资本运作，助力公</w:t>
      </w:r>
      <w:r>
        <w:rPr>
          <w:spacing w:val="-56"/>
        </w:rPr>
        <w:t> </w:t>
      </w:r>
      <w:r>
        <w:rPr>
          <w:spacing w:val="-56"/>
        </w:rPr>
      </w:r>
      <w:r>
        <w:rPr/>
        <w:t>司产业链的延伸，打造智慧金融全产业链。</w:t>
      </w:r>
    </w:p>
    <w:p>
      <w:pPr>
        <w:pStyle w:val="Heading2"/>
        <w:spacing w:line="240" w:lineRule="auto" w:before="90"/>
        <w:ind w:left="138"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1"/>
        </w:rPr>
        <w:t> </w:t>
      </w:r>
      <w:r>
        <w:rPr/>
        <w:t>可能面对的风险</w:t>
      </w:r>
      <w:r>
        <w:rPr>
          <w:b w:val="0"/>
          <w:bCs w:val="0"/>
        </w:rPr>
      </w:r>
    </w:p>
    <w:p>
      <w:pPr>
        <w:spacing w:line="272" w:lineRule="exact" w:before="86"/>
        <w:ind w:left="558" w:right="7368" w:hanging="42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、市场风险</w:t>
      </w:r>
      <w:r>
        <w:rPr>
          <w:rFonts w:ascii="宋体" w:hAnsi="宋体" w:cs="宋体" w:eastAsia="宋体" w:hint="default"/>
          <w:sz w:val="21"/>
          <w:szCs w:val="21"/>
        </w:rPr>
      </w:r>
    </w:p>
    <w:p>
      <w:pPr>
        <w:pStyle w:val="BodyText"/>
        <w:spacing w:line="355" w:lineRule="auto" w:before="110"/>
        <w:ind w:left="558" w:right="0"/>
        <w:jc w:val="left"/>
      </w:pPr>
      <w:r>
        <w:rPr/>
        <w:t>（</w:t>
      </w:r>
      <w:r>
        <w:rPr>
          <w:rFonts w:ascii="宋体" w:hAnsi="宋体" w:cs="宋体" w:eastAsia="宋体" w:hint="default"/>
        </w:rPr>
        <w:t>1</w:t>
      </w:r>
      <w:r>
        <w:rPr/>
        <w:t>）业务受互联网等新型支付工具冲击的风险</w:t>
      </w:r>
      <w:r>
        <w:rPr>
          <w:w w:val="100"/>
        </w:rPr>
        <w:t> </w:t>
      </w:r>
      <w:r>
        <w:rPr>
          <w:spacing w:val="-2"/>
        </w:rPr>
        <w:t>近年来，网上银行、移动支付等互联网支付工具不断涌现，其支付转账的便利性对传统现金</w:t>
      </w:r>
    </w:p>
    <w:p>
      <w:pPr>
        <w:pStyle w:val="BodyText"/>
        <w:spacing w:line="357" w:lineRule="auto" w:before="32"/>
        <w:ind w:right="127"/>
        <w:jc w:val="both"/>
      </w:pPr>
      <w:r>
        <w:rPr>
          <w:spacing w:val="-3"/>
        </w:rPr>
        <w:t>支付带来较大冲击，社会的支付习惯正在发生显著变化。根据中国人民银行最新公布的《</w:t>
      </w:r>
      <w:r>
        <w:rPr>
          <w:rFonts w:ascii="宋体" w:hAnsi="宋体" w:cs="宋体" w:eastAsia="宋体" w:hint="default"/>
          <w:spacing w:val="-3"/>
        </w:rPr>
        <w:t>2017 </w:t>
      </w:r>
      <w:r>
        <w:rPr/>
        <w:t>年</w:t>
      </w:r>
      <w:r>
        <w:rPr>
          <w:spacing w:val="-77"/>
        </w:rPr>
        <w:t> </w:t>
      </w:r>
      <w:r>
        <w:rPr>
          <w:spacing w:val="-5"/>
        </w:rPr>
        <w:t>支付体系运行总体情况》，</w:t>
      </w:r>
      <w:r>
        <w:rPr>
          <w:spacing w:val="-27"/>
        </w:rPr>
        <w:t> </w:t>
      </w:r>
      <w:r>
        <w:rPr>
          <w:rFonts w:ascii="宋体" w:hAnsi="宋体" w:cs="宋体" w:eastAsia="宋体" w:hint="default"/>
        </w:rPr>
        <w:t>2017</w:t>
      </w:r>
      <w:r>
        <w:rPr>
          <w:rFonts w:ascii="宋体" w:hAnsi="宋体" w:cs="宋体" w:eastAsia="宋体" w:hint="default"/>
          <w:spacing w:val="-47"/>
        </w:rPr>
        <w:t> </w:t>
      </w:r>
      <w:r>
        <w:rPr>
          <w:spacing w:val="-5"/>
        </w:rPr>
        <w:t>年，共办理非现金支付业务</w:t>
      </w:r>
      <w:r>
        <w:rPr>
          <w:spacing w:val="-45"/>
        </w:rPr>
        <w:t> </w:t>
      </w:r>
      <w:r>
        <w:rPr>
          <w:rFonts w:ascii="宋体" w:hAnsi="宋体" w:cs="宋体" w:eastAsia="宋体" w:hint="default"/>
        </w:rPr>
        <w:t>1608.78</w:t>
      </w:r>
      <w:r>
        <w:rPr>
          <w:rFonts w:ascii="宋体" w:hAnsi="宋体" w:cs="宋体" w:eastAsia="宋体" w:hint="default"/>
          <w:spacing w:val="-47"/>
        </w:rPr>
        <w:t> </w:t>
      </w:r>
      <w:r>
        <w:rPr>
          <w:spacing w:val="-9"/>
        </w:rPr>
        <w:t>亿笔，金额</w:t>
      </w:r>
      <w:r>
        <w:rPr>
          <w:spacing w:val="-43"/>
        </w:rPr>
        <w:t> </w:t>
      </w:r>
      <w:r>
        <w:rPr>
          <w:rFonts w:ascii="宋体" w:hAnsi="宋体" w:cs="宋体" w:eastAsia="宋体" w:hint="default"/>
        </w:rPr>
        <w:t>3759.94</w:t>
      </w:r>
      <w:r>
        <w:rPr>
          <w:rFonts w:ascii="宋体" w:hAnsi="宋体" w:cs="宋体" w:eastAsia="宋体" w:hint="default"/>
          <w:spacing w:val="-47"/>
        </w:rPr>
        <w:t> </w:t>
      </w:r>
      <w:r>
        <w:rPr/>
        <w:t>亿元，</w:t>
      </w:r>
      <w:r>
        <w:rPr>
          <w:spacing w:val="-102"/>
        </w:rPr>
        <w:t> </w:t>
      </w:r>
      <w:r>
        <w:rPr>
          <w:spacing w:val="-102"/>
        </w:rPr>
      </w:r>
      <w:r>
        <w:rPr/>
        <w:t>同比分别增长</w:t>
      </w:r>
      <w:r>
        <w:rPr>
          <w:spacing w:val="-52"/>
        </w:rPr>
        <w:t> </w:t>
      </w:r>
      <w:r>
        <w:rPr>
          <w:rFonts w:ascii="宋体" w:hAnsi="宋体" w:cs="宋体" w:eastAsia="宋体" w:hint="default"/>
        </w:rPr>
        <w:t>28.59%</w:t>
      </w:r>
      <w:r>
        <w:rPr/>
        <w:t>和</w:t>
      </w:r>
      <w:r>
        <w:rPr>
          <w:spacing w:val="-49"/>
        </w:rPr>
        <w:t> </w:t>
      </w:r>
      <w:r>
        <w:rPr>
          <w:rFonts w:ascii="宋体" w:hAnsi="宋体" w:cs="宋体" w:eastAsia="宋体" w:hint="default"/>
        </w:rPr>
        <w:t>1.97%</w:t>
      </w:r>
      <w:r>
        <w:rPr/>
        <w:t>。随着互联网等新型支付工具的快速普及，传统的现金支付场景将</w:t>
      </w:r>
      <w:r>
        <w:rPr>
          <w:w w:val="100"/>
        </w:rPr>
        <w:t> </w:t>
      </w:r>
      <w:r>
        <w:rPr>
          <w:spacing w:val="-1"/>
        </w:rPr>
        <w:t>不可避免地受到一定的冲击，导致现金交易频率降低。金融自助设备布放需求取决于多种因素，</w:t>
      </w:r>
      <w:r>
        <w:rPr>
          <w:spacing w:val="-55"/>
        </w:rPr>
        <w:t> </w:t>
      </w:r>
      <w:r>
        <w:rPr>
          <w:spacing w:val="-55"/>
        </w:rPr>
      </w:r>
      <w:r>
        <w:rPr>
          <w:spacing w:val="-1"/>
        </w:rPr>
        <w:t>银行客户的网点布局规划、已有设备的更新换代是决定金融自助设备需求的直接引导因素。现金</w:t>
      </w:r>
      <w:r>
        <w:rPr>
          <w:spacing w:val="-55"/>
        </w:rPr>
        <w:t> </w:t>
      </w:r>
      <w:r>
        <w:rPr>
          <w:spacing w:val="-55"/>
        </w:rPr>
      </w:r>
      <w:r>
        <w:rPr>
          <w:spacing w:val="-1"/>
        </w:rPr>
        <w:t>使用频率的降低虽与金融自助设备布放不直接相关，但长远看仍将对基于现金交易的金融自助设</w:t>
      </w:r>
      <w:r>
        <w:rPr>
          <w:spacing w:val="-55"/>
        </w:rPr>
        <w:t> </w:t>
      </w:r>
      <w:r>
        <w:rPr>
          <w:spacing w:val="-55"/>
        </w:rPr>
      </w:r>
      <w:r>
        <w:rPr/>
        <w:t>备市场产生较大的负面影响。</w:t>
      </w:r>
    </w:p>
    <w:p>
      <w:pPr>
        <w:pStyle w:val="BodyText"/>
        <w:spacing w:line="357" w:lineRule="auto" w:before="30"/>
        <w:ind w:right="130" w:firstLine="419"/>
        <w:jc w:val="both"/>
      </w:pPr>
      <w:r>
        <w:rPr>
          <w:spacing w:val="-2"/>
        </w:rPr>
        <w:t>公司将根据市场形势进一步改善产品结构、优化盈利模式、探索新的利润增长点，向多渠道</w:t>
      </w:r>
      <w:r>
        <w:rPr>
          <w:w w:val="100"/>
        </w:rPr>
        <w:t> </w:t>
      </w:r>
      <w:r>
        <w:rPr/>
        <w:t>盈利方向转型。</w:t>
      </w:r>
    </w:p>
    <w:p>
      <w:pPr>
        <w:pStyle w:val="BodyText"/>
        <w:spacing w:line="240" w:lineRule="auto" w:before="30"/>
        <w:ind w:left="558" w:right="0"/>
        <w:jc w:val="left"/>
      </w:pPr>
      <w:r>
        <w:rPr/>
        <w:t>（</w:t>
      </w:r>
      <w:r>
        <w:rPr>
          <w:rFonts w:ascii="宋体" w:hAnsi="宋体" w:cs="宋体" w:eastAsia="宋体" w:hint="default"/>
        </w:rPr>
        <w:t>2</w:t>
      </w:r>
      <w:r>
        <w:rPr/>
        <w:t>）行业竞争加剧风险</w:t>
      </w:r>
    </w:p>
    <w:p>
      <w:pPr>
        <w:pStyle w:val="BodyText"/>
        <w:spacing w:line="357" w:lineRule="auto" w:before="133"/>
        <w:ind w:right="128" w:firstLine="419"/>
        <w:jc w:val="both"/>
      </w:pPr>
      <w:r>
        <w:rPr>
          <w:rFonts w:ascii="宋体" w:hAnsi="宋体" w:cs="宋体" w:eastAsia="宋体" w:hint="default"/>
        </w:rPr>
        <w:t>ATM</w:t>
      </w:r>
      <w:r>
        <w:rPr>
          <w:rFonts w:ascii="宋体" w:hAnsi="宋体" w:cs="宋体" w:eastAsia="宋体" w:hint="default"/>
          <w:spacing w:val="4"/>
        </w:rPr>
        <w:t> </w:t>
      </w:r>
      <w:r>
        <w:rPr/>
        <w:t>行业竞争日趋激烈。一方面，现有厂商对市场争夺的竞争加剧，具体体现为通过不断降</w:t>
      </w:r>
      <w:r>
        <w:rPr>
          <w:w w:val="100"/>
        </w:rPr>
        <w:t> </w:t>
      </w:r>
      <w:r>
        <w:rPr>
          <w:spacing w:val="-1"/>
        </w:rPr>
        <w:t>低销售价格、提升产品性能、保证服务覆盖等手段抢占市场；另一方面，市场变化加剧，客户个</w:t>
      </w:r>
      <w:r>
        <w:rPr>
          <w:spacing w:val="-55"/>
        </w:rPr>
        <w:t> </w:t>
      </w:r>
      <w:r>
        <w:rPr>
          <w:spacing w:val="-55"/>
        </w:rPr>
      </w:r>
      <w:r>
        <w:rPr>
          <w:spacing w:val="-1"/>
        </w:rPr>
        <w:t>性化需求强烈，非现金类产品需求强烈。为应对行业竞争加剧的风险，公司竞争对手纷纷在产品</w:t>
      </w:r>
      <w:r>
        <w:rPr>
          <w:spacing w:val="-55"/>
        </w:rPr>
        <w:t> </w:t>
      </w:r>
      <w:r>
        <w:rPr>
          <w:spacing w:val="-55"/>
        </w:rPr>
      </w:r>
      <w:r>
        <w:rPr/>
        <w:t>研发、市场拓展上加大投入，并积极寻找新的盈利模式和利润增长点。</w:t>
      </w:r>
    </w:p>
    <w:p>
      <w:pPr>
        <w:pStyle w:val="BodyText"/>
        <w:spacing w:line="355" w:lineRule="auto" w:before="30"/>
        <w:ind w:left="560" w:right="0" w:hanging="3"/>
        <w:jc w:val="left"/>
        <w:rPr>
          <w:rFonts w:ascii="宋体" w:hAnsi="宋体" w:cs="宋体" w:eastAsia="宋体" w:hint="default"/>
        </w:rPr>
      </w:pPr>
      <w:r>
        <w:rPr>
          <w:spacing w:val="-7"/>
          <w:w w:val="100"/>
        </w:rPr>
        <w:t>公司将积极应对激烈的市场竞争，根据市场需求推出高性价比的产品，并提供高品质的服务。</w:t>
      </w:r>
      <w:r>
        <w:rPr>
          <w:spacing w:val="-76"/>
          <w:w w:val="100"/>
        </w:rPr>
        <w:t> </w:t>
      </w:r>
      <w:r>
        <w:rPr>
          <w:spacing w:val="-76"/>
          <w:w w:val="100"/>
        </w:rPr>
      </w:r>
      <w:r>
        <w:rPr>
          <w:rFonts w:ascii="宋体" w:hAnsi="宋体" w:cs="宋体" w:eastAsia="宋体" w:hint="default"/>
          <w:b/>
          <w:bCs/>
        </w:rPr>
        <w:t>2</w:t>
      </w:r>
      <w:r>
        <w:rPr>
          <w:rFonts w:ascii="宋体" w:hAnsi="宋体" w:cs="宋体" w:eastAsia="宋体" w:hint="default"/>
          <w:b/>
          <w:bCs/>
        </w:rPr>
        <w:t>、经营风险</w:t>
      </w:r>
      <w:r>
        <w:rPr>
          <w:rFonts w:ascii="宋体" w:hAnsi="宋体" w:cs="宋体" w:eastAsia="宋体" w:hint="default"/>
        </w:rPr>
      </w:r>
    </w:p>
    <w:p>
      <w:pPr>
        <w:pStyle w:val="BodyText"/>
        <w:spacing w:line="357" w:lineRule="auto" w:before="32"/>
        <w:ind w:left="558" w:right="124"/>
        <w:jc w:val="left"/>
      </w:pPr>
      <w:r>
        <w:rPr/>
        <w:t>（</w:t>
      </w:r>
      <w:r>
        <w:rPr>
          <w:rFonts w:ascii="宋体" w:hAnsi="宋体" w:cs="宋体" w:eastAsia="宋体" w:hint="default"/>
        </w:rPr>
        <w:t>1</w:t>
      </w:r>
      <w:r>
        <w:rPr/>
        <w:t>）主要客户的招投标风险</w:t>
      </w:r>
      <w:r>
        <w:rPr>
          <w:w w:val="100"/>
        </w:rPr>
        <w:t> </w:t>
      </w:r>
      <w:r>
        <w:rPr/>
        <w:t>公司银行客户对金融设备的采购大都采用招投标方式。通常情况下，银行会在</w:t>
      </w:r>
      <w:r>
        <w:rPr>
          <w:spacing w:val="-49"/>
        </w:rPr>
        <w:t> </w:t>
      </w:r>
      <w:r>
        <w:rPr>
          <w:rFonts w:ascii="宋体" w:hAnsi="宋体" w:cs="宋体" w:eastAsia="宋体" w:hint="default"/>
        </w:rPr>
        <w:t>3-5</w:t>
      </w:r>
      <w:r>
        <w:rPr>
          <w:rFonts w:ascii="宋体" w:hAnsi="宋体" w:cs="宋体" w:eastAsia="宋体" w:hint="default"/>
          <w:spacing w:val="-52"/>
        </w:rPr>
        <w:t> </w:t>
      </w:r>
      <w:r>
        <w:rPr/>
        <w:t>年左右组</w:t>
      </w:r>
    </w:p>
    <w:p>
      <w:pPr>
        <w:pStyle w:val="BodyText"/>
        <w:spacing w:line="355" w:lineRule="auto" w:before="30"/>
        <w:ind w:right="128"/>
        <w:jc w:val="both"/>
      </w:pPr>
      <w:r>
        <w:rPr>
          <w:spacing w:val="-1"/>
        </w:rPr>
        <w:t>织一次大型招标，由总行确定合格的入围供应商，后续每年在已入围的合格供应商范围内进行一</w:t>
      </w:r>
      <w:r>
        <w:rPr>
          <w:spacing w:val="-55"/>
        </w:rPr>
        <w:t> </w:t>
      </w:r>
      <w:r>
        <w:rPr>
          <w:spacing w:val="-55"/>
        </w:rPr>
      </w:r>
      <w:r>
        <w:rPr>
          <w:spacing w:val="-1"/>
        </w:rPr>
        <w:t>轮产品议价或竞争性谈判来确定当年的采购价格及采购数量。尽管公司近年来已陆续成为农业银</w:t>
      </w:r>
    </w:p>
    <w:p>
      <w:pPr>
        <w:spacing w:after="0" w:line="355" w:lineRule="auto"/>
        <w:jc w:val="both"/>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BodyText"/>
        <w:spacing w:line="357" w:lineRule="auto" w:before="36"/>
        <w:ind w:right="128"/>
        <w:jc w:val="both"/>
      </w:pPr>
      <w:r>
        <w:rPr>
          <w:spacing w:val="-1"/>
        </w:rPr>
        <w:t>行、交通银行、邮储银行、建设银行、工商银行等大型银行的合格供应商，并与主要客户保持了</w:t>
      </w:r>
      <w:r>
        <w:rPr>
          <w:spacing w:val="-55"/>
        </w:rPr>
        <w:t> </w:t>
      </w:r>
      <w:r>
        <w:rPr>
          <w:spacing w:val="-55"/>
        </w:rPr>
      </w:r>
      <w:r>
        <w:rPr>
          <w:spacing w:val="-1"/>
        </w:rPr>
        <w:t>良好的合作关系，但若公司在新的招标中未能入围重要银行客户的供应商名单，或者即使公司入</w:t>
      </w:r>
      <w:r>
        <w:rPr>
          <w:spacing w:val="-55"/>
        </w:rPr>
        <w:t> </w:t>
      </w:r>
      <w:r>
        <w:rPr>
          <w:spacing w:val="-55"/>
        </w:rPr>
      </w:r>
      <w:r>
        <w:rPr>
          <w:spacing w:val="-1"/>
        </w:rPr>
        <w:t>围，在新一轮议价或竞争性谈判中，中标数量及入围产品价格可能出现较大幅度下降，均将对公</w:t>
      </w:r>
      <w:r>
        <w:rPr>
          <w:spacing w:val="-55"/>
        </w:rPr>
        <w:t> </w:t>
      </w:r>
      <w:r>
        <w:rPr>
          <w:spacing w:val="-55"/>
        </w:rPr>
      </w:r>
      <w:r>
        <w:rPr/>
        <w:t>司当年业绩产生重大不利影响。</w:t>
      </w:r>
    </w:p>
    <w:p>
      <w:pPr>
        <w:pStyle w:val="BodyText"/>
        <w:spacing w:line="355" w:lineRule="auto" w:before="30"/>
        <w:ind w:right="130" w:firstLine="419"/>
        <w:jc w:val="both"/>
      </w:pPr>
      <w:r>
        <w:rPr>
          <w:spacing w:val="-2"/>
        </w:rPr>
        <w:t>公司将积极拓展新的大型客户、延伸产品链条来降低重要客户及主要产品招投标对于公司业</w:t>
      </w:r>
      <w:r>
        <w:rPr>
          <w:w w:val="100"/>
        </w:rPr>
        <w:t> </w:t>
      </w:r>
      <w:r>
        <w:rPr/>
        <w:t>绩的影响程度。</w:t>
      </w:r>
    </w:p>
    <w:p>
      <w:pPr>
        <w:pStyle w:val="BodyText"/>
        <w:spacing w:line="240" w:lineRule="auto" w:before="34"/>
        <w:ind w:left="558" w:right="0"/>
        <w:jc w:val="left"/>
      </w:pPr>
      <w:r>
        <w:rPr/>
        <w:t>（</w:t>
      </w:r>
      <w:r>
        <w:rPr>
          <w:rFonts w:ascii="宋体" w:hAnsi="宋体" w:cs="宋体" w:eastAsia="宋体" w:hint="default"/>
        </w:rPr>
        <w:t>2</w:t>
      </w:r>
      <w:r>
        <w:rPr/>
        <w:t>）毛利率下降的风险</w:t>
      </w:r>
    </w:p>
    <w:p>
      <w:pPr>
        <w:pStyle w:val="BodyText"/>
        <w:spacing w:line="357" w:lineRule="auto" w:before="133"/>
        <w:ind w:right="128" w:firstLine="419"/>
        <w:jc w:val="both"/>
      </w:pPr>
      <w:r>
        <w:rPr/>
        <w:t>公司各项业务综合毛利率为</w:t>
      </w:r>
      <w:r>
        <w:rPr>
          <w:spacing w:val="-22"/>
        </w:rPr>
        <w:t> </w:t>
      </w:r>
      <w:r>
        <w:rPr>
          <w:rFonts w:ascii="宋体" w:hAnsi="宋体" w:cs="宋体" w:eastAsia="宋体" w:hint="default"/>
          <w:spacing w:val="-3"/>
        </w:rPr>
        <w:t>34.08%</w:t>
      </w:r>
      <w:r>
        <w:rPr>
          <w:spacing w:val="-3"/>
        </w:rPr>
        <w:t>。随着行业竞争的进一步加剧，报告期内公司主要产品的</w:t>
      </w:r>
      <w:r>
        <w:rPr>
          <w:w w:val="100"/>
        </w:rPr>
        <w:t> </w:t>
      </w:r>
      <w:r>
        <w:rPr>
          <w:spacing w:val="-6"/>
          <w:w w:val="100"/>
        </w:rPr>
        <w:t>销售价格持续下降，预计未来产品毛利率将呈现下降趋势。尽管公司维保服务的毛利率水平较高，</w:t>
      </w:r>
      <w:r>
        <w:rPr>
          <w:w w:val="100"/>
        </w:rPr>
        <w:t> </w:t>
      </w:r>
      <w:r>
        <w:rPr>
          <w:spacing w:val="-1"/>
        </w:rPr>
        <w:t>且报告期内维保服务收入呈不断增长趋势，有助于减缓公司综合毛利率的下降，但如果未来行业</w:t>
      </w:r>
      <w:r>
        <w:rPr>
          <w:spacing w:val="-55"/>
        </w:rPr>
        <w:t> </w:t>
      </w:r>
      <w:r>
        <w:rPr>
          <w:spacing w:val="-55"/>
        </w:rPr>
      </w:r>
      <w:r>
        <w:rPr>
          <w:spacing w:val="-1"/>
        </w:rPr>
        <w:t>竞争进一步加剧导致公司主要产品销售价格明显下降、公司高售价客户占比下降、原材料采购价</w:t>
      </w:r>
      <w:r>
        <w:rPr>
          <w:spacing w:val="-55"/>
        </w:rPr>
        <w:t> </w:t>
      </w:r>
      <w:r>
        <w:rPr>
          <w:spacing w:val="-55"/>
        </w:rPr>
      </w:r>
      <w:r>
        <w:rPr>
          <w:spacing w:val="-1"/>
        </w:rPr>
        <w:t>格下降幅度减小或维保服务的毛利率水平因市场竞争加剧或人力成本上升而出现下降，都将导致</w:t>
      </w:r>
      <w:r>
        <w:rPr>
          <w:spacing w:val="-55"/>
        </w:rPr>
        <w:t> </w:t>
      </w:r>
      <w:r>
        <w:rPr>
          <w:spacing w:val="-55"/>
        </w:rPr>
      </w:r>
      <w:r>
        <w:rPr/>
        <w:t>公司的综合毛利率出现下降，从而对公司业绩带来较大的不利影响。</w:t>
      </w:r>
    </w:p>
    <w:p>
      <w:pPr>
        <w:pStyle w:val="BodyText"/>
        <w:spacing w:line="355" w:lineRule="auto" w:before="30"/>
        <w:ind w:right="130" w:firstLine="419"/>
        <w:jc w:val="both"/>
      </w:pPr>
      <w:r>
        <w:rPr>
          <w:spacing w:val="-2"/>
        </w:rPr>
        <w:t>公司将利用在位优势，提升新产品的开发力度，提高高附加值产品的销售占比，加大自有品</w:t>
      </w:r>
      <w:r>
        <w:rPr>
          <w:w w:val="100"/>
        </w:rPr>
        <w:t> </w:t>
      </w:r>
      <w:r>
        <w:rPr/>
        <w:t>牌维保服务水平，积极拓展第三方品牌维保。</w:t>
      </w:r>
    </w:p>
    <w:p>
      <w:pPr>
        <w:pStyle w:val="BodyText"/>
        <w:spacing w:line="357" w:lineRule="auto" w:before="34"/>
        <w:ind w:left="558" w:right="0"/>
        <w:jc w:val="left"/>
      </w:pPr>
      <w:r>
        <w:rPr/>
        <w:t>（</w:t>
      </w:r>
      <w:r>
        <w:rPr>
          <w:rFonts w:ascii="宋体" w:hAnsi="宋体" w:cs="宋体" w:eastAsia="宋体" w:hint="default"/>
        </w:rPr>
        <w:t>3</w:t>
      </w:r>
      <w:r>
        <w:rPr/>
        <w:t>）规模扩张带来的管理风险</w:t>
      </w:r>
      <w:r>
        <w:rPr>
          <w:w w:val="100"/>
        </w:rPr>
        <w:t> </w:t>
      </w:r>
      <w:r>
        <w:rPr>
          <w:spacing w:val="-2"/>
        </w:rPr>
        <w:t>随着生产、销售规模的扩大，公司的资产总额、人员数量均有较大增长，对公司的日常管理</w:t>
      </w:r>
    </w:p>
    <w:p>
      <w:pPr>
        <w:pStyle w:val="BodyText"/>
        <w:spacing w:line="355" w:lineRule="auto" w:before="30"/>
        <w:ind w:right="127"/>
        <w:jc w:val="both"/>
      </w:pPr>
      <w:r>
        <w:rPr>
          <w:spacing w:val="-1"/>
        </w:rPr>
        <w:t>也提出了更高要求。报告期内，公司日常管理较好地适应了公司规模的快速扩张，有效保障了经</w:t>
      </w:r>
      <w:r>
        <w:rPr>
          <w:spacing w:val="-55"/>
        </w:rPr>
        <w:t> </w:t>
      </w:r>
      <w:r>
        <w:rPr>
          <w:spacing w:val="-55"/>
        </w:rPr>
      </w:r>
      <w:r>
        <w:rPr>
          <w:spacing w:val="-1"/>
        </w:rPr>
        <w:t>营活动的正常开展。公司尚处于快速发展阶段，今后资产规模、人员数量仍将继续增加，带来管</w:t>
      </w:r>
      <w:r>
        <w:rPr>
          <w:spacing w:val="-55"/>
        </w:rPr>
        <w:t> </w:t>
      </w:r>
      <w:r>
        <w:rPr>
          <w:spacing w:val="-55"/>
        </w:rPr>
      </w:r>
      <w:r>
        <w:rPr/>
        <w:t>理风险。</w:t>
      </w:r>
    </w:p>
    <w:p>
      <w:pPr>
        <w:pStyle w:val="BodyText"/>
        <w:spacing w:line="355" w:lineRule="auto" w:before="34"/>
        <w:ind w:right="127" w:firstLine="419"/>
        <w:jc w:val="both"/>
      </w:pPr>
      <w:r>
        <w:rPr>
          <w:spacing w:val="-2"/>
        </w:rPr>
        <w:t>公司将细化管理分工，系统推进企业内控建设，加强财务、人力资源、企业文化、公共、研</w:t>
      </w:r>
      <w:r>
        <w:rPr>
          <w:w w:val="100"/>
        </w:rPr>
        <w:t> </w:t>
      </w:r>
      <w:r>
        <w:rPr>
          <w:spacing w:val="-3"/>
        </w:rPr>
        <w:t>发、法务 、审计等各体系建设，并积极推进公司 </w:t>
      </w:r>
      <w:r>
        <w:rPr>
          <w:rFonts w:ascii="宋体" w:hAnsi="宋体" w:cs="宋体" w:eastAsia="宋体" w:hint="default"/>
          <w:spacing w:val="-3"/>
        </w:rPr>
        <w:t>ERP</w:t>
      </w:r>
      <w:r>
        <w:rPr>
          <w:spacing w:val="-3"/>
        </w:rPr>
        <w:t>、智能办公平台等信息化的建设，强化总部</w:t>
      </w:r>
      <w:r>
        <w:rPr>
          <w:spacing w:val="-71"/>
        </w:rPr>
        <w:t> </w:t>
      </w:r>
      <w:r>
        <w:rPr>
          <w:spacing w:val="-71"/>
        </w:rPr>
      </w:r>
      <w:r>
        <w:rPr/>
        <w:t>管理监督职能。</w:t>
      </w:r>
    </w:p>
    <w:p>
      <w:pPr>
        <w:pStyle w:val="Heading2"/>
        <w:spacing w:line="240" w:lineRule="auto" w:before="92"/>
        <w:ind w:left="138" w:right="0"/>
        <w:jc w:val="both"/>
        <w:rPr>
          <w:b w:val="0"/>
          <w:bCs w:val="0"/>
        </w:rPr>
      </w:pPr>
      <w:r>
        <w:rPr>
          <w:rFonts w:ascii="宋体" w:hAnsi="宋体" w:cs="宋体" w:eastAsia="宋体" w:hint="default"/>
        </w:rPr>
        <w:t>(</w:t>
      </w:r>
      <w:r>
        <w:rPr/>
        <w:t>五</w:t>
      </w:r>
      <w:r>
        <w:rPr>
          <w:rFonts w:ascii="宋体" w:hAnsi="宋体" w:cs="宋体" w:eastAsia="宋体" w:hint="default"/>
        </w:rPr>
        <w:t>)  </w:t>
      </w:r>
      <w:r>
        <w:rPr>
          <w:rFonts w:ascii="宋体" w:hAnsi="宋体" w:cs="宋体" w:eastAsia="宋体" w:hint="default"/>
          <w:spacing w:val="99"/>
        </w:rPr>
        <w:t> </w:t>
      </w:r>
      <w:r>
        <w:rPr/>
        <w:t>其他</w:t>
      </w:r>
      <w:r>
        <w:rPr>
          <w:b w:val="0"/>
          <w:bCs w:val="0"/>
        </w:rPr>
      </w:r>
    </w:p>
    <w:p>
      <w:pPr>
        <w:pStyle w:val="BodyText"/>
        <w:spacing w:line="240" w:lineRule="auto" w:before="59"/>
        <w:ind w:right="0"/>
        <w:jc w:val="both"/>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40" w:lineRule="auto"/>
        <w:ind w:left="138" w:right="0"/>
        <w:jc w:val="both"/>
        <w:rPr>
          <w:b w:val="0"/>
          <w:bCs w:val="0"/>
        </w:rPr>
      </w:pPr>
      <w:r>
        <w:rPr/>
        <w:t>四、公司因不适用准则规定或国家秘密、商业秘密等特殊原因，未按准则披露的情况和原因说明</w:t>
      </w:r>
      <w:r>
        <w:rPr>
          <w:b w:val="0"/>
          <w:bCs w:val="0"/>
        </w:rPr>
      </w:r>
    </w:p>
    <w:p>
      <w:pPr>
        <w:pStyle w:val="BodyText"/>
        <w:spacing w:line="240" w:lineRule="auto" w:before="56"/>
        <w:ind w:right="0"/>
        <w:jc w:val="both"/>
      </w:pPr>
      <w:r>
        <w:rPr/>
        <w:t>□适用</w:t>
      </w:r>
      <w:r>
        <w:rPr>
          <w:spacing w:val="-1"/>
        </w:rPr>
        <w:t> </w:t>
      </w:r>
      <w:r>
        <w:rPr/>
        <w:t>√不适用</w:t>
      </w:r>
    </w:p>
    <w:p>
      <w:pPr>
        <w:spacing w:after="0" w:line="240" w:lineRule="auto"/>
        <w:jc w:val="both"/>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pStyle w:val="Heading1"/>
        <w:tabs>
          <w:tab w:pos="1262" w:val="left" w:leader="none"/>
        </w:tabs>
        <w:spacing w:line="240" w:lineRule="auto" w:before="151"/>
        <w:ind w:left="2" w:right="0"/>
        <w:jc w:val="center"/>
        <w:rPr>
          <w:b w:val="0"/>
          <w:bCs w:val="0"/>
        </w:rPr>
      </w:pPr>
      <w:bookmarkStart w:name="_TOC_250007" w:id="5"/>
      <w:r>
        <w:rPr>
          <w:w w:val="95"/>
        </w:rPr>
        <w:t>第五节</w:t>
        <w:tab/>
      </w:r>
      <w:r>
        <w:rPr/>
        <w:t>重要事项</w:t>
      </w:r>
      <w:bookmarkEnd w:id="5"/>
      <w:r>
        <w:rPr>
          <w:b w:val="0"/>
          <w:bCs w:val="0"/>
        </w:rPr>
      </w:r>
    </w:p>
    <w:p>
      <w:pPr>
        <w:spacing w:line="240" w:lineRule="auto" w:before="4"/>
        <w:rPr>
          <w:rFonts w:ascii="黑体" w:hAnsi="黑体" w:cs="黑体" w:eastAsia="黑体" w:hint="default"/>
          <w:b/>
          <w:bCs/>
          <w:sz w:val="19"/>
          <w:szCs w:val="19"/>
        </w:rPr>
      </w:pPr>
    </w:p>
    <w:p>
      <w:pPr>
        <w:pStyle w:val="Heading2"/>
        <w:spacing w:line="240" w:lineRule="auto"/>
        <w:ind w:right="0"/>
        <w:jc w:val="both"/>
        <w:rPr>
          <w:b w:val="0"/>
          <w:bCs w:val="0"/>
        </w:rPr>
      </w:pPr>
      <w:r>
        <w:rPr/>
        <w:t>一、普通股利润分配或资本公积金转增预案</w:t>
      </w:r>
      <w:r>
        <w:rPr>
          <w:b w:val="0"/>
          <w:bCs w:val="0"/>
        </w:rPr>
      </w:r>
    </w:p>
    <w:p>
      <w:pPr>
        <w:pStyle w:val="Heading2"/>
        <w:spacing w:line="240" w:lineRule="auto" w:before="58"/>
        <w:ind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spacing w:line="240" w:lineRule="auto" w:before="29"/>
        <w:ind w:left="638" w:right="197" w:hanging="420"/>
        <w:jc w:val="left"/>
      </w:pPr>
      <w:r>
        <w:rPr/>
        <w:t>√适用</w:t>
      </w:r>
      <w:r>
        <w:rPr>
          <w:spacing w:val="-2"/>
        </w:rPr>
        <w:t> </w:t>
      </w:r>
      <w:r>
        <w:rPr/>
        <w:t>□不适用</w:t>
      </w:r>
      <w:r>
        <w:rPr>
          <w:w w:val="100"/>
        </w:rPr>
        <w:t> </w:t>
      </w:r>
      <w:r>
        <w:rPr>
          <w:rFonts w:ascii="宋体" w:hAnsi="宋体" w:cs="宋体" w:eastAsia="宋体" w:hint="default"/>
          <w:spacing w:val="-4"/>
        </w:rPr>
        <w:t>1</w:t>
      </w:r>
      <w:r>
        <w:rPr>
          <w:spacing w:val="-4"/>
        </w:rPr>
        <w:t>、根据中国证监会、上海证券交易所及其他相关法律法规的规定，公司已在《公司章程》第</w:t>
      </w:r>
    </w:p>
    <w:p>
      <w:pPr>
        <w:pStyle w:val="BodyText"/>
        <w:spacing w:line="240" w:lineRule="auto" w:before="133"/>
        <w:ind w:left="218" w:right="0"/>
        <w:jc w:val="both"/>
      </w:pPr>
      <w:r>
        <w:rPr>
          <w:spacing w:val="-5"/>
        </w:rPr>
        <w:t>一百七十三条中制定了明确的现金分红政策。同时，公司于</w:t>
      </w:r>
      <w:r>
        <w:rPr>
          <w:spacing w:val="-48"/>
        </w:rPr>
        <w:t> </w:t>
      </w:r>
      <w:r>
        <w:rPr>
          <w:rFonts w:ascii="宋体" w:hAnsi="宋体" w:cs="宋体" w:eastAsia="宋体" w:hint="default"/>
        </w:rPr>
        <w:t>2016</w:t>
      </w:r>
      <w:r>
        <w:rPr>
          <w:rFonts w:ascii="宋体" w:hAnsi="宋体" w:cs="宋体" w:eastAsia="宋体" w:hint="default"/>
          <w:spacing w:val="-48"/>
        </w:rPr>
        <w:t> </w:t>
      </w:r>
      <w:r>
        <w:rPr/>
        <w:t>年</w:t>
      </w:r>
      <w:r>
        <w:rPr>
          <w:spacing w:val="-50"/>
        </w:rPr>
        <w:t> </w:t>
      </w:r>
      <w:r>
        <w:rPr>
          <w:rFonts w:ascii="宋体" w:hAnsi="宋体" w:cs="宋体" w:eastAsia="宋体" w:hint="default"/>
        </w:rPr>
        <w:t>2</w:t>
      </w:r>
      <w:r>
        <w:rPr>
          <w:rFonts w:ascii="宋体" w:hAnsi="宋体" w:cs="宋体" w:eastAsia="宋体" w:hint="default"/>
          <w:spacing w:val="-48"/>
        </w:rPr>
        <w:t> </w:t>
      </w:r>
      <w:r>
        <w:rPr/>
        <w:t>月</w:t>
      </w:r>
      <w:r>
        <w:rPr>
          <w:spacing w:val="-50"/>
        </w:rPr>
        <w:t> </w:t>
      </w:r>
      <w:r>
        <w:rPr>
          <w:rFonts w:ascii="宋体" w:hAnsi="宋体" w:cs="宋体" w:eastAsia="宋体" w:hint="default"/>
        </w:rPr>
        <w:t>4</w:t>
      </w:r>
      <w:r>
        <w:rPr>
          <w:rFonts w:ascii="宋体" w:hAnsi="宋体" w:cs="宋体" w:eastAsia="宋体" w:hint="default"/>
          <w:spacing w:val="-48"/>
        </w:rPr>
        <w:t> </w:t>
      </w:r>
      <w:r>
        <w:rPr/>
        <w:t>日召开的第一届董事会</w:t>
      </w:r>
    </w:p>
    <w:p>
      <w:pPr>
        <w:pStyle w:val="BodyText"/>
        <w:spacing w:line="357" w:lineRule="auto" w:before="133"/>
        <w:ind w:left="218" w:right="209"/>
        <w:jc w:val="both"/>
      </w:pPr>
      <w:r>
        <w:rPr/>
        <w:t>第四次会议和</w:t>
      </w:r>
      <w:r>
        <w:rPr>
          <w:spacing w:val="-53"/>
        </w:rPr>
        <w:t> </w:t>
      </w:r>
      <w:r>
        <w:rPr>
          <w:rFonts w:ascii="宋体" w:hAnsi="宋体" w:cs="宋体" w:eastAsia="宋体" w:hint="default"/>
        </w:rPr>
        <w:t>2016</w:t>
      </w:r>
      <w:r>
        <w:rPr>
          <w:rFonts w:ascii="宋体" w:hAnsi="宋体" w:cs="宋体" w:eastAsia="宋体" w:hint="default"/>
          <w:spacing w:val="-55"/>
        </w:rPr>
        <w:t> </w:t>
      </w:r>
      <w:r>
        <w:rPr/>
        <w:t>年</w:t>
      </w:r>
      <w:r>
        <w:rPr>
          <w:spacing w:val="-52"/>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2</w:t>
      </w:r>
      <w:r>
        <w:rPr>
          <w:rFonts w:ascii="宋体" w:hAnsi="宋体" w:cs="宋体" w:eastAsia="宋体" w:hint="default"/>
          <w:spacing w:val="-53"/>
        </w:rPr>
        <w:t> </w:t>
      </w:r>
      <w:r>
        <w:rPr/>
        <w:t>日召开的</w:t>
      </w:r>
      <w:r>
        <w:rPr>
          <w:spacing w:val="-53"/>
        </w:rPr>
        <w:t> </w:t>
      </w:r>
      <w:r>
        <w:rPr>
          <w:rFonts w:ascii="宋体" w:hAnsi="宋体" w:cs="宋体" w:eastAsia="宋体" w:hint="default"/>
        </w:rPr>
        <w:t>2016</w:t>
      </w:r>
      <w:r>
        <w:rPr>
          <w:rFonts w:ascii="宋体" w:hAnsi="宋体" w:cs="宋体" w:eastAsia="宋体" w:hint="default"/>
          <w:spacing w:val="-55"/>
        </w:rPr>
        <w:t> </w:t>
      </w:r>
      <w:r>
        <w:rPr/>
        <w:t>年第一次临时股东大会审议通过了《关于公司首次公</w:t>
      </w:r>
      <w:r>
        <w:rPr>
          <w:w w:val="100"/>
        </w:rPr>
        <w:t> </w:t>
      </w:r>
      <w:r>
        <w:rPr>
          <w:spacing w:val="-4"/>
        </w:rPr>
        <w:t>开发行股票并上市后三年内稳定股价预案》的议案。目前</w:t>
      </w:r>
      <w:r>
        <w:rPr>
          <w:rFonts w:ascii="宋体" w:hAnsi="宋体" w:cs="宋体" w:eastAsia="宋体" w:hint="default"/>
          <w:spacing w:val="-4"/>
        </w:rPr>
        <w:t>,</w:t>
      </w:r>
      <w:r>
        <w:rPr>
          <w:spacing w:val="-4"/>
        </w:rPr>
        <w:t>公司现金分红政策的制定及执行情况符</w:t>
      </w:r>
      <w:r>
        <w:rPr>
          <w:spacing w:val="-32"/>
        </w:rPr>
        <w:t> </w:t>
      </w:r>
      <w:r>
        <w:rPr>
          <w:spacing w:val="-32"/>
        </w:rPr>
      </w:r>
      <w:r>
        <w:rPr>
          <w:spacing w:val="-2"/>
        </w:rPr>
        <w:t>合《公司章程》的规定，充分保护中小投资者的合法权益，分红标准和比例明确清晰。公司利润</w:t>
      </w:r>
      <w:r>
        <w:rPr>
          <w:spacing w:val="-25"/>
        </w:rPr>
        <w:t> </w:t>
      </w:r>
      <w:r>
        <w:rPr>
          <w:spacing w:val="-25"/>
        </w:rPr>
      </w:r>
      <w:r>
        <w:rPr>
          <w:spacing w:val="-7"/>
        </w:rPr>
        <w:t>分配预案经董事会审议，独立董事发表意见后，提交股东大会审议通过方可实施，决策程序完整，</w:t>
      </w:r>
      <w:r>
        <w:rPr>
          <w:spacing w:val="-12"/>
        </w:rPr>
        <w:t> </w:t>
      </w:r>
      <w:r>
        <w:rPr>
          <w:spacing w:val="-12"/>
        </w:rPr>
      </w:r>
      <w:r>
        <w:rPr/>
        <w:t>机制完备。</w:t>
      </w:r>
    </w:p>
    <w:p>
      <w:pPr>
        <w:pStyle w:val="BodyText"/>
        <w:spacing w:line="357" w:lineRule="auto" w:before="30"/>
        <w:ind w:left="218" w:right="207" w:firstLine="419"/>
        <w:jc w:val="right"/>
      </w:pPr>
      <w:r>
        <w:rPr>
          <w:rFonts w:ascii="宋体" w:hAnsi="宋体" w:cs="宋体" w:eastAsia="宋体" w:hint="default"/>
          <w:spacing w:val="-4"/>
        </w:rPr>
        <w:t>2</w:t>
      </w:r>
      <w:r>
        <w:rPr>
          <w:spacing w:val="-4"/>
        </w:rPr>
        <w:t>、报告期内，根据公司的经营情况及发展规划，以分红派息股权登记日的总股本为基数，向</w:t>
      </w:r>
      <w:r>
        <w:rPr>
          <w:w w:val="100"/>
        </w:rPr>
        <w:t> </w:t>
      </w:r>
      <w:r>
        <w:rPr/>
        <w:t>全体股东每</w:t>
      </w:r>
      <w:r>
        <w:rPr>
          <w:spacing w:val="-46"/>
        </w:rPr>
        <w:t> </w:t>
      </w:r>
      <w:r>
        <w:rPr>
          <w:rFonts w:ascii="宋体" w:hAnsi="宋体" w:cs="宋体" w:eastAsia="宋体" w:hint="default"/>
        </w:rPr>
        <w:t>10</w:t>
      </w:r>
      <w:r>
        <w:rPr>
          <w:rFonts w:ascii="宋体" w:hAnsi="宋体" w:cs="宋体" w:eastAsia="宋体" w:hint="default"/>
          <w:spacing w:val="-48"/>
        </w:rPr>
        <w:t> </w:t>
      </w:r>
      <w:r>
        <w:rPr/>
        <w:t>股派发现金股利</w:t>
      </w:r>
      <w:r>
        <w:rPr>
          <w:spacing w:val="-45"/>
        </w:rPr>
        <w:t> </w:t>
      </w:r>
      <w:r>
        <w:rPr>
          <w:rFonts w:ascii="宋体" w:hAnsi="宋体" w:cs="宋体" w:eastAsia="宋体" w:hint="default"/>
        </w:rPr>
        <w:t>0.25</w:t>
      </w:r>
      <w:r>
        <w:rPr>
          <w:rFonts w:ascii="宋体" w:hAnsi="宋体" w:cs="宋体" w:eastAsia="宋体" w:hint="default"/>
          <w:spacing w:val="-48"/>
        </w:rPr>
        <w:t> </w:t>
      </w:r>
      <w:r>
        <w:rPr>
          <w:spacing w:val="-13"/>
        </w:rPr>
        <w:t>元（含税），共计派发现金股利人民币</w:t>
      </w:r>
      <w:r>
        <w:rPr>
          <w:spacing w:val="-46"/>
        </w:rPr>
        <w:t> </w:t>
      </w:r>
      <w:r>
        <w:rPr>
          <w:rFonts w:ascii="宋体" w:hAnsi="宋体" w:cs="宋体" w:eastAsia="宋体" w:hint="default"/>
        </w:rPr>
        <w:t>700.00</w:t>
      </w:r>
      <w:r>
        <w:rPr>
          <w:rFonts w:ascii="宋体" w:hAnsi="宋体" w:cs="宋体" w:eastAsia="宋体" w:hint="default"/>
          <w:spacing w:val="-45"/>
        </w:rPr>
        <w:t> </w:t>
      </w:r>
      <w:r>
        <w:rPr>
          <w:spacing w:val="-19"/>
        </w:rPr>
        <w:t>万元（含税），</w:t>
      </w:r>
    </w:p>
    <w:p>
      <w:pPr>
        <w:pStyle w:val="BodyText"/>
        <w:spacing w:line="240" w:lineRule="auto" w:before="30"/>
        <w:ind w:left="218" w:right="0"/>
        <w:jc w:val="both"/>
      </w:pPr>
      <w:r>
        <w:rPr>
          <w:spacing w:val="-9"/>
        </w:rPr>
        <w:t>剩余未分配利润结转以后年度，不送红股。以资本公积转增股本，每</w:t>
      </w:r>
      <w:r>
        <w:rPr>
          <w:spacing w:val="-42"/>
        </w:rPr>
        <w:t> </w:t>
      </w:r>
      <w:r>
        <w:rPr>
          <w:rFonts w:ascii="宋体" w:hAnsi="宋体" w:cs="宋体" w:eastAsia="宋体" w:hint="default"/>
        </w:rPr>
        <w:t>10</w:t>
      </w:r>
      <w:r>
        <w:rPr>
          <w:rFonts w:ascii="宋体" w:hAnsi="宋体" w:cs="宋体" w:eastAsia="宋体" w:hint="default"/>
          <w:spacing w:val="-42"/>
        </w:rPr>
        <w:t> </w:t>
      </w:r>
      <w:r>
        <w:rPr/>
        <w:t>股转增</w:t>
      </w:r>
      <w:r>
        <w:rPr>
          <w:spacing w:val="-44"/>
        </w:rPr>
        <w:t> </w:t>
      </w:r>
      <w:r>
        <w:rPr>
          <w:rFonts w:ascii="宋体" w:hAnsi="宋体" w:cs="宋体" w:eastAsia="宋体" w:hint="default"/>
        </w:rPr>
        <w:t>1</w:t>
      </w:r>
      <w:r>
        <w:rPr>
          <w:rFonts w:ascii="宋体" w:hAnsi="宋体" w:cs="宋体" w:eastAsia="宋体" w:hint="default"/>
          <w:spacing w:val="-40"/>
        </w:rPr>
        <w:t> </w:t>
      </w:r>
      <w:r>
        <w:rPr>
          <w:spacing w:val="-11"/>
        </w:rPr>
        <w:t>股，转增完成后，</w:t>
      </w:r>
    </w:p>
    <w:p>
      <w:pPr>
        <w:pStyle w:val="BodyText"/>
        <w:spacing w:line="355" w:lineRule="auto" w:before="133"/>
        <w:ind w:left="638" w:right="3369" w:hanging="420"/>
        <w:jc w:val="left"/>
      </w:pPr>
      <w:r>
        <w:rPr/>
        <w:t>公司股本变更为</w:t>
      </w:r>
      <w:r>
        <w:rPr>
          <w:spacing w:val="-55"/>
        </w:rPr>
        <w:t> </w:t>
      </w:r>
      <w:r>
        <w:rPr>
          <w:rFonts w:ascii="宋体" w:hAnsi="宋体" w:cs="宋体" w:eastAsia="宋体" w:hint="default"/>
        </w:rPr>
        <w:t>30,800</w:t>
      </w:r>
      <w:r>
        <w:rPr>
          <w:rFonts w:ascii="宋体" w:hAnsi="宋体" w:cs="宋体" w:eastAsia="宋体" w:hint="default"/>
          <w:spacing w:val="-57"/>
        </w:rPr>
        <w:t> </w:t>
      </w:r>
      <w:r>
        <w:rPr/>
        <w:t>万股，注册资本变更为</w:t>
      </w:r>
      <w:r>
        <w:rPr>
          <w:spacing w:val="-55"/>
        </w:rPr>
        <w:t> </w:t>
      </w:r>
      <w:r>
        <w:rPr>
          <w:rFonts w:ascii="宋体" w:hAnsi="宋体" w:cs="宋体" w:eastAsia="宋体" w:hint="default"/>
        </w:rPr>
        <w:t>30,800</w:t>
      </w:r>
      <w:r>
        <w:rPr>
          <w:rFonts w:ascii="宋体" w:hAnsi="宋体" w:cs="宋体" w:eastAsia="宋体" w:hint="default"/>
          <w:spacing w:val="-54"/>
        </w:rPr>
        <w:t> </w:t>
      </w:r>
      <w:r>
        <w:rPr/>
        <w:t>万元。</w:t>
      </w:r>
      <w:r>
        <w:rPr>
          <w:w w:val="100"/>
        </w:rPr>
        <w:t> </w:t>
      </w:r>
      <w:r>
        <w:rPr>
          <w:rFonts w:ascii="宋体" w:hAnsi="宋体" w:cs="宋体" w:eastAsia="宋体" w:hint="default"/>
        </w:rPr>
        <w:t>3</w:t>
      </w:r>
      <w:r>
        <w:rPr/>
        <w:t>、报告期内，上述现金分红政策未发生调整等情况。</w:t>
      </w:r>
    </w:p>
    <w:p>
      <w:pPr>
        <w:pStyle w:val="Heading2"/>
        <w:spacing w:line="240" w:lineRule="auto" w:before="92"/>
        <w:ind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tabs>
          <w:tab w:pos="1051" w:val="left" w:leader="none"/>
        </w:tabs>
        <w:spacing w:line="240" w:lineRule="auto" w:before="32"/>
        <w:ind w:left="0" w:right="21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18"/>
        <w:gridCol w:w="1217"/>
        <w:gridCol w:w="1219"/>
        <w:gridCol w:w="1049"/>
        <w:gridCol w:w="1277"/>
        <w:gridCol w:w="1693"/>
        <w:gridCol w:w="1572"/>
      </w:tblGrid>
      <w:tr>
        <w:trPr>
          <w:trHeight w:val="1373"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92" w:right="290"/>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29" w:right="128"/>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84" w:right="127" w:hanging="5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股派</w:t>
            </w:r>
            <w:r>
              <w:rPr>
                <w:rFonts w:ascii="宋体" w:hAnsi="宋体" w:cs="宋体" w:eastAsia="宋体" w:hint="default"/>
                <w:w w:val="100"/>
                <w:sz w:val="21"/>
                <w:szCs w:val="21"/>
              </w:rPr>
              <w:t> </w:t>
            </w:r>
            <w:r>
              <w:rPr>
                <w:rFonts w:ascii="宋体" w:hAnsi="宋体" w:cs="宋体" w:eastAsia="宋体" w:hint="default"/>
                <w:sz w:val="21"/>
                <w:szCs w:val="21"/>
              </w:rPr>
              <w:t>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49" w:lineRule="exact"/>
              <w:ind w:left="184"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03" w:right="149" w:hanging="5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转增数</w:t>
            </w:r>
          </w:p>
          <w:p>
            <w:pPr>
              <w:pStyle w:val="TableParagraph"/>
              <w:spacing w:line="249" w:lineRule="exact"/>
              <w:ind w:left="20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5" w:right="106"/>
              <w:jc w:val="center"/>
              <w:rPr>
                <w:rFonts w:ascii="宋体" w:hAnsi="宋体" w:cs="宋体" w:eastAsia="宋体" w:hint="default"/>
                <w:sz w:val="21"/>
                <w:szCs w:val="21"/>
              </w:rPr>
            </w:pPr>
            <w:r>
              <w:rPr>
                <w:rFonts w:ascii="宋体" w:hAnsi="宋体" w:cs="宋体" w:eastAsia="宋体" w:hint="default"/>
                <w:sz w:val="21"/>
                <w:szCs w:val="21"/>
              </w:rPr>
              <w:t>现金分红的</w:t>
            </w:r>
            <w:r>
              <w:rPr>
                <w:rFonts w:ascii="宋体" w:hAnsi="宋体" w:cs="宋体" w:eastAsia="宋体" w:hint="default"/>
                <w:w w:val="100"/>
                <w:sz w:val="21"/>
                <w:szCs w:val="21"/>
              </w:rPr>
              <w:t> </w:t>
            </w:r>
            <w:r>
              <w:rPr>
                <w:rFonts w:ascii="宋体" w:hAnsi="宋体" w:cs="宋体" w:eastAsia="宋体" w:hint="default"/>
                <w:sz w:val="21"/>
                <w:szCs w:val="21"/>
              </w:rPr>
              <w:t>数额</w:t>
            </w:r>
          </w:p>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（含税）</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4"/>
              <w:jc w:val="center"/>
              <w:rPr>
                <w:rFonts w:ascii="宋体" w:hAnsi="宋体" w:cs="宋体" w:eastAsia="宋体" w:hint="default"/>
                <w:sz w:val="21"/>
                <w:szCs w:val="21"/>
              </w:rPr>
            </w:pPr>
            <w:r>
              <w:rPr>
                <w:rFonts w:ascii="宋体" w:hAnsi="宋体" w:cs="宋体" w:eastAsia="宋体" w:hint="default"/>
                <w:spacing w:val="-1"/>
                <w:sz w:val="21"/>
                <w:szCs w:val="21"/>
              </w:rPr>
              <w:t>分红年度合并报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公司普通股股东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的净利润</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占合并报表中</w:t>
            </w:r>
          </w:p>
          <w:p>
            <w:pPr>
              <w:pStyle w:val="TableParagraph"/>
              <w:spacing w:line="237" w:lineRule="auto" w:before="2"/>
              <w:ind w:left="151" w:right="146"/>
              <w:jc w:val="center"/>
              <w:rPr>
                <w:rFonts w:ascii="宋体" w:hAnsi="宋体" w:cs="宋体" w:eastAsia="宋体" w:hint="default"/>
                <w:sz w:val="21"/>
                <w:szCs w:val="21"/>
              </w:rPr>
            </w:pPr>
            <w:r>
              <w:rPr>
                <w:rFonts w:ascii="宋体" w:hAnsi="宋体" w:cs="宋体" w:eastAsia="宋体" w:hint="default"/>
                <w:spacing w:val="-1"/>
                <w:sz w:val="21"/>
                <w:szCs w:val="21"/>
              </w:rPr>
              <w:t>归属于上市公</w:t>
            </w:r>
            <w:r>
              <w:rPr>
                <w:rFonts w:ascii="宋体" w:hAnsi="宋体" w:cs="宋体" w:eastAsia="宋体" w:hint="default"/>
                <w:w w:val="100"/>
                <w:sz w:val="21"/>
                <w:szCs w:val="21"/>
              </w:rPr>
              <w:t> </w:t>
            </w:r>
            <w:r>
              <w:rPr>
                <w:rFonts w:ascii="宋体" w:hAnsi="宋体" w:cs="宋体" w:eastAsia="宋体" w:hint="default"/>
                <w:spacing w:val="-2"/>
                <w:sz w:val="21"/>
                <w:szCs w:val="21"/>
              </w:rPr>
              <w:t>司普通股股东</w:t>
            </w:r>
            <w:r>
              <w:rPr>
                <w:rFonts w:ascii="宋体" w:hAnsi="宋体" w:cs="宋体" w:eastAsia="宋体" w:hint="default"/>
                <w:spacing w:val="-3"/>
                <w:w w:val="100"/>
                <w:sz w:val="21"/>
                <w:szCs w:val="21"/>
              </w:rPr>
              <w:t> </w:t>
            </w:r>
            <w:r>
              <w:rPr>
                <w:rFonts w:ascii="宋体" w:hAnsi="宋体" w:cs="宋体" w:eastAsia="宋体" w:hint="default"/>
                <w:spacing w:val="-1"/>
                <w:sz w:val="21"/>
                <w:szCs w:val="21"/>
              </w:rPr>
              <w:t>的净利润的比</w:t>
            </w:r>
            <w:r>
              <w:rPr>
                <w:rFonts w:ascii="宋体" w:hAnsi="宋体" w:cs="宋体" w:eastAsia="宋体" w:hint="default"/>
                <w:w w:val="100"/>
                <w:sz w:val="21"/>
                <w:szCs w:val="21"/>
              </w:rPr>
              <w:t> </w:t>
            </w:r>
            <w:r>
              <w:rPr>
                <w:rFonts w:ascii="宋体" w:hAnsi="宋体" w:cs="宋体" w:eastAsia="宋体" w:hint="default"/>
                <w:sz w:val="21"/>
                <w:szCs w:val="21"/>
              </w:rPr>
              <w:t>率</w:t>
            </w:r>
            <w:r>
              <w:rPr>
                <w:rFonts w:ascii="宋体" w:hAnsi="宋体" w:cs="宋体" w:eastAsia="宋体" w:hint="default"/>
                <w:sz w:val="21"/>
                <w:szCs w:val="21"/>
              </w:rPr>
              <w:t>(%)</w:t>
            </w:r>
          </w:p>
        </w:tc>
      </w:tr>
      <w:tr>
        <w:trPr>
          <w:trHeight w:val="283"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0.25</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7,000,000</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149,212,459.42</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4.69</w:t>
            </w:r>
          </w:p>
        </w:tc>
      </w:tr>
      <w:tr>
        <w:trPr>
          <w:trHeight w:val="281"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143,907,467.58</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141,333,746.68</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13"/>
        <w:rPr>
          <w:rFonts w:ascii="宋体" w:hAnsi="宋体" w:cs="宋体" w:eastAsia="宋体" w:hint="default"/>
          <w:sz w:val="19"/>
          <w:szCs w:val="19"/>
        </w:rPr>
      </w:pPr>
    </w:p>
    <w:p>
      <w:pPr>
        <w:pStyle w:val="Heading2"/>
        <w:spacing w:line="240" w:lineRule="auto" w:before="36"/>
        <w:ind w:right="19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以现金方式要约回购股份计入现金分红的情况</w:t>
      </w:r>
      <w:r>
        <w:rPr>
          <w:b w:val="0"/>
          <w:bCs w:val="0"/>
        </w:rPr>
      </w:r>
    </w:p>
    <w:p>
      <w:pPr>
        <w:pStyle w:val="BodyText"/>
        <w:spacing w:line="240" w:lineRule="auto" w:before="32"/>
        <w:ind w:left="218" w:right="197"/>
        <w:jc w:val="left"/>
      </w:pPr>
      <w:r>
        <w:rPr/>
        <w:t>□适用</w:t>
      </w:r>
      <w:r>
        <w:rPr>
          <w:spacing w:val="-1"/>
        </w:rPr>
        <w:t> </w:t>
      </w:r>
      <w:r>
        <w:rPr/>
        <w:t>√不适用</w:t>
      </w:r>
    </w:p>
    <w:p>
      <w:pPr>
        <w:pStyle w:val="Heading2"/>
        <w:spacing w:line="274" w:lineRule="exact" w:before="82"/>
        <w:ind w:left="638" w:right="19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pStyle w:val="BodyText"/>
        <w:spacing w:line="240" w:lineRule="auto" w:before="31"/>
        <w:ind w:left="218" w:right="197"/>
        <w:jc w:val="left"/>
      </w:pPr>
      <w:r>
        <w:rPr/>
        <w:t>□适用</w:t>
      </w:r>
      <w:r>
        <w:rPr>
          <w:spacing w:val="-1"/>
        </w:rPr>
        <w:t> </w:t>
      </w:r>
      <w:r>
        <w:rPr/>
        <w:t>√不适用</w:t>
      </w:r>
    </w:p>
    <w:p>
      <w:pPr>
        <w:spacing w:after="0" w:line="240" w:lineRule="auto"/>
        <w:jc w:val="left"/>
        <w:sectPr>
          <w:pgSz w:w="11910" w:h="16840"/>
          <w:pgMar w:header="880" w:footer="1195" w:top="1120" w:bottom="1380" w:left="158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2"/>
        <w:spacing w:line="240" w:lineRule="auto" w:before="36"/>
        <w:ind w:left="240" w:right="0"/>
        <w:jc w:val="left"/>
        <w:rPr>
          <w:b w:val="0"/>
          <w:bCs w:val="0"/>
        </w:rPr>
      </w:pPr>
      <w:r>
        <w:rPr/>
        <w:t>二、承诺事项履行情况</w:t>
      </w:r>
      <w:r>
        <w:rPr>
          <w:b w:val="0"/>
          <w:bCs w:val="0"/>
        </w:rPr>
      </w:r>
    </w:p>
    <w:p>
      <w:pPr>
        <w:pStyle w:val="Heading2"/>
        <w:tabs>
          <w:tab w:pos="806" w:val="left" w:leader="none"/>
        </w:tabs>
        <w:spacing w:line="240" w:lineRule="auto" w:before="56"/>
        <w:ind w:left="240" w:right="0"/>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公司实际控制人、股东、关联方、收购人以及公司等承诺相关方在报告期内或持续到报告期内的承诺事项</w:t>
      </w:r>
      <w:r>
        <w:rPr>
          <w:b w:val="0"/>
          <w:bCs w:val="0"/>
        </w:rPr>
      </w:r>
    </w:p>
    <w:p>
      <w:pPr>
        <w:pStyle w:val="BodyText"/>
        <w:spacing w:line="240" w:lineRule="auto" w:before="32"/>
        <w:ind w:left="240"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867"/>
        <w:gridCol w:w="708"/>
        <w:gridCol w:w="1133"/>
        <w:gridCol w:w="7799"/>
        <w:gridCol w:w="1274"/>
        <w:gridCol w:w="569"/>
        <w:gridCol w:w="566"/>
        <w:gridCol w:w="850"/>
        <w:gridCol w:w="710"/>
      </w:tblGrid>
      <w:tr>
        <w:trPr>
          <w:trHeight w:val="2189"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322" w:right="111" w:hanging="212"/>
              <w:jc w:val="left"/>
              <w:rPr>
                <w:rFonts w:ascii="宋体" w:hAnsi="宋体" w:cs="宋体" w:eastAsia="宋体" w:hint="default"/>
                <w:sz w:val="21"/>
                <w:szCs w:val="21"/>
              </w:rPr>
            </w:pPr>
            <w:r>
              <w:rPr>
                <w:rFonts w:ascii="宋体" w:hAnsi="宋体" w:cs="宋体" w:eastAsia="宋体" w:hint="default"/>
                <w:sz w:val="21"/>
                <w:szCs w:val="21"/>
              </w:rPr>
              <w:t>承诺背</w:t>
            </w:r>
            <w:r>
              <w:rPr>
                <w:rFonts w:ascii="宋体" w:hAnsi="宋体" w:cs="宋体" w:eastAsia="宋体" w:hint="default"/>
                <w:spacing w:val="-102"/>
                <w:sz w:val="21"/>
                <w:szCs w:val="21"/>
              </w:rPr>
              <w:t> </w:t>
            </w:r>
            <w:r>
              <w:rPr>
                <w:rFonts w:ascii="宋体" w:hAnsi="宋体" w:cs="宋体" w:eastAsia="宋体" w:hint="default"/>
                <w:sz w:val="21"/>
                <w:szCs w:val="21"/>
              </w:rPr>
              <w:t>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136" w:right="137"/>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244"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3682" w:right="3684"/>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422" w:right="101" w:hanging="315"/>
              <w:jc w:val="left"/>
              <w:rPr>
                <w:rFonts w:ascii="宋体" w:hAnsi="宋体" w:cs="宋体" w:eastAsia="宋体" w:hint="default"/>
                <w:sz w:val="21"/>
                <w:szCs w:val="21"/>
              </w:rPr>
            </w:pPr>
            <w:r>
              <w:rPr>
                <w:rFonts w:ascii="宋体" w:hAnsi="宋体" w:cs="宋体" w:eastAsia="宋体" w:hint="default"/>
                <w:sz w:val="21"/>
                <w:szCs w:val="21"/>
              </w:rPr>
              <w:t>承诺时间及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期限</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72" w:right="173"/>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履</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both"/>
              <w:rPr>
                <w:rFonts w:ascii="宋体" w:hAnsi="宋体" w:cs="宋体" w:eastAsia="宋体" w:hint="default"/>
                <w:sz w:val="21"/>
                <w:szCs w:val="21"/>
              </w:rPr>
            </w:pPr>
            <w:r>
              <w:rPr>
                <w:rFonts w:ascii="宋体" w:hAnsi="宋体" w:cs="宋体" w:eastAsia="宋体" w:hint="default"/>
                <w:w w:val="100"/>
                <w:sz w:val="21"/>
                <w:szCs w:val="21"/>
              </w:rPr>
              <w:t>是</w:t>
            </w:r>
          </w:p>
          <w:p>
            <w:pPr>
              <w:pStyle w:val="TableParagraph"/>
              <w:spacing w:line="237" w:lineRule="auto" w:before="2"/>
              <w:ind w:left="172" w:right="170"/>
              <w:jc w:val="both"/>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时</w:t>
            </w:r>
            <w:r>
              <w:rPr>
                <w:rFonts w:ascii="宋体" w:hAnsi="宋体" w:cs="宋体" w:eastAsia="宋体" w:hint="default"/>
                <w:w w:val="100"/>
                <w:sz w:val="21"/>
                <w:szCs w:val="21"/>
              </w:rPr>
              <w:t> </w:t>
            </w:r>
            <w:r>
              <w:rPr>
                <w:rFonts w:ascii="宋体" w:hAnsi="宋体" w:cs="宋体" w:eastAsia="宋体" w:hint="default"/>
                <w:sz w:val="21"/>
                <w:szCs w:val="21"/>
              </w:rPr>
              <w:t>严</w:t>
            </w:r>
            <w:r>
              <w:rPr>
                <w:rFonts w:ascii="宋体" w:hAnsi="宋体" w:cs="宋体" w:eastAsia="宋体" w:hint="default"/>
                <w:w w:val="100"/>
                <w:sz w:val="21"/>
                <w:szCs w:val="21"/>
              </w:rPr>
              <w:t> </w:t>
            </w:r>
            <w:r>
              <w:rPr>
                <w:rFonts w:ascii="宋体" w:hAnsi="宋体" w:cs="宋体" w:eastAsia="宋体" w:hint="default"/>
                <w:sz w:val="21"/>
                <w:szCs w:val="21"/>
              </w:rPr>
              <w:t>格</w:t>
            </w:r>
            <w:r>
              <w:rPr>
                <w:rFonts w:ascii="宋体" w:hAnsi="宋体" w:cs="宋体" w:eastAsia="宋体" w:hint="default"/>
                <w:w w:val="100"/>
                <w:sz w:val="21"/>
                <w:szCs w:val="21"/>
              </w:rPr>
              <w:t> </w:t>
            </w:r>
            <w:r>
              <w:rPr>
                <w:rFonts w:ascii="宋体" w:hAnsi="宋体" w:cs="宋体" w:eastAsia="宋体" w:hint="default"/>
                <w:sz w:val="21"/>
                <w:szCs w:val="21"/>
              </w:rPr>
              <w:t>履</w:t>
            </w:r>
            <w:r>
              <w:rPr>
                <w:rFonts w:ascii="宋体" w:hAnsi="宋体" w:cs="宋体" w:eastAsia="宋体" w:hint="default"/>
                <w:w w:val="100"/>
                <w:sz w:val="21"/>
                <w:szCs w:val="21"/>
              </w:rPr>
              <w:t> </w:t>
            </w:r>
            <w:r>
              <w:rPr>
                <w:rFonts w:ascii="宋体" w:hAnsi="宋体" w:cs="宋体" w:eastAsia="宋体" w:hint="default"/>
                <w:sz w:val="21"/>
                <w:szCs w:val="21"/>
              </w:rPr>
              <w:t>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1"/>
              <w:jc w:val="both"/>
              <w:rPr>
                <w:rFonts w:ascii="宋体" w:hAnsi="宋体" w:cs="宋体" w:eastAsia="宋体" w:hint="default"/>
                <w:sz w:val="21"/>
                <w:szCs w:val="21"/>
              </w:rPr>
            </w:pPr>
            <w:r>
              <w:rPr>
                <w:rFonts w:ascii="宋体" w:hAnsi="宋体" w:cs="宋体" w:eastAsia="宋体" w:hint="default"/>
                <w:sz w:val="21"/>
                <w:szCs w:val="21"/>
              </w:rPr>
              <w:t>如未能</w:t>
            </w:r>
            <w:r>
              <w:rPr>
                <w:rFonts w:ascii="宋体" w:hAnsi="宋体" w:cs="宋体" w:eastAsia="宋体" w:hint="default"/>
                <w:spacing w:val="-102"/>
                <w:sz w:val="21"/>
                <w:szCs w:val="21"/>
              </w:rPr>
              <w:t> </w:t>
            </w: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明未完</w:t>
            </w:r>
            <w:r>
              <w:rPr>
                <w:rFonts w:ascii="宋体" w:hAnsi="宋体" w:cs="宋体" w:eastAsia="宋体" w:hint="default"/>
                <w:spacing w:val="-102"/>
                <w:sz w:val="21"/>
                <w:szCs w:val="21"/>
              </w:rPr>
              <w:t> </w:t>
            </w:r>
            <w:r>
              <w:rPr>
                <w:rFonts w:ascii="宋体" w:hAnsi="宋体" w:cs="宋体" w:eastAsia="宋体" w:hint="default"/>
                <w:sz w:val="21"/>
                <w:szCs w:val="21"/>
              </w:rPr>
              <w:t>成履行</w:t>
            </w:r>
            <w:r>
              <w:rPr>
                <w:rFonts w:ascii="宋体" w:hAnsi="宋体" w:cs="宋体" w:eastAsia="宋体" w:hint="default"/>
                <w:spacing w:val="-102"/>
                <w:sz w:val="21"/>
                <w:szCs w:val="21"/>
              </w:rPr>
              <w:t> </w:t>
            </w:r>
            <w:r>
              <w:rPr>
                <w:rFonts w:ascii="宋体" w:hAnsi="宋体" w:cs="宋体" w:eastAsia="宋体" w:hint="default"/>
                <w:sz w:val="21"/>
                <w:szCs w:val="21"/>
              </w:rPr>
              <w:t>的具体</w:t>
            </w:r>
            <w:r>
              <w:rPr>
                <w:rFonts w:ascii="宋体" w:hAnsi="宋体" w:cs="宋体" w:eastAsia="宋体" w:hint="default"/>
                <w:spacing w:val="-102"/>
                <w:sz w:val="21"/>
                <w:szCs w:val="21"/>
              </w:rPr>
              <w:t> </w:t>
            </w:r>
            <w:r>
              <w:rPr>
                <w:rFonts w:ascii="宋体" w:hAnsi="宋体" w:cs="宋体" w:eastAsia="宋体" w:hint="default"/>
                <w:sz w:val="21"/>
                <w:szCs w:val="21"/>
              </w:rPr>
              <w:t>原因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both"/>
              <w:rPr>
                <w:rFonts w:ascii="宋体" w:hAnsi="宋体" w:cs="宋体" w:eastAsia="宋体" w:hint="default"/>
                <w:sz w:val="21"/>
                <w:szCs w:val="21"/>
              </w:rPr>
            </w:pPr>
            <w:r>
              <w:rPr>
                <w:rFonts w:ascii="宋体" w:hAnsi="宋体" w:cs="宋体" w:eastAsia="宋体" w:hint="default"/>
                <w:sz w:val="21"/>
                <w:szCs w:val="21"/>
              </w:rPr>
              <w:t>如未</w:t>
            </w:r>
          </w:p>
          <w:p>
            <w:pPr>
              <w:pStyle w:val="TableParagraph"/>
              <w:spacing w:line="237" w:lineRule="auto" w:before="2"/>
              <w:ind w:left="139" w:right="137"/>
              <w:jc w:val="both"/>
              <w:rPr>
                <w:rFonts w:ascii="宋体" w:hAnsi="宋体" w:cs="宋体" w:eastAsia="宋体" w:hint="default"/>
                <w:sz w:val="21"/>
                <w:szCs w:val="21"/>
              </w:rPr>
            </w:pPr>
            <w:r>
              <w:rPr>
                <w:rFonts w:ascii="宋体" w:hAnsi="宋体" w:cs="宋体" w:eastAsia="宋体" w:hint="default"/>
                <w:sz w:val="21"/>
                <w:szCs w:val="21"/>
              </w:rPr>
              <w:t>能及</w:t>
            </w:r>
            <w:r>
              <w:rPr>
                <w:rFonts w:ascii="宋体" w:hAnsi="宋体" w:cs="宋体" w:eastAsia="宋体" w:hint="default"/>
                <w:spacing w:val="-103"/>
                <w:sz w:val="21"/>
                <w:szCs w:val="21"/>
              </w:rPr>
              <w:t> </w:t>
            </w:r>
            <w:r>
              <w:rPr>
                <w:rFonts w:ascii="宋体" w:hAnsi="宋体" w:cs="宋体" w:eastAsia="宋体" w:hint="default"/>
                <w:sz w:val="21"/>
                <w:szCs w:val="21"/>
              </w:rPr>
              <w:t>时履</w:t>
            </w:r>
            <w:r>
              <w:rPr>
                <w:rFonts w:ascii="宋体" w:hAnsi="宋体" w:cs="宋体" w:eastAsia="宋体" w:hint="default"/>
                <w:spacing w:val="-103"/>
                <w:sz w:val="21"/>
                <w:szCs w:val="21"/>
              </w:rPr>
              <w:t> </w:t>
            </w:r>
            <w:r>
              <w:rPr>
                <w:rFonts w:ascii="宋体" w:hAnsi="宋体" w:cs="宋体" w:eastAsia="宋体" w:hint="default"/>
                <w:sz w:val="21"/>
                <w:szCs w:val="21"/>
              </w:rPr>
              <w:t>行应</w:t>
            </w:r>
            <w:r>
              <w:rPr>
                <w:rFonts w:ascii="宋体" w:hAnsi="宋体" w:cs="宋体" w:eastAsia="宋体" w:hint="default"/>
                <w:spacing w:val="-103"/>
                <w:sz w:val="21"/>
                <w:szCs w:val="21"/>
              </w:rPr>
              <w:t> </w:t>
            </w:r>
            <w:r>
              <w:rPr>
                <w:rFonts w:ascii="宋体" w:hAnsi="宋体" w:cs="宋体" w:eastAsia="宋体" w:hint="default"/>
                <w:sz w:val="21"/>
                <w:szCs w:val="21"/>
              </w:rPr>
              <w:t>说明</w:t>
            </w:r>
            <w:r>
              <w:rPr>
                <w:rFonts w:ascii="宋体" w:hAnsi="宋体" w:cs="宋体" w:eastAsia="宋体" w:hint="default"/>
                <w:spacing w:val="-103"/>
                <w:sz w:val="21"/>
                <w:szCs w:val="21"/>
              </w:rPr>
              <w:t> </w:t>
            </w:r>
            <w:r>
              <w:rPr>
                <w:rFonts w:ascii="宋体" w:hAnsi="宋体" w:cs="宋体" w:eastAsia="宋体" w:hint="default"/>
                <w:sz w:val="21"/>
                <w:szCs w:val="21"/>
              </w:rPr>
              <w:t>下一</w:t>
            </w:r>
            <w:r>
              <w:rPr>
                <w:rFonts w:ascii="宋体" w:hAnsi="宋体" w:cs="宋体" w:eastAsia="宋体" w:hint="default"/>
                <w:spacing w:val="-103"/>
                <w:sz w:val="21"/>
                <w:szCs w:val="21"/>
              </w:rPr>
              <w:t> </w:t>
            </w:r>
            <w:r>
              <w:rPr>
                <w:rFonts w:ascii="宋体" w:hAnsi="宋体" w:cs="宋体" w:eastAsia="宋体" w:hint="default"/>
                <w:sz w:val="21"/>
                <w:szCs w:val="21"/>
              </w:rPr>
              <w:t>步计</w:t>
            </w:r>
            <w:r>
              <w:rPr>
                <w:rFonts w:ascii="宋体" w:hAnsi="宋体" w:cs="宋体" w:eastAsia="宋体" w:hint="default"/>
                <w:spacing w:val="-103"/>
                <w:sz w:val="21"/>
                <w:szCs w:val="21"/>
              </w:rPr>
              <w:t> </w:t>
            </w:r>
            <w:r>
              <w:rPr>
                <w:rFonts w:ascii="宋体" w:hAnsi="宋体" w:cs="宋体" w:eastAsia="宋体" w:hint="default"/>
                <w:sz w:val="21"/>
                <w:szCs w:val="21"/>
              </w:rPr>
              <w:t>划</w:t>
            </w:r>
          </w:p>
        </w:tc>
      </w:tr>
      <w:tr>
        <w:trPr>
          <w:trHeight w:val="5459"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37" w:lineRule="auto"/>
              <w:ind w:left="103" w:right="118"/>
              <w:jc w:val="both"/>
              <w:rPr>
                <w:rFonts w:ascii="宋体" w:hAnsi="宋体" w:cs="宋体" w:eastAsia="宋体" w:hint="default"/>
                <w:sz w:val="21"/>
                <w:szCs w:val="21"/>
              </w:rPr>
            </w:pPr>
            <w:r>
              <w:rPr>
                <w:rFonts w:ascii="宋体" w:hAnsi="宋体" w:cs="宋体" w:eastAsia="宋体" w:hint="default"/>
                <w:sz w:val="21"/>
                <w:szCs w:val="21"/>
              </w:rPr>
              <w:t>与首次</w:t>
            </w:r>
            <w:r>
              <w:rPr>
                <w:rFonts w:ascii="宋体" w:hAnsi="宋体" w:cs="宋体" w:eastAsia="宋体" w:hint="default"/>
                <w:spacing w:val="-102"/>
                <w:sz w:val="21"/>
                <w:szCs w:val="21"/>
              </w:rPr>
              <w:t> </w:t>
            </w:r>
            <w:r>
              <w:rPr>
                <w:rFonts w:ascii="宋体" w:hAnsi="宋体" w:cs="宋体" w:eastAsia="宋体" w:hint="default"/>
                <w:sz w:val="21"/>
                <w:szCs w:val="21"/>
              </w:rPr>
              <w:t>公开发</w:t>
            </w:r>
            <w:r>
              <w:rPr>
                <w:rFonts w:ascii="宋体" w:hAnsi="宋体" w:cs="宋体" w:eastAsia="宋体" w:hint="default"/>
                <w:spacing w:val="-102"/>
                <w:sz w:val="21"/>
                <w:szCs w:val="21"/>
              </w:rPr>
              <w:t> </w:t>
            </w:r>
            <w:r>
              <w:rPr>
                <w:rFonts w:ascii="宋体" w:hAnsi="宋体" w:cs="宋体" w:eastAsia="宋体" w:hint="default"/>
                <w:sz w:val="21"/>
                <w:szCs w:val="21"/>
              </w:rPr>
              <w:t>行相关</w:t>
            </w:r>
            <w:r>
              <w:rPr>
                <w:rFonts w:ascii="宋体" w:hAnsi="宋体" w:cs="宋体" w:eastAsia="宋体" w:hint="default"/>
                <w:spacing w:val="-102"/>
                <w:sz w:val="21"/>
                <w:szCs w:val="21"/>
              </w:rPr>
              <w:t> </w:t>
            </w:r>
            <w:r>
              <w:rPr>
                <w:rFonts w:ascii="宋体" w:hAnsi="宋体" w:cs="宋体" w:eastAsia="宋体" w:hint="default"/>
                <w:sz w:val="21"/>
                <w:szCs w:val="21"/>
              </w:rPr>
              <w:t>的承诺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解决</w:t>
            </w:r>
          </w:p>
          <w:p>
            <w:pPr>
              <w:pStyle w:val="TableParagraph"/>
              <w:spacing w:line="272" w:lineRule="exact" w:before="27"/>
              <w:ind w:left="100" w:right="173"/>
              <w:jc w:val="left"/>
              <w:rPr>
                <w:rFonts w:ascii="宋体" w:hAnsi="宋体" w:cs="宋体" w:eastAsia="宋体" w:hint="default"/>
                <w:sz w:val="21"/>
                <w:szCs w:val="21"/>
              </w:rPr>
            </w:pPr>
            <w:r>
              <w:rPr>
                <w:rFonts w:ascii="宋体" w:hAnsi="宋体" w:cs="宋体" w:eastAsia="宋体" w:hint="default"/>
                <w:sz w:val="21"/>
                <w:szCs w:val="21"/>
              </w:rPr>
              <w:t>同业</w:t>
            </w:r>
            <w:r>
              <w:rPr>
                <w:rFonts w:ascii="宋体" w:hAnsi="宋体" w:cs="宋体" w:eastAsia="宋体" w:hint="default"/>
                <w:spacing w:val="-103"/>
                <w:sz w:val="21"/>
                <w:szCs w:val="21"/>
              </w:rPr>
              <w:t> </w:t>
            </w:r>
            <w:r>
              <w:rPr>
                <w:rFonts w:ascii="宋体" w:hAnsi="宋体" w:cs="宋体" w:eastAsia="宋体" w:hint="default"/>
                <w:sz w:val="21"/>
                <w:szCs w:val="21"/>
              </w:rPr>
              <w:t>竞争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恒融投资</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1</w:t>
            </w:r>
            <w:r>
              <w:rPr>
                <w:rFonts w:ascii="宋体" w:hAnsi="宋体" w:cs="宋体" w:eastAsia="宋体" w:hint="default"/>
                <w:spacing w:val="-4"/>
                <w:sz w:val="21"/>
                <w:szCs w:val="21"/>
              </w:rPr>
              <w:t>、截至承诺函出具之日，恒融投资未直接或间接投资于任何与发行人现有业务存在</w:t>
            </w:r>
            <w:r>
              <w:rPr>
                <w:rFonts w:ascii="宋体" w:hAnsi="宋体" w:cs="宋体" w:eastAsia="宋体" w:hint="default"/>
                <w:sz w:val="21"/>
                <w:szCs w:val="21"/>
              </w:rPr>
            </w:r>
          </w:p>
          <w:p>
            <w:pPr>
              <w:pStyle w:val="TableParagraph"/>
              <w:spacing w:line="237" w:lineRule="auto" w:before="2"/>
              <w:ind w:left="103" w:right="98"/>
              <w:jc w:val="left"/>
              <w:rPr>
                <w:rFonts w:ascii="宋体" w:hAnsi="宋体" w:cs="宋体" w:eastAsia="宋体" w:hint="default"/>
                <w:sz w:val="21"/>
                <w:szCs w:val="21"/>
              </w:rPr>
            </w:pPr>
            <w:r>
              <w:rPr>
                <w:rFonts w:ascii="宋体" w:hAnsi="宋体" w:cs="宋体" w:eastAsia="宋体" w:hint="default"/>
                <w:spacing w:val="-1"/>
                <w:sz w:val="21"/>
                <w:szCs w:val="21"/>
              </w:rPr>
              <w:t>相同或类似业务的公司、企业或其他经营实体；未经营也没有为他人经营与发行人</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1"/>
                <w:sz w:val="21"/>
                <w:szCs w:val="21"/>
              </w:rPr>
              <w:t>相同或类似的业务；恒融投资与发行人不存在同业竞争。在今后的任何时间内，恒</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1"/>
                <w:sz w:val="21"/>
                <w:szCs w:val="21"/>
              </w:rPr>
              <w:t>融投资或恒融投资届时控股或实际控制的公司也不会以任何方式在中国境内外直接</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1"/>
                <w:sz w:val="21"/>
                <w:szCs w:val="21"/>
              </w:rPr>
              <w:t>或间接参与任何导致或可能导致与发行人主营业务直接或间接产生竞争的业务或活</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动，亦不生产任何与发行人相同或相似的产品；</w:t>
            </w:r>
            <w:r>
              <w:rPr>
                <w:rFonts w:ascii="宋体" w:hAnsi="宋体" w:cs="宋体" w:eastAsia="宋体" w:hint="default"/>
                <w:w w:val="100"/>
                <w:sz w:val="21"/>
                <w:szCs w:val="21"/>
              </w:rPr>
              <w:t> </w:t>
            </w:r>
            <w:r>
              <w:rPr>
                <w:rFonts w:ascii="宋体" w:hAnsi="宋体" w:cs="宋体" w:eastAsia="宋体" w:hint="default"/>
                <w:spacing w:val="-4"/>
                <w:w w:val="100"/>
                <w:sz w:val="21"/>
                <w:szCs w:val="21"/>
              </w:rPr>
              <w:t>2</w:t>
            </w:r>
            <w:r>
              <w:rPr>
                <w:rFonts w:ascii="宋体" w:hAnsi="宋体" w:cs="宋体" w:eastAsia="宋体" w:hint="default"/>
                <w:spacing w:val="-4"/>
                <w:w w:val="100"/>
                <w:sz w:val="21"/>
                <w:szCs w:val="21"/>
              </w:rPr>
              <w:t>、若发行人认为恒融投资或恒融投资控股或实际控制的公司从事了对发行人业务构</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1"/>
                <w:sz w:val="21"/>
                <w:szCs w:val="21"/>
              </w:rPr>
              <w:t>成竞争的业务，恒融投资将及时转让或者终止、或促成恒融投资控股或实际控制的</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1"/>
                <w:sz w:val="21"/>
                <w:szCs w:val="21"/>
              </w:rPr>
              <w:t>公司转让或终止该等业务。若发行人提出受让请求，恒融投资将无条件按公允价格</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1"/>
                <w:sz w:val="21"/>
                <w:szCs w:val="21"/>
              </w:rPr>
              <w:t>和法定程序将该等业务优先转让、或促成恒融投资控股或实际控制的公司将该等业</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务优先转让给发行人；</w:t>
            </w:r>
            <w:r>
              <w:rPr>
                <w:rFonts w:ascii="宋体" w:hAnsi="宋体" w:cs="宋体" w:eastAsia="宋体" w:hint="default"/>
                <w:w w:val="100"/>
                <w:sz w:val="21"/>
                <w:szCs w:val="21"/>
              </w:rPr>
              <w:t> </w:t>
            </w:r>
            <w:r>
              <w:rPr>
                <w:rFonts w:ascii="宋体" w:hAnsi="宋体" w:cs="宋体" w:eastAsia="宋体" w:hint="default"/>
                <w:spacing w:val="-4"/>
                <w:sz w:val="21"/>
                <w:szCs w:val="21"/>
              </w:rPr>
              <w:t>3</w:t>
            </w:r>
            <w:r>
              <w:rPr>
                <w:rFonts w:ascii="宋体" w:hAnsi="宋体" w:cs="宋体" w:eastAsia="宋体" w:hint="default"/>
                <w:spacing w:val="-4"/>
                <w:sz w:val="21"/>
                <w:szCs w:val="21"/>
              </w:rPr>
              <w:t>、若发行人今后从事新的业务领域，则恒融投资或恒融投资控股、实际控制的其他</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公司将不从事与发行人新的业务领域相同或相似的业务活动；</w:t>
            </w:r>
            <w:r>
              <w:rPr>
                <w:rFonts w:ascii="宋体" w:hAnsi="宋体" w:cs="宋体" w:eastAsia="宋体" w:hint="default"/>
                <w:w w:val="100"/>
                <w:sz w:val="21"/>
                <w:szCs w:val="21"/>
              </w:rPr>
              <w:t> </w:t>
            </w:r>
            <w:r>
              <w:rPr>
                <w:rFonts w:ascii="宋体" w:hAnsi="宋体" w:cs="宋体" w:eastAsia="宋体" w:hint="default"/>
                <w:spacing w:val="-4"/>
                <w:w w:val="100"/>
                <w:sz w:val="21"/>
                <w:szCs w:val="21"/>
              </w:rPr>
              <w:t>4</w:t>
            </w:r>
            <w:r>
              <w:rPr>
                <w:rFonts w:ascii="宋体" w:hAnsi="宋体" w:cs="宋体" w:eastAsia="宋体" w:hint="default"/>
                <w:spacing w:val="-4"/>
                <w:w w:val="100"/>
                <w:sz w:val="21"/>
                <w:szCs w:val="21"/>
              </w:rPr>
              <w:t>、如果恒融投资或恒融投资控股或实际控制的企业将来可能获得任何与发行人产生</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1"/>
                <w:sz w:val="21"/>
                <w:szCs w:val="21"/>
              </w:rPr>
              <w:t>直接或者间接竞争的业务机会，恒融投资将立即通知发行人并尽力促成该等业务机</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会按照发行人能够接受的合理条款和条件首先提供给发行人；</w:t>
            </w:r>
            <w:r>
              <w:rPr>
                <w:rFonts w:ascii="宋体" w:hAnsi="宋体" w:cs="宋体" w:eastAsia="宋体" w:hint="default"/>
                <w:w w:val="100"/>
                <w:sz w:val="21"/>
                <w:szCs w:val="21"/>
              </w:rPr>
              <w:t> </w:t>
            </w:r>
            <w:r>
              <w:rPr>
                <w:rFonts w:ascii="宋体" w:hAnsi="宋体" w:cs="宋体" w:eastAsia="宋体" w:hint="default"/>
                <w:spacing w:val="-4"/>
                <w:sz w:val="21"/>
                <w:szCs w:val="21"/>
              </w:rPr>
              <w:t>5</w:t>
            </w:r>
            <w:r>
              <w:rPr>
                <w:rFonts w:ascii="宋体" w:hAnsi="宋体" w:cs="宋体" w:eastAsia="宋体" w:hint="default"/>
                <w:spacing w:val="-4"/>
                <w:sz w:val="21"/>
                <w:szCs w:val="21"/>
              </w:rPr>
              <w:t>、恒融投资将保证合法、合理地运用股东权利，不采取任何限制或影响发行人正常</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经营的行为；</w:t>
            </w:r>
            <w:r>
              <w:rPr>
                <w:rFonts w:ascii="宋体" w:hAnsi="宋体" w:cs="宋体" w:eastAsia="宋体" w:hint="default"/>
                <w:w w:val="100"/>
                <w:sz w:val="21"/>
                <w:szCs w:val="21"/>
              </w:rPr>
              <w:t> </w:t>
            </w:r>
            <w:r>
              <w:rPr>
                <w:rFonts w:ascii="宋体" w:hAnsi="宋体" w:cs="宋体" w:eastAsia="宋体" w:hint="default"/>
                <w:spacing w:val="-4"/>
                <w:w w:val="100"/>
                <w:sz w:val="21"/>
                <w:szCs w:val="21"/>
              </w:rPr>
              <w:t>6</w:t>
            </w:r>
            <w:r>
              <w:rPr>
                <w:rFonts w:ascii="宋体" w:hAnsi="宋体" w:cs="宋体" w:eastAsia="宋体" w:hint="default"/>
                <w:spacing w:val="-4"/>
                <w:w w:val="100"/>
                <w:sz w:val="21"/>
                <w:szCs w:val="21"/>
              </w:rPr>
              <w:t>、如因恒融投资或恒融投资控股或实际控制的公司违反本承诺而导致发行人遭受损</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z w:val="21"/>
                <w:szCs w:val="21"/>
              </w:rPr>
              <w:t>失、损害和开支，将由恒融投资予以全额赔偿。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承诺时间：</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3</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37" w:lineRule="auto"/>
              <w:ind w:left="103" w:right="96"/>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47"/>
                <w:sz w:val="21"/>
                <w:szCs w:val="21"/>
              </w:rPr>
              <w:t> </w:t>
            </w:r>
            <w:r>
              <w:rPr>
                <w:rFonts w:ascii="宋体" w:hAnsi="宋体" w:cs="宋体" w:eastAsia="宋体" w:hint="default"/>
                <w:spacing w:val="-12"/>
                <w:sz w:val="21"/>
                <w:szCs w:val="21"/>
              </w:rPr>
              <w:t>日，承诺</w:t>
            </w:r>
            <w:r>
              <w:rPr>
                <w:rFonts w:ascii="宋体" w:hAnsi="宋体" w:cs="宋体" w:eastAsia="宋体" w:hint="default"/>
                <w:w w:val="100"/>
                <w:sz w:val="21"/>
                <w:szCs w:val="21"/>
              </w:rPr>
              <w:t> </w:t>
            </w:r>
            <w:r>
              <w:rPr>
                <w:rFonts w:ascii="宋体" w:hAnsi="宋体" w:cs="宋体" w:eastAsia="宋体" w:hint="default"/>
                <w:sz w:val="21"/>
                <w:szCs w:val="21"/>
              </w:rPr>
              <w:t>期限：</w:t>
            </w:r>
            <w:r>
              <w:rPr>
                <w:rFonts w:ascii="宋体" w:hAnsi="宋体" w:cs="宋体" w:eastAsia="宋体" w:hint="default"/>
                <w:sz w:val="21"/>
                <w:szCs w:val="21"/>
              </w:rPr>
              <w:t>2016</w:t>
            </w:r>
            <w:r>
              <w:rPr>
                <w:rFonts w:ascii="宋体" w:hAnsi="宋体" w:cs="宋体" w:eastAsia="宋体" w:hint="default"/>
                <w:spacing w:val="-10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103"/>
                <w:sz w:val="21"/>
                <w:szCs w:val="21"/>
              </w:rPr>
              <w:t> </w:t>
            </w:r>
            <w:r>
              <w:rPr>
                <w:rFonts w:ascii="宋体" w:hAnsi="宋体" w:cs="宋体" w:eastAsia="宋体" w:hint="default"/>
                <w:sz w:val="21"/>
                <w:szCs w:val="21"/>
              </w:rPr>
              <w:t>日—长期</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1" w:lineRule="exact"/>
        <w:jc w:val="center"/>
        <w:rPr>
          <w:rFonts w:ascii="宋体" w:hAnsi="宋体" w:cs="宋体" w:eastAsia="宋体" w:hint="default"/>
          <w:sz w:val="21"/>
          <w:szCs w:val="21"/>
        </w:rPr>
        <w:sectPr>
          <w:headerReference w:type="default" r:id="rId16"/>
          <w:footerReference w:type="default" r:id="rId17"/>
          <w:pgSz w:w="16840" w:h="11910" w:orient="landscape"/>
          <w:pgMar w:header="882" w:footer="1195" w:top="1120" w:bottom="1380" w:left="1200" w:right="920"/>
          <w:pgNumType w:start="3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867"/>
        <w:gridCol w:w="708"/>
        <w:gridCol w:w="1133"/>
        <w:gridCol w:w="7799"/>
        <w:gridCol w:w="1274"/>
        <w:gridCol w:w="569"/>
        <w:gridCol w:w="566"/>
        <w:gridCol w:w="850"/>
        <w:gridCol w:w="710"/>
      </w:tblGrid>
      <w:tr>
        <w:trPr>
          <w:trHeight w:val="5185"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71"/>
              <w:ind w:left="103" w:right="118"/>
              <w:jc w:val="both"/>
              <w:rPr>
                <w:rFonts w:ascii="宋体" w:hAnsi="宋体" w:cs="宋体" w:eastAsia="宋体" w:hint="default"/>
                <w:sz w:val="21"/>
                <w:szCs w:val="21"/>
              </w:rPr>
            </w:pPr>
            <w:r>
              <w:rPr>
                <w:rFonts w:ascii="宋体" w:hAnsi="宋体" w:cs="宋体" w:eastAsia="宋体" w:hint="default"/>
                <w:sz w:val="21"/>
                <w:szCs w:val="21"/>
              </w:rPr>
              <w:t>与首次</w:t>
            </w:r>
            <w:r>
              <w:rPr>
                <w:rFonts w:ascii="宋体" w:hAnsi="宋体" w:cs="宋体" w:eastAsia="宋体" w:hint="default"/>
                <w:spacing w:val="-102"/>
                <w:sz w:val="21"/>
                <w:szCs w:val="21"/>
              </w:rPr>
              <w:t> </w:t>
            </w:r>
            <w:r>
              <w:rPr>
                <w:rFonts w:ascii="宋体" w:hAnsi="宋体" w:cs="宋体" w:eastAsia="宋体" w:hint="default"/>
                <w:sz w:val="21"/>
                <w:szCs w:val="21"/>
              </w:rPr>
              <w:t>公开发</w:t>
            </w:r>
            <w:r>
              <w:rPr>
                <w:rFonts w:ascii="宋体" w:hAnsi="宋体" w:cs="宋体" w:eastAsia="宋体" w:hint="default"/>
                <w:spacing w:val="-102"/>
                <w:sz w:val="21"/>
                <w:szCs w:val="21"/>
              </w:rPr>
              <w:t> </w:t>
            </w:r>
            <w:r>
              <w:rPr>
                <w:rFonts w:ascii="宋体" w:hAnsi="宋体" w:cs="宋体" w:eastAsia="宋体" w:hint="default"/>
                <w:sz w:val="21"/>
                <w:szCs w:val="21"/>
              </w:rPr>
              <w:t>行相关</w:t>
            </w:r>
            <w:r>
              <w:rPr>
                <w:rFonts w:ascii="宋体" w:hAnsi="宋体" w:cs="宋体" w:eastAsia="宋体" w:hint="default"/>
                <w:spacing w:val="-102"/>
                <w:sz w:val="21"/>
                <w:szCs w:val="21"/>
              </w:rPr>
              <w:t> </w:t>
            </w:r>
            <w:r>
              <w:rPr>
                <w:rFonts w:ascii="宋体" w:hAnsi="宋体" w:cs="宋体" w:eastAsia="宋体" w:hint="default"/>
                <w:sz w:val="21"/>
                <w:szCs w:val="21"/>
              </w:rPr>
              <w:t>的承诺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解决</w:t>
            </w:r>
          </w:p>
          <w:p>
            <w:pPr>
              <w:pStyle w:val="TableParagraph"/>
              <w:spacing w:line="240" w:lineRule="auto"/>
              <w:ind w:left="100" w:right="173"/>
              <w:jc w:val="left"/>
              <w:rPr>
                <w:rFonts w:ascii="宋体" w:hAnsi="宋体" w:cs="宋体" w:eastAsia="宋体" w:hint="default"/>
                <w:sz w:val="21"/>
                <w:szCs w:val="21"/>
              </w:rPr>
            </w:pPr>
            <w:r>
              <w:rPr>
                <w:rFonts w:ascii="宋体" w:hAnsi="宋体" w:cs="宋体" w:eastAsia="宋体" w:hint="default"/>
                <w:sz w:val="21"/>
                <w:szCs w:val="21"/>
              </w:rPr>
              <w:t>同业</w:t>
            </w:r>
            <w:r>
              <w:rPr>
                <w:rFonts w:ascii="宋体" w:hAnsi="宋体" w:cs="宋体" w:eastAsia="宋体" w:hint="default"/>
                <w:spacing w:val="-103"/>
                <w:sz w:val="21"/>
                <w:szCs w:val="21"/>
              </w:rPr>
              <w:t> </w:t>
            </w:r>
            <w:r>
              <w:rPr>
                <w:rFonts w:ascii="宋体" w:hAnsi="宋体" w:cs="宋体" w:eastAsia="宋体" w:hint="default"/>
                <w:sz w:val="21"/>
                <w:szCs w:val="21"/>
              </w:rPr>
              <w:t>竞争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实际控制</w:t>
            </w:r>
          </w:p>
          <w:p>
            <w:pPr>
              <w:pStyle w:val="TableParagraph"/>
              <w:spacing w:line="237" w:lineRule="auto"/>
              <w:ind w:left="103" w:right="179"/>
              <w:jc w:val="left"/>
              <w:rPr>
                <w:rFonts w:ascii="宋体" w:hAnsi="宋体" w:cs="宋体" w:eastAsia="宋体" w:hint="default"/>
                <w:sz w:val="21"/>
                <w:szCs w:val="21"/>
              </w:rPr>
            </w:pPr>
            <w:r>
              <w:rPr>
                <w:rFonts w:ascii="宋体" w:hAnsi="宋体" w:cs="宋体" w:eastAsia="宋体" w:hint="default"/>
                <w:sz w:val="21"/>
                <w:szCs w:val="21"/>
              </w:rPr>
              <w:t>人江浩</w:t>
            </w:r>
            <w:r>
              <w:rPr>
                <w:rFonts w:ascii="宋体" w:hAnsi="宋体" w:cs="宋体" w:eastAsia="宋体" w:hint="default"/>
                <w:spacing w:val="-102"/>
                <w:sz w:val="21"/>
                <w:szCs w:val="21"/>
              </w:rPr>
              <w:t> </w:t>
            </w:r>
            <w:r>
              <w:rPr>
                <w:rFonts w:ascii="宋体" w:hAnsi="宋体" w:cs="宋体" w:eastAsia="宋体" w:hint="default"/>
                <w:sz w:val="21"/>
                <w:szCs w:val="21"/>
              </w:rPr>
              <w:t>然、股东</w:t>
            </w:r>
            <w:r>
              <w:rPr>
                <w:rFonts w:ascii="宋体" w:hAnsi="宋体" w:cs="宋体" w:eastAsia="宋体" w:hint="default"/>
                <w:spacing w:val="-3"/>
                <w:w w:val="100"/>
                <w:sz w:val="21"/>
                <w:szCs w:val="21"/>
              </w:rPr>
              <w:t> </w:t>
            </w:r>
            <w:r>
              <w:rPr>
                <w:rFonts w:ascii="宋体" w:hAnsi="宋体" w:cs="宋体" w:eastAsia="宋体" w:hint="default"/>
                <w:sz w:val="21"/>
                <w:szCs w:val="21"/>
              </w:rPr>
              <w:t>王淑琴</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1</w:t>
            </w:r>
            <w:r>
              <w:rPr>
                <w:rFonts w:ascii="宋体" w:hAnsi="宋体" w:cs="宋体" w:eastAsia="宋体" w:hint="default"/>
                <w:spacing w:val="-4"/>
                <w:sz w:val="21"/>
                <w:szCs w:val="21"/>
              </w:rPr>
              <w:t>、截至承诺函出具之日，本人未直接或间接投资于任何与发行人现有业务存在相同</w:t>
            </w:r>
            <w:r>
              <w:rPr>
                <w:rFonts w:ascii="宋体" w:hAnsi="宋体" w:cs="宋体" w:eastAsia="宋体" w:hint="default"/>
                <w:sz w:val="21"/>
                <w:szCs w:val="21"/>
              </w:rPr>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pacing w:val="-1"/>
                <w:sz w:val="21"/>
                <w:szCs w:val="21"/>
              </w:rPr>
              <w:t>或类似业务的公司、企业或其他经营实体；未经营也没有为他人经营与发行人相同</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1"/>
                <w:sz w:val="21"/>
                <w:szCs w:val="21"/>
              </w:rPr>
              <w:t>或类似的业务；本人与发行人不存在同业竞争。在今后的任何时间内，本人或本人</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1"/>
                <w:sz w:val="21"/>
                <w:szCs w:val="21"/>
              </w:rPr>
              <w:t>届时控股或实际控制的公司也不会以任何方式在中国境内外直接或间接参与任何导</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1"/>
                <w:sz w:val="21"/>
                <w:szCs w:val="21"/>
              </w:rPr>
              <w:t>致或可能导致与发行人主营业务直接或间接产生竞争的业务或活动，亦不生产任何</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与发行人相同或相似的产品；</w:t>
            </w:r>
            <w:r>
              <w:rPr>
                <w:rFonts w:ascii="宋体" w:hAnsi="宋体" w:cs="宋体" w:eastAsia="宋体" w:hint="default"/>
                <w:w w:val="100"/>
                <w:sz w:val="21"/>
                <w:szCs w:val="21"/>
              </w:rPr>
              <w:t> </w:t>
            </w:r>
            <w:r>
              <w:rPr>
                <w:rFonts w:ascii="宋体" w:hAnsi="宋体" w:cs="宋体" w:eastAsia="宋体" w:hint="default"/>
                <w:spacing w:val="-4"/>
                <w:w w:val="100"/>
                <w:sz w:val="21"/>
                <w:szCs w:val="21"/>
              </w:rPr>
              <w:t>2</w:t>
            </w:r>
            <w:r>
              <w:rPr>
                <w:rFonts w:ascii="宋体" w:hAnsi="宋体" w:cs="宋体" w:eastAsia="宋体" w:hint="default"/>
                <w:spacing w:val="-4"/>
                <w:w w:val="100"/>
                <w:sz w:val="21"/>
                <w:szCs w:val="21"/>
              </w:rPr>
              <w:t>、若发行人认为本人或本人控股或实际控制的公司从事了对发行人业务构成竞争的</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1"/>
                <w:sz w:val="21"/>
                <w:szCs w:val="21"/>
              </w:rPr>
              <w:t>业务，本人将及时转让或者终止、或促成本人控股或实际控制的公司转让或终止该</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1"/>
                <w:sz w:val="21"/>
                <w:szCs w:val="21"/>
              </w:rPr>
              <w:t>等业务。若发行人提出受让请求，本人将无条件按公允价格和法定程序将该等业务</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优先转让、或促成本人控股或实际控制的公司将该等业务优先转让给发行人；</w:t>
            </w:r>
            <w:r>
              <w:rPr>
                <w:rFonts w:ascii="宋体" w:hAnsi="宋体" w:cs="宋体" w:eastAsia="宋体" w:hint="default"/>
                <w:w w:val="100"/>
                <w:sz w:val="21"/>
                <w:szCs w:val="21"/>
              </w:rPr>
              <w:t> </w:t>
            </w:r>
            <w:r>
              <w:rPr>
                <w:rFonts w:ascii="宋体" w:hAnsi="宋体" w:cs="宋体" w:eastAsia="宋体" w:hint="default"/>
                <w:spacing w:val="-4"/>
                <w:sz w:val="21"/>
                <w:szCs w:val="21"/>
              </w:rPr>
              <w:t>3</w:t>
            </w:r>
            <w:r>
              <w:rPr>
                <w:rFonts w:ascii="宋体" w:hAnsi="宋体" w:cs="宋体" w:eastAsia="宋体" w:hint="default"/>
                <w:spacing w:val="-4"/>
                <w:sz w:val="21"/>
                <w:szCs w:val="21"/>
              </w:rPr>
              <w:t>、若发行人今后从事新的业务领域，则本人或本人控股、实际控制的其他公司将不</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从事与发行人新的业务领域相同或相似的业务活动；</w:t>
            </w:r>
            <w:r>
              <w:rPr>
                <w:rFonts w:ascii="宋体" w:hAnsi="宋体" w:cs="宋体" w:eastAsia="宋体" w:hint="default"/>
                <w:w w:val="100"/>
                <w:sz w:val="21"/>
                <w:szCs w:val="21"/>
              </w:rPr>
              <w:t> </w:t>
            </w:r>
            <w:r>
              <w:rPr>
                <w:rFonts w:ascii="宋体" w:hAnsi="宋体" w:cs="宋体" w:eastAsia="宋体" w:hint="default"/>
                <w:spacing w:val="-4"/>
                <w:w w:val="100"/>
                <w:sz w:val="21"/>
                <w:szCs w:val="21"/>
              </w:rPr>
              <w:t>4</w:t>
            </w:r>
            <w:r>
              <w:rPr>
                <w:rFonts w:ascii="宋体" w:hAnsi="宋体" w:cs="宋体" w:eastAsia="宋体" w:hint="default"/>
                <w:spacing w:val="-4"/>
                <w:w w:val="100"/>
                <w:sz w:val="21"/>
                <w:szCs w:val="21"/>
              </w:rPr>
              <w:t>、如果本人或本人控股或实际控制的企业将来可能获得任何与发行人产生直接或者</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1"/>
                <w:sz w:val="21"/>
                <w:szCs w:val="21"/>
              </w:rPr>
              <w:t>间接竞争的业务机会，本人将立即通知发行人并尽力促成该等业务机会按照发行人</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能够接受的合理条款和条件首先提供给发行人；</w:t>
            </w:r>
            <w:r>
              <w:rPr>
                <w:rFonts w:ascii="宋体" w:hAnsi="宋体" w:cs="宋体" w:eastAsia="宋体" w:hint="default"/>
                <w:w w:val="100"/>
                <w:sz w:val="21"/>
                <w:szCs w:val="21"/>
              </w:rPr>
              <w:t> </w:t>
            </w:r>
            <w:r>
              <w:rPr>
                <w:rFonts w:ascii="宋体" w:hAnsi="宋体" w:cs="宋体" w:eastAsia="宋体" w:hint="default"/>
                <w:spacing w:val="-4"/>
                <w:sz w:val="21"/>
                <w:szCs w:val="21"/>
              </w:rPr>
              <w:t>5</w:t>
            </w:r>
            <w:r>
              <w:rPr>
                <w:rFonts w:ascii="宋体" w:hAnsi="宋体" w:cs="宋体" w:eastAsia="宋体" w:hint="default"/>
                <w:spacing w:val="-4"/>
                <w:sz w:val="21"/>
                <w:szCs w:val="21"/>
              </w:rPr>
              <w:t>、本人将保证合法、合理地运用股东权利，不采取任何限制或影响发行人正常经营</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的行为；</w:t>
            </w:r>
            <w:r>
              <w:rPr>
                <w:rFonts w:ascii="宋体" w:hAnsi="宋体" w:cs="宋体" w:eastAsia="宋体" w:hint="default"/>
                <w:w w:val="100"/>
                <w:sz w:val="21"/>
                <w:szCs w:val="21"/>
              </w:rPr>
              <w:t> </w:t>
            </w:r>
            <w:r>
              <w:rPr>
                <w:rFonts w:ascii="宋体" w:hAnsi="宋体" w:cs="宋体" w:eastAsia="宋体" w:hint="default"/>
                <w:spacing w:val="-4"/>
                <w:sz w:val="21"/>
                <w:szCs w:val="21"/>
              </w:rPr>
              <w:t>6</w:t>
            </w:r>
            <w:r>
              <w:rPr>
                <w:rFonts w:ascii="宋体" w:hAnsi="宋体" w:cs="宋体" w:eastAsia="宋体" w:hint="default"/>
                <w:spacing w:val="-4"/>
                <w:sz w:val="21"/>
                <w:szCs w:val="21"/>
              </w:rPr>
              <w:t>、如因本人或本人控股或实际控制的公司违反本承诺而导致发行人遭受损失、损害</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和开支，将由本人予以全额赔偿。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承诺时间：</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3</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37" w:lineRule="auto" w:before="2"/>
              <w:ind w:left="103" w:right="96"/>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47"/>
                <w:sz w:val="21"/>
                <w:szCs w:val="21"/>
              </w:rPr>
              <w:t> </w:t>
            </w:r>
            <w:r>
              <w:rPr>
                <w:rFonts w:ascii="宋体" w:hAnsi="宋体" w:cs="宋体" w:eastAsia="宋体" w:hint="default"/>
                <w:spacing w:val="-12"/>
                <w:sz w:val="21"/>
                <w:szCs w:val="21"/>
              </w:rPr>
              <w:t>日，承诺</w:t>
            </w:r>
            <w:r>
              <w:rPr>
                <w:rFonts w:ascii="宋体" w:hAnsi="宋体" w:cs="宋体" w:eastAsia="宋体" w:hint="default"/>
                <w:w w:val="100"/>
                <w:sz w:val="21"/>
                <w:szCs w:val="21"/>
              </w:rPr>
              <w:t> </w:t>
            </w:r>
            <w:r>
              <w:rPr>
                <w:rFonts w:ascii="宋体" w:hAnsi="宋体" w:cs="宋体" w:eastAsia="宋体" w:hint="default"/>
                <w:sz w:val="21"/>
                <w:szCs w:val="21"/>
              </w:rPr>
              <w:t>期限：</w:t>
            </w:r>
            <w:r>
              <w:rPr>
                <w:rFonts w:ascii="宋体" w:hAnsi="宋体" w:cs="宋体" w:eastAsia="宋体" w:hint="default"/>
                <w:sz w:val="21"/>
                <w:szCs w:val="21"/>
              </w:rPr>
              <w:t>2016</w:t>
            </w:r>
            <w:r>
              <w:rPr>
                <w:rFonts w:ascii="宋体" w:hAnsi="宋体" w:cs="宋体" w:eastAsia="宋体" w:hint="default"/>
                <w:spacing w:val="-10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103"/>
                <w:sz w:val="21"/>
                <w:szCs w:val="21"/>
              </w:rPr>
              <w:t> </w:t>
            </w:r>
            <w:r>
              <w:rPr>
                <w:rFonts w:ascii="宋体" w:hAnsi="宋体" w:cs="宋体" w:eastAsia="宋体" w:hint="default"/>
                <w:sz w:val="21"/>
                <w:szCs w:val="21"/>
              </w:rPr>
              <w:t>日—长期</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5"/>
              <w:jc w:val="righ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734"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37" w:lineRule="auto"/>
              <w:ind w:left="103" w:right="118"/>
              <w:jc w:val="both"/>
              <w:rPr>
                <w:rFonts w:ascii="宋体" w:hAnsi="宋体" w:cs="宋体" w:eastAsia="宋体" w:hint="default"/>
                <w:sz w:val="21"/>
                <w:szCs w:val="21"/>
              </w:rPr>
            </w:pPr>
            <w:r>
              <w:rPr>
                <w:rFonts w:ascii="宋体" w:hAnsi="宋体" w:cs="宋体" w:eastAsia="宋体" w:hint="default"/>
                <w:sz w:val="21"/>
                <w:szCs w:val="21"/>
              </w:rPr>
              <w:t>与首次</w:t>
            </w:r>
            <w:r>
              <w:rPr>
                <w:rFonts w:ascii="宋体" w:hAnsi="宋体" w:cs="宋体" w:eastAsia="宋体" w:hint="default"/>
                <w:spacing w:val="-102"/>
                <w:sz w:val="21"/>
                <w:szCs w:val="21"/>
              </w:rPr>
              <w:t> </w:t>
            </w:r>
            <w:r>
              <w:rPr>
                <w:rFonts w:ascii="宋体" w:hAnsi="宋体" w:cs="宋体" w:eastAsia="宋体" w:hint="default"/>
                <w:sz w:val="21"/>
                <w:szCs w:val="21"/>
              </w:rPr>
              <w:t>公开发</w:t>
            </w:r>
            <w:r>
              <w:rPr>
                <w:rFonts w:ascii="宋体" w:hAnsi="宋体" w:cs="宋体" w:eastAsia="宋体" w:hint="default"/>
                <w:spacing w:val="-102"/>
                <w:sz w:val="21"/>
                <w:szCs w:val="21"/>
              </w:rPr>
              <w:t> </w:t>
            </w:r>
            <w:r>
              <w:rPr>
                <w:rFonts w:ascii="宋体" w:hAnsi="宋体" w:cs="宋体" w:eastAsia="宋体" w:hint="default"/>
                <w:sz w:val="21"/>
                <w:szCs w:val="21"/>
              </w:rPr>
              <w:t>行相关</w:t>
            </w:r>
            <w:r>
              <w:rPr>
                <w:rFonts w:ascii="宋体" w:hAnsi="宋体" w:cs="宋体" w:eastAsia="宋体" w:hint="default"/>
                <w:spacing w:val="-102"/>
                <w:sz w:val="21"/>
                <w:szCs w:val="21"/>
              </w:rPr>
              <w:t> </w:t>
            </w:r>
            <w:r>
              <w:rPr>
                <w:rFonts w:ascii="宋体" w:hAnsi="宋体" w:cs="宋体" w:eastAsia="宋体" w:hint="default"/>
                <w:sz w:val="21"/>
                <w:szCs w:val="21"/>
              </w:rPr>
              <w:t>的承诺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解决</w:t>
            </w:r>
          </w:p>
          <w:p>
            <w:pPr>
              <w:pStyle w:val="TableParagraph"/>
              <w:spacing w:line="272" w:lineRule="exact" w:before="27"/>
              <w:ind w:left="100" w:right="173"/>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实际控制</w:t>
            </w:r>
          </w:p>
          <w:p>
            <w:pPr>
              <w:pStyle w:val="TableParagraph"/>
              <w:spacing w:line="237" w:lineRule="auto" w:before="2"/>
              <w:ind w:left="103" w:right="175"/>
              <w:jc w:val="left"/>
              <w:rPr>
                <w:rFonts w:ascii="宋体" w:hAnsi="宋体" w:cs="宋体" w:eastAsia="宋体" w:hint="default"/>
                <w:sz w:val="21"/>
                <w:szCs w:val="21"/>
              </w:rPr>
            </w:pPr>
            <w:r>
              <w:rPr>
                <w:rFonts w:ascii="宋体" w:hAnsi="宋体" w:cs="宋体" w:eastAsia="宋体" w:hint="default"/>
                <w:sz w:val="21"/>
                <w:szCs w:val="21"/>
              </w:rPr>
              <w:t>人江浩</w:t>
            </w:r>
            <w:r>
              <w:rPr>
                <w:rFonts w:ascii="宋体" w:hAnsi="宋体" w:cs="宋体" w:eastAsia="宋体" w:hint="default"/>
                <w:spacing w:val="-102"/>
                <w:sz w:val="21"/>
                <w:szCs w:val="21"/>
              </w:rPr>
              <w:t> </w:t>
            </w:r>
            <w:r>
              <w:rPr>
                <w:rFonts w:ascii="宋体" w:hAnsi="宋体" w:cs="宋体" w:eastAsia="宋体" w:hint="default"/>
                <w:sz w:val="21"/>
                <w:szCs w:val="21"/>
              </w:rPr>
              <w:t>然、股东</w:t>
            </w:r>
            <w:r>
              <w:rPr>
                <w:rFonts w:ascii="宋体" w:hAnsi="宋体" w:cs="宋体" w:eastAsia="宋体" w:hint="default"/>
                <w:w w:val="100"/>
                <w:sz w:val="21"/>
                <w:szCs w:val="21"/>
              </w:rPr>
              <w:t> </w:t>
            </w:r>
            <w:r>
              <w:rPr>
                <w:rFonts w:ascii="宋体" w:hAnsi="宋体" w:cs="宋体" w:eastAsia="宋体" w:hint="default"/>
                <w:sz w:val="21"/>
                <w:szCs w:val="21"/>
              </w:rPr>
              <w:t>王淑琴、</w:t>
            </w:r>
            <w:r>
              <w:rPr>
                <w:rFonts w:ascii="宋体" w:hAnsi="宋体" w:cs="宋体" w:eastAsia="宋体" w:hint="default"/>
                <w:w w:val="100"/>
                <w:sz w:val="21"/>
                <w:szCs w:val="21"/>
              </w:rPr>
              <w:t> </w:t>
            </w:r>
            <w:r>
              <w:rPr>
                <w:rFonts w:ascii="宋体" w:hAnsi="宋体" w:cs="宋体" w:eastAsia="宋体" w:hint="default"/>
                <w:sz w:val="21"/>
                <w:szCs w:val="21"/>
              </w:rPr>
              <w:t>控股股东</w:t>
            </w:r>
            <w:r>
              <w:rPr>
                <w:rFonts w:ascii="宋体" w:hAnsi="宋体" w:cs="宋体" w:eastAsia="宋体" w:hint="default"/>
                <w:w w:val="100"/>
                <w:sz w:val="21"/>
                <w:szCs w:val="21"/>
              </w:rPr>
              <w:t> </w:t>
            </w:r>
            <w:r>
              <w:rPr>
                <w:rFonts w:ascii="宋体" w:hAnsi="宋体" w:cs="宋体" w:eastAsia="宋体" w:hint="default"/>
                <w:sz w:val="21"/>
                <w:szCs w:val="21"/>
              </w:rPr>
              <w:t>恒融投资</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1</w:t>
            </w:r>
            <w:r>
              <w:rPr>
                <w:rFonts w:ascii="宋体" w:hAnsi="宋体" w:cs="宋体" w:eastAsia="宋体" w:hint="default"/>
                <w:spacing w:val="-4"/>
                <w:sz w:val="21"/>
                <w:szCs w:val="21"/>
              </w:rPr>
              <w:t>、尽量减少和规范关联交易，对于无法避免或者有合理原因而发生的关联交易，承</w:t>
            </w:r>
          </w:p>
          <w:p>
            <w:pPr>
              <w:pStyle w:val="TableParagraph"/>
              <w:spacing w:line="237" w:lineRule="auto" w:before="2"/>
              <w:ind w:left="103" w:right="98"/>
              <w:jc w:val="left"/>
              <w:rPr>
                <w:rFonts w:ascii="宋体" w:hAnsi="宋体" w:cs="宋体" w:eastAsia="宋体" w:hint="default"/>
                <w:sz w:val="21"/>
                <w:szCs w:val="21"/>
              </w:rPr>
            </w:pPr>
            <w:r>
              <w:rPr>
                <w:rFonts w:ascii="宋体" w:hAnsi="宋体" w:cs="宋体" w:eastAsia="宋体" w:hint="default"/>
                <w:sz w:val="21"/>
                <w:szCs w:val="21"/>
              </w:rPr>
              <w:t>诺遵循市场化定价原则，并依法签订协议，履行合法程序；</w:t>
            </w:r>
            <w:r>
              <w:rPr>
                <w:rFonts w:ascii="宋体" w:hAnsi="宋体" w:cs="宋体" w:eastAsia="宋体" w:hint="default"/>
                <w:w w:val="100"/>
                <w:sz w:val="21"/>
                <w:szCs w:val="21"/>
              </w:rPr>
              <w:t> </w:t>
            </w:r>
            <w:r>
              <w:rPr>
                <w:rFonts w:ascii="宋体" w:hAnsi="宋体" w:cs="宋体" w:eastAsia="宋体" w:hint="default"/>
                <w:spacing w:val="-4"/>
                <w:sz w:val="21"/>
                <w:szCs w:val="21"/>
              </w:rPr>
              <w:t>2</w:t>
            </w:r>
            <w:r>
              <w:rPr>
                <w:rFonts w:ascii="宋体" w:hAnsi="宋体" w:cs="宋体" w:eastAsia="宋体" w:hint="default"/>
                <w:spacing w:val="-4"/>
                <w:sz w:val="21"/>
                <w:szCs w:val="21"/>
              </w:rPr>
              <w:t>、遵守发行人之《公司章程》以及其他关联交易管理制度，并根据有关法律法规和</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1"/>
                <w:sz w:val="21"/>
                <w:szCs w:val="21"/>
              </w:rPr>
              <w:t>证券交易所规则（发行人上市后适用）等有关规定履行信息披露义务和办理有关报</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批程序，保证不通过关联交易损害发行人或其他股东的合法权益；</w:t>
            </w:r>
            <w:r>
              <w:rPr>
                <w:rFonts w:ascii="宋体" w:hAnsi="宋体" w:cs="宋体" w:eastAsia="宋体" w:hint="default"/>
                <w:w w:val="100"/>
                <w:sz w:val="21"/>
                <w:szCs w:val="21"/>
              </w:rPr>
              <w:t> </w:t>
            </w:r>
            <w:r>
              <w:rPr>
                <w:rFonts w:ascii="宋体" w:hAnsi="宋体" w:cs="宋体" w:eastAsia="宋体" w:hint="default"/>
                <w:spacing w:val="-4"/>
                <w:sz w:val="21"/>
                <w:szCs w:val="21"/>
              </w:rPr>
              <w:t>3</w:t>
            </w:r>
            <w:r>
              <w:rPr>
                <w:rFonts w:ascii="宋体" w:hAnsi="宋体" w:cs="宋体" w:eastAsia="宋体" w:hint="default"/>
                <w:spacing w:val="-4"/>
                <w:sz w:val="21"/>
                <w:szCs w:val="21"/>
              </w:rPr>
              <w:t>、必要时聘请中介机构对关联交易进行评估、咨询，提高关联交易公允程度及透明</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度。</w:t>
            </w:r>
            <w:r>
              <w:rPr>
                <w:rFonts w:ascii="宋体" w:hAnsi="宋体" w:cs="宋体" w:eastAsia="宋体" w:hint="default"/>
                <w:spacing w:val="-103"/>
                <w:sz w:val="21"/>
                <w:szCs w:val="21"/>
              </w:rPr>
              <w:t> </w:t>
            </w:r>
            <w:r>
              <w:rPr>
                <w:rFonts w:ascii="宋体" w:hAnsi="宋体" w:cs="宋体" w:eastAsia="宋体" w:hint="default"/>
                <w:spacing w:val="-1"/>
                <w:sz w:val="21"/>
                <w:szCs w:val="21"/>
              </w:rPr>
              <w:t>公司在未来的日常经营活动中将尽量减少关联交易，使关联交易的数量和对经营成</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1"/>
                <w:sz w:val="21"/>
                <w:szCs w:val="21"/>
              </w:rPr>
              <w:t>果的影响降至最小程度。对于不可避免的关联交易，公司将严格遵循《公司章程》</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和《关联交易管理制度》的规定，确保公司和中小股东的合法权益不受损害。</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承诺时间：</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3</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37" w:lineRule="auto"/>
              <w:ind w:left="103" w:right="96"/>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47"/>
                <w:sz w:val="21"/>
                <w:szCs w:val="21"/>
              </w:rPr>
              <w:t> </w:t>
            </w:r>
            <w:r>
              <w:rPr>
                <w:rFonts w:ascii="宋体" w:hAnsi="宋体" w:cs="宋体" w:eastAsia="宋体" w:hint="default"/>
                <w:spacing w:val="-12"/>
                <w:sz w:val="21"/>
                <w:szCs w:val="21"/>
              </w:rPr>
              <w:t>日，承诺</w:t>
            </w:r>
            <w:r>
              <w:rPr>
                <w:rFonts w:ascii="宋体" w:hAnsi="宋体" w:cs="宋体" w:eastAsia="宋体" w:hint="default"/>
                <w:w w:val="100"/>
                <w:sz w:val="21"/>
                <w:szCs w:val="21"/>
              </w:rPr>
              <w:t> </w:t>
            </w:r>
            <w:r>
              <w:rPr>
                <w:rFonts w:ascii="宋体" w:hAnsi="宋体" w:cs="宋体" w:eastAsia="宋体" w:hint="default"/>
                <w:sz w:val="21"/>
                <w:szCs w:val="21"/>
              </w:rPr>
              <w:t>期限：</w:t>
            </w:r>
            <w:r>
              <w:rPr>
                <w:rFonts w:ascii="宋体" w:hAnsi="宋体" w:cs="宋体" w:eastAsia="宋体" w:hint="default"/>
                <w:sz w:val="21"/>
                <w:szCs w:val="21"/>
              </w:rPr>
              <w:t>2016</w:t>
            </w:r>
            <w:r>
              <w:rPr>
                <w:rFonts w:ascii="宋体" w:hAnsi="宋体" w:cs="宋体" w:eastAsia="宋体" w:hint="default"/>
                <w:spacing w:val="-10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103"/>
                <w:sz w:val="21"/>
                <w:szCs w:val="21"/>
              </w:rPr>
              <w:t> </w:t>
            </w:r>
            <w:r>
              <w:rPr>
                <w:rFonts w:ascii="宋体" w:hAnsi="宋体" w:cs="宋体" w:eastAsia="宋体" w:hint="default"/>
                <w:sz w:val="21"/>
                <w:szCs w:val="21"/>
              </w:rPr>
              <w:t>日—长期</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5"/>
              <w:jc w:val="righ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4"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与首次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公开发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恒融投</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自发行人股票上市之日起三十六个月内，公司控股股东和实际控制人不转让或者委</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托他人管理本次发行前公司控股股东和实际控制人直接和间接持有的发行人股份，</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3</w:t>
            </w:r>
            <w:r>
              <w:rPr>
                <w:rFonts w:ascii="宋体" w:hAnsi="宋体" w:cs="宋体" w:eastAsia="宋体" w:hint="default"/>
                <w:spacing w:val="-66"/>
                <w:sz w:val="21"/>
                <w:szCs w:val="21"/>
              </w:rPr>
              <w:t> </w:t>
            </w:r>
            <w:r>
              <w:rPr>
                <w:rFonts w:ascii="宋体" w:hAnsi="宋体" w:cs="宋体" w:eastAsia="宋体" w:hint="default"/>
                <w:sz w:val="21"/>
                <w:szCs w:val="21"/>
              </w:rPr>
              <w:t>月</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5"/>
              <w:jc w:val="righ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1" w:lineRule="exact"/>
        <w:jc w:val="right"/>
        <w:rPr>
          <w:rFonts w:ascii="宋体" w:hAnsi="宋体" w:cs="宋体" w:eastAsia="宋体" w:hint="default"/>
          <w:sz w:val="21"/>
          <w:szCs w:val="21"/>
        </w:rPr>
        <w:sectPr>
          <w:pgSz w:w="16840" w:h="11910" w:orient="landscape"/>
          <w:pgMar w:header="882" w:footer="1195" w:top="1120" w:bottom="1380" w:left="1200" w:right="9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867"/>
        <w:gridCol w:w="708"/>
        <w:gridCol w:w="1133"/>
        <w:gridCol w:w="7799"/>
        <w:gridCol w:w="1274"/>
        <w:gridCol w:w="569"/>
        <w:gridCol w:w="566"/>
        <w:gridCol w:w="850"/>
        <w:gridCol w:w="710"/>
      </w:tblGrid>
      <w:tr>
        <w:trPr>
          <w:trHeight w:val="1644"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行相关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的承诺</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资、实际</w:t>
            </w:r>
          </w:p>
          <w:p>
            <w:pPr>
              <w:pStyle w:val="TableParagraph"/>
              <w:spacing w:line="240" w:lineRule="auto"/>
              <w:ind w:left="103" w:right="175"/>
              <w:jc w:val="left"/>
              <w:rPr>
                <w:rFonts w:ascii="宋体" w:hAnsi="宋体" w:cs="宋体" w:eastAsia="宋体" w:hint="default"/>
                <w:sz w:val="21"/>
                <w:szCs w:val="21"/>
              </w:rPr>
            </w:pPr>
            <w:r>
              <w:rPr>
                <w:rFonts w:ascii="宋体" w:hAnsi="宋体" w:cs="宋体" w:eastAsia="宋体" w:hint="default"/>
                <w:sz w:val="21"/>
                <w:szCs w:val="21"/>
              </w:rPr>
              <w:t>控制人江</w:t>
            </w:r>
            <w:r>
              <w:rPr>
                <w:rFonts w:ascii="宋体" w:hAnsi="宋体" w:cs="宋体" w:eastAsia="宋体" w:hint="default"/>
                <w:w w:val="100"/>
                <w:sz w:val="21"/>
                <w:szCs w:val="21"/>
              </w:rPr>
              <w:t> </w:t>
            </w:r>
            <w:r>
              <w:rPr>
                <w:rFonts w:ascii="宋体" w:hAnsi="宋体" w:cs="宋体" w:eastAsia="宋体" w:hint="default"/>
                <w:sz w:val="21"/>
                <w:szCs w:val="21"/>
              </w:rPr>
              <w:t>浩然</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也不由发行人回购该部分股份；发行人上市后六个月内如发行人股票连续二十个交</w:t>
            </w:r>
          </w:p>
          <w:p>
            <w:pPr>
              <w:pStyle w:val="TableParagraph"/>
              <w:spacing w:line="237" w:lineRule="auto"/>
              <w:ind w:left="103" w:right="102"/>
              <w:jc w:val="both"/>
              <w:rPr>
                <w:rFonts w:ascii="宋体" w:hAnsi="宋体" w:cs="宋体" w:eastAsia="宋体" w:hint="default"/>
                <w:sz w:val="21"/>
                <w:szCs w:val="21"/>
              </w:rPr>
            </w:pPr>
            <w:r>
              <w:rPr>
                <w:rFonts w:ascii="宋体" w:hAnsi="宋体" w:cs="宋体" w:eastAsia="宋体" w:hint="default"/>
                <w:spacing w:val="-1"/>
                <w:sz w:val="21"/>
                <w:szCs w:val="21"/>
              </w:rPr>
              <w:t>易日的收盘价均低于发行价，或者上市后六个月期末收盘价低于发行价，公司控股</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1"/>
                <w:sz w:val="21"/>
                <w:szCs w:val="21"/>
              </w:rPr>
              <w:t>股东和实际控制人上述直接和间接持有发行人股份的锁定期限自动延长六个月；公</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1"/>
                <w:sz w:val="21"/>
                <w:szCs w:val="21"/>
              </w:rPr>
              <w:t>司控股股东和实际控制人上述直接和间接持有的发行人股份在上述股份锁定承诺期</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1"/>
                <w:sz w:val="21"/>
                <w:szCs w:val="21"/>
              </w:rPr>
              <w:t>限届满后两年内减持的，减持价格不低于发行价；如有派息、送股、公积金转增股</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本、配股等情况的，则发行价格将根据除权除息情况进行相应调整。</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45"/>
                <w:sz w:val="21"/>
                <w:szCs w:val="21"/>
              </w:rPr>
              <w:t> </w:t>
            </w:r>
            <w:r>
              <w:rPr>
                <w:rFonts w:ascii="宋体" w:hAnsi="宋体" w:cs="宋体" w:eastAsia="宋体" w:hint="default"/>
                <w:spacing w:val="-12"/>
                <w:sz w:val="21"/>
                <w:szCs w:val="21"/>
              </w:rPr>
              <w:t>日，承诺</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期限：自</w:t>
            </w:r>
            <w:r>
              <w:rPr>
                <w:rFonts w:ascii="宋体" w:hAnsi="宋体" w:cs="宋体" w:eastAsia="宋体" w:hint="default"/>
                <w:w w:val="100"/>
                <w:sz w:val="21"/>
                <w:szCs w:val="21"/>
              </w:rPr>
              <w:t> </w:t>
            </w:r>
            <w:r>
              <w:rPr>
                <w:rFonts w:ascii="宋体" w:hAnsi="宋体" w:cs="宋体" w:eastAsia="宋体" w:hint="default"/>
                <w:sz w:val="21"/>
                <w:szCs w:val="21"/>
              </w:rPr>
              <w:t>2017</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9</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4" w:lineRule="exact" w:before="22"/>
              <w:ind w:left="103" w:right="211"/>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日起</w:t>
            </w:r>
            <w:r>
              <w:rPr>
                <w:rFonts w:ascii="宋体" w:hAnsi="宋体" w:cs="宋体" w:eastAsia="宋体" w:hint="default"/>
                <w:spacing w:val="-53"/>
                <w:sz w:val="21"/>
                <w:szCs w:val="21"/>
              </w:rPr>
              <w:t> </w:t>
            </w:r>
            <w:r>
              <w:rPr>
                <w:rFonts w:ascii="宋体" w:hAnsi="宋体" w:cs="宋体" w:eastAsia="宋体" w:hint="default"/>
                <w:sz w:val="21"/>
                <w:szCs w:val="21"/>
              </w:rPr>
              <w:t>36</w:t>
            </w:r>
            <w:r>
              <w:rPr>
                <w:rFonts w:ascii="宋体" w:hAnsi="宋体" w:cs="宋体" w:eastAsia="宋体" w:hint="default"/>
                <w:w w:val="100"/>
                <w:sz w:val="21"/>
                <w:szCs w:val="21"/>
              </w:rPr>
              <w:t> </w:t>
            </w:r>
            <w:r>
              <w:rPr>
                <w:rFonts w:ascii="宋体" w:hAnsi="宋体" w:cs="宋体" w:eastAsia="宋体" w:hint="default"/>
                <w:sz w:val="21"/>
                <w:szCs w:val="21"/>
              </w:rPr>
              <w:t>个月</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916"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7"/>
              <w:ind w:left="103" w:right="118"/>
              <w:jc w:val="both"/>
              <w:rPr>
                <w:rFonts w:ascii="宋体" w:hAnsi="宋体" w:cs="宋体" w:eastAsia="宋体" w:hint="default"/>
                <w:sz w:val="21"/>
                <w:szCs w:val="21"/>
              </w:rPr>
            </w:pPr>
            <w:r>
              <w:rPr>
                <w:rFonts w:ascii="宋体" w:hAnsi="宋体" w:cs="宋体" w:eastAsia="宋体" w:hint="default"/>
                <w:sz w:val="21"/>
                <w:szCs w:val="21"/>
              </w:rPr>
              <w:t>与首次</w:t>
            </w:r>
            <w:r>
              <w:rPr>
                <w:rFonts w:ascii="宋体" w:hAnsi="宋体" w:cs="宋体" w:eastAsia="宋体" w:hint="default"/>
                <w:spacing w:val="-102"/>
                <w:sz w:val="21"/>
                <w:szCs w:val="21"/>
              </w:rPr>
              <w:t> </w:t>
            </w:r>
            <w:r>
              <w:rPr>
                <w:rFonts w:ascii="宋体" w:hAnsi="宋体" w:cs="宋体" w:eastAsia="宋体" w:hint="default"/>
                <w:sz w:val="21"/>
                <w:szCs w:val="21"/>
              </w:rPr>
              <w:t>公开发</w:t>
            </w:r>
            <w:r>
              <w:rPr>
                <w:rFonts w:ascii="宋体" w:hAnsi="宋体" w:cs="宋体" w:eastAsia="宋体" w:hint="default"/>
                <w:spacing w:val="-102"/>
                <w:sz w:val="21"/>
                <w:szCs w:val="21"/>
              </w:rPr>
              <w:t> </w:t>
            </w:r>
            <w:r>
              <w:rPr>
                <w:rFonts w:ascii="宋体" w:hAnsi="宋体" w:cs="宋体" w:eastAsia="宋体" w:hint="default"/>
                <w:sz w:val="21"/>
                <w:szCs w:val="21"/>
              </w:rPr>
              <w:t>行相关</w:t>
            </w:r>
            <w:r>
              <w:rPr>
                <w:rFonts w:ascii="宋体" w:hAnsi="宋体" w:cs="宋体" w:eastAsia="宋体" w:hint="default"/>
                <w:spacing w:val="-102"/>
                <w:sz w:val="21"/>
                <w:szCs w:val="21"/>
              </w:rPr>
              <w:t> </w:t>
            </w:r>
            <w:r>
              <w:rPr>
                <w:rFonts w:ascii="宋体" w:hAnsi="宋体" w:cs="宋体" w:eastAsia="宋体" w:hint="default"/>
                <w:sz w:val="21"/>
                <w:szCs w:val="21"/>
              </w:rPr>
              <w:t>的承诺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王淑琴、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江斐然</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自发行人股票上市之日起三十六个月内，本人不转让或者委托他人管理本次发行前</w:t>
            </w:r>
          </w:p>
          <w:p>
            <w:pPr>
              <w:pStyle w:val="TableParagraph"/>
              <w:spacing w:line="237" w:lineRule="auto" w:before="1"/>
              <w:ind w:left="103" w:right="102"/>
              <w:jc w:val="both"/>
              <w:rPr>
                <w:rFonts w:ascii="宋体" w:hAnsi="宋体" w:cs="宋体" w:eastAsia="宋体" w:hint="default"/>
                <w:sz w:val="21"/>
                <w:szCs w:val="21"/>
              </w:rPr>
            </w:pPr>
            <w:r>
              <w:rPr>
                <w:rFonts w:ascii="宋体" w:hAnsi="宋体" w:cs="宋体" w:eastAsia="宋体" w:hint="default"/>
                <w:spacing w:val="-1"/>
                <w:sz w:val="21"/>
                <w:szCs w:val="21"/>
              </w:rPr>
              <w:t>本人直接和间接持有的发行人股份，亦不由发行人回购该部分股份；发行人上市后</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1"/>
                <w:sz w:val="21"/>
                <w:szCs w:val="21"/>
              </w:rPr>
              <w:t>六个月内如发行人股票连续二十个交易日的收盘价均低于发行价，或者上市后六个</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1"/>
                <w:sz w:val="21"/>
                <w:szCs w:val="21"/>
              </w:rPr>
              <w:t>月期末收盘价低于发行价，本人直接和间接持有发行人股票的锁定期限自动延长六</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1"/>
                <w:sz w:val="21"/>
                <w:szCs w:val="21"/>
              </w:rPr>
              <w:t>个月；如有派息、送股、公积金转增股本、配股等情况的，则发行价格将根据除权</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除息情况进行相应调整。</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3</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37" w:lineRule="auto" w:before="2"/>
              <w:ind w:left="103" w:right="96"/>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47"/>
                <w:sz w:val="21"/>
                <w:szCs w:val="21"/>
              </w:rPr>
              <w:t> </w:t>
            </w:r>
            <w:r>
              <w:rPr>
                <w:rFonts w:ascii="宋体" w:hAnsi="宋体" w:cs="宋体" w:eastAsia="宋体" w:hint="default"/>
                <w:spacing w:val="-12"/>
                <w:sz w:val="21"/>
                <w:szCs w:val="21"/>
              </w:rPr>
              <w:t>日，承诺</w:t>
            </w:r>
            <w:r>
              <w:rPr>
                <w:rFonts w:ascii="宋体" w:hAnsi="宋体" w:cs="宋体" w:eastAsia="宋体" w:hint="default"/>
                <w:w w:val="100"/>
                <w:sz w:val="21"/>
                <w:szCs w:val="21"/>
              </w:rPr>
              <w:t> </w:t>
            </w:r>
            <w:r>
              <w:rPr>
                <w:rFonts w:ascii="宋体" w:hAnsi="宋体" w:cs="宋体" w:eastAsia="宋体" w:hint="default"/>
                <w:sz w:val="21"/>
                <w:szCs w:val="21"/>
              </w:rPr>
              <w:t>期限：自</w:t>
            </w:r>
            <w:r>
              <w:rPr>
                <w:rFonts w:ascii="宋体" w:hAnsi="宋体" w:cs="宋体" w:eastAsia="宋体" w:hint="default"/>
                <w:w w:val="100"/>
                <w:sz w:val="21"/>
                <w:szCs w:val="21"/>
              </w:rPr>
              <w:t> </w:t>
            </w:r>
            <w:r>
              <w:rPr>
                <w:rFonts w:ascii="宋体" w:hAnsi="宋体" w:cs="宋体" w:eastAsia="宋体" w:hint="default"/>
                <w:sz w:val="21"/>
                <w:szCs w:val="21"/>
              </w:rPr>
              <w:t>2017</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9</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4" w:lineRule="exact" w:before="22"/>
              <w:ind w:left="103" w:right="211"/>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日起</w:t>
            </w:r>
            <w:r>
              <w:rPr>
                <w:rFonts w:ascii="宋体" w:hAnsi="宋体" w:cs="宋体" w:eastAsia="宋体" w:hint="default"/>
                <w:spacing w:val="-53"/>
                <w:sz w:val="21"/>
                <w:szCs w:val="21"/>
              </w:rPr>
              <w:t> </w:t>
            </w:r>
            <w:r>
              <w:rPr>
                <w:rFonts w:ascii="宋体" w:hAnsi="宋体" w:cs="宋体" w:eastAsia="宋体" w:hint="default"/>
                <w:sz w:val="21"/>
                <w:szCs w:val="21"/>
              </w:rPr>
              <w:t>36</w:t>
            </w:r>
            <w:r>
              <w:rPr>
                <w:rFonts w:ascii="宋体" w:hAnsi="宋体" w:cs="宋体" w:eastAsia="宋体" w:hint="default"/>
                <w:w w:val="100"/>
                <w:sz w:val="21"/>
                <w:szCs w:val="21"/>
              </w:rPr>
              <w:t> </w:t>
            </w:r>
            <w:r>
              <w:rPr>
                <w:rFonts w:ascii="宋体" w:hAnsi="宋体" w:cs="宋体" w:eastAsia="宋体" w:hint="default"/>
                <w:sz w:val="21"/>
                <w:szCs w:val="21"/>
              </w:rPr>
              <w:t>个月</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5"/>
              <w:jc w:val="righ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1918"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8"/>
              <w:ind w:left="103" w:right="118"/>
              <w:jc w:val="both"/>
              <w:rPr>
                <w:rFonts w:ascii="宋体" w:hAnsi="宋体" w:cs="宋体" w:eastAsia="宋体" w:hint="default"/>
                <w:sz w:val="21"/>
                <w:szCs w:val="21"/>
              </w:rPr>
            </w:pPr>
            <w:r>
              <w:rPr>
                <w:rFonts w:ascii="宋体" w:hAnsi="宋体" w:cs="宋体" w:eastAsia="宋体" w:hint="default"/>
                <w:sz w:val="21"/>
                <w:szCs w:val="21"/>
              </w:rPr>
              <w:t>与首次</w:t>
            </w:r>
            <w:r>
              <w:rPr>
                <w:rFonts w:ascii="宋体" w:hAnsi="宋体" w:cs="宋体" w:eastAsia="宋体" w:hint="default"/>
                <w:spacing w:val="-102"/>
                <w:sz w:val="21"/>
                <w:szCs w:val="21"/>
              </w:rPr>
              <w:t> </w:t>
            </w:r>
            <w:r>
              <w:rPr>
                <w:rFonts w:ascii="宋体" w:hAnsi="宋体" w:cs="宋体" w:eastAsia="宋体" w:hint="default"/>
                <w:sz w:val="21"/>
                <w:szCs w:val="21"/>
              </w:rPr>
              <w:t>公开发</w:t>
            </w:r>
            <w:r>
              <w:rPr>
                <w:rFonts w:ascii="宋体" w:hAnsi="宋体" w:cs="宋体" w:eastAsia="宋体" w:hint="default"/>
                <w:spacing w:val="-102"/>
                <w:sz w:val="21"/>
                <w:szCs w:val="21"/>
              </w:rPr>
              <w:t> </w:t>
            </w:r>
            <w:r>
              <w:rPr>
                <w:rFonts w:ascii="宋体" w:hAnsi="宋体" w:cs="宋体" w:eastAsia="宋体" w:hint="default"/>
                <w:sz w:val="21"/>
                <w:szCs w:val="21"/>
              </w:rPr>
              <w:t>行相关</w:t>
            </w:r>
            <w:r>
              <w:rPr>
                <w:rFonts w:ascii="宋体" w:hAnsi="宋体" w:cs="宋体" w:eastAsia="宋体" w:hint="default"/>
                <w:spacing w:val="-102"/>
                <w:sz w:val="21"/>
                <w:szCs w:val="21"/>
              </w:rPr>
              <w:t> </w:t>
            </w:r>
            <w:r>
              <w:rPr>
                <w:rFonts w:ascii="宋体" w:hAnsi="宋体" w:cs="宋体" w:eastAsia="宋体" w:hint="default"/>
                <w:sz w:val="21"/>
                <w:szCs w:val="21"/>
              </w:rPr>
              <w:t>的承诺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珠海融恒</w:t>
            </w:r>
          </w:p>
          <w:p>
            <w:pPr>
              <w:pStyle w:val="TableParagraph"/>
              <w:spacing w:line="237" w:lineRule="auto" w:before="2"/>
              <w:ind w:left="103" w:right="122"/>
              <w:jc w:val="both"/>
              <w:rPr>
                <w:rFonts w:ascii="宋体" w:hAnsi="宋体" w:cs="宋体" w:eastAsia="宋体" w:hint="default"/>
                <w:sz w:val="21"/>
                <w:szCs w:val="21"/>
              </w:rPr>
            </w:pPr>
            <w:r>
              <w:rPr>
                <w:rFonts w:ascii="宋体" w:hAnsi="宋体" w:cs="宋体" w:eastAsia="宋体" w:hint="default"/>
                <w:sz w:val="21"/>
                <w:szCs w:val="21"/>
              </w:rPr>
              <w:t>等</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pacing w:val="-3"/>
                <w:sz w:val="21"/>
                <w:szCs w:val="21"/>
              </w:rPr>
              <w:t>位机</w:t>
            </w:r>
            <w:r>
              <w:rPr>
                <w:rFonts w:ascii="宋体" w:hAnsi="宋体" w:cs="宋体" w:eastAsia="宋体" w:hint="default"/>
                <w:spacing w:val="-3"/>
                <w:w w:val="100"/>
                <w:sz w:val="21"/>
                <w:szCs w:val="21"/>
              </w:rPr>
              <w:t> </w:t>
            </w:r>
            <w:r>
              <w:rPr>
                <w:rFonts w:ascii="宋体" w:hAnsi="宋体" w:cs="宋体" w:eastAsia="宋体" w:hint="default"/>
                <w:sz w:val="21"/>
                <w:szCs w:val="21"/>
              </w:rPr>
              <w:t>构股东以</w:t>
            </w:r>
            <w:r>
              <w:rPr>
                <w:rFonts w:ascii="宋体" w:hAnsi="宋体" w:cs="宋体" w:eastAsia="宋体" w:hint="default"/>
                <w:w w:val="100"/>
                <w:sz w:val="21"/>
                <w:szCs w:val="21"/>
              </w:rPr>
              <w:t> </w:t>
            </w:r>
            <w:r>
              <w:rPr>
                <w:rFonts w:ascii="宋体" w:hAnsi="宋体" w:cs="宋体" w:eastAsia="宋体" w:hint="default"/>
                <w:sz w:val="21"/>
                <w:szCs w:val="21"/>
              </w:rPr>
              <w:t>及肖平等</w:t>
            </w:r>
            <w:r>
              <w:rPr>
                <w:rFonts w:ascii="宋体" w:hAnsi="宋体" w:cs="宋体" w:eastAsia="宋体" w:hint="default"/>
                <w:w w:val="100"/>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位自然</w:t>
            </w:r>
            <w:r>
              <w:rPr>
                <w:rFonts w:ascii="宋体" w:hAnsi="宋体" w:cs="宋体" w:eastAsia="宋体" w:hint="default"/>
                <w:w w:val="100"/>
                <w:sz w:val="21"/>
                <w:szCs w:val="21"/>
              </w:rPr>
              <w:t> </w:t>
            </w:r>
            <w:r>
              <w:rPr>
                <w:rFonts w:ascii="宋体" w:hAnsi="宋体" w:cs="宋体" w:eastAsia="宋体" w:hint="default"/>
                <w:sz w:val="21"/>
                <w:szCs w:val="21"/>
              </w:rPr>
              <w:t>人股东</w:t>
            </w:r>
          </w:p>
          <w:p>
            <w:pPr>
              <w:pStyle w:val="TableParagraph"/>
              <w:spacing w:line="271" w:lineRule="exact"/>
              <w:ind w:left="103" w:right="0"/>
              <w:jc w:val="both"/>
              <w:rPr>
                <w:rFonts w:ascii="宋体" w:hAnsi="宋体" w:cs="宋体" w:eastAsia="宋体" w:hint="default"/>
                <w:sz w:val="21"/>
                <w:szCs w:val="21"/>
              </w:rPr>
            </w:pPr>
            <w:r>
              <w:rPr>
                <w:rFonts w:ascii="宋体" w:hAnsi="宋体" w:cs="宋体" w:eastAsia="宋体" w:hint="default"/>
                <w:sz w:val="21"/>
                <w:szCs w:val="21"/>
              </w:rPr>
              <w:t>（注）</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自发行人股票上市之日起十二个月内，其将不转让或者委托他人管理本次发行前其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直接和间接持有的发行人股份，也不由发行人回购该部分股份。</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承诺时间：</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3</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37" w:lineRule="auto"/>
              <w:ind w:left="103" w:right="96"/>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47"/>
                <w:sz w:val="21"/>
                <w:szCs w:val="21"/>
              </w:rPr>
              <w:t> </w:t>
            </w:r>
            <w:r>
              <w:rPr>
                <w:rFonts w:ascii="宋体" w:hAnsi="宋体" w:cs="宋体" w:eastAsia="宋体" w:hint="default"/>
                <w:spacing w:val="-12"/>
                <w:sz w:val="21"/>
                <w:szCs w:val="21"/>
              </w:rPr>
              <w:t>日，承诺</w:t>
            </w:r>
            <w:r>
              <w:rPr>
                <w:rFonts w:ascii="宋体" w:hAnsi="宋体" w:cs="宋体" w:eastAsia="宋体" w:hint="default"/>
                <w:w w:val="100"/>
                <w:sz w:val="21"/>
                <w:szCs w:val="21"/>
              </w:rPr>
              <w:t> </w:t>
            </w:r>
            <w:r>
              <w:rPr>
                <w:rFonts w:ascii="宋体" w:hAnsi="宋体" w:cs="宋体" w:eastAsia="宋体" w:hint="default"/>
                <w:sz w:val="21"/>
                <w:szCs w:val="21"/>
              </w:rPr>
              <w:t>期限：自</w:t>
            </w:r>
            <w:r>
              <w:rPr>
                <w:rFonts w:ascii="宋体" w:hAnsi="宋体" w:cs="宋体" w:eastAsia="宋体" w:hint="default"/>
                <w:w w:val="100"/>
                <w:sz w:val="21"/>
                <w:szCs w:val="21"/>
              </w:rPr>
              <w:t> </w:t>
            </w:r>
            <w:r>
              <w:rPr>
                <w:rFonts w:ascii="宋体" w:hAnsi="宋体" w:cs="宋体" w:eastAsia="宋体" w:hint="default"/>
                <w:sz w:val="21"/>
                <w:szCs w:val="21"/>
              </w:rPr>
              <w:t>2017</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9</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2" w:lineRule="exact" w:before="26"/>
              <w:ind w:left="103" w:right="211"/>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日起</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w w:val="100"/>
                <w:sz w:val="21"/>
                <w:szCs w:val="21"/>
              </w:rPr>
              <w:t> </w:t>
            </w:r>
            <w:r>
              <w:rPr>
                <w:rFonts w:ascii="宋体" w:hAnsi="宋体" w:cs="宋体" w:eastAsia="宋体" w:hint="default"/>
                <w:sz w:val="21"/>
                <w:szCs w:val="21"/>
              </w:rPr>
              <w:t>个月</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5"/>
              <w:jc w:val="righ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189"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37" w:lineRule="auto"/>
              <w:ind w:left="103" w:right="118"/>
              <w:jc w:val="both"/>
              <w:rPr>
                <w:rFonts w:ascii="宋体" w:hAnsi="宋体" w:cs="宋体" w:eastAsia="宋体" w:hint="default"/>
                <w:sz w:val="21"/>
                <w:szCs w:val="21"/>
              </w:rPr>
            </w:pPr>
            <w:r>
              <w:rPr>
                <w:rFonts w:ascii="宋体" w:hAnsi="宋体" w:cs="宋体" w:eastAsia="宋体" w:hint="default"/>
                <w:sz w:val="21"/>
                <w:szCs w:val="21"/>
              </w:rPr>
              <w:t>与首次</w:t>
            </w:r>
            <w:r>
              <w:rPr>
                <w:rFonts w:ascii="宋体" w:hAnsi="宋体" w:cs="宋体" w:eastAsia="宋体" w:hint="default"/>
                <w:spacing w:val="-102"/>
                <w:sz w:val="21"/>
                <w:szCs w:val="21"/>
              </w:rPr>
              <w:t> </w:t>
            </w:r>
            <w:r>
              <w:rPr>
                <w:rFonts w:ascii="宋体" w:hAnsi="宋体" w:cs="宋体" w:eastAsia="宋体" w:hint="default"/>
                <w:sz w:val="21"/>
                <w:szCs w:val="21"/>
              </w:rPr>
              <w:t>公开发</w:t>
            </w:r>
            <w:r>
              <w:rPr>
                <w:rFonts w:ascii="宋体" w:hAnsi="宋体" w:cs="宋体" w:eastAsia="宋体" w:hint="default"/>
                <w:spacing w:val="-102"/>
                <w:sz w:val="21"/>
                <w:szCs w:val="21"/>
              </w:rPr>
              <w:t> </w:t>
            </w:r>
            <w:r>
              <w:rPr>
                <w:rFonts w:ascii="宋体" w:hAnsi="宋体" w:cs="宋体" w:eastAsia="宋体" w:hint="default"/>
                <w:sz w:val="21"/>
                <w:szCs w:val="21"/>
              </w:rPr>
              <w:t>行相关</w:t>
            </w:r>
            <w:r>
              <w:rPr>
                <w:rFonts w:ascii="宋体" w:hAnsi="宋体" w:cs="宋体" w:eastAsia="宋体" w:hint="default"/>
                <w:spacing w:val="-102"/>
                <w:sz w:val="21"/>
                <w:szCs w:val="21"/>
              </w:rPr>
              <w:t> </w:t>
            </w:r>
            <w:r>
              <w:rPr>
                <w:rFonts w:ascii="宋体" w:hAnsi="宋体" w:cs="宋体" w:eastAsia="宋体" w:hint="default"/>
                <w:sz w:val="21"/>
                <w:szCs w:val="21"/>
              </w:rPr>
              <w:t>的承诺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center"/>
              <w:rPr>
                <w:rFonts w:ascii="宋体" w:hAnsi="宋体" w:cs="宋体" w:eastAsia="宋体" w:hint="default"/>
                <w:sz w:val="21"/>
                <w:szCs w:val="21"/>
              </w:rPr>
            </w:pPr>
            <w:r>
              <w:rPr>
                <w:rFonts w:ascii="宋体" w:hAnsi="宋体" w:cs="宋体" w:eastAsia="宋体" w:hint="default"/>
                <w:sz w:val="21"/>
                <w:szCs w:val="21"/>
              </w:rPr>
              <w:t>其他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w:t>
            </w:r>
          </w:p>
          <w:p>
            <w:pPr>
              <w:pStyle w:val="TableParagraph"/>
              <w:spacing w:line="237" w:lineRule="auto"/>
              <w:ind w:left="103" w:right="175"/>
              <w:jc w:val="left"/>
              <w:rPr>
                <w:rFonts w:ascii="宋体" w:hAnsi="宋体" w:cs="宋体" w:eastAsia="宋体" w:hint="default"/>
                <w:sz w:val="21"/>
                <w:szCs w:val="21"/>
              </w:rPr>
            </w:pPr>
            <w:r>
              <w:rPr>
                <w:rFonts w:ascii="宋体" w:hAnsi="宋体" w:cs="宋体" w:eastAsia="宋体" w:hint="default"/>
                <w:sz w:val="21"/>
                <w:szCs w:val="21"/>
              </w:rPr>
              <w:t>事、高级</w:t>
            </w:r>
            <w:r>
              <w:rPr>
                <w:rFonts w:ascii="宋体" w:hAnsi="宋体" w:cs="宋体" w:eastAsia="宋体" w:hint="default"/>
                <w:w w:val="100"/>
                <w:sz w:val="21"/>
                <w:szCs w:val="21"/>
              </w:rPr>
              <w:t> </w:t>
            </w:r>
            <w:r>
              <w:rPr>
                <w:rFonts w:ascii="宋体" w:hAnsi="宋体" w:cs="宋体" w:eastAsia="宋体" w:hint="default"/>
                <w:sz w:val="21"/>
                <w:szCs w:val="21"/>
              </w:rPr>
              <w:t>管理人</w:t>
            </w:r>
            <w:r>
              <w:rPr>
                <w:rFonts w:ascii="宋体" w:hAnsi="宋体" w:cs="宋体" w:eastAsia="宋体" w:hint="default"/>
                <w:spacing w:val="-102"/>
                <w:sz w:val="21"/>
                <w:szCs w:val="21"/>
              </w:rPr>
              <w:t> </w:t>
            </w:r>
            <w:r>
              <w:rPr>
                <w:rFonts w:ascii="宋体" w:hAnsi="宋体" w:cs="宋体" w:eastAsia="宋体" w:hint="default"/>
                <w:sz w:val="21"/>
                <w:szCs w:val="21"/>
              </w:rPr>
              <w:t>员</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本人在担任发行人董事</w:t>
            </w:r>
            <w:r>
              <w:rPr>
                <w:rFonts w:ascii="宋体" w:hAnsi="宋体" w:cs="宋体" w:eastAsia="宋体" w:hint="default"/>
                <w:sz w:val="21"/>
                <w:szCs w:val="21"/>
              </w:rPr>
              <w:t>/</w:t>
            </w:r>
            <w:r>
              <w:rPr>
                <w:rFonts w:ascii="宋体" w:hAnsi="宋体" w:cs="宋体" w:eastAsia="宋体" w:hint="default"/>
                <w:sz w:val="21"/>
                <w:szCs w:val="21"/>
              </w:rPr>
              <w:t>监事</w:t>
            </w:r>
            <w:r>
              <w:rPr>
                <w:rFonts w:ascii="宋体" w:hAnsi="宋体" w:cs="宋体" w:eastAsia="宋体" w:hint="default"/>
                <w:sz w:val="21"/>
                <w:szCs w:val="21"/>
              </w:rPr>
              <w:t>/</w:t>
            </w:r>
            <w:r>
              <w:rPr>
                <w:rFonts w:ascii="宋体" w:hAnsi="宋体" w:cs="宋体" w:eastAsia="宋体" w:hint="default"/>
                <w:sz w:val="21"/>
                <w:szCs w:val="21"/>
              </w:rPr>
              <w:t>高级管理人员职务期间，将向发行人申报所持有的发</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pacing w:val="-1"/>
                <w:sz w:val="21"/>
                <w:szCs w:val="21"/>
              </w:rPr>
              <w:t>行人股份及其变动情况；在任职期间每年转让的股份不超过本人持有发行人股份总</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1"/>
                <w:sz w:val="21"/>
                <w:szCs w:val="21"/>
              </w:rPr>
              <w:t>数的百分之二十五；本人作为发行人董事</w:t>
            </w:r>
            <w:r>
              <w:rPr>
                <w:rFonts w:ascii="宋体" w:hAnsi="宋体" w:cs="宋体" w:eastAsia="宋体" w:hint="default"/>
                <w:spacing w:val="-1"/>
                <w:sz w:val="21"/>
                <w:szCs w:val="21"/>
              </w:rPr>
              <w:t>/</w:t>
            </w:r>
            <w:r>
              <w:rPr>
                <w:rFonts w:ascii="宋体" w:hAnsi="宋体" w:cs="宋体" w:eastAsia="宋体" w:hint="default"/>
                <w:spacing w:val="-1"/>
                <w:sz w:val="21"/>
                <w:szCs w:val="21"/>
              </w:rPr>
              <w:t>监事</w:t>
            </w:r>
            <w:r>
              <w:rPr>
                <w:rFonts w:ascii="宋体" w:hAnsi="宋体" w:cs="宋体" w:eastAsia="宋体" w:hint="default"/>
                <w:spacing w:val="-1"/>
                <w:sz w:val="21"/>
                <w:szCs w:val="21"/>
              </w:rPr>
              <w:t>/</w:t>
            </w:r>
            <w:r>
              <w:rPr>
                <w:rFonts w:ascii="宋体" w:hAnsi="宋体" w:cs="宋体" w:eastAsia="宋体" w:hint="default"/>
                <w:spacing w:val="-1"/>
                <w:sz w:val="21"/>
                <w:szCs w:val="21"/>
              </w:rPr>
              <w:t>高级管理人员在离职后半年内，不</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转让本人持有的发行人股份。</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承诺时间：</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3</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37" w:lineRule="auto" w:before="2"/>
              <w:ind w:left="103" w:right="96"/>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47"/>
                <w:sz w:val="21"/>
                <w:szCs w:val="21"/>
              </w:rPr>
              <w:t> </w:t>
            </w:r>
            <w:r>
              <w:rPr>
                <w:rFonts w:ascii="宋体" w:hAnsi="宋体" w:cs="宋体" w:eastAsia="宋体" w:hint="default"/>
                <w:spacing w:val="-12"/>
                <w:sz w:val="21"/>
                <w:szCs w:val="21"/>
              </w:rPr>
              <w:t>日，承诺</w:t>
            </w:r>
            <w:r>
              <w:rPr>
                <w:rFonts w:ascii="宋体" w:hAnsi="宋体" w:cs="宋体" w:eastAsia="宋体" w:hint="default"/>
                <w:w w:val="100"/>
                <w:sz w:val="21"/>
                <w:szCs w:val="21"/>
              </w:rPr>
              <w:t> </w:t>
            </w:r>
            <w:r>
              <w:rPr>
                <w:rFonts w:ascii="宋体" w:hAnsi="宋体" w:cs="宋体" w:eastAsia="宋体" w:hint="default"/>
                <w:sz w:val="21"/>
                <w:szCs w:val="21"/>
              </w:rPr>
              <w:t>期限：</w:t>
            </w:r>
            <w:r>
              <w:rPr>
                <w:rFonts w:ascii="宋体" w:hAnsi="宋体" w:cs="宋体" w:eastAsia="宋体" w:hint="default"/>
                <w:sz w:val="21"/>
                <w:szCs w:val="21"/>
              </w:rPr>
              <w:t>2016</w:t>
            </w:r>
            <w:r>
              <w:rPr>
                <w:rFonts w:ascii="宋体" w:hAnsi="宋体" w:cs="宋体" w:eastAsia="宋体" w:hint="default"/>
                <w:spacing w:val="-10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103"/>
                <w:sz w:val="21"/>
                <w:szCs w:val="21"/>
              </w:rPr>
              <w:t> </w:t>
            </w:r>
            <w:r>
              <w:rPr>
                <w:rFonts w:ascii="宋体" w:hAnsi="宋体" w:cs="宋体" w:eastAsia="宋体" w:hint="default"/>
                <w:sz w:val="21"/>
                <w:szCs w:val="21"/>
              </w:rPr>
              <w:t>日—任职</w:t>
            </w:r>
            <w:r>
              <w:rPr>
                <w:rFonts w:ascii="宋体" w:hAnsi="宋体" w:cs="宋体" w:eastAsia="宋体" w:hint="default"/>
                <w:spacing w:val="-3"/>
                <w:w w:val="100"/>
                <w:sz w:val="21"/>
                <w:szCs w:val="21"/>
              </w:rPr>
              <w:t> </w:t>
            </w:r>
            <w:r>
              <w:rPr>
                <w:rFonts w:ascii="宋体" w:hAnsi="宋体" w:cs="宋体" w:eastAsia="宋体" w:hint="default"/>
                <w:sz w:val="21"/>
                <w:szCs w:val="21"/>
              </w:rPr>
              <w:t>期、离职后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半年内</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5"/>
              <w:jc w:val="righ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828"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与首次</w:t>
            </w:r>
          </w:p>
          <w:p>
            <w:pPr>
              <w:pStyle w:val="TableParagraph"/>
              <w:spacing w:line="240" w:lineRule="auto"/>
              <w:ind w:left="103" w:right="118"/>
              <w:jc w:val="left"/>
              <w:rPr>
                <w:rFonts w:ascii="宋体" w:hAnsi="宋体" w:cs="宋体" w:eastAsia="宋体" w:hint="default"/>
                <w:sz w:val="21"/>
                <w:szCs w:val="21"/>
              </w:rPr>
            </w:pPr>
            <w:r>
              <w:rPr>
                <w:rFonts w:ascii="宋体" w:hAnsi="宋体" w:cs="宋体" w:eastAsia="宋体" w:hint="default"/>
                <w:sz w:val="21"/>
                <w:szCs w:val="21"/>
              </w:rPr>
              <w:t>公开发</w:t>
            </w:r>
            <w:r>
              <w:rPr>
                <w:rFonts w:ascii="宋体" w:hAnsi="宋体" w:cs="宋体" w:eastAsia="宋体" w:hint="default"/>
                <w:spacing w:val="-102"/>
                <w:sz w:val="21"/>
                <w:szCs w:val="21"/>
              </w:rPr>
              <w:t> </w:t>
            </w:r>
            <w:r>
              <w:rPr>
                <w:rFonts w:ascii="宋体" w:hAnsi="宋体" w:cs="宋体" w:eastAsia="宋体" w:hint="default"/>
                <w:sz w:val="21"/>
                <w:szCs w:val="21"/>
              </w:rPr>
              <w:t>行相关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center"/>
              <w:rPr>
                <w:rFonts w:ascii="宋体" w:hAnsi="宋体" w:cs="宋体" w:eastAsia="宋体" w:hint="default"/>
                <w:sz w:val="21"/>
                <w:szCs w:val="21"/>
              </w:rPr>
            </w:pPr>
            <w:r>
              <w:rPr>
                <w:rFonts w:ascii="宋体" w:hAnsi="宋体" w:cs="宋体" w:eastAsia="宋体" w:hint="default"/>
                <w:sz w:val="21"/>
                <w:szCs w:val="21"/>
              </w:rPr>
              <w:t>其他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控股股东</w:t>
            </w:r>
          </w:p>
          <w:p>
            <w:pPr>
              <w:pStyle w:val="TableParagraph"/>
              <w:spacing w:line="240" w:lineRule="auto"/>
              <w:ind w:left="103" w:right="179"/>
              <w:jc w:val="left"/>
              <w:rPr>
                <w:rFonts w:ascii="宋体" w:hAnsi="宋体" w:cs="宋体" w:eastAsia="宋体" w:hint="default"/>
                <w:sz w:val="21"/>
                <w:szCs w:val="21"/>
              </w:rPr>
            </w:pPr>
            <w:r>
              <w:rPr>
                <w:rFonts w:ascii="宋体" w:hAnsi="宋体" w:cs="宋体" w:eastAsia="宋体" w:hint="default"/>
                <w:sz w:val="21"/>
                <w:szCs w:val="21"/>
              </w:rPr>
              <w:t>恒融投</w:t>
            </w:r>
            <w:r>
              <w:rPr>
                <w:rFonts w:ascii="宋体" w:hAnsi="宋体" w:cs="宋体" w:eastAsia="宋体" w:hint="default"/>
                <w:spacing w:val="-102"/>
                <w:sz w:val="21"/>
                <w:szCs w:val="21"/>
              </w:rPr>
              <w:t> </w:t>
            </w:r>
            <w:r>
              <w:rPr>
                <w:rFonts w:ascii="宋体" w:hAnsi="宋体" w:cs="宋体" w:eastAsia="宋体" w:hint="default"/>
                <w:sz w:val="21"/>
                <w:szCs w:val="21"/>
              </w:rPr>
              <w:t>资、实际</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关于被摊薄即期回报填补措施的承诺：</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7"/>
                <w:w w:val="100"/>
                <w:sz w:val="21"/>
                <w:szCs w:val="21"/>
              </w:rPr>
              <w:t>为贯彻执行《关于进一步加强资本市场中小投资者合法权益保护工作的意见》、《关</w:t>
            </w:r>
            <w:r>
              <w:rPr>
                <w:rFonts w:ascii="宋体" w:hAnsi="宋体" w:cs="宋体" w:eastAsia="宋体" w:hint="default"/>
                <w:spacing w:val="-88"/>
                <w:w w:val="100"/>
                <w:sz w:val="21"/>
                <w:szCs w:val="21"/>
              </w:rPr>
              <w:t> </w:t>
            </w:r>
            <w:r>
              <w:rPr>
                <w:rFonts w:ascii="宋体" w:hAnsi="宋体" w:cs="宋体" w:eastAsia="宋体" w:hint="default"/>
                <w:spacing w:val="-88"/>
                <w:w w:val="100"/>
                <w:sz w:val="21"/>
                <w:szCs w:val="21"/>
              </w:rPr>
            </w:r>
            <w:r>
              <w:rPr>
                <w:rFonts w:ascii="宋体" w:hAnsi="宋体" w:cs="宋体" w:eastAsia="宋体" w:hint="default"/>
                <w:spacing w:val="-1"/>
                <w:sz w:val="21"/>
                <w:szCs w:val="21"/>
              </w:rPr>
              <w:t>于进一步促进资本市场健康发展的若干意见》及《关于首发及再融资、重大资产重</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承诺时间：</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3</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45"/>
                <w:sz w:val="21"/>
                <w:szCs w:val="21"/>
              </w:rPr>
              <w:t> </w:t>
            </w:r>
            <w:r>
              <w:rPr>
                <w:rFonts w:ascii="宋体" w:hAnsi="宋体" w:cs="宋体" w:eastAsia="宋体" w:hint="default"/>
                <w:spacing w:val="-12"/>
                <w:sz w:val="21"/>
                <w:szCs w:val="21"/>
              </w:rPr>
              <w:t>日，承诺</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5"/>
              <w:jc w:val="righ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1" w:lineRule="exact"/>
        <w:jc w:val="right"/>
        <w:rPr>
          <w:rFonts w:ascii="宋体" w:hAnsi="宋体" w:cs="宋体" w:eastAsia="宋体" w:hint="default"/>
          <w:sz w:val="21"/>
          <w:szCs w:val="21"/>
        </w:rPr>
        <w:sectPr>
          <w:pgSz w:w="16840" w:h="11910" w:orient="landscape"/>
          <w:pgMar w:header="882" w:footer="1195" w:top="1120" w:bottom="1380" w:left="1200" w:right="9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867"/>
        <w:gridCol w:w="708"/>
        <w:gridCol w:w="1133"/>
        <w:gridCol w:w="7799"/>
        <w:gridCol w:w="1274"/>
        <w:gridCol w:w="569"/>
        <w:gridCol w:w="566"/>
        <w:gridCol w:w="850"/>
        <w:gridCol w:w="710"/>
      </w:tblGrid>
      <w:tr>
        <w:trPr>
          <w:trHeight w:val="826"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的承诺</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控制人江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浩然</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组摊薄即期回报有关事项的指导意见》等相关规定和文件精神，作为发行人的控股</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z w:val="21"/>
                <w:szCs w:val="21"/>
              </w:rPr>
              <w:t>/</w:t>
            </w:r>
            <w:r>
              <w:rPr>
                <w:rFonts w:ascii="宋体" w:hAnsi="宋体" w:cs="宋体" w:eastAsia="宋体" w:hint="default"/>
                <w:sz w:val="21"/>
                <w:szCs w:val="21"/>
              </w:rPr>
              <w:t>实际控制人，承诺不越权干预公司经营管理活动，不侵占公司利益。</w:t>
            </w:r>
            <w:r>
              <w:rPr>
                <w:rFonts w:ascii="宋体" w:hAnsi="宋体" w:cs="宋体" w:eastAsia="宋体" w:hint="default"/>
                <w:spacing w:val="13"/>
                <w:sz w:val="21"/>
                <w:szCs w:val="21"/>
              </w:rPr>
              <w:t> </w:t>
            </w:r>
            <w:r>
              <w:rPr>
                <w:rFonts w:ascii="宋体" w:hAnsi="宋体" w:cs="宋体" w:eastAsia="宋体" w:hint="default"/>
                <w:sz w:val="21"/>
                <w:szCs w:val="21"/>
              </w:rPr>
              <w:t>如违反</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上述承诺给公司或者股东造成损失的，本公司</w:t>
            </w:r>
            <w:r>
              <w:rPr>
                <w:rFonts w:ascii="宋体" w:hAnsi="宋体" w:cs="宋体" w:eastAsia="宋体" w:hint="default"/>
                <w:sz w:val="21"/>
                <w:szCs w:val="21"/>
              </w:rPr>
              <w:t>/</w:t>
            </w:r>
            <w:r>
              <w:rPr>
                <w:rFonts w:ascii="宋体" w:hAnsi="宋体" w:cs="宋体" w:eastAsia="宋体" w:hint="default"/>
                <w:sz w:val="21"/>
                <w:szCs w:val="21"/>
              </w:rPr>
              <w:t>本人将依法承担补偿责任。</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期限：</w:t>
            </w:r>
            <w:r>
              <w:rPr>
                <w:rFonts w:ascii="宋体" w:hAnsi="宋体" w:cs="宋体" w:eastAsia="宋体" w:hint="default"/>
                <w:sz w:val="21"/>
                <w:szCs w:val="21"/>
              </w:rPr>
              <w:t>2017</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2463"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37" w:lineRule="auto"/>
              <w:ind w:left="103" w:right="118"/>
              <w:jc w:val="both"/>
              <w:rPr>
                <w:rFonts w:ascii="宋体" w:hAnsi="宋体" w:cs="宋体" w:eastAsia="宋体" w:hint="default"/>
                <w:sz w:val="21"/>
                <w:szCs w:val="21"/>
              </w:rPr>
            </w:pPr>
            <w:r>
              <w:rPr>
                <w:rFonts w:ascii="宋体" w:hAnsi="宋体" w:cs="宋体" w:eastAsia="宋体" w:hint="default"/>
                <w:sz w:val="21"/>
                <w:szCs w:val="21"/>
              </w:rPr>
              <w:t>与首次</w:t>
            </w:r>
            <w:r>
              <w:rPr>
                <w:rFonts w:ascii="宋体" w:hAnsi="宋体" w:cs="宋体" w:eastAsia="宋体" w:hint="default"/>
                <w:spacing w:val="-102"/>
                <w:sz w:val="21"/>
                <w:szCs w:val="21"/>
              </w:rPr>
              <w:t> </w:t>
            </w:r>
            <w:r>
              <w:rPr>
                <w:rFonts w:ascii="宋体" w:hAnsi="宋体" w:cs="宋体" w:eastAsia="宋体" w:hint="default"/>
                <w:sz w:val="21"/>
                <w:szCs w:val="21"/>
              </w:rPr>
              <w:t>公开发</w:t>
            </w:r>
            <w:r>
              <w:rPr>
                <w:rFonts w:ascii="宋体" w:hAnsi="宋体" w:cs="宋体" w:eastAsia="宋体" w:hint="default"/>
                <w:spacing w:val="-102"/>
                <w:sz w:val="21"/>
                <w:szCs w:val="21"/>
              </w:rPr>
              <w:t> </w:t>
            </w:r>
            <w:r>
              <w:rPr>
                <w:rFonts w:ascii="宋体" w:hAnsi="宋体" w:cs="宋体" w:eastAsia="宋体" w:hint="default"/>
                <w:sz w:val="21"/>
                <w:szCs w:val="21"/>
              </w:rPr>
              <w:t>行相关</w:t>
            </w:r>
            <w:r>
              <w:rPr>
                <w:rFonts w:ascii="宋体" w:hAnsi="宋体" w:cs="宋体" w:eastAsia="宋体" w:hint="default"/>
                <w:spacing w:val="-102"/>
                <w:sz w:val="21"/>
                <w:szCs w:val="21"/>
              </w:rPr>
              <w:t> </w:t>
            </w:r>
            <w:r>
              <w:rPr>
                <w:rFonts w:ascii="宋体" w:hAnsi="宋体" w:cs="宋体" w:eastAsia="宋体" w:hint="default"/>
                <w:sz w:val="21"/>
                <w:szCs w:val="21"/>
              </w:rPr>
              <w:t>的承诺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2"/>
              <w:jc w:val="center"/>
              <w:rPr>
                <w:rFonts w:ascii="宋体" w:hAnsi="宋体" w:cs="宋体" w:eastAsia="宋体" w:hint="default"/>
                <w:sz w:val="21"/>
                <w:szCs w:val="21"/>
              </w:rPr>
            </w:pPr>
            <w:r>
              <w:rPr>
                <w:rFonts w:ascii="宋体" w:hAnsi="宋体" w:cs="宋体" w:eastAsia="宋体" w:hint="default"/>
                <w:sz w:val="21"/>
                <w:szCs w:val="21"/>
              </w:rPr>
              <w:t>其他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董事、高</w:t>
            </w:r>
          </w:p>
          <w:p>
            <w:pPr>
              <w:pStyle w:val="TableParagraph"/>
              <w:spacing w:line="272" w:lineRule="exact" w:before="26"/>
              <w:ind w:left="103" w:right="175"/>
              <w:jc w:val="left"/>
              <w:rPr>
                <w:rFonts w:ascii="宋体" w:hAnsi="宋体" w:cs="宋体" w:eastAsia="宋体" w:hint="default"/>
                <w:sz w:val="21"/>
                <w:szCs w:val="21"/>
              </w:rPr>
            </w:pPr>
            <w:r>
              <w:rPr>
                <w:rFonts w:ascii="宋体" w:hAnsi="宋体" w:cs="宋体" w:eastAsia="宋体" w:hint="default"/>
                <w:sz w:val="21"/>
                <w:szCs w:val="21"/>
              </w:rPr>
              <w:t>级管理人</w:t>
            </w:r>
            <w:r>
              <w:rPr>
                <w:rFonts w:ascii="宋体" w:hAnsi="宋体" w:cs="宋体" w:eastAsia="宋体" w:hint="default"/>
                <w:w w:val="100"/>
                <w:sz w:val="21"/>
                <w:szCs w:val="21"/>
              </w:rPr>
              <w:t> </w:t>
            </w:r>
            <w:r>
              <w:rPr>
                <w:rFonts w:ascii="宋体" w:hAnsi="宋体" w:cs="宋体" w:eastAsia="宋体" w:hint="default"/>
                <w:sz w:val="21"/>
                <w:szCs w:val="21"/>
              </w:rPr>
              <w:t>员</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公司董事、高级管理人员对公司填补回报措施能够得到切实履行作出如下承诺：</w:t>
            </w:r>
          </w:p>
          <w:p>
            <w:pPr>
              <w:pStyle w:val="TableParagraph"/>
              <w:spacing w:line="272" w:lineRule="exact" w:before="26"/>
              <w:ind w:left="103" w:right="98"/>
              <w:jc w:val="left"/>
              <w:rPr>
                <w:rFonts w:ascii="宋体" w:hAnsi="宋体" w:cs="宋体" w:eastAsia="宋体" w:hint="default"/>
                <w:sz w:val="21"/>
                <w:szCs w:val="21"/>
              </w:rPr>
            </w:pPr>
            <w:r>
              <w:rPr>
                <w:rFonts w:ascii="宋体" w:hAnsi="宋体" w:cs="宋体" w:eastAsia="宋体" w:hint="default"/>
                <w:spacing w:val="-4"/>
                <w:sz w:val="21"/>
                <w:szCs w:val="21"/>
              </w:rPr>
              <w:t>1</w:t>
            </w:r>
            <w:r>
              <w:rPr>
                <w:rFonts w:ascii="宋体" w:hAnsi="宋体" w:cs="宋体" w:eastAsia="宋体" w:hint="default"/>
                <w:spacing w:val="-4"/>
                <w:sz w:val="21"/>
                <w:szCs w:val="21"/>
              </w:rPr>
              <w:t>、承诺不无偿或以不公平条件向其他单位或者个人输送利益，也不采用其他方式损</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害公司利益；</w:t>
            </w:r>
          </w:p>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、承诺对董事和高级管理人员的职务消费行为进行约束；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、承诺不动用公司资产从事与其履行职责无关的投资、消费活动；</w:t>
            </w:r>
          </w:p>
          <w:p>
            <w:pPr>
              <w:pStyle w:val="TableParagraph"/>
              <w:spacing w:line="237" w:lineRule="auto" w:before="2"/>
              <w:ind w:left="103" w:right="98"/>
              <w:jc w:val="left"/>
              <w:rPr>
                <w:rFonts w:ascii="宋体" w:hAnsi="宋体" w:cs="宋体" w:eastAsia="宋体" w:hint="default"/>
                <w:sz w:val="21"/>
                <w:szCs w:val="21"/>
              </w:rPr>
            </w:pPr>
            <w:r>
              <w:rPr>
                <w:rFonts w:ascii="宋体" w:hAnsi="宋体" w:cs="宋体" w:eastAsia="宋体" w:hint="default"/>
                <w:spacing w:val="-4"/>
                <w:w w:val="100"/>
                <w:sz w:val="21"/>
                <w:szCs w:val="21"/>
              </w:rPr>
              <w:t>4</w:t>
            </w:r>
            <w:r>
              <w:rPr>
                <w:rFonts w:ascii="宋体" w:hAnsi="宋体" w:cs="宋体" w:eastAsia="宋体" w:hint="default"/>
                <w:spacing w:val="-4"/>
                <w:w w:val="100"/>
                <w:sz w:val="21"/>
                <w:szCs w:val="21"/>
              </w:rPr>
              <w:t>、承诺由董事会或薪酬委员会制定的薪酬制度与公司填补回报措施的执行情况相挂</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z w:val="21"/>
                <w:szCs w:val="21"/>
              </w:rPr>
              <w:t>钩；</w:t>
            </w:r>
            <w:r>
              <w:rPr>
                <w:rFonts w:ascii="宋体" w:hAnsi="宋体" w:cs="宋体" w:eastAsia="宋体" w:hint="default"/>
                <w:spacing w:val="-103"/>
                <w:sz w:val="21"/>
                <w:szCs w:val="21"/>
              </w:rPr>
              <w:t> </w:t>
            </w:r>
            <w:r>
              <w:rPr>
                <w:rFonts w:ascii="宋体" w:hAnsi="宋体" w:cs="宋体" w:eastAsia="宋体" w:hint="default"/>
                <w:spacing w:val="-4"/>
                <w:sz w:val="21"/>
                <w:szCs w:val="21"/>
              </w:rPr>
              <w:t>5</w:t>
            </w:r>
            <w:r>
              <w:rPr>
                <w:rFonts w:ascii="宋体" w:hAnsi="宋体" w:cs="宋体" w:eastAsia="宋体" w:hint="default"/>
                <w:spacing w:val="-4"/>
                <w:sz w:val="21"/>
                <w:szCs w:val="21"/>
              </w:rPr>
              <w:t>、若公司后续推出的公司股权激励政策，承诺拟公布的股权激励的行权条件与公司</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填补回报措施的执行情况相挂钩。</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承诺时间：</w:t>
            </w:r>
          </w:p>
          <w:p>
            <w:pPr>
              <w:pStyle w:val="TableParagraph"/>
              <w:spacing w:line="271" w:lineRule="exact"/>
              <w:ind w:left="103" w:right="0"/>
              <w:jc w:val="both"/>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3</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47"/>
                <w:sz w:val="21"/>
                <w:szCs w:val="21"/>
              </w:rPr>
              <w:t> </w:t>
            </w:r>
            <w:r>
              <w:rPr>
                <w:rFonts w:ascii="宋体" w:hAnsi="宋体" w:cs="宋体" w:eastAsia="宋体" w:hint="default"/>
                <w:spacing w:val="-12"/>
                <w:sz w:val="21"/>
                <w:szCs w:val="21"/>
              </w:rPr>
              <w:t>日，承诺</w:t>
            </w:r>
            <w:r>
              <w:rPr>
                <w:rFonts w:ascii="宋体" w:hAnsi="宋体" w:cs="宋体" w:eastAsia="宋体" w:hint="default"/>
                <w:w w:val="100"/>
                <w:sz w:val="21"/>
                <w:szCs w:val="21"/>
              </w:rPr>
              <w:t> </w:t>
            </w:r>
            <w:r>
              <w:rPr>
                <w:rFonts w:ascii="宋体" w:hAnsi="宋体" w:cs="宋体" w:eastAsia="宋体" w:hint="default"/>
                <w:sz w:val="21"/>
                <w:szCs w:val="21"/>
              </w:rPr>
              <w:t>期限：</w:t>
            </w:r>
            <w:r>
              <w:rPr>
                <w:rFonts w:ascii="宋体" w:hAnsi="宋体" w:cs="宋体" w:eastAsia="宋体" w:hint="default"/>
                <w:sz w:val="21"/>
                <w:szCs w:val="21"/>
              </w:rPr>
              <w:t>2017</w:t>
            </w:r>
            <w:r>
              <w:rPr>
                <w:rFonts w:ascii="宋体" w:hAnsi="宋体" w:cs="宋体" w:eastAsia="宋体" w:hint="default"/>
                <w:spacing w:val="-10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日</w:t>
            </w:r>
          </w:p>
          <w:p>
            <w:pPr>
              <w:pStyle w:val="TableParagraph"/>
              <w:spacing w:line="274" w:lineRule="exact"/>
              <w:ind w:left="103" w:right="0"/>
              <w:jc w:val="both"/>
              <w:rPr>
                <w:rFonts w:ascii="宋体" w:hAnsi="宋体" w:cs="宋体" w:eastAsia="宋体" w:hint="default"/>
                <w:sz w:val="21"/>
                <w:szCs w:val="21"/>
              </w:rPr>
            </w:pPr>
            <w:r>
              <w:rPr>
                <w:rFonts w:ascii="宋体" w:hAnsi="宋体" w:cs="宋体" w:eastAsia="宋体" w:hint="default"/>
                <w:sz w:val="21"/>
                <w:szCs w:val="21"/>
              </w:rPr>
              <w:t>—长期</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5"/>
              <w:jc w:val="righ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1916"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6"/>
              <w:ind w:left="103" w:right="118"/>
              <w:jc w:val="both"/>
              <w:rPr>
                <w:rFonts w:ascii="宋体" w:hAnsi="宋体" w:cs="宋体" w:eastAsia="宋体" w:hint="default"/>
                <w:sz w:val="21"/>
                <w:szCs w:val="21"/>
              </w:rPr>
            </w:pPr>
            <w:r>
              <w:rPr>
                <w:rFonts w:ascii="宋体" w:hAnsi="宋体" w:cs="宋体" w:eastAsia="宋体" w:hint="default"/>
                <w:sz w:val="21"/>
                <w:szCs w:val="21"/>
              </w:rPr>
              <w:t>与首次</w:t>
            </w:r>
            <w:r>
              <w:rPr>
                <w:rFonts w:ascii="宋体" w:hAnsi="宋体" w:cs="宋体" w:eastAsia="宋体" w:hint="default"/>
                <w:spacing w:val="-102"/>
                <w:sz w:val="21"/>
                <w:szCs w:val="21"/>
              </w:rPr>
              <w:t> </w:t>
            </w:r>
            <w:r>
              <w:rPr>
                <w:rFonts w:ascii="宋体" w:hAnsi="宋体" w:cs="宋体" w:eastAsia="宋体" w:hint="default"/>
                <w:sz w:val="21"/>
                <w:szCs w:val="21"/>
              </w:rPr>
              <w:t>公开发</w:t>
            </w:r>
            <w:r>
              <w:rPr>
                <w:rFonts w:ascii="宋体" w:hAnsi="宋体" w:cs="宋体" w:eastAsia="宋体" w:hint="default"/>
                <w:spacing w:val="-102"/>
                <w:sz w:val="21"/>
                <w:szCs w:val="21"/>
              </w:rPr>
              <w:t> </w:t>
            </w:r>
            <w:r>
              <w:rPr>
                <w:rFonts w:ascii="宋体" w:hAnsi="宋体" w:cs="宋体" w:eastAsia="宋体" w:hint="default"/>
                <w:sz w:val="21"/>
                <w:szCs w:val="21"/>
              </w:rPr>
              <w:t>行相关</w:t>
            </w:r>
            <w:r>
              <w:rPr>
                <w:rFonts w:ascii="宋体" w:hAnsi="宋体" w:cs="宋体" w:eastAsia="宋体" w:hint="default"/>
                <w:spacing w:val="-102"/>
                <w:sz w:val="21"/>
                <w:szCs w:val="21"/>
              </w:rPr>
              <w:t> </w:t>
            </w:r>
            <w:r>
              <w:rPr>
                <w:rFonts w:ascii="宋体" w:hAnsi="宋体" w:cs="宋体" w:eastAsia="宋体" w:hint="default"/>
                <w:sz w:val="21"/>
                <w:szCs w:val="21"/>
              </w:rPr>
              <w:t>的承诺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center"/>
              <w:rPr>
                <w:rFonts w:ascii="宋体" w:hAnsi="宋体" w:cs="宋体" w:eastAsia="宋体" w:hint="default"/>
                <w:sz w:val="21"/>
                <w:szCs w:val="21"/>
              </w:rPr>
            </w:pPr>
            <w:r>
              <w:rPr>
                <w:rFonts w:ascii="宋体" w:hAnsi="宋体" w:cs="宋体" w:eastAsia="宋体" w:hint="default"/>
                <w:sz w:val="21"/>
                <w:szCs w:val="21"/>
              </w:rPr>
              <w:t>其他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若公司违反上市后三年内稳定股价的承诺，则公司将：</w:t>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）在股东大会及中国证监会指定媒体上公开说明未履行承诺的具体原因并向股</w:t>
            </w:r>
            <w:r>
              <w:rPr>
                <w:rFonts w:ascii="宋体" w:hAnsi="宋体" w:cs="宋体" w:eastAsia="宋体" w:hint="default"/>
                <w:spacing w:val="-63"/>
                <w:sz w:val="21"/>
                <w:szCs w:val="21"/>
              </w:rPr>
              <w:t> </w:t>
            </w:r>
            <w:r>
              <w:rPr>
                <w:rFonts w:ascii="宋体" w:hAnsi="宋体" w:cs="宋体" w:eastAsia="宋体" w:hint="default"/>
                <w:spacing w:val="-1"/>
                <w:sz w:val="21"/>
                <w:szCs w:val="21"/>
              </w:rPr>
              <w:t>东和社会公众投资者道歉，并提出补充承诺或替代承诺，以尽可能保护投资者的权</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益；</w:t>
            </w:r>
          </w:p>
          <w:p>
            <w:pPr>
              <w:pStyle w:val="TableParagraph"/>
              <w:spacing w:line="274" w:lineRule="exact"/>
              <w:ind w:left="103"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）因未能履行该项承诺造成投资者损失的，公司将依法向投资者进行赔偿。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承诺时间：</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3</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37" w:lineRule="auto" w:before="2"/>
              <w:ind w:left="103" w:right="96"/>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47"/>
                <w:sz w:val="21"/>
                <w:szCs w:val="21"/>
              </w:rPr>
              <w:t> </w:t>
            </w:r>
            <w:r>
              <w:rPr>
                <w:rFonts w:ascii="宋体" w:hAnsi="宋体" w:cs="宋体" w:eastAsia="宋体" w:hint="default"/>
                <w:spacing w:val="-12"/>
                <w:sz w:val="21"/>
                <w:szCs w:val="21"/>
              </w:rPr>
              <w:t>日，承诺</w:t>
            </w:r>
            <w:r>
              <w:rPr>
                <w:rFonts w:ascii="宋体" w:hAnsi="宋体" w:cs="宋体" w:eastAsia="宋体" w:hint="default"/>
                <w:w w:val="100"/>
                <w:sz w:val="21"/>
                <w:szCs w:val="21"/>
              </w:rPr>
              <w:t> </w:t>
            </w:r>
            <w:r>
              <w:rPr>
                <w:rFonts w:ascii="宋体" w:hAnsi="宋体" w:cs="宋体" w:eastAsia="宋体" w:hint="default"/>
                <w:sz w:val="21"/>
                <w:szCs w:val="21"/>
              </w:rPr>
              <w:t>期限：自</w:t>
            </w:r>
            <w:r>
              <w:rPr>
                <w:rFonts w:ascii="宋体" w:hAnsi="宋体" w:cs="宋体" w:eastAsia="宋体" w:hint="default"/>
                <w:w w:val="100"/>
                <w:sz w:val="21"/>
                <w:szCs w:val="21"/>
              </w:rPr>
              <w:t> </w:t>
            </w:r>
            <w:r>
              <w:rPr>
                <w:rFonts w:ascii="宋体" w:hAnsi="宋体" w:cs="宋体" w:eastAsia="宋体" w:hint="default"/>
                <w:sz w:val="21"/>
                <w:szCs w:val="21"/>
              </w:rPr>
              <w:t>2017</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9</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4" w:lineRule="exact" w:before="22"/>
              <w:ind w:left="103" w:right="158"/>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日起三年</w:t>
            </w:r>
            <w:r>
              <w:rPr>
                <w:rFonts w:ascii="宋体" w:hAnsi="宋体" w:cs="宋体" w:eastAsia="宋体" w:hint="default"/>
                <w:w w:val="100"/>
                <w:sz w:val="21"/>
                <w:szCs w:val="21"/>
              </w:rPr>
              <w:t> </w:t>
            </w:r>
            <w:r>
              <w:rPr>
                <w:rFonts w:ascii="宋体" w:hAnsi="宋体" w:cs="宋体" w:eastAsia="宋体" w:hint="default"/>
                <w:sz w:val="21"/>
                <w:szCs w:val="21"/>
              </w:rPr>
              <w:t>内</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5"/>
              <w:jc w:val="righ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1918"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8"/>
              <w:ind w:left="103" w:right="118"/>
              <w:jc w:val="both"/>
              <w:rPr>
                <w:rFonts w:ascii="宋体" w:hAnsi="宋体" w:cs="宋体" w:eastAsia="宋体" w:hint="default"/>
                <w:sz w:val="21"/>
                <w:szCs w:val="21"/>
              </w:rPr>
            </w:pPr>
            <w:r>
              <w:rPr>
                <w:rFonts w:ascii="宋体" w:hAnsi="宋体" w:cs="宋体" w:eastAsia="宋体" w:hint="default"/>
                <w:sz w:val="21"/>
                <w:szCs w:val="21"/>
              </w:rPr>
              <w:t>与首次</w:t>
            </w:r>
            <w:r>
              <w:rPr>
                <w:rFonts w:ascii="宋体" w:hAnsi="宋体" w:cs="宋体" w:eastAsia="宋体" w:hint="default"/>
                <w:spacing w:val="-102"/>
                <w:sz w:val="21"/>
                <w:szCs w:val="21"/>
              </w:rPr>
              <w:t> </w:t>
            </w:r>
            <w:r>
              <w:rPr>
                <w:rFonts w:ascii="宋体" w:hAnsi="宋体" w:cs="宋体" w:eastAsia="宋体" w:hint="default"/>
                <w:sz w:val="21"/>
                <w:szCs w:val="21"/>
              </w:rPr>
              <w:t>公开发</w:t>
            </w:r>
            <w:r>
              <w:rPr>
                <w:rFonts w:ascii="宋体" w:hAnsi="宋体" w:cs="宋体" w:eastAsia="宋体" w:hint="default"/>
                <w:spacing w:val="-102"/>
                <w:sz w:val="21"/>
                <w:szCs w:val="21"/>
              </w:rPr>
              <w:t> </w:t>
            </w:r>
            <w:r>
              <w:rPr>
                <w:rFonts w:ascii="宋体" w:hAnsi="宋体" w:cs="宋体" w:eastAsia="宋体" w:hint="default"/>
                <w:sz w:val="21"/>
                <w:szCs w:val="21"/>
              </w:rPr>
              <w:t>行相关</w:t>
            </w:r>
            <w:r>
              <w:rPr>
                <w:rFonts w:ascii="宋体" w:hAnsi="宋体" w:cs="宋体" w:eastAsia="宋体" w:hint="default"/>
                <w:spacing w:val="-102"/>
                <w:sz w:val="21"/>
                <w:szCs w:val="21"/>
              </w:rPr>
              <w:t> </w:t>
            </w:r>
            <w:r>
              <w:rPr>
                <w:rFonts w:ascii="宋体" w:hAnsi="宋体" w:cs="宋体" w:eastAsia="宋体" w:hint="default"/>
                <w:sz w:val="21"/>
                <w:szCs w:val="21"/>
              </w:rPr>
              <w:t>的承诺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center"/>
              <w:rPr>
                <w:rFonts w:ascii="宋体" w:hAnsi="宋体" w:cs="宋体" w:eastAsia="宋体" w:hint="default"/>
                <w:sz w:val="21"/>
                <w:szCs w:val="21"/>
              </w:rPr>
            </w:pPr>
            <w:r>
              <w:rPr>
                <w:rFonts w:ascii="宋体" w:hAnsi="宋体" w:cs="宋体" w:eastAsia="宋体" w:hint="default"/>
                <w:sz w:val="21"/>
                <w:szCs w:val="21"/>
              </w:rPr>
              <w:t>其他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恒融投资</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若恒融投资违反上市后三年内稳定股价的承诺，则恒融投资将：</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4"/>
                <w:w w:val="100"/>
                <w:sz w:val="21"/>
                <w:szCs w:val="21"/>
              </w:rPr>
              <w:t>（</w:t>
            </w:r>
            <w:r>
              <w:rPr>
                <w:rFonts w:ascii="宋体" w:hAnsi="宋体" w:cs="宋体" w:eastAsia="宋体" w:hint="default"/>
                <w:spacing w:val="-4"/>
                <w:w w:val="100"/>
                <w:sz w:val="21"/>
                <w:szCs w:val="21"/>
              </w:rPr>
              <w:t>1</w:t>
            </w:r>
            <w:r>
              <w:rPr>
                <w:rFonts w:ascii="宋体" w:hAnsi="宋体" w:cs="宋体" w:eastAsia="宋体" w:hint="default"/>
                <w:spacing w:val="-4"/>
                <w:w w:val="100"/>
                <w:sz w:val="21"/>
                <w:szCs w:val="21"/>
              </w:rPr>
              <w:t>）在股东大会及中国证监会指定媒体上公开说明未履行承诺的具体原因并向其他</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pacing w:val="-1"/>
                <w:sz w:val="21"/>
                <w:szCs w:val="21"/>
              </w:rPr>
              <w:t>股东和社会公众投资者道歉，并提出补充承诺或替代承诺，以尽可能保护投资者的</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权益；</w:t>
            </w:r>
          </w:p>
          <w:p>
            <w:pPr>
              <w:pStyle w:val="TableParagraph"/>
              <w:spacing w:line="271"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）因未能履行该项承诺造成投资者损失的，恒融投资将依法向投资者进行赔偿。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承诺时间：</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3</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37" w:lineRule="auto"/>
              <w:ind w:left="103" w:right="96"/>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47"/>
                <w:sz w:val="21"/>
                <w:szCs w:val="21"/>
              </w:rPr>
              <w:t> </w:t>
            </w:r>
            <w:r>
              <w:rPr>
                <w:rFonts w:ascii="宋体" w:hAnsi="宋体" w:cs="宋体" w:eastAsia="宋体" w:hint="default"/>
                <w:spacing w:val="-12"/>
                <w:sz w:val="21"/>
                <w:szCs w:val="21"/>
              </w:rPr>
              <w:t>日，承诺</w:t>
            </w:r>
            <w:r>
              <w:rPr>
                <w:rFonts w:ascii="宋体" w:hAnsi="宋体" w:cs="宋体" w:eastAsia="宋体" w:hint="default"/>
                <w:w w:val="100"/>
                <w:sz w:val="21"/>
                <w:szCs w:val="21"/>
              </w:rPr>
              <w:t> </w:t>
            </w:r>
            <w:r>
              <w:rPr>
                <w:rFonts w:ascii="宋体" w:hAnsi="宋体" w:cs="宋体" w:eastAsia="宋体" w:hint="default"/>
                <w:sz w:val="21"/>
                <w:szCs w:val="21"/>
              </w:rPr>
              <w:t>期限：自</w:t>
            </w:r>
            <w:r>
              <w:rPr>
                <w:rFonts w:ascii="宋体" w:hAnsi="宋体" w:cs="宋体" w:eastAsia="宋体" w:hint="default"/>
                <w:w w:val="100"/>
                <w:sz w:val="21"/>
                <w:szCs w:val="21"/>
              </w:rPr>
              <w:t> </w:t>
            </w:r>
            <w:r>
              <w:rPr>
                <w:rFonts w:ascii="宋体" w:hAnsi="宋体" w:cs="宋体" w:eastAsia="宋体" w:hint="default"/>
                <w:sz w:val="21"/>
                <w:szCs w:val="21"/>
              </w:rPr>
              <w:t>2017</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9</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2" w:lineRule="exact" w:before="26"/>
              <w:ind w:left="103" w:right="158"/>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日起三年</w:t>
            </w:r>
            <w:r>
              <w:rPr>
                <w:rFonts w:ascii="宋体" w:hAnsi="宋体" w:cs="宋体" w:eastAsia="宋体" w:hint="default"/>
                <w:w w:val="100"/>
                <w:sz w:val="21"/>
                <w:szCs w:val="21"/>
              </w:rPr>
              <w:t> </w:t>
            </w:r>
            <w:r>
              <w:rPr>
                <w:rFonts w:ascii="宋体" w:hAnsi="宋体" w:cs="宋体" w:eastAsia="宋体" w:hint="default"/>
                <w:sz w:val="21"/>
                <w:szCs w:val="21"/>
              </w:rPr>
              <w:t>内</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5"/>
              <w:jc w:val="right"/>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BodyText"/>
        <w:spacing w:line="239" w:lineRule="exact"/>
        <w:ind w:left="240" w:right="0"/>
        <w:jc w:val="left"/>
      </w:pPr>
      <w:r>
        <w:rPr>
          <w:spacing w:val="-3"/>
        </w:rPr>
        <w:t>注：珠海融恒等</w:t>
      </w:r>
      <w:r>
        <w:rPr>
          <w:spacing w:val="-28"/>
        </w:rPr>
        <w:t> </w:t>
      </w:r>
      <w:r>
        <w:rPr>
          <w:rFonts w:ascii="宋体" w:hAnsi="宋体" w:cs="宋体" w:eastAsia="宋体" w:hint="default"/>
        </w:rPr>
        <w:t>5</w:t>
      </w:r>
      <w:r>
        <w:rPr>
          <w:rFonts w:ascii="宋体" w:hAnsi="宋体" w:cs="宋体" w:eastAsia="宋体" w:hint="default"/>
          <w:spacing w:val="-31"/>
        </w:rPr>
        <w:t> </w:t>
      </w:r>
      <w:r>
        <w:rPr/>
        <w:t>位机构股东以及肖平等</w:t>
      </w:r>
      <w:r>
        <w:rPr>
          <w:spacing w:val="-27"/>
        </w:rPr>
        <w:t> </w:t>
      </w:r>
      <w:r>
        <w:rPr>
          <w:rFonts w:ascii="宋体" w:hAnsi="宋体" w:cs="宋体" w:eastAsia="宋体" w:hint="default"/>
        </w:rPr>
        <w:t>17</w:t>
      </w:r>
      <w:r>
        <w:rPr>
          <w:rFonts w:ascii="宋体" w:hAnsi="宋体" w:cs="宋体" w:eastAsia="宋体" w:hint="default"/>
          <w:spacing w:val="-31"/>
        </w:rPr>
        <w:t> </w:t>
      </w:r>
      <w:r>
        <w:rPr>
          <w:spacing w:val="-4"/>
        </w:rPr>
        <w:t>位自然人包括：珠海融恒、金石灏汭、深创投、海宁嘉慧、颐润投资、肖平、薛晓忠、吴龙云、王亚君、王</w:t>
      </w:r>
    </w:p>
    <w:p>
      <w:pPr>
        <w:pStyle w:val="BodyText"/>
        <w:spacing w:line="273" w:lineRule="exact"/>
        <w:ind w:left="240" w:right="0"/>
        <w:jc w:val="left"/>
      </w:pPr>
      <w:r>
        <w:rPr/>
        <w:t>伟、赵再兴、张云峰、秦威、方先锋、张伟峰、黄艺明、周芳宇、蒋晗、叶超邦、吴文丹、温健、梁晓刚等。</w:t>
      </w:r>
    </w:p>
    <w:p>
      <w:pPr>
        <w:spacing w:after="0" w:line="273" w:lineRule="exact"/>
        <w:jc w:val="left"/>
        <w:sectPr>
          <w:pgSz w:w="16840" w:h="11910" w:orient="landscape"/>
          <w:pgMar w:header="882" w:footer="1195" w:top="1120" w:bottom="1380" w:left="120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tabs>
          <w:tab w:pos="784" w:val="left" w:leader="none"/>
        </w:tabs>
        <w:spacing w:line="264" w:lineRule="auto" w:before="177"/>
        <w:ind w:right="910"/>
        <w:jc w:val="left"/>
        <w:rPr>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b w:val="0"/>
          <w:bCs w:val="0"/>
        </w:rPr>
      </w:r>
    </w:p>
    <w:p>
      <w:pPr>
        <w:pStyle w:val="BodyText"/>
        <w:spacing w:line="253" w:lineRule="exact"/>
        <w:ind w:left="218" w:right="3084"/>
        <w:jc w:val="left"/>
      </w:pPr>
      <w:r>
        <w:rPr/>
        <w:t>□已达到 □未达到 √不适用</w:t>
      </w:r>
    </w:p>
    <w:p>
      <w:pPr>
        <w:spacing w:line="240" w:lineRule="auto" w:before="3"/>
        <w:rPr>
          <w:rFonts w:ascii="宋体" w:hAnsi="宋体" w:cs="宋体" w:eastAsia="宋体" w:hint="default"/>
          <w:sz w:val="25"/>
          <w:szCs w:val="25"/>
        </w:rPr>
      </w:pPr>
    </w:p>
    <w:p>
      <w:pPr>
        <w:pStyle w:val="Heading2"/>
        <w:spacing w:line="240" w:lineRule="auto"/>
        <w:ind w:right="3084"/>
        <w:jc w:val="left"/>
        <w:rPr>
          <w:b w:val="0"/>
          <w:bCs w:val="0"/>
        </w:rPr>
      </w:pPr>
      <w:r>
        <w:rPr/>
        <w:t>三、报告期内资金被占用情况及清欠进展情况</w:t>
      </w:r>
      <w:r>
        <w:rPr>
          <w:b w:val="0"/>
          <w:bCs w:val="0"/>
        </w:rPr>
      </w:r>
    </w:p>
    <w:p>
      <w:pPr>
        <w:spacing w:line="290" w:lineRule="auto" w:before="56"/>
        <w:ind w:left="218" w:right="308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四、公司对会计师事务所“非标准意见审计报告”的说明</w:t>
      </w:r>
      <w:r>
        <w:rPr>
          <w:rFonts w:ascii="宋体" w:hAnsi="宋体" w:cs="宋体" w:eastAsia="宋体" w:hint="default"/>
          <w:spacing w:val="-1"/>
          <w:sz w:val="21"/>
          <w:szCs w:val="21"/>
        </w:rPr>
      </w:r>
    </w:p>
    <w:p>
      <w:pPr>
        <w:pStyle w:val="BodyText"/>
        <w:spacing w:line="240" w:lineRule="auto" w:before="12"/>
        <w:ind w:left="218" w:right="308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t>五、公司对会计政策、会计估计变更或重大会计差错更正原因和影响的分析说明</w:t>
      </w:r>
      <w:r>
        <w:rPr>
          <w:b w:val="0"/>
          <w:bCs w:val="0"/>
        </w:rPr>
      </w:r>
    </w:p>
    <w:p>
      <w:pPr>
        <w:pStyle w:val="Heading2"/>
        <w:tabs>
          <w:tab w:pos="1057" w:val="left" w:leader="none"/>
        </w:tabs>
        <w:spacing w:line="240" w:lineRule="auto" w:before="59"/>
        <w:ind w:right="3084"/>
        <w:jc w:val="left"/>
        <w:rPr>
          <w:b w:val="0"/>
          <w:bCs w:val="0"/>
        </w:rPr>
      </w:pPr>
      <w:r>
        <w:rPr/>
        <w:t>（一）</w:t>
        <w:tab/>
        <w:t>公司对会计政策、会计估计变更原因及影响的分析说明</w:t>
      </w:r>
      <w:r>
        <w:rPr>
          <w:b w:val="0"/>
          <w:bCs w:val="0"/>
        </w:rPr>
      </w:r>
    </w:p>
    <w:p>
      <w:pPr>
        <w:pStyle w:val="BodyText"/>
        <w:spacing w:line="274" w:lineRule="exact" w:before="56"/>
        <w:ind w:left="218" w:right="3084"/>
        <w:jc w:val="left"/>
      </w:pPr>
      <w:r>
        <w:rPr/>
        <w:t>√适用</w:t>
      </w:r>
      <w:r>
        <w:rPr>
          <w:spacing w:val="-1"/>
        </w:rPr>
        <w:t> </w:t>
      </w:r>
      <w:r>
        <w:rPr/>
        <w:t>□不适用</w:t>
      </w:r>
    </w:p>
    <w:p>
      <w:pPr>
        <w:pStyle w:val="BodyText"/>
        <w:spacing w:line="355" w:lineRule="auto"/>
        <w:ind w:left="218" w:right="227" w:firstLine="419"/>
        <w:jc w:val="left"/>
      </w:pPr>
      <w:r>
        <w:rPr/>
        <w:t>参见本报告书之“十一节 财务报告”之“五 重要会计政策和会计估计变更”之“33</w:t>
      </w:r>
      <w:r>
        <w:rPr>
          <w:spacing w:val="4"/>
        </w:rPr>
        <w:t> </w:t>
      </w:r>
      <w:r>
        <w:rPr/>
        <w:t>重要</w:t>
      </w:r>
      <w:r>
        <w:rPr>
          <w:w w:val="100"/>
        </w:rPr>
        <w:t> </w:t>
      </w:r>
      <w:r>
        <w:rPr/>
        <w:t>会计政策和会计估计的变更”。</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Heading2"/>
        <w:tabs>
          <w:tab w:pos="1057" w:val="left" w:leader="none"/>
        </w:tabs>
        <w:spacing w:line="240" w:lineRule="auto"/>
        <w:ind w:right="3084"/>
        <w:jc w:val="left"/>
        <w:rPr>
          <w:b w:val="0"/>
          <w:bCs w:val="0"/>
        </w:rPr>
      </w:pPr>
      <w:r>
        <w:rPr/>
        <w:t>（二）</w:t>
        <w:tab/>
        <w:t>公司对重大会计差错更正原因及影响的分析说明</w:t>
      </w:r>
      <w:r>
        <w:rPr>
          <w:b w:val="0"/>
          <w:bCs w:val="0"/>
        </w:rPr>
      </w:r>
    </w:p>
    <w:p>
      <w:pPr>
        <w:pStyle w:val="BodyText"/>
        <w:spacing w:line="240" w:lineRule="auto" w:before="56"/>
        <w:ind w:left="218" w:right="308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1057" w:val="left" w:leader="none"/>
        </w:tabs>
        <w:spacing w:line="240" w:lineRule="auto"/>
        <w:ind w:right="3084"/>
        <w:jc w:val="left"/>
        <w:rPr>
          <w:b w:val="0"/>
          <w:bCs w:val="0"/>
        </w:rPr>
      </w:pPr>
      <w:r>
        <w:rPr/>
        <w:t>（三）</w:t>
        <w:tab/>
        <w:t>与前任会计师事务所进行的沟通情况</w:t>
      </w:r>
      <w:r>
        <w:rPr>
          <w:b w:val="0"/>
          <w:bCs w:val="0"/>
        </w:rPr>
      </w:r>
    </w:p>
    <w:p>
      <w:pPr>
        <w:pStyle w:val="BodyText"/>
        <w:spacing w:line="240" w:lineRule="auto" w:before="58"/>
        <w:ind w:left="218" w:right="308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1057" w:val="left" w:leader="none"/>
        </w:tabs>
        <w:spacing w:line="240" w:lineRule="auto"/>
        <w:ind w:right="3084"/>
        <w:jc w:val="left"/>
        <w:rPr>
          <w:b w:val="0"/>
          <w:bCs w:val="0"/>
        </w:rPr>
      </w:pPr>
      <w:r>
        <w:rPr/>
        <w:t>（四）</w:t>
        <w:tab/>
        <w:t>其他说明</w:t>
      </w:r>
      <w:r>
        <w:rPr>
          <w:b w:val="0"/>
          <w:bCs w:val="0"/>
        </w:rPr>
      </w:r>
    </w:p>
    <w:p>
      <w:pPr>
        <w:pStyle w:val="BodyText"/>
        <w:spacing w:line="240" w:lineRule="auto" w:before="56"/>
        <w:ind w:left="218" w:right="3084"/>
        <w:jc w:val="left"/>
      </w:pPr>
      <w:r>
        <w:rPr/>
        <w:t>□适用</w:t>
      </w:r>
      <w:r>
        <w:rPr>
          <w:spacing w:val="-1"/>
        </w:rPr>
        <w:t> </w:t>
      </w:r>
      <w:r>
        <w:rPr/>
        <w:t>√不适用</w:t>
      </w:r>
    </w:p>
    <w:p>
      <w:pPr>
        <w:spacing w:line="240" w:lineRule="auto" w:before="6"/>
        <w:rPr>
          <w:rFonts w:ascii="宋体" w:hAnsi="宋体" w:cs="宋体" w:eastAsia="宋体" w:hint="default"/>
          <w:sz w:val="22"/>
          <w:szCs w:val="22"/>
        </w:rPr>
      </w:pPr>
    </w:p>
    <w:p>
      <w:pPr>
        <w:pStyle w:val="Heading2"/>
        <w:spacing w:line="240" w:lineRule="auto" w:before="36"/>
        <w:ind w:right="3084"/>
        <w:jc w:val="left"/>
        <w:rPr>
          <w:b w:val="0"/>
          <w:bCs w:val="0"/>
        </w:rPr>
      </w:pPr>
      <w:r>
        <w:rPr/>
        <w:t>六、聘任、解聘会计师事务所情况</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500,000.00</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r>
    </w:tbl>
    <w:p>
      <w:pPr>
        <w:spacing w:line="240" w:lineRule="auto" w:before="9"/>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保荐人</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中信证券股份有限公司</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40,000,000.00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3" w:lineRule="exact" w:before="36"/>
        <w:ind w:left="218" w:right="3084"/>
        <w:jc w:val="left"/>
      </w:pPr>
      <w:r>
        <w:rPr/>
        <w:t>聘任、解聘会计师事务所的情况说明</w:t>
      </w:r>
    </w:p>
    <w:p>
      <w:pPr>
        <w:pStyle w:val="BodyText"/>
        <w:spacing w:line="273" w:lineRule="exact"/>
        <w:ind w:left="218" w:right="3084"/>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left="218" w:right="3084"/>
        <w:jc w:val="left"/>
      </w:pPr>
      <w:r>
        <w:rPr/>
        <w:t>审计期间改聘会计师事务所的情况说明</w:t>
      </w:r>
    </w:p>
    <w:p>
      <w:pPr>
        <w:pStyle w:val="BodyText"/>
        <w:spacing w:line="274" w:lineRule="exact"/>
        <w:ind w:left="218" w:right="3084"/>
        <w:jc w:val="left"/>
      </w:pPr>
      <w:r>
        <w:rPr/>
        <w:t>□适用</w:t>
      </w:r>
      <w:r>
        <w:rPr>
          <w:spacing w:val="-1"/>
        </w:rPr>
        <w:t> </w:t>
      </w:r>
      <w:r>
        <w:rPr/>
        <w:t>√不适用</w:t>
      </w:r>
    </w:p>
    <w:p>
      <w:pPr>
        <w:spacing w:after="0" w:line="274" w:lineRule="exact"/>
        <w:jc w:val="left"/>
        <w:sectPr>
          <w:headerReference w:type="default" r:id="rId18"/>
          <w:footerReference w:type="default" r:id="rId19"/>
          <w:pgSz w:w="11910" w:h="16840"/>
          <w:pgMar w:header="880" w:footer="1195" w:top="1120" w:bottom="1380" w:left="1580" w:right="1040"/>
          <w:pgNumType w:start="34"/>
        </w:sectPr>
      </w:pPr>
    </w:p>
    <w:p>
      <w:pPr>
        <w:spacing w:line="240" w:lineRule="auto" w:before="4"/>
        <w:rPr>
          <w:rFonts w:ascii="宋体" w:hAnsi="宋体" w:cs="宋体" w:eastAsia="宋体" w:hint="default"/>
          <w:sz w:val="25"/>
          <w:szCs w:val="25"/>
        </w:rPr>
      </w:pPr>
    </w:p>
    <w:p>
      <w:pPr>
        <w:pStyle w:val="Heading2"/>
        <w:tabs>
          <w:tab w:pos="977" w:val="left" w:leader="none"/>
        </w:tabs>
        <w:spacing w:line="290" w:lineRule="auto" w:before="36"/>
        <w:ind w:left="138" w:right="6223"/>
        <w:jc w:val="left"/>
        <w:rPr>
          <w:b w:val="0"/>
          <w:bCs w:val="0"/>
        </w:rPr>
      </w:pPr>
      <w:r>
        <w:rPr/>
        <w:t>七、面临暂停上市风险的情况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t>导致暂停上市的原因</w:t>
      </w:r>
      <w:r>
        <w:rPr>
          <w:b w:val="0"/>
          <w:bCs w:val="0"/>
        </w:rPr>
      </w:r>
    </w:p>
    <w:p>
      <w:pPr>
        <w:pStyle w:val="BodyText"/>
        <w:spacing w:line="240" w:lineRule="auto" w:before="12"/>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977" w:val="left" w:leader="none"/>
        </w:tabs>
        <w:spacing w:line="240" w:lineRule="auto"/>
        <w:ind w:left="13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公司拟采取的应对措施</w:t>
      </w:r>
      <w:r>
        <w:rPr>
          <w:b w:val="0"/>
          <w:bCs w:val="0"/>
          <w:spacing w:val="-1"/>
        </w:rPr>
      </w:r>
    </w:p>
    <w:p>
      <w:pPr>
        <w:pStyle w:val="BodyText"/>
        <w:spacing w:line="240" w:lineRule="auto" w:before="58"/>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t>八、面临终止上市的情况和原因</w:t>
      </w:r>
      <w:r>
        <w:rPr>
          <w:b w:val="0"/>
          <w:bCs w:val="0"/>
        </w:rPr>
      </w:r>
    </w:p>
    <w:p>
      <w:pPr>
        <w:pStyle w:val="BodyText"/>
        <w:spacing w:line="240" w:lineRule="auto" w:before="56"/>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t>九、破产重整相关事项</w:t>
      </w:r>
      <w:r>
        <w:rPr>
          <w:b w:val="0"/>
          <w:bCs w:val="0"/>
        </w:rPr>
      </w:r>
    </w:p>
    <w:p>
      <w:pPr>
        <w:pStyle w:val="BodyText"/>
        <w:spacing w:line="240" w:lineRule="auto" w:before="59"/>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t>十、重大诉讼、仲裁事项</w:t>
      </w:r>
      <w:r>
        <w:rPr>
          <w:b w:val="0"/>
          <w:bCs w:val="0"/>
        </w:rPr>
      </w:r>
    </w:p>
    <w:p>
      <w:pPr>
        <w:spacing w:line="290" w:lineRule="auto" w:before="56"/>
        <w:ind w:left="138" w:right="0" w:firstLine="0"/>
        <w:jc w:val="left"/>
        <w:rPr>
          <w:rFonts w:ascii="宋体" w:hAnsi="宋体" w:cs="宋体" w:eastAsia="宋体" w:hint="default"/>
          <w:sz w:val="21"/>
          <w:szCs w:val="21"/>
        </w:rPr>
      </w:pPr>
      <w:r>
        <w:rPr>
          <w:rFonts w:ascii="宋体" w:hAnsi="宋体" w:cs="宋体" w:eastAsia="宋体" w:hint="default"/>
          <w:sz w:val="21"/>
          <w:szCs w:val="21"/>
        </w:rPr>
        <w:t>□本年度公司有重大诉讼、仲裁事项</w:t>
      </w:r>
      <w:r>
        <w:rPr>
          <w:rFonts w:ascii="宋体" w:hAnsi="宋体" w:cs="宋体" w:eastAsia="宋体" w:hint="default"/>
          <w:spacing w:val="-3"/>
          <w:sz w:val="21"/>
          <w:szCs w:val="21"/>
        </w:rPr>
        <w:t> </w:t>
      </w:r>
      <w:r>
        <w:rPr>
          <w:rFonts w:ascii="宋体" w:hAnsi="宋体" w:cs="宋体" w:eastAsia="宋体" w:hint="default"/>
          <w:sz w:val="21"/>
          <w:szCs w:val="21"/>
        </w:rPr>
        <w:t>√本年度公司无重大诉讼、仲裁事项</w:t>
      </w:r>
      <w:r>
        <w:rPr>
          <w:rFonts w:ascii="宋体" w:hAnsi="宋体" w:cs="宋体" w:eastAsia="宋体" w:hint="default"/>
          <w:w w:val="100"/>
          <w:sz w:val="21"/>
          <w:szCs w:val="21"/>
        </w:rPr>
        <w:t> </w:t>
      </w:r>
      <w:r>
        <w:rPr>
          <w:rFonts w:ascii="宋体" w:hAnsi="宋体" w:cs="宋体" w:eastAsia="宋体" w:hint="default"/>
          <w:b/>
          <w:bCs/>
          <w:spacing w:val="-1"/>
          <w:sz w:val="21"/>
          <w:szCs w:val="21"/>
        </w:rPr>
        <w:t>十一、上市公司及其董事、监事、高级管理人员、控股股东、实际控制人、收购人处罚及整改情</w:t>
      </w:r>
      <w:r>
        <w:rPr>
          <w:rFonts w:ascii="宋体" w:hAnsi="宋体" w:cs="宋体" w:eastAsia="宋体" w:hint="default"/>
          <w:spacing w:val="-1"/>
          <w:sz w:val="21"/>
          <w:szCs w:val="21"/>
        </w:rPr>
      </w:r>
    </w:p>
    <w:p>
      <w:pPr>
        <w:pStyle w:val="Heading2"/>
        <w:spacing w:line="227" w:lineRule="exact"/>
        <w:ind w:left="558" w:right="0"/>
        <w:jc w:val="left"/>
        <w:rPr>
          <w:b w:val="0"/>
          <w:bCs w:val="0"/>
        </w:rPr>
      </w:pPr>
      <w:r>
        <w:rPr>
          <w:w w:val="100"/>
        </w:rPr>
        <w:t>况</w:t>
      </w:r>
      <w:r>
        <w:rPr>
          <w:b w:val="0"/>
          <w:bCs w:val="0"/>
          <w:w w:val="100"/>
        </w:rPr>
      </w:r>
    </w:p>
    <w:p>
      <w:pPr>
        <w:pStyle w:val="BodyText"/>
        <w:spacing w:line="240" w:lineRule="auto" w:before="58"/>
        <w:ind w:right="0"/>
        <w:jc w:val="left"/>
      </w:pPr>
      <w:r>
        <w:rPr/>
        <w:t>□适用</w:t>
      </w:r>
      <w:r>
        <w:rPr>
          <w:spacing w:val="-1"/>
        </w:rPr>
        <w:t> </w:t>
      </w:r>
      <w:r>
        <w:rPr/>
        <w:t>√不适用</w:t>
      </w:r>
    </w:p>
    <w:p>
      <w:pPr>
        <w:spacing w:line="240" w:lineRule="auto" w:before="0"/>
        <w:rPr>
          <w:rFonts w:ascii="宋体" w:hAnsi="宋体" w:cs="宋体" w:eastAsia="宋体" w:hint="default"/>
          <w:sz w:val="25"/>
          <w:szCs w:val="25"/>
        </w:rPr>
      </w:pPr>
    </w:p>
    <w:p>
      <w:pPr>
        <w:pStyle w:val="Heading2"/>
        <w:spacing w:line="240" w:lineRule="auto"/>
        <w:ind w:left="138" w:right="0"/>
        <w:jc w:val="left"/>
        <w:rPr>
          <w:b w:val="0"/>
          <w:bCs w:val="0"/>
        </w:rPr>
      </w:pPr>
      <w:r>
        <w:rPr/>
        <w:t>十二、报告期内公司及其控股股东、实际控制人诚信状况的说明</w:t>
      </w:r>
      <w:r>
        <w:rPr>
          <w:b w:val="0"/>
          <w:bCs w:val="0"/>
        </w:rPr>
      </w:r>
    </w:p>
    <w:p>
      <w:pPr>
        <w:pStyle w:val="BodyText"/>
        <w:spacing w:line="272" w:lineRule="exact" w:before="86"/>
        <w:ind w:left="558" w:right="126" w:hanging="420"/>
        <w:jc w:val="left"/>
      </w:pPr>
      <w:r>
        <w:rPr/>
        <w:t>√适用</w:t>
      </w:r>
      <w:r>
        <w:rPr>
          <w:spacing w:val="-2"/>
        </w:rPr>
        <w:t> </w:t>
      </w:r>
      <w:r>
        <w:rPr/>
        <w:t>□不适用</w:t>
      </w:r>
      <w:r>
        <w:rPr>
          <w:w w:val="100"/>
        </w:rPr>
        <w:t> </w:t>
      </w:r>
      <w:r>
        <w:rPr>
          <w:spacing w:val="-9"/>
          <w:w w:val="100"/>
        </w:rPr>
        <w:t>报告期内，公司及公司控股股东、实际控制人不存在未履行法院生效判决，不存在数额较大</w:t>
      </w:r>
      <w:r>
        <w:rPr>
          <w:spacing w:val="-3"/>
          <w:w w:val="100"/>
        </w:rPr>
        <w:t> </w:t>
      </w:r>
      <w:r>
        <w:rPr>
          <w:w w:val="100"/>
        </w:rPr>
        <w:t>债</w:t>
      </w:r>
    </w:p>
    <w:p>
      <w:pPr>
        <w:pStyle w:val="BodyText"/>
        <w:spacing w:line="240" w:lineRule="auto" w:before="14"/>
        <w:ind w:right="0"/>
        <w:jc w:val="left"/>
      </w:pPr>
      <w:r>
        <w:rPr/>
        <w:t>务到期未清偿等不良诚信状况。</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Heading2"/>
        <w:spacing w:line="290" w:lineRule="auto"/>
        <w:ind w:left="138" w:right="1702"/>
        <w:jc w:val="left"/>
        <w:rPr>
          <w:b w:val="0"/>
          <w:bCs w:val="0"/>
        </w:rPr>
      </w:pP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spacing w:line="240" w:lineRule="auto" w:before="12"/>
        <w:ind w:right="0"/>
        <w:jc w:val="left"/>
      </w:pPr>
      <w:r>
        <w:rPr/>
        <w:t>□适用</w:t>
      </w:r>
      <w:r>
        <w:rPr>
          <w:spacing w:val="-1"/>
        </w:rPr>
        <w:t> </w:t>
      </w:r>
      <w:r>
        <w:rPr/>
        <w:t>√不适用</w:t>
      </w:r>
    </w:p>
    <w:p>
      <w:pPr>
        <w:spacing w:line="290" w:lineRule="auto" w:before="58"/>
        <w:ind w:left="138" w:right="45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pStyle w:val="BodyText"/>
        <w:spacing w:line="229" w:lineRule="exact"/>
        <w:ind w:right="0"/>
        <w:jc w:val="left"/>
      </w:pPr>
      <w:r>
        <w:rPr/>
        <w:t>□适用</w:t>
      </w:r>
      <w:r>
        <w:rPr>
          <w:spacing w:val="-1"/>
        </w:rPr>
        <w:t> </w:t>
      </w:r>
      <w:r>
        <w:rPr/>
        <w:t>√不适用</w:t>
      </w:r>
    </w:p>
    <w:p>
      <w:pPr>
        <w:spacing w:line="240" w:lineRule="auto" w:before="9"/>
        <w:rPr>
          <w:rFonts w:ascii="宋体" w:hAnsi="宋体" w:cs="宋体" w:eastAsia="宋体" w:hint="default"/>
          <w:sz w:val="20"/>
          <w:szCs w:val="20"/>
        </w:rPr>
      </w:pPr>
    </w:p>
    <w:p>
      <w:pPr>
        <w:pStyle w:val="BodyText"/>
        <w:spacing w:line="273" w:lineRule="exact"/>
        <w:ind w:right="0"/>
        <w:jc w:val="left"/>
      </w:pPr>
      <w:r>
        <w:rPr/>
        <w:t>其他说明</w:t>
      </w:r>
    </w:p>
    <w:p>
      <w:pPr>
        <w:pStyle w:val="BodyText"/>
        <w:spacing w:line="273" w:lineRule="exact"/>
        <w:ind w:right="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right="0"/>
        <w:jc w:val="left"/>
      </w:pPr>
      <w:r>
        <w:rPr/>
        <w:t>员工持股计划情况</w:t>
      </w:r>
    </w:p>
    <w:p>
      <w:pPr>
        <w:pStyle w:val="BodyText"/>
        <w:spacing w:line="274" w:lineRule="exact"/>
        <w:ind w:right="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right="0"/>
        <w:jc w:val="left"/>
      </w:pPr>
      <w:r>
        <w:rPr/>
        <w:t>其他激励措施</w:t>
      </w:r>
    </w:p>
    <w:p>
      <w:pPr>
        <w:pStyle w:val="BodyText"/>
        <w:spacing w:line="273" w:lineRule="exact"/>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t>十四、重大关联交易</w:t>
      </w:r>
      <w:r>
        <w:rPr>
          <w:b w:val="0"/>
          <w:bCs w:val="0"/>
        </w:rPr>
      </w:r>
    </w:p>
    <w:p>
      <w:pPr>
        <w:pStyle w:val="Heading2"/>
        <w:spacing w:line="240" w:lineRule="auto" w:before="56"/>
        <w:ind w:left="1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2"/>
        <w:spacing w:line="240" w:lineRule="auto" w:before="32"/>
        <w:ind w:left="138"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spacing w:after="0" w:line="240" w:lineRule="auto"/>
        <w:jc w:val="left"/>
        <w:sectPr>
          <w:footerReference w:type="default" r:id="rId20"/>
          <w:pgSz w:w="11910" w:h="16840"/>
          <w:pgMar w:footer="1724" w:header="880" w:top="1120" w:bottom="1920" w:left="1660" w:right="1140"/>
          <w:pgNumType w:start="35"/>
        </w:sectPr>
      </w:pPr>
    </w:p>
    <w:p>
      <w:pPr>
        <w:spacing w:line="240" w:lineRule="auto" w:before="4"/>
        <w:rPr>
          <w:rFonts w:ascii="宋体" w:hAnsi="宋体" w:cs="宋体" w:eastAsia="宋体" w:hint="default"/>
          <w:b/>
          <w:bCs/>
          <w:sz w:val="25"/>
          <w:szCs w:val="25"/>
        </w:rPr>
      </w:pPr>
    </w:p>
    <w:p>
      <w:pPr>
        <w:pStyle w:val="Heading2"/>
        <w:spacing w:line="240" w:lineRule="auto" w:before="36"/>
        <w:ind w:left="13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spacing w:line="290" w:lineRule="auto" w:before="56"/>
        <w:ind w:left="138" w:right="494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pStyle w:val="Heading2"/>
        <w:spacing w:line="240" w:lineRule="auto" w:before="12"/>
        <w:ind w:left="138"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8"/>
        <w:ind w:right="0"/>
        <w:jc w:val="left"/>
      </w:pPr>
      <w:r>
        <w:rPr/>
        <w:t>□适用</w:t>
      </w:r>
      <w:r>
        <w:rPr>
          <w:spacing w:val="-1"/>
        </w:rPr>
        <w:t> </w:t>
      </w:r>
      <w:r>
        <w:rPr/>
        <w:t>√不适用</w:t>
      </w:r>
    </w:p>
    <w:p>
      <w:pPr>
        <w:pStyle w:val="Heading2"/>
        <w:spacing w:line="240" w:lineRule="auto" w:before="56"/>
        <w:ind w:left="13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spacing w:line="240" w:lineRule="auto"/>
        <w:ind w:left="138" w:right="0"/>
        <w:jc w:val="left"/>
        <w:rPr>
          <w:b w:val="0"/>
          <w:bCs w:val="0"/>
        </w:rPr>
      </w:pPr>
      <w:r>
        <w:rPr>
          <w:rFonts w:ascii="宋体" w:hAnsi="宋体" w:cs="宋体" w:eastAsia="宋体" w:hint="default"/>
        </w:rPr>
        <w:t>4</w:t>
      </w:r>
      <w:r>
        <w:rPr/>
        <w:t>、</w:t>
      </w:r>
      <w:r>
        <w:rPr>
          <w:spacing w:val="-7"/>
        </w:rPr>
        <w:t> </w:t>
      </w:r>
      <w:r>
        <w:rPr/>
        <w:t>涉及业绩约定的，应当披露报告期内的业绩实现情况</w:t>
      </w:r>
      <w:r>
        <w:rPr>
          <w:b w:val="0"/>
          <w:bCs w:val="0"/>
        </w:rPr>
      </w:r>
    </w:p>
    <w:p>
      <w:pPr>
        <w:pStyle w:val="BodyText"/>
        <w:spacing w:line="240" w:lineRule="auto" w:before="56"/>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2"/>
        <w:spacing w:line="240" w:lineRule="auto" w:before="29"/>
        <w:ind w:left="138"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8"/>
        <w:ind w:right="0"/>
        <w:jc w:val="left"/>
      </w:pPr>
      <w:r>
        <w:rPr/>
        <w:t>□适用</w:t>
      </w:r>
      <w:r>
        <w:rPr>
          <w:spacing w:val="-1"/>
        </w:rPr>
        <w:t> </w:t>
      </w:r>
      <w:r>
        <w:rPr/>
        <w:t>√不适用</w:t>
      </w:r>
    </w:p>
    <w:p>
      <w:pPr>
        <w:pStyle w:val="Heading2"/>
        <w:spacing w:line="240" w:lineRule="auto" w:before="56"/>
        <w:ind w:left="13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spacing w:line="240" w:lineRule="auto"/>
        <w:ind w:left="1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2"/>
        <w:spacing w:line="240" w:lineRule="auto" w:before="29"/>
        <w:ind w:left="138"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8"/>
        <w:ind w:right="0"/>
        <w:jc w:val="left"/>
      </w:pPr>
      <w:r>
        <w:rPr/>
        <w:t>□适用</w:t>
      </w:r>
      <w:r>
        <w:rPr>
          <w:spacing w:val="-1"/>
        </w:rPr>
        <w:t> </w:t>
      </w:r>
      <w:r>
        <w:rPr/>
        <w:t>√不适用</w:t>
      </w:r>
    </w:p>
    <w:p>
      <w:pPr>
        <w:pStyle w:val="Heading2"/>
        <w:spacing w:line="240" w:lineRule="auto" w:before="57"/>
        <w:ind w:left="13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right="0"/>
        <w:jc w:val="left"/>
      </w:pPr>
      <w:r>
        <w:rPr/>
        <w:t>□适用</w:t>
      </w:r>
      <w:r>
        <w:rPr>
          <w:spacing w:val="-1"/>
        </w:rPr>
        <w:t> </w:t>
      </w:r>
      <w:r>
        <w:rPr/>
        <w:t>√不适用</w:t>
      </w:r>
    </w:p>
    <w:p>
      <w:pPr>
        <w:pStyle w:val="Heading2"/>
        <w:spacing w:line="240" w:lineRule="auto" w:before="58"/>
        <w:ind w:left="13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spacing w:line="240" w:lineRule="auto" w:before="29"/>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977" w:val="left" w:leader="none"/>
        </w:tabs>
        <w:spacing w:line="290" w:lineRule="auto"/>
        <w:ind w:left="138" w:right="6016"/>
        <w:jc w:val="left"/>
        <w:rPr>
          <w:b w:val="0"/>
          <w:bCs w:val="0"/>
        </w:rPr>
      </w:pPr>
      <w:r>
        <w:rPr/>
        <w:t>十五、重大合同及其履行情况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宋体" w:hAnsi="宋体" w:cs="宋体" w:eastAsia="宋体" w:hint="default"/>
        </w:rPr>
        <w:t>1</w:t>
      </w:r>
      <w:r>
        <w:rPr/>
        <w:t>、</w:t>
      </w:r>
      <w:r>
        <w:rPr>
          <w:spacing w:val="-2"/>
        </w:rPr>
        <w:t> </w:t>
      </w:r>
      <w:r>
        <w:rPr/>
        <w:t>托管情况</w:t>
      </w:r>
      <w:r>
        <w:rPr>
          <w:b w:val="0"/>
          <w:bCs w:val="0"/>
        </w:rPr>
      </w:r>
    </w:p>
    <w:p>
      <w:pPr>
        <w:spacing w:after="0" w:line="290" w:lineRule="auto"/>
        <w:jc w:val="left"/>
        <w:sectPr>
          <w:pgSz w:w="11910" w:h="16840"/>
          <w:pgMar w:header="880" w:footer="1724" w:top="1120" w:bottom="1920" w:left="1660" w:right="11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2"/>
        <w:spacing w:line="240" w:lineRule="auto" w:before="177"/>
        <w:ind w:right="3084"/>
        <w:jc w:val="left"/>
        <w:rPr>
          <w:b w:val="0"/>
          <w:bCs w:val="0"/>
        </w:rPr>
      </w:pPr>
      <w:r>
        <w:rPr>
          <w:rFonts w:ascii="宋体" w:hAnsi="宋体" w:cs="宋体" w:eastAsia="宋体" w:hint="default"/>
        </w:rPr>
        <w:t>2</w:t>
      </w:r>
      <w:r>
        <w:rPr/>
        <w:t>、</w:t>
      </w:r>
      <w:r>
        <w:rPr>
          <w:spacing w:val="-2"/>
        </w:rPr>
        <w:t> </w:t>
      </w:r>
      <w:r>
        <w:rPr/>
        <w:t>承包情况</w:t>
      </w:r>
      <w:r>
        <w:rPr>
          <w:b w:val="0"/>
          <w:bCs w:val="0"/>
        </w:rPr>
      </w:r>
    </w:p>
    <w:p>
      <w:pPr>
        <w:pStyle w:val="BodyText"/>
        <w:spacing w:line="240" w:lineRule="auto" w:before="56"/>
        <w:ind w:left="218" w:right="3084"/>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spacing w:line="240" w:lineRule="auto"/>
        <w:ind w:right="3084"/>
        <w:jc w:val="left"/>
        <w:rPr>
          <w:b w:val="0"/>
          <w:bCs w:val="0"/>
        </w:rPr>
      </w:pPr>
      <w:r>
        <w:rPr>
          <w:rFonts w:ascii="宋体" w:hAnsi="宋体" w:cs="宋体" w:eastAsia="宋体" w:hint="default"/>
        </w:rPr>
        <w:t>3</w:t>
      </w:r>
      <w:r>
        <w:rPr/>
        <w:t>、</w:t>
      </w:r>
      <w:r>
        <w:rPr>
          <w:spacing w:val="-2"/>
        </w:rPr>
        <w:t> </w:t>
      </w:r>
      <w:r>
        <w:rPr/>
        <w:t>租赁情况</w:t>
      </w:r>
      <w:r>
        <w:rPr>
          <w:b w:val="0"/>
          <w:bCs w:val="0"/>
        </w:rPr>
      </w:r>
    </w:p>
    <w:p>
      <w:pPr>
        <w:pStyle w:val="BodyText"/>
        <w:spacing w:line="240" w:lineRule="auto" w:before="56"/>
        <w:ind w:left="218" w:right="3084"/>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tabs>
          <w:tab w:pos="1057" w:val="left" w:leader="none"/>
        </w:tabs>
        <w:spacing w:line="240" w:lineRule="auto"/>
        <w:ind w:right="3084"/>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56"/>
        <w:ind w:left="218" w:right="3084"/>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21"/>
          <w:pgSz w:w="11910" w:h="16840"/>
          <w:pgMar w:footer="1195" w:header="880" w:top="1120" w:bottom="1380" w:left="1580" w:right="1040"/>
        </w:sectPr>
      </w:pPr>
    </w:p>
    <w:p>
      <w:pPr>
        <w:pStyle w:val="Heading2"/>
        <w:tabs>
          <w:tab w:pos="1057" w:val="left" w:leader="none"/>
        </w:tabs>
        <w:spacing w:line="290" w:lineRule="auto" w:before="36"/>
        <w:ind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spacing w:val="-1"/>
        </w:rPr>
        <w:t>委托他人进行现金资产管理的情况</w:t>
      </w:r>
      <w:r>
        <w:rPr>
          <w:spacing w:val="-92"/>
        </w:rPr>
        <w:t> </w:t>
      </w:r>
      <w:r>
        <w:rPr>
          <w:spacing w:val="-92"/>
        </w:rPr>
      </w:r>
      <w:r>
        <w:rPr>
          <w:rFonts w:ascii="宋体" w:hAnsi="宋体" w:cs="宋体" w:eastAsia="宋体" w:hint="default"/>
        </w:rPr>
        <w:t>1</w:t>
      </w:r>
      <w:r>
        <w:rPr/>
        <w:t>、</w:t>
      </w:r>
      <w:r>
        <w:rPr>
          <w:spacing w:val="1"/>
        </w:rPr>
        <w:t> </w:t>
      </w:r>
      <w:r>
        <w:rPr/>
        <w:t>委托理财情况</w:t>
      </w:r>
      <w:r>
        <w:rPr>
          <w:b w:val="0"/>
          <w:bCs w:val="0"/>
        </w:rPr>
      </w:r>
    </w:p>
    <w:p>
      <w:pPr>
        <w:pStyle w:val="Heading2"/>
        <w:spacing w:line="274" w:lineRule="exact" w:before="12"/>
        <w:ind w:right="0"/>
        <w:jc w:val="left"/>
        <w:rPr>
          <w:b w:val="0"/>
          <w:bCs w:val="0"/>
        </w:rPr>
      </w:pPr>
      <w:r>
        <w:rPr>
          <w:rFonts w:ascii="宋体" w:hAnsi="宋体" w:cs="宋体" w:eastAsia="宋体" w:hint="default"/>
        </w:rPr>
        <w:t>(1).</w:t>
      </w:r>
      <w:r>
        <w:rPr/>
        <w:t>委托理财总体情况</w:t>
      </w:r>
      <w:r>
        <w:rPr>
          <w:b w:val="0"/>
          <w:bCs w:val="0"/>
        </w:rPr>
      </w:r>
    </w:p>
    <w:p>
      <w:pPr>
        <w:pStyle w:val="BodyText"/>
        <w:spacing w:line="274" w:lineRule="exact"/>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222" w:space="2300"/>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68"/>
        <w:gridCol w:w="1985"/>
        <w:gridCol w:w="1702"/>
        <w:gridCol w:w="1841"/>
        <w:gridCol w:w="1853"/>
      </w:tblGrid>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5"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资金来源</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发生额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未到期余额</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hAnsi="宋体" w:cs="宋体" w:eastAsia="宋体" w:hint="default"/>
                <w:sz w:val="21"/>
                <w:szCs w:val="21"/>
              </w:rPr>
              <w:t>逾期未收回金额</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自有资金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227,810,000.00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227,810,000.00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募集资金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330,000,000.00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310,000,000.00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2"/>
        <w:spacing w:line="273" w:lineRule="exact" w:before="36"/>
        <w:ind w:right="3084"/>
        <w:jc w:val="left"/>
        <w:rPr>
          <w:b w:val="0"/>
          <w:bCs w:val="0"/>
        </w:rPr>
      </w:pPr>
      <w:r>
        <w:rPr/>
        <w:t>其他情况</w:t>
      </w:r>
      <w:r>
        <w:rPr>
          <w:b w:val="0"/>
          <w:bCs w:val="0"/>
        </w:rPr>
      </w:r>
    </w:p>
    <w:p>
      <w:pPr>
        <w:pStyle w:val="BodyText"/>
        <w:spacing w:line="273" w:lineRule="exact"/>
        <w:ind w:left="218" w:right="3084"/>
        <w:jc w:val="left"/>
      </w:pPr>
      <w:r>
        <w:rPr/>
        <w:t>□适用</w:t>
      </w:r>
      <w:r>
        <w:rPr>
          <w:spacing w:val="-1"/>
        </w:rPr>
        <w:t> </w:t>
      </w:r>
      <w:r>
        <w:rPr/>
        <w:t>√不适用</w:t>
      </w:r>
    </w:p>
    <w:p>
      <w:pPr>
        <w:spacing w:after="0" w:line="273" w:lineRule="exact"/>
        <w:jc w:val="left"/>
        <w:sectPr>
          <w:type w:val="continuous"/>
          <w:pgSz w:w="11910" w:h="16840"/>
          <w:pgMar w:top="1120" w:bottom="1380" w:left="1580" w:right="1040"/>
        </w:sectPr>
      </w:pPr>
    </w:p>
    <w:p>
      <w:pPr>
        <w:pStyle w:val="Heading2"/>
        <w:spacing w:line="273" w:lineRule="exact" w:before="120"/>
        <w:ind w:left="684" w:right="-15"/>
        <w:jc w:val="left"/>
        <w:rPr>
          <w:b w:val="0"/>
          <w:bCs w:val="0"/>
        </w:rPr>
      </w:pPr>
      <w:r>
        <w:rPr>
          <w:rFonts w:ascii="宋体" w:hAnsi="宋体" w:cs="宋体" w:eastAsia="宋体" w:hint="default"/>
        </w:rPr>
        <w:t>(2).</w:t>
      </w:r>
      <w:r>
        <w:rPr/>
        <w:t>单项委托理财情况</w:t>
      </w:r>
      <w:r>
        <w:rPr>
          <w:b w:val="0"/>
          <w:bCs w:val="0"/>
        </w:rPr>
      </w:r>
    </w:p>
    <w:p>
      <w:pPr>
        <w:pStyle w:val="BodyText"/>
        <w:spacing w:line="273" w:lineRule="exact"/>
        <w:ind w:left="68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735" w:val="left" w:leader="none"/>
        </w:tabs>
        <w:spacing w:line="240" w:lineRule="auto" w:before="141"/>
        <w:ind w:left="684" w:right="0"/>
        <w:jc w:val="left"/>
      </w:pPr>
      <w:r>
        <w:rPr>
          <w:spacing w:val="-1"/>
        </w:rPr>
        <w:t>单位：元</w:t>
        <w:tab/>
        <w:t>币种：人民币</w:t>
      </w:r>
    </w:p>
    <w:p>
      <w:pPr>
        <w:spacing w:after="0" w:line="240" w:lineRule="auto"/>
        <w:jc w:val="left"/>
        <w:sectPr>
          <w:headerReference w:type="default" r:id="rId22"/>
          <w:footerReference w:type="default" r:id="rId23"/>
          <w:pgSz w:w="16840" w:h="11910" w:orient="landscape"/>
          <w:pgMar w:header="880" w:footer="1195" w:top="1120" w:bottom="1380" w:left="840" w:right="440"/>
          <w:pgNumType w:start="38"/>
          <w:cols w:num="2" w:equalWidth="0">
            <w:col w:w="2799" w:space="8763"/>
            <w:col w:w="3998"/>
          </w:cols>
        </w:sectPr>
      </w:pPr>
    </w:p>
    <w:p>
      <w:pPr>
        <w:spacing w:line="240" w:lineRule="auto" w:before="4"/>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306"/>
        <w:gridCol w:w="1133"/>
        <w:gridCol w:w="1702"/>
        <w:gridCol w:w="1274"/>
        <w:gridCol w:w="1135"/>
        <w:gridCol w:w="680"/>
        <w:gridCol w:w="881"/>
        <w:gridCol w:w="850"/>
        <w:gridCol w:w="864"/>
        <w:gridCol w:w="1515"/>
        <w:gridCol w:w="1277"/>
        <w:gridCol w:w="566"/>
        <w:gridCol w:w="569"/>
        <w:gridCol w:w="708"/>
        <w:gridCol w:w="852"/>
      </w:tblGrid>
      <w:tr>
        <w:trPr>
          <w:trHeight w:val="2189"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331" w:right="0"/>
              <w:jc w:val="left"/>
              <w:rPr>
                <w:rFonts w:ascii="宋体" w:hAnsi="宋体" w:cs="宋体" w:eastAsia="宋体" w:hint="default"/>
                <w:sz w:val="21"/>
                <w:szCs w:val="21"/>
              </w:rPr>
            </w:pPr>
            <w:r>
              <w:rPr>
                <w:rFonts w:ascii="宋体" w:hAnsi="宋体" w:cs="宋体" w:eastAsia="宋体" w:hint="default"/>
                <w:sz w:val="21"/>
                <w:szCs w:val="21"/>
              </w:rPr>
              <w:t>受托人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350" w:right="137" w:hanging="209"/>
              <w:jc w:val="left"/>
              <w:rPr>
                <w:rFonts w:ascii="宋体" w:hAnsi="宋体" w:cs="宋体" w:eastAsia="宋体" w:hint="default"/>
                <w:sz w:val="21"/>
                <w:szCs w:val="21"/>
              </w:rPr>
            </w:pPr>
            <w:r>
              <w:rPr>
                <w:rFonts w:ascii="宋体" w:hAnsi="宋体" w:cs="宋体" w:eastAsia="宋体" w:hint="default"/>
                <w:sz w:val="21"/>
                <w:szCs w:val="21"/>
              </w:rPr>
              <w:t>委托理财</w:t>
            </w:r>
            <w:r>
              <w:rPr>
                <w:rFonts w:ascii="宋体" w:hAnsi="宋体" w:cs="宋体" w:eastAsia="宋体" w:hint="default"/>
                <w:w w:val="100"/>
                <w:sz w:val="21"/>
                <w:szCs w:val="21"/>
              </w:rPr>
              <w:t> </w:t>
            </w:r>
            <w:r>
              <w:rPr>
                <w:rFonts w:ascii="宋体" w:hAnsi="宋体" w:cs="宋体" w:eastAsia="宋体" w:hint="default"/>
                <w:sz w:val="21"/>
                <w:szCs w:val="21"/>
              </w:rPr>
              <w:t>类型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216" w:right="0"/>
              <w:jc w:val="left"/>
              <w:rPr>
                <w:rFonts w:ascii="宋体" w:hAnsi="宋体" w:cs="宋体" w:eastAsia="宋体" w:hint="default"/>
                <w:sz w:val="21"/>
                <w:szCs w:val="21"/>
              </w:rPr>
            </w:pPr>
            <w:r>
              <w:rPr>
                <w:rFonts w:ascii="宋体" w:hAnsi="宋体" w:cs="宋体" w:eastAsia="宋体" w:hint="default"/>
                <w:sz w:val="21"/>
                <w:szCs w:val="21"/>
              </w:rPr>
              <w:t>委托理财金额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316" w:right="101" w:hanging="209"/>
              <w:jc w:val="left"/>
              <w:rPr>
                <w:rFonts w:ascii="宋体" w:hAnsi="宋体" w:cs="宋体" w:eastAsia="宋体" w:hint="default"/>
                <w:sz w:val="21"/>
                <w:szCs w:val="21"/>
              </w:rPr>
            </w:pPr>
            <w:r>
              <w:rPr>
                <w:rFonts w:ascii="宋体" w:hAnsi="宋体" w:cs="宋体" w:eastAsia="宋体" w:hint="default"/>
                <w:sz w:val="21"/>
                <w:szCs w:val="21"/>
              </w:rPr>
              <w:t>委托理财起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始日期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143" w:right="137"/>
              <w:jc w:val="left"/>
              <w:rPr>
                <w:rFonts w:ascii="宋体" w:hAnsi="宋体" w:cs="宋体" w:eastAsia="宋体" w:hint="default"/>
                <w:sz w:val="21"/>
                <w:szCs w:val="21"/>
              </w:rPr>
            </w:pPr>
            <w:r>
              <w:rPr>
                <w:rFonts w:ascii="宋体" w:hAnsi="宋体" w:cs="宋体" w:eastAsia="宋体" w:hint="default"/>
                <w:sz w:val="21"/>
                <w:szCs w:val="21"/>
              </w:rPr>
              <w:t>委托理财</w:t>
            </w:r>
            <w:r>
              <w:rPr>
                <w:rFonts w:ascii="宋体" w:hAnsi="宋体" w:cs="宋体" w:eastAsia="宋体" w:hint="default"/>
                <w:w w:val="100"/>
                <w:sz w:val="21"/>
                <w:szCs w:val="21"/>
              </w:rPr>
              <w:t> </w:t>
            </w:r>
            <w:r>
              <w:rPr>
                <w:rFonts w:ascii="宋体" w:hAnsi="宋体" w:cs="宋体" w:eastAsia="宋体" w:hint="default"/>
                <w:sz w:val="21"/>
                <w:szCs w:val="21"/>
              </w:rPr>
              <w:t>终止日期</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124" w:right="120"/>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来源</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225" w:right="221"/>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投向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208" w:right="101" w:hanging="106"/>
              <w:jc w:val="left"/>
              <w:rPr>
                <w:rFonts w:ascii="宋体" w:hAnsi="宋体" w:cs="宋体" w:eastAsia="宋体" w:hint="default"/>
                <w:sz w:val="21"/>
                <w:szCs w:val="21"/>
              </w:rPr>
            </w:pPr>
            <w:r>
              <w:rPr>
                <w:rFonts w:ascii="宋体" w:hAnsi="宋体" w:cs="宋体" w:eastAsia="宋体" w:hint="default"/>
                <w:sz w:val="21"/>
                <w:szCs w:val="21"/>
              </w:rPr>
              <w:t>报酬确</w:t>
            </w:r>
            <w:r>
              <w:rPr>
                <w:rFonts w:ascii="宋体" w:hAnsi="宋体" w:cs="宋体" w:eastAsia="宋体" w:hint="default"/>
                <w:spacing w:val="-102"/>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方式</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110" w:right="108" w:firstLine="105"/>
              <w:jc w:val="left"/>
              <w:rPr>
                <w:rFonts w:ascii="宋体" w:hAnsi="宋体" w:cs="宋体" w:eastAsia="宋体" w:hint="default"/>
                <w:sz w:val="21"/>
                <w:szCs w:val="21"/>
              </w:rPr>
            </w:pPr>
            <w:r>
              <w:rPr>
                <w:rFonts w:ascii="宋体" w:hAnsi="宋体" w:cs="宋体" w:eastAsia="宋体" w:hint="default"/>
                <w:sz w:val="21"/>
                <w:szCs w:val="21"/>
              </w:rPr>
              <w:t>年化</w:t>
            </w:r>
            <w:r>
              <w:rPr>
                <w:rFonts w:ascii="宋体" w:hAnsi="宋体" w:cs="宋体" w:eastAsia="宋体" w:hint="default"/>
                <w:w w:val="100"/>
                <w:sz w:val="21"/>
                <w:szCs w:val="21"/>
              </w:rPr>
              <w:t> </w:t>
            </w:r>
            <w:r>
              <w:rPr>
                <w:rFonts w:ascii="宋体" w:hAnsi="宋体" w:cs="宋体" w:eastAsia="宋体" w:hint="default"/>
                <w:sz w:val="21"/>
                <w:szCs w:val="21"/>
              </w:rPr>
              <w:t>收益率</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436" w:right="327" w:hanging="104"/>
              <w:jc w:val="left"/>
              <w:rPr>
                <w:rFonts w:ascii="宋体" w:hAnsi="宋体" w:cs="宋体" w:eastAsia="宋体" w:hint="default"/>
                <w:sz w:val="21"/>
                <w:szCs w:val="21"/>
              </w:rPr>
            </w:pPr>
            <w:r>
              <w:rPr>
                <w:rFonts w:ascii="宋体" w:hAnsi="宋体" w:cs="宋体" w:eastAsia="宋体" w:hint="default"/>
                <w:sz w:val="21"/>
                <w:szCs w:val="21"/>
              </w:rPr>
              <w:t>预期收益</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如有</w:t>
            </w:r>
            <w:r>
              <w:rPr>
                <w:rFonts w:ascii="宋体" w:hAnsi="宋体" w:cs="宋体" w:eastAsia="宋体" w:hint="default"/>
                <w:sz w:val="21"/>
                <w:szCs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110" w:right="101" w:firstLine="314"/>
              <w:jc w:val="left"/>
              <w:rPr>
                <w:rFonts w:ascii="宋体" w:hAnsi="宋体" w:cs="宋体" w:eastAsia="宋体" w:hint="default"/>
                <w:sz w:val="21"/>
                <w:szCs w:val="21"/>
              </w:rPr>
            </w:pPr>
            <w:r>
              <w:rPr>
                <w:rFonts w:ascii="宋体" w:hAnsi="宋体" w:cs="宋体" w:eastAsia="宋体" w:hint="default"/>
                <w:sz w:val="21"/>
                <w:szCs w:val="21"/>
              </w:rPr>
              <w:t>实际</w:t>
            </w:r>
            <w:r>
              <w:rPr>
                <w:rFonts w:ascii="宋体" w:hAnsi="宋体" w:cs="宋体" w:eastAsia="宋体" w:hint="default"/>
                <w:w w:val="100"/>
                <w:sz w:val="21"/>
                <w:szCs w:val="21"/>
              </w:rPr>
              <w:t> </w:t>
            </w:r>
            <w:r>
              <w:rPr>
                <w:rFonts w:ascii="宋体" w:hAnsi="宋体" w:cs="宋体" w:eastAsia="宋体" w:hint="default"/>
                <w:sz w:val="21"/>
                <w:szCs w:val="21"/>
              </w:rPr>
              <w:t>收益或损失</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75" w:right="168"/>
              <w:jc w:val="both"/>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w w:val="100"/>
                <w:sz w:val="21"/>
                <w:szCs w:val="21"/>
              </w:rPr>
              <w:t> </w:t>
            </w:r>
            <w:r>
              <w:rPr>
                <w:rFonts w:ascii="宋体" w:hAnsi="宋体" w:cs="宋体" w:eastAsia="宋体" w:hint="default"/>
                <w:sz w:val="21"/>
                <w:szCs w:val="21"/>
              </w:rPr>
              <w:t>际</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r>
              <w:rPr>
                <w:rFonts w:ascii="宋体" w:hAnsi="宋体" w:cs="宋体" w:eastAsia="宋体" w:hint="default"/>
                <w:w w:val="100"/>
                <w:sz w:val="21"/>
                <w:szCs w:val="21"/>
              </w:rPr>
              <w:t> </w:t>
            </w:r>
            <w:r>
              <w:rPr>
                <w:rFonts w:ascii="宋体" w:hAnsi="宋体" w:cs="宋体" w:eastAsia="宋体" w:hint="default"/>
                <w:sz w:val="21"/>
                <w:szCs w:val="21"/>
              </w:rPr>
              <w:t>情</w:t>
            </w:r>
            <w:r>
              <w:rPr>
                <w:rFonts w:ascii="宋体" w:hAnsi="宋体" w:cs="宋体" w:eastAsia="宋体" w:hint="default"/>
                <w:w w:val="100"/>
                <w:sz w:val="21"/>
                <w:szCs w:val="21"/>
              </w:rPr>
              <w:t> </w:t>
            </w:r>
            <w:r>
              <w:rPr>
                <w:rFonts w:ascii="宋体" w:hAnsi="宋体" w:cs="宋体" w:eastAsia="宋体" w:hint="default"/>
                <w:sz w:val="21"/>
                <w:szCs w:val="21"/>
              </w:rPr>
              <w:t>况</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both"/>
              <w:rPr>
                <w:rFonts w:ascii="宋体" w:hAnsi="宋体" w:cs="宋体" w:eastAsia="宋体" w:hint="default"/>
                <w:sz w:val="21"/>
                <w:szCs w:val="21"/>
              </w:rPr>
            </w:pPr>
            <w:r>
              <w:rPr>
                <w:rFonts w:ascii="宋体" w:hAnsi="宋体" w:cs="宋体" w:eastAsia="宋体" w:hint="default"/>
                <w:w w:val="100"/>
                <w:sz w:val="21"/>
                <w:szCs w:val="21"/>
              </w:rPr>
              <w:t>是</w:t>
            </w:r>
          </w:p>
          <w:p>
            <w:pPr>
              <w:pStyle w:val="TableParagraph"/>
              <w:spacing w:line="237" w:lineRule="auto" w:before="2"/>
              <w:ind w:left="175" w:right="171"/>
              <w:jc w:val="both"/>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过</w:t>
            </w:r>
            <w:r>
              <w:rPr>
                <w:rFonts w:ascii="宋体" w:hAnsi="宋体" w:cs="宋体" w:eastAsia="宋体" w:hint="default"/>
                <w:w w:val="100"/>
                <w:sz w:val="21"/>
                <w:szCs w:val="21"/>
              </w:rPr>
              <w:t> </w:t>
            </w:r>
            <w:r>
              <w:rPr>
                <w:rFonts w:ascii="宋体" w:hAnsi="宋体" w:cs="宋体" w:eastAsia="宋体" w:hint="default"/>
                <w:sz w:val="21"/>
                <w:szCs w:val="21"/>
              </w:rPr>
              <w:t>法</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程</w:t>
            </w:r>
            <w:r>
              <w:rPr>
                <w:rFonts w:ascii="宋体" w:hAnsi="宋体" w:cs="宋体" w:eastAsia="宋体" w:hint="default"/>
                <w:w w:val="100"/>
                <w:sz w:val="21"/>
                <w:szCs w:val="21"/>
              </w:rPr>
              <w:t> </w:t>
            </w:r>
            <w:r>
              <w:rPr>
                <w:rFonts w:ascii="宋体" w:hAnsi="宋体" w:cs="宋体" w:eastAsia="宋体" w:hint="default"/>
                <w:sz w:val="21"/>
                <w:szCs w:val="21"/>
              </w:rPr>
              <w:t>序</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41" w:right="132"/>
              <w:jc w:val="both"/>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有委</w:t>
            </w:r>
            <w:r>
              <w:rPr>
                <w:rFonts w:ascii="宋体" w:hAnsi="宋体" w:cs="宋体" w:eastAsia="宋体" w:hint="default"/>
                <w:spacing w:val="-103"/>
                <w:sz w:val="21"/>
                <w:szCs w:val="21"/>
              </w:rPr>
              <w:t> </w:t>
            </w:r>
            <w:r>
              <w:rPr>
                <w:rFonts w:ascii="宋体" w:hAnsi="宋体" w:cs="宋体" w:eastAsia="宋体" w:hint="default"/>
                <w:sz w:val="21"/>
                <w:szCs w:val="21"/>
              </w:rPr>
              <w:t>托理</w:t>
            </w:r>
            <w:r>
              <w:rPr>
                <w:rFonts w:ascii="宋体" w:hAnsi="宋体" w:cs="宋体" w:eastAsia="宋体" w:hint="default"/>
                <w:spacing w:val="-103"/>
                <w:sz w:val="21"/>
                <w:szCs w:val="21"/>
              </w:rPr>
              <w:t> </w:t>
            </w:r>
            <w:r>
              <w:rPr>
                <w:rFonts w:ascii="宋体" w:hAnsi="宋体" w:cs="宋体" w:eastAsia="宋体" w:hint="default"/>
                <w:sz w:val="21"/>
                <w:szCs w:val="21"/>
              </w:rPr>
              <w:t>财计</w:t>
            </w:r>
            <w:r>
              <w:rPr>
                <w:rFonts w:ascii="宋体" w:hAnsi="宋体" w:cs="宋体" w:eastAsia="宋体" w:hint="default"/>
                <w:spacing w:val="-103"/>
                <w:sz w:val="21"/>
                <w:szCs w:val="21"/>
              </w:rPr>
              <w:t> </w:t>
            </w:r>
            <w:r>
              <w:rPr>
                <w:rFonts w:ascii="宋体" w:hAnsi="宋体" w:cs="宋体" w:eastAsia="宋体" w:hint="default"/>
                <w:sz w:val="21"/>
                <w:szCs w:val="21"/>
              </w:rPr>
              <w:t>划</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37" w:lineRule="auto" w:before="2"/>
              <w:ind w:left="105" w:right="101"/>
              <w:jc w:val="center"/>
              <w:rPr>
                <w:rFonts w:ascii="宋体" w:hAnsi="宋体" w:cs="宋体" w:eastAsia="宋体" w:hint="default"/>
                <w:sz w:val="21"/>
                <w:szCs w:val="21"/>
              </w:rPr>
            </w:pPr>
            <w:r>
              <w:rPr>
                <w:rFonts w:ascii="宋体" w:hAnsi="宋体" w:cs="宋体" w:eastAsia="宋体" w:hint="default"/>
                <w:sz w:val="21"/>
                <w:szCs w:val="21"/>
              </w:rPr>
              <w:t>备计提</w:t>
            </w:r>
            <w:r>
              <w:rPr>
                <w:rFonts w:ascii="宋体" w:hAnsi="宋体" w:cs="宋体" w:eastAsia="宋体" w:hint="default"/>
                <w:w w:val="100"/>
                <w:sz w:val="21"/>
                <w:szCs w:val="21"/>
              </w:rPr>
              <w:t> </w:t>
            </w:r>
            <w:r>
              <w:rPr>
                <w:rFonts w:ascii="宋体" w:hAnsi="宋体" w:cs="宋体" w:eastAsia="宋体" w:hint="default"/>
                <w:sz w:val="21"/>
                <w:szCs w:val="21"/>
              </w:rPr>
              <w:t>金额</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如有</w:t>
            </w:r>
            <w:r>
              <w:rPr>
                <w:rFonts w:ascii="宋体" w:hAnsi="宋体" w:cs="宋体" w:eastAsia="宋体" w:hint="default"/>
                <w:sz w:val="21"/>
                <w:szCs w:val="21"/>
              </w:rPr>
              <w:t>)</w:t>
            </w:r>
          </w:p>
        </w:tc>
      </w:tr>
      <w:tr>
        <w:trPr>
          <w:trHeight w:val="828"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农业银行天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津南开支行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保本保证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3" w:right="0"/>
              <w:jc w:val="left"/>
              <w:rPr>
                <w:rFonts w:ascii="宋体" w:hAnsi="宋体" w:cs="宋体" w:eastAsia="宋体" w:hint="default"/>
                <w:sz w:val="21"/>
                <w:szCs w:val="21"/>
              </w:rPr>
            </w:pPr>
            <w:r>
              <w:rPr>
                <w:rFonts w:ascii="宋体"/>
                <w:sz w:val="21"/>
              </w:rPr>
              <w:t>30,000,000.00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24</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保本型</w:t>
            </w:r>
          </w:p>
          <w:p>
            <w:pPr>
              <w:pStyle w:val="TableParagraph"/>
              <w:spacing w:line="272" w:lineRule="exact" w:before="27"/>
              <w:ind w:left="105" w:right="131"/>
              <w:jc w:val="left"/>
              <w:rPr>
                <w:rFonts w:ascii="宋体" w:hAnsi="宋体" w:cs="宋体" w:eastAsia="宋体" w:hint="default"/>
                <w:sz w:val="21"/>
                <w:szCs w:val="21"/>
              </w:rPr>
            </w:pPr>
            <w:r>
              <w:rPr>
                <w:rFonts w:ascii="宋体" w:hAnsi="宋体" w:cs="宋体" w:eastAsia="宋体" w:hint="default"/>
                <w:sz w:val="21"/>
                <w:szCs w:val="21"/>
              </w:rPr>
              <w:t>理财产</w:t>
            </w:r>
            <w:r>
              <w:rPr>
                <w:rFonts w:ascii="宋体" w:hAnsi="宋体" w:cs="宋体" w:eastAsia="宋体" w:hint="default"/>
                <w:spacing w:val="-102"/>
                <w:sz w:val="21"/>
                <w:szCs w:val="21"/>
              </w:rPr>
              <w:t> </w:t>
            </w:r>
            <w:r>
              <w:rPr>
                <w:rFonts w:ascii="宋体" w:hAnsi="宋体" w:cs="宋体" w:eastAsia="宋体" w:hint="default"/>
                <w:sz w:val="21"/>
                <w:szCs w:val="21"/>
              </w:rPr>
              <w:t>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保本保</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证收益</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78,246.58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78,246.58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72" w:lineRule="exact" w:before="27"/>
              <w:ind w:left="105" w:right="239"/>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农业银行天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津南开支行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保本保证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3" w:right="0"/>
              <w:jc w:val="left"/>
              <w:rPr>
                <w:rFonts w:ascii="宋体" w:hAnsi="宋体" w:cs="宋体" w:eastAsia="宋体" w:hint="default"/>
                <w:sz w:val="21"/>
                <w:szCs w:val="21"/>
              </w:rPr>
            </w:pPr>
            <w:r>
              <w:rPr>
                <w:rFonts w:ascii="宋体"/>
                <w:sz w:val="21"/>
              </w:rPr>
              <w:t>30,000,000.00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26</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保本型</w:t>
            </w:r>
          </w:p>
          <w:p>
            <w:pPr>
              <w:pStyle w:val="TableParagraph"/>
              <w:spacing w:line="240" w:lineRule="auto"/>
              <w:ind w:left="105" w:right="131"/>
              <w:jc w:val="left"/>
              <w:rPr>
                <w:rFonts w:ascii="宋体" w:hAnsi="宋体" w:cs="宋体" w:eastAsia="宋体" w:hint="default"/>
                <w:sz w:val="21"/>
                <w:szCs w:val="21"/>
              </w:rPr>
            </w:pPr>
            <w:r>
              <w:rPr>
                <w:rFonts w:ascii="宋体" w:hAnsi="宋体" w:cs="宋体" w:eastAsia="宋体" w:hint="default"/>
                <w:sz w:val="21"/>
                <w:szCs w:val="21"/>
              </w:rPr>
              <w:t>理财产</w:t>
            </w:r>
            <w:r>
              <w:rPr>
                <w:rFonts w:ascii="宋体" w:hAnsi="宋体" w:cs="宋体" w:eastAsia="宋体" w:hint="default"/>
                <w:spacing w:val="-102"/>
                <w:sz w:val="21"/>
                <w:szCs w:val="21"/>
              </w:rPr>
              <w:t> </w:t>
            </w:r>
            <w:r>
              <w:rPr>
                <w:rFonts w:ascii="宋体" w:hAnsi="宋体" w:cs="宋体" w:eastAsia="宋体" w:hint="default"/>
                <w:sz w:val="21"/>
                <w:szCs w:val="21"/>
              </w:rPr>
              <w:t>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保本保</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证收益</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135,616.44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135,616.44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40" w:lineRule="auto"/>
              <w:ind w:left="105" w:right="239"/>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农业银行天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津南开支行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动收益型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3" w:right="0"/>
              <w:jc w:val="left"/>
              <w:rPr>
                <w:rFonts w:ascii="宋体" w:hAnsi="宋体" w:cs="宋体" w:eastAsia="宋体" w:hint="default"/>
                <w:sz w:val="21"/>
                <w:szCs w:val="21"/>
              </w:rPr>
            </w:pPr>
            <w:r>
              <w:rPr>
                <w:rFonts w:ascii="宋体"/>
                <w:sz w:val="21"/>
              </w:rPr>
              <w:t>45,000,000.00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3</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72" w:lineRule="exact" w:before="27"/>
              <w:ind w:left="105" w:right="131"/>
              <w:jc w:val="left"/>
              <w:rPr>
                <w:rFonts w:ascii="宋体" w:hAnsi="宋体" w:cs="宋体" w:eastAsia="宋体" w:hint="default"/>
                <w:sz w:val="21"/>
                <w:szCs w:val="21"/>
              </w:rPr>
            </w:pPr>
            <w:r>
              <w:rPr>
                <w:rFonts w:ascii="宋体" w:hAnsi="宋体" w:cs="宋体" w:eastAsia="宋体" w:hint="default"/>
                <w:sz w:val="21"/>
                <w:szCs w:val="21"/>
              </w:rPr>
              <w:t>型理财</w:t>
            </w:r>
            <w:r>
              <w:rPr>
                <w:rFonts w:ascii="宋体" w:hAnsi="宋体" w:cs="宋体" w:eastAsia="宋体" w:hint="default"/>
                <w:spacing w:val="-102"/>
                <w:sz w:val="21"/>
                <w:szCs w:val="21"/>
              </w:rPr>
              <w:t> </w:t>
            </w:r>
            <w:r>
              <w:rPr>
                <w:rFonts w:ascii="宋体" w:hAnsi="宋体" w:cs="宋体" w:eastAsia="宋体" w:hint="default"/>
                <w:sz w:val="21"/>
                <w:szCs w:val="21"/>
              </w:rPr>
              <w:t>产品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2,835.62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2,835.62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72" w:lineRule="exact" w:before="27"/>
              <w:ind w:left="105" w:right="239"/>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农业银行天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津南开支行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动收益型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3" w:right="0"/>
              <w:jc w:val="left"/>
              <w:rPr>
                <w:rFonts w:ascii="宋体" w:hAnsi="宋体" w:cs="宋体" w:eastAsia="宋体" w:hint="default"/>
                <w:sz w:val="21"/>
                <w:szCs w:val="21"/>
              </w:rPr>
            </w:pPr>
            <w:r>
              <w:rPr>
                <w:rFonts w:ascii="宋体"/>
                <w:sz w:val="21"/>
              </w:rPr>
              <w:t>60,000,000.00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4</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72" w:lineRule="exact" w:before="27"/>
              <w:ind w:left="105" w:right="131"/>
              <w:jc w:val="left"/>
              <w:rPr>
                <w:rFonts w:ascii="宋体" w:hAnsi="宋体" w:cs="宋体" w:eastAsia="宋体" w:hint="default"/>
                <w:sz w:val="21"/>
                <w:szCs w:val="21"/>
              </w:rPr>
            </w:pPr>
            <w:r>
              <w:rPr>
                <w:rFonts w:ascii="宋体" w:hAnsi="宋体" w:cs="宋体" w:eastAsia="宋体" w:hint="default"/>
                <w:sz w:val="21"/>
                <w:szCs w:val="21"/>
              </w:rPr>
              <w:t>型理财</w:t>
            </w:r>
            <w:r>
              <w:rPr>
                <w:rFonts w:ascii="宋体" w:hAnsi="宋体" w:cs="宋体" w:eastAsia="宋体" w:hint="default"/>
                <w:spacing w:val="-102"/>
                <w:sz w:val="21"/>
                <w:szCs w:val="21"/>
              </w:rPr>
              <w:t> </w:t>
            </w:r>
            <w:r>
              <w:rPr>
                <w:rFonts w:ascii="宋体" w:hAnsi="宋体" w:cs="宋体" w:eastAsia="宋体" w:hint="default"/>
                <w:sz w:val="21"/>
                <w:szCs w:val="21"/>
              </w:rPr>
              <w:t>产品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212,383.36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212,383.36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72" w:lineRule="exact" w:before="27"/>
              <w:ind w:left="105" w:right="239"/>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农业银行天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津南开支行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动收益型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23" w:right="0"/>
              <w:jc w:val="left"/>
              <w:rPr>
                <w:rFonts w:ascii="宋体" w:hAnsi="宋体" w:cs="宋体" w:eastAsia="宋体" w:hint="default"/>
                <w:sz w:val="21"/>
                <w:szCs w:val="21"/>
              </w:rPr>
            </w:pPr>
            <w:r>
              <w:rPr>
                <w:rFonts w:ascii="宋体"/>
                <w:sz w:val="21"/>
              </w:rPr>
              <w:t>20,000,000.00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4</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24</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40" w:lineRule="auto"/>
              <w:ind w:left="105" w:right="131"/>
              <w:jc w:val="left"/>
              <w:rPr>
                <w:rFonts w:ascii="宋体" w:hAnsi="宋体" w:cs="宋体" w:eastAsia="宋体" w:hint="default"/>
                <w:sz w:val="21"/>
                <w:szCs w:val="21"/>
              </w:rPr>
            </w:pPr>
            <w:r>
              <w:rPr>
                <w:rFonts w:ascii="宋体" w:hAnsi="宋体" w:cs="宋体" w:eastAsia="宋体" w:hint="default"/>
                <w:sz w:val="21"/>
                <w:szCs w:val="21"/>
              </w:rPr>
              <w:t>型理财</w:t>
            </w:r>
            <w:r>
              <w:rPr>
                <w:rFonts w:ascii="宋体" w:hAnsi="宋体" w:cs="宋体" w:eastAsia="宋体" w:hint="default"/>
                <w:spacing w:val="-102"/>
                <w:sz w:val="21"/>
                <w:szCs w:val="21"/>
              </w:rPr>
              <w:t> </w:t>
            </w:r>
            <w:r>
              <w:rPr>
                <w:rFonts w:ascii="宋体" w:hAnsi="宋体" w:cs="宋体" w:eastAsia="宋体" w:hint="default"/>
                <w:sz w:val="21"/>
                <w:szCs w:val="21"/>
              </w:rPr>
              <w:t>产品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48,328.77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48,328.77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40" w:lineRule="auto"/>
              <w:ind w:left="105" w:right="239"/>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农业银行天</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津南开支行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非保本浮</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动收益型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3" w:right="0"/>
              <w:jc w:val="left"/>
              <w:rPr>
                <w:rFonts w:ascii="宋体" w:hAnsi="宋体" w:cs="宋体" w:eastAsia="宋体" w:hint="default"/>
                <w:sz w:val="21"/>
                <w:szCs w:val="21"/>
              </w:rPr>
            </w:pPr>
            <w:r>
              <w:rPr>
                <w:rFonts w:ascii="宋体"/>
                <w:sz w:val="21"/>
              </w:rPr>
              <w:t>16,000,000.00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7</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p>
          <w:p>
            <w:pPr>
              <w:pStyle w:val="TableParagraph"/>
              <w:spacing w:line="275"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72" w:lineRule="exact" w:before="27"/>
              <w:ind w:left="105" w:right="131"/>
              <w:jc w:val="left"/>
              <w:rPr>
                <w:rFonts w:ascii="宋体" w:hAnsi="宋体" w:cs="宋体" w:eastAsia="宋体" w:hint="default"/>
                <w:sz w:val="21"/>
                <w:szCs w:val="21"/>
              </w:rPr>
            </w:pPr>
            <w:r>
              <w:rPr>
                <w:rFonts w:ascii="宋体" w:hAnsi="宋体" w:cs="宋体" w:eastAsia="宋体" w:hint="default"/>
                <w:sz w:val="21"/>
                <w:szCs w:val="21"/>
              </w:rPr>
              <w:t>型理财</w:t>
            </w:r>
            <w:r>
              <w:rPr>
                <w:rFonts w:ascii="宋体" w:hAnsi="宋体" w:cs="宋体" w:eastAsia="宋体" w:hint="default"/>
                <w:spacing w:val="-102"/>
                <w:sz w:val="21"/>
                <w:szCs w:val="21"/>
              </w:rPr>
              <w:t> </w:t>
            </w:r>
            <w:r>
              <w:rPr>
                <w:rFonts w:ascii="宋体" w:hAnsi="宋体" w:cs="宋体" w:eastAsia="宋体" w:hint="default"/>
                <w:sz w:val="21"/>
                <w:szCs w:val="21"/>
              </w:rPr>
              <w:t>产品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3.15%</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9,665.75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9,665.75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72" w:lineRule="exact" w:before="27"/>
              <w:ind w:left="105" w:right="239"/>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农业银行天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津南开支行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动收益型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3" w:right="0"/>
              <w:jc w:val="left"/>
              <w:rPr>
                <w:rFonts w:ascii="宋体" w:hAnsi="宋体" w:cs="宋体" w:eastAsia="宋体" w:hint="default"/>
                <w:sz w:val="21"/>
                <w:szCs w:val="21"/>
              </w:rPr>
            </w:pPr>
            <w:r>
              <w:rPr>
                <w:rFonts w:ascii="宋体"/>
                <w:sz w:val="21"/>
              </w:rPr>
              <w:t>17,000,000.00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7</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19</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40" w:lineRule="auto"/>
              <w:ind w:left="105" w:right="131"/>
              <w:jc w:val="left"/>
              <w:rPr>
                <w:rFonts w:ascii="宋体" w:hAnsi="宋体" w:cs="宋体" w:eastAsia="宋体" w:hint="default"/>
                <w:sz w:val="21"/>
                <w:szCs w:val="21"/>
              </w:rPr>
            </w:pPr>
            <w:r>
              <w:rPr>
                <w:rFonts w:ascii="宋体" w:hAnsi="宋体" w:cs="宋体" w:eastAsia="宋体" w:hint="default"/>
                <w:sz w:val="21"/>
                <w:szCs w:val="21"/>
              </w:rPr>
              <w:t>型理财</w:t>
            </w:r>
            <w:r>
              <w:rPr>
                <w:rFonts w:ascii="宋体" w:hAnsi="宋体" w:cs="宋体" w:eastAsia="宋体" w:hint="default"/>
                <w:spacing w:val="-102"/>
                <w:sz w:val="21"/>
                <w:szCs w:val="21"/>
              </w:rPr>
              <w:t> </w:t>
            </w:r>
            <w:r>
              <w:rPr>
                <w:rFonts w:ascii="宋体" w:hAnsi="宋体" w:cs="宋体" w:eastAsia="宋体" w:hint="default"/>
                <w:sz w:val="21"/>
                <w:szCs w:val="21"/>
              </w:rPr>
              <w:t>产品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3.15%</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13,204.11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13,204.11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40" w:lineRule="auto"/>
              <w:ind w:left="105" w:right="239"/>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840" w:right="440"/>
        </w:sectPr>
      </w:pPr>
    </w:p>
    <w:p>
      <w:pPr>
        <w:spacing w:line="240" w:lineRule="auto" w:before="5"/>
        <w:rPr>
          <w:rFonts w:ascii="Times New Roman" w:hAnsi="Times New Roman" w:cs="Times New Roman" w:eastAsia="Times New Roman" w:hint="default"/>
          <w:sz w:val="13"/>
          <w:szCs w:val="13"/>
        </w:rPr>
      </w:pPr>
    </w:p>
    <w:tbl>
      <w:tblPr>
        <w:tblW w:w="0" w:type="auto"/>
        <w:jc w:val="left"/>
        <w:tblInd w:w="112" w:type="dxa"/>
        <w:tblLayout w:type="fixed"/>
        <w:tblCellMar>
          <w:top w:w="0" w:type="dxa"/>
          <w:left w:w="0" w:type="dxa"/>
          <w:bottom w:w="0" w:type="dxa"/>
          <w:right w:w="0" w:type="dxa"/>
        </w:tblCellMar>
        <w:tblLook w:val="01E0"/>
      </w:tblPr>
      <w:tblGrid>
        <w:gridCol w:w="1306"/>
        <w:gridCol w:w="1133"/>
        <w:gridCol w:w="1702"/>
        <w:gridCol w:w="1274"/>
        <w:gridCol w:w="1135"/>
        <w:gridCol w:w="680"/>
        <w:gridCol w:w="881"/>
        <w:gridCol w:w="850"/>
        <w:gridCol w:w="864"/>
        <w:gridCol w:w="1515"/>
        <w:gridCol w:w="1277"/>
        <w:gridCol w:w="566"/>
        <w:gridCol w:w="569"/>
        <w:gridCol w:w="708"/>
        <w:gridCol w:w="852"/>
      </w:tblGrid>
      <w:tr>
        <w:trPr>
          <w:trHeight w:val="82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农业银行天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津南开支行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动收益型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7</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26</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40" w:lineRule="auto"/>
              <w:ind w:left="105" w:right="131"/>
              <w:jc w:val="left"/>
              <w:rPr>
                <w:rFonts w:ascii="宋体" w:hAnsi="宋体" w:cs="宋体" w:eastAsia="宋体" w:hint="default"/>
                <w:sz w:val="21"/>
                <w:szCs w:val="21"/>
              </w:rPr>
            </w:pPr>
            <w:r>
              <w:rPr>
                <w:rFonts w:ascii="宋体" w:hAnsi="宋体" w:cs="宋体" w:eastAsia="宋体" w:hint="default"/>
                <w:sz w:val="21"/>
                <w:szCs w:val="21"/>
              </w:rPr>
              <w:t>型理财</w:t>
            </w:r>
            <w:r>
              <w:rPr>
                <w:rFonts w:ascii="宋体" w:hAnsi="宋体" w:cs="宋体" w:eastAsia="宋体" w:hint="default"/>
                <w:spacing w:val="-102"/>
                <w:sz w:val="21"/>
                <w:szCs w:val="21"/>
              </w:rPr>
              <w:t> </w:t>
            </w:r>
            <w:r>
              <w:rPr>
                <w:rFonts w:ascii="宋体" w:hAnsi="宋体" w:cs="宋体" w:eastAsia="宋体" w:hint="default"/>
                <w:sz w:val="21"/>
                <w:szCs w:val="21"/>
              </w:rPr>
              <w:t>产品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3.15%</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6,213.70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6,213.70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40" w:lineRule="auto"/>
              <w:ind w:left="105" w:right="239"/>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农业银行天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津南开支行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动收益型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71,000,000.00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8</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72" w:lineRule="exact" w:before="27"/>
              <w:ind w:left="105" w:right="131"/>
              <w:jc w:val="left"/>
              <w:rPr>
                <w:rFonts w:ascii="宋体" w:hAnsi="宋体" w:cs="宋体" w:eastAsia="宋体" w:hint="default"/>
                <w:sz w:val="21"/>
                <w:szCs w:val="21"/>
              </w:rPr>
            </w:pPr>
            <w:r>
              <w:rPr>
                <w:rFonts w:ascii="宋体" w:hAnsi="宋体" w:cs="宋体" w:eastAsia="宋体" w:hint="default"/>
                <w:sz w:val="21"/>
                <w:szCs w:val="21"/>
              </w:rPr>
              <w:t>型理财</w:t>
            </w:r>
            <w:r>
              <w:rPr>
                <w:rFonts w:ascii="宋体" w:hAnsi="宋体" w:cs="宋体" w:eastAsia="宋体" w:hint="default"/>
                <w:spacing w:val="-102"/>
                <w:sz w:val="21"/>
                <w:szCs w:val="21"/>
              </w:rPr>
              <w:t> </w:t>
            </w:r>
            <w:r>
              <w:rPr>
                <w:rFonts w:ascii="宋体" w:hAnsi="宋体" w:cs="宋体" w:eastAsia="宋体" w:hint="default"/>
                <w:sz w:val="21"/>
                <w:szCs w:val="21"/>
              </w:rPr>
              <w:t>产品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3.15%</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36,764.38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36,764.38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72" w:lineRule="exact" w:before="27"/>
              <w:ind w:left="105" w:right="239"/>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农业银行天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津南开支行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保本浮动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8</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保本型</w:t>
            </w:r>
          </w:p>
          <w:p>
            <w:pPr>
              <w:pStyle w:val="TableParagraph"/>
              <w:spacing w:line="272" w:lineRule="exact" w:before="27"/>
              <w:ind w:left="105" w:right="131"/>
              <w:jc w:val="left"/>
              <w:rPr>
                <w:rFonts w:ascii="宋体" w:hAnsi="宋体" w:cs="宋体" w:eastAsia="宋体" w:hint="default"/>
                <w:sz w:val="21"/>
                <w:szCs w:val="21"/>
              </w:rPr>
            </w:pPr>
            <w:r>
              <w:rPr>
                <w:rFonts w:ascii="宋体" w:hAnsi="宋体" w:cs="宋体" w:eastAsia="宋体" w:hint="default"/>
                <w:sz w:val="21"/>
                <w:szCs w:val="21"/>
              </w:rPr>
              <w:t>理财产</w:t>
            </w:r>
            <w:r>
              <w:rPr>
                <w:rFonts w:ascii="宋体" w:hAnsi="宋体" w:cs="宋体" w:eastAsia="宋体" w:hint="default"/>
                <w:spacing w:val="-102"/>
                <w:sz w:val="21"/>
                <w:szCs w:val="21"/>
              </w:rPr>
              <w:t> </w:t>
            </w:r>
            <w:r>
              <w:rPr>
                <w:rFonts w:ascii="宋体" w:hAnsi="宋体" w:cs="宋体" w:eastAsia="宋体" w:hint="default"/>
                <w:sz w:val="21"/>
                <w:szCs w:val="21"/>
              </w:rPr>
              <w:t>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保本浮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动收益</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17,260.27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17,260.27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72" w:lineRule="exact" w:before="27"/>
              <w:ind w:left="105" w:right="239"/>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农业银行天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津南开支行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保本浮动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12,000,000.00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8</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保本型</w:t>
            </w:r>
          </w:p>
          <w:p>
            <w:pPr>
              <w:pStyle w:val="TableParagraph"/>
              <w:spacing w:line="240" w:lineRule="auto"/>
              <w:ind w:left="105" w:right="131"/>
              <w:jc w:val="left"/>
              <w:rPr>
                <w:rFonts w:ascii="宋体" w:hAnsi="宋体" w:cs="宋体" w:eastAsia="宋体" w:hint="default"/>
                <w:sz w:val="21"/>
                <w:szCs w:val="21"/>
              </w:rPr>
            </w:pPr>
            <w:r>
              <w:rPr>
                <w:rFonts w:ascii="宋体" w:hAnsi="宋体" w:cs="宋体" w:eastAsia="宋体" w:hint="default"/>
                <w:sz w:val="21"/>
                <w:szCs w:val="21"/>
              </w:rPr>
              <w:t>理财产</w:t>
            </w:r>
            <w:r>
              <w:rPr>
                <w:rFonts w:ascii="宋体" w:hAnsi="宋体" w:cs="宋体" w:eastAsia="宋体" w:hint="default"/>
                <w:spacing w:val="-102"/>
                <w:sz w:val="21"/>
                <w:szCs w:val="21"/>
              </w:rPr>
              <w:t> </w:t>
            </w:r>
            <w:r>
              <w:rPr>
                <w:rFonts w:ascii="宋体" w:hAnsi="宋体" w:cs="宋体" w:eastAsia="宋体" w:hint="default"/>
                <w:sz w:val="21"/>
                <w:szCs w:val="21"/>
              </w:rPr>
              <w:t>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保本浮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动收益</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2.25%</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9,616.44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9,616.44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40" w:lineRule="auto"/>
              <w:ind w:left="105" w:right="239"/>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农业银行天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津南开支行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保本浮动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8</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保本型</w:t>
            </w:r>
          </w:p>
          <w:p>
            <w:pPr>
              <w:pStyle w:val="TableParagraph"/>
              <w:spacing w:line="272" w:lineRule="exact" w:before="27"/>
              <w:ind w:left="105" w:right="131"/>
              <w:jc w:val="left"/>
              <w:rPr>
                <w:rFonts w:ascii="宋体" w:hAnsi="宋体" w:cs="宋体" w:eastAsia="宋体" w:hint="default"/>
                <w:sz w:val="21"/>
                <w:szCs w:val="21"/>
              </w:rPr>
            </w:pPr>
            <w:r>
              <w:rPr>
                <w:rFonts w:ascii="宋体" w:hAnsi="宋体" w:cs="宋体" w:eastAsia="宋体" w:hint="default"/>
                <w:sz w:val="21"/>
                <w:szCs w:val="21"/>
              </w:rPr>
              <w:t>理财产</w:t>
            </w:r>
            <w:r>
              <w:rPr>
                <w:rFonts w:ascii="宋体" w:hAnsi="宋体" w:cs="宋体" w:eastAsia="宋体" w:hint="default"/>
                <w:spacing w:val="-102"/>
                <w:sz w:val="21"/>
                <w:szCs w:val="21"/>
              </w:rPr>
              <w:t> </w:t>
            </w:r>
            <w:r>
              <w:rPr>
                <w:rFonts w:ascii="宋体" w:hAnsi="宋体" w:cs="宋体" w:eastAsia="宋体" w:hint="default"/>
                <w:sz w:val="21"/>
                <w:szCs w:val="21"/>
              </w:rPr>
              <w:t>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保本浮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动收益</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2.25%</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12,575.34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12,575.34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72" w:lineRule="exact" w:before="27"/>
              <w:ind w:left="105" w:right="239"/>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农业银行天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津南开支行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保本浮动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8</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保本型</w:t>
            </w:r>
          </w:p>
          <w:p>
            <w:pPr>
              <w:pStyle w:val="TableParagraph"/>
              <w:spacing w:line="240" w:lineRule="auto"/>
              <w:ind w:left="105" w:right="131"/>
              <w:jc w:val="left"/>
              <w:rPr>
                <w:rFonts w:ascii="宋体" w:hAnsi="宋体" w:cs="宋体" w:eastAsia="宋体" w:hint="default"/>
                <w:sz w:val="21"/>
                <w:szCs w:val="21"/>
              </w:rPr>
            </w:pPr>
            <w:r>
              <w:rPr>
                <w:rFonts w:ascii="宋体" w:hAnsi="宋体" w:cs="宋体" w:eastAsia="宋体" w:hint="default"/>
                <w:sz w:val="21"/>
                <w:szCs w:val="21"/>
              </w:rPr>
              <w:t>理财产</w:t>
            </w:r>
            <w:r>
              <w:rPr>
                <w:rFonts w:ascii="宋体" w:hAnsi="宋体" w:cs="宋体" w:eastAsia="宋体" w:hint="default"/>
                <w:spacing w:val="-102"/>
                <w:sz w:val="21"/>
                <w:szCs w:val="21"/>
              </w:rPr>
              <w:t> </w:t>
            </w:r>
            <w:r>
              <w:rPr>
                <w:rFonts w:ascii="宋体" w:hAnsi="宋体" w:cs="宋体" w:eastAsia="宋体" w:hint="default"/>
                <w:sz w:val="21"/>
                <w:szCs w:val="21"/>
              </w:rPr>
              <w:t>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保本浮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动收益</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2.25%</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22,191.78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22,191.78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40" w:lineRule="auto"/>
              <w:ind w:left="105" w:right="239"/>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中信银行天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津分行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动收益型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7</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26</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72" w:lineRule="exact" w:before="27"/>
              <w:ind w:left="105" w:right="131"/>
              <w:jc w:val="left"/>
              <w:rPr>
                <w:rFonts w:ascii="宋体" w:hAnsi="宋体" w:cs="宋体" w:eastAsia="宋体" w:hint="default"/>
                <w:sz w:val="21"/>
                <w:szCs w:val="21"/>
              </w:rPr>
            </w:pPr>
            <w:r>
              <w:rPr>
                <w:rFonts w:ascii="宋体" w:hAnsi="宋体" w:cs="宋体" w:eastAsia="宋体" w:hint="default"/>
                <w:sz w:val="21"/>
                <w:szCs w:val="21"/>
              </w:rPr>
              <w:t>型理财</w:t>
            </w:r>
            <w:r>
              <w:rPr>
                <w:rFonts w:ascii="宋体" w:hAnsi="宋体" w:cs="宋体" w:eastAsia="宋体" w:hint="default"/>
                <w:spacing w:val="-102"/>
                <w:sz w:val="21"/>
                <w:szCs w:val="21"/>
              </w:rPr>
              <w:t> </w:t>
            </w:r>
            <w:r>
              <w:rPr>
                <w:rFonts w:ascii="宋体" w:hAnsi="宋体" w:cs="宋体" w:eastAsia="宋体" w:hint="default"/>
                <w:sz w:val="21"/>
                <w:szCs w:val="21"/>
              </w:rPr>
              <w:t>产品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4,931.51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4,931.51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72" w:lineRule="exact" w:before="27"/>
              <w:ind w:left="105" w:right="239"/>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中信银行天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津分行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动收益型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11</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40" w:lineRule="auto"/>
              <w:ind w:left="105" w:right="131"/>
              <w:jc w:val="left"/>
              <w:rPr>
                <w:rFonts w:ascii="宋体" w:hAnsi="宋体" w:cs="宋体" w:eastAsia="宋体" w:hint="default"/>
                <w:sz w:val="21"/>
                <w:szCs w:val="21"/>
              </w:rPr>
            </w:pPr>
            <w:r>
              <w:rPr>
                <w:rFonts w:ascii="宋体" w:hAnsi="宋体" w:cs="宋体" w:eastAsia="宋体" w:hint="default"/>
                <w:sz w:val="21"/>
                <w:szCs w:val="21"/>
              </w:rPr>
              <w:t>型理财</w:t>
            </w:r>
            <w:r>
              <w:rPr>
                <w:rFonts w:ascii="宋体" w:hAnsi="宋体" w:cs="宋体" w:eastAsia="宋体" w:hint="default"/>
                <w:spacing w:val="-102"/>
                <w:sz w:val="21"/>
                <w:szCs w:val="21"/>
              </w:rPr>
              <w:t> </w:t>
            </w:r>
            <w:r>
              <w:rPr>
                <w:rFonts w:ascii="宋体" w:hAnsi="宋体" w:cs="宋体" w:eastAsia="宋体" w:hint="default"/>
                <w:sz w:val="21"/>
                <w:szCs w:val="21"/>
              </w:rPr>
              <w:t>产品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225,342.47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225,342.47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40" w:lineRule="auto"/>
              <w:ind w:left="105" w:right="239"/>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中信银行天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津分行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动收益型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35,000,000.00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12</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40" w:lineRule="auto"/>
              <w:ind w:left="105" w:right="131"/>
              <w:jc w:val="left"/>
              <w:rPr>
                <w:rFonts w:ascii="宋体" w:hAnsi="宋体" w:cs="宋体" w:eastAsia="宋体" w:hint="default"/>
                <w:sz w:val="21"/>
                <w:szCs w:val="21"/>
              </w:rPr>
            </w:pPr>
            <w:r>
              <w:rPr>
                <w:rFonts w:ascii="宋体" w:hAnsi="宋体" w:cs="宋体" w:eastAsia="宋体" w:hint="default"/>
                <w:sz w:val="21"/>
                <w:szCs w:val="21"/>
              </w:rPr>
              <w:t>型理财</w:t>
            </w:r>
            <w:r>
              <w:rPr>
                <w:rFonts w:ascii="宋体" w:hAnsi="宋体" w:cs="宋体" w:eastAsia="宋体" w:hint="default"/>
                <w:spacing w:val="-102"/>
                <w:sz w:val="21"/>
                <w:szCs w:val="21"/>
              </w:rPr>
              <w:t> </w:t>
            </w:r>
            <w:r>
              <w:rPr>
                <w:rFonts w:ascii="宋体" w:hAnsi="宋体" w:cs="宋体" w:eastAsia="宋体" w:hint="default"/>
                <w:sz w:val="21"/>
                <w:szCs w:val="21"/>
              </w:rPr>
              <w:t>产品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4.50%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151,027.40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151,027.40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40" w:lineRule="auto"/>
              <w:ind w:left="105" w:right="239"/>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中信银行天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津分行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保本浮动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12</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保本型</w:t>
            </w:r>
          </w:p>
          <w:p>
            <w:pPr>
              <w:pStyle w:val="TableParagraph"/>
              <w:spacing w:line="272" w:lineRule="exact" w:before="27"/>
              <w:ind w:left="105" w:right="131"/>
              <w:jc w:val="left"/>
              <w:rPr>
                <w:rFonts w:ascii="宋体" w:hAnsi="宋体" w:cs="宋体" w:eastAsia="宋体" w:hint="default"/>
                <w:sz w:val="21"/>
                <w:szCs w:val="21"/>
              </w:rPr>
            </w:pPr>
            <w:r>
              <w:rPr>
                <w:rFonts w:ascii="宋体" w:hAnsi="宋体" w:cs="宋体" w:eastAsia="宋体" w:hint="default"/>
                <w:sz w:val="21"/>
                <w:szCs w:val="21"/>
              </w:rPr>
              <w:t>理财产</w:t>
            </w:r>
            <w:r>
              <w:rPr>
                <w:rFonts w:ascii="宋体" w:hAnsi="宋体" w:cs="宋体" w:eastAsia="宋体" w:hint="default"/>
                <w:spacing w:val="-102"/>
                <w:sz w:val="21"/>
                <w:szCs w:val="21"/>
              </w:rPr>
              <w:t> </w:t>
            </w:r>
            <w:r>
              <w:rPr>
                <w:rFonts w:ascii="宋体" w:hAnsi="宋体" w:cs="宋体" w:eastAsia="宋体" w:hint="default"/>
                <w:sz w:val="21"/>
                <w:szCs w:val="21"/>
              </w:rPr>
              <w:t>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保本浮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动收益</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2.65%</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72.60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72.60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72" w:lineRule="exact" w:before="27"/>
              <w:ind w:left="105" w:right="239"/>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中信银行天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保本浮动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21,300,000.00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12</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保本型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保本浮</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2.65%</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3,092.88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3,092.88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已</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840" w:right="440"/>
        </w:sectPr>
      </w:pPr>
    </w:p>
    <w:p>
      <w:pPr>
        <w:spacing w:line="240" w:lineRule="auto" w:before="5"/>
        <w:rPr>
          <w:rFonts w:ascii="Times New Roman" w:hAnsi="Times New Roman" w:cs="Times New Roman" w:eastAsia="Times New Roman" w:hint="default"/>
          <w:sz w:val="13"/>
          <w:szCs w:val="13"/>
        </w:rPr>
      </w:pPr>
    </w:p>
    <w:tbl>
      <w:tblPr>
        <w:tblW w:w="0" w:type="auto"/>
        <w:jc w:val="left"/>
        <w:tblInd w:w="112" w:type="dxa"/>
        <w:tblLayout w:type="fixed"/>
        <w:tblCellMar>
          <w:top w:w="0" w:type="dxa"/>
          <w:left w:w="0" w:type="dxa"/>
          <w:bottom w:w="0" w:type="dxa"/>
          <w:right w:w="0" w:type="dxa"/>
        </w:tblCellMar>
        <w:tblLook w:val="01E0"/>
      </w:tblPr>
      <w:tblGrid>
        <w:gridCol w:w="1306"/>
        <w:gridCol w:w="1133"/>
        <w:gridCol w:w="1702"/>
        <w:gridCol w:w="1274"/>
        <w:gridCol w:w="1135"/>
        <w:gridCol w:w="680"/>
        <w:gridCol w:w="881"/>
        <w:gridCol w:w="850"/>
        <w:gridCol w:w="864"/>
        <w:gridCol w:w="1515"/>
        <w:gridCol w:w="1277"/>
        <w:gridCol w:w="566"/>
        <w:gridCol w:w="569"/>
        <w:gridCol w:w="708"/>
        <w:gridCol w:w="852"/>
      </w:tblGrid>
      <w:tr>
        <w:trPr>
          <w:trHeight w:val="55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津分行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收益型</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理财产</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动收益</w:t>
            </w:r>
          </w:p>
        </w:tc>
        <w:tc>
          <w:tcPr>
            <w:tcW w:w="864"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收</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回</w:t>
            </w: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中信银行天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津分行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保本浮动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34,680,000.00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12</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保本型</w:t>
            </w:r>
          </w:p>
          <w:p>
            <w:pPr>
              <w:pStyle w:val="TableParagraph"/>
              <w:spacing w:line="240" w:lineRule="auto"/>
              <w:ind w:left="105" w:right="131"/>
              <w:jc w:val="left"/>
              <w:rPr>
                <w:rFonts w:ascii="宋体" w:hAnsi="宋体" w:cs="宋体" w:eastAsia="宋体" w:hint="default"/>
                <w:sz w:val="21"/>
                <w:szCs w:val="21"/>
              </w:rPr>
            </w:pPr>
            <w:r>
              <w:rPr>
                <w:rFonts w:ascii="宋体" w:hAnsi="宋体" w:cs="宋体" w:eastAsia="宋体" w:hint="default"/>
                <w:sz w:val="21"/>
                <w:szCs w:val="21"/>
              </w:rPr>
              <w:t>理财产</w:t>
            </w:r>
            <w:r>
              <w:rPr>
                <w:rFonts w:ascii="宋体" w:hAnsi="宋体" w:cs="宋体" w:eastAsia="宋体" w:hint="default"/>
                <w:spacing w:val="-102"/>
                <w:sz w:val="21"/>
                <w:szCs w:val="21"/>
              </w:rPr>
              <w:t> </w:t>
            </w:r>
            <w:r>
              <w:rPr>
                <w:rFonts w:ascii="宋体" w:hAnsi="宋体" w:cs="宋体" w:eastAsia="宋体" w:hint="default"/>
                <w:sz w:val="21"/>
                <w:szCs w:val="21"/>
              </w:rPr>
              <w:t>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保本浮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动收益</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2.65%</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7,553.59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7,553.59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40" w:lineRule="auto"/>
              <w:ind w:left="105" w:right="239"/>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中信银行天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津分行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保本浮动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21,040,000.00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12</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保本型</w:t>
            </w:r>
          </w:p>
          <w:p>
            <w:pPr>
              <w:pStyle w:val="TableParagraph"/>
              <w:spacing w:line="240" w:lineRule="auto"/>
              <w:ind w:left="105" w:right="131"/>
              <w:jc w:val="left"/>
              <w:rPr>
                <w:rFonts w:ascii="宋体" w:hAnsi="宋体" w:cs="宋体" w:eastAsia="宋体" w:hint="default"/>
                <w:sz w:val="21"/>
                <w:szCs w:val="21"/>
              </w:rPr>
            </w:pPr>
            <w:r>
              <w:rPr>
                <w:rFonts w:ascii="宋体" w:hAnsi="宋体" w:cs="宋体" w:eastAsia="宋体" w:hint="default"/>
                <w:sz w:val="21"/>
                <w:szCs w:val="21"/>
              </w:rPr>
              <w:t>理财产</w:t>
            </w:r>
            <w:r>
              <w:rPr>
                <w:rFonts w:ascii="宋体" w:hAnsi="宋体" w:cs="宋体" w:eastAsia="宋体" w:hint="default"/>
                <w:spacing w:val="-102"/>
                <w:sz w:val="21"/>
                <w:szCs w:val="21"/>
              </w:rPr>
              <w:t> </w:t>
            </w:r>
            <w:r>
              <w:rPr>
                <w:rFonts w:ascii="宋体" w:hAnsi="宋体" w:cs="宋体" w:eastAsia="宋体" w:hint="default"/>
                <w:sz w:val="21"/>
                <w:szCs w:val="21"/>
              </w:rPr>
              <w:t>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保本浮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动收益</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2.65%</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3,055.12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3,055.12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40" w:lineRule="auto"/>
              <w:ind w:left="105" w:right="239"/>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中信银行天</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津分行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保本浮动</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25,960,000.00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12</w:t>
            </w:r>
          </w:p>
          <w:p>
            <w:pPr>
              <w:pStyle w:val="TableParagraph"/>
              <w:spacing w:line="275"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保本型</w:t>
            </w:r>
          </w:p>
          <w:p>
            <w:pPr>
              <w:pStyle w:val="TableParagraph"/>
              <w:spacing w:line="272" w:lineRule="exact" w:before="27"/>
              <w:ind w:left="105" w:right="131"/>
              <w:jc w:val="left"/>
              <w:rPr>
                <w:rFonts w:ascii="宋体" w:hAnsi="宋体" w:cs="宋体" w:eastAsia="宋体" w:hint="default"/>
                <w:sz w:val="21"/>
                <w:szCs w:val="21"/>
              </w:rPr>
            </w:pPr>
            <w:r>
              <w:rPr>
                <w:rFonts w:ascii="宋体" w:hAnsi="宋体" w:cs="宋体" w:eastAsia="宋体" w:hint="default"/>
                <w:sz w:val="21"/>
                <w:szCs w:val="21"/>
              </w:rPr>
              <w:t>理财产</w:t>
            </w:r>
            <w:r>
              <w:rPr>
                <w:rFonts w:ascii="宋体" w:hAnsi="宋体" w:cs="宋体" w:eastAsia="宋体" w:hint="default"/>
                <w:spacing w:val="-102"/>
                <w:sz w:val="21"/>
                <w:szCs w:val="21"/>
              </w:rPr>
              <w:t> </w:t>
            </w:r>
            <w:r>
              <w:rPr>
                <w:rFonts w:ascii="宋体" w:hAnsi="宋体" w:cs="宋体" w:eastAsia="宋体" w:hint="default"/>
                <w:sz w:val="21"/>
                <w:szCs w:val="21"/>
              </w:rPr>
              <w:t>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保本浮</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动收益</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2.65%</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1,884.77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1,884.77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72" w:lineRule="exact" w:before="27"/>
              <w:ind w:left="105" w:right="239"/>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中信银行天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津分行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动收益型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12</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40" w:lineRule="auto"/>
              <w:ind w:left="105" w:right="131"/>
              <w:jc w:val="left"/>
              <w:rPr>
                <w:rFonts w:ascii="宋体" w:hAnsi="宋体" w:cs="宋体" w:eastAsia="宋体" w:hint="default"/>
                <w:sz w:val="21"/>
                <w:szCs w:val="21"/>
              </w:rPr>
            </w:pPr>
            <w:r>
              <w:rPr>
                <w:rFonts w:ascii="宋体" w:hAnsi="宋体" w:cs="宋体" w:eastAsia="宋体" w:hint="default"/>
                <w:sz w:val="21"/>
                <w:szCs w:val="21"/>
              </w:rPr>
              <w:t>型理财</w:t>
            </w:r>
            <w:r>
              <w:rPr>
                <w:rFonts w:ascii="宋体" w:hAnsi="宋体" w:cs="宋体" w:eastAsia="宋体" w:hint="default"/>
                <w:spacing w:val="-102"/>
                <w:sz w:val="21"/>
                <w:szCs w:val="21"/>
              </w:rPr>
              <w:t> </w:t>
            </w:r>
            <w:r>
              <w:rPr>
                <w:rFonts w:ascii="宋体" w:hAnsi="宋体" w:cs="宋体" w:eastAsia="宋体" w:hint="default"/>
                <w:sz w:val="21"/>
                <w:szCs w:val="21"/>
              </w:rPr>
              <w:t>产品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63,287.67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63,287.67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40" w:lineRule="auto"/>
              <w:ind w:left="105" w:right="239"/>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中信银行天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津分行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动收益型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12</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72" w:lineRule="exact" w:before="27"/>
              <w:ind w:left="105" w:right="131"/>
              <w:jc w:val="left"/>
              <w:rPr>
                <w:rFonts w:ascii="宋体" w:hAnsi="宋体" w:cs="宋体" w:eastAsia="宋体" w:hint="default"/>
                <w:sz w:val="21"/>
                <w:szCs w:val="21"/>
              </w:rPr>
            </w:pPr>
            <w:r>
              <w:rPr>
                <w:rFonts w:ascii="宋体" w:hAnsi="宋体" w:cs="宋体" w:eastAsia="宋体" w:hint="default"/>
                <w:sz w:val="21"/>
                <w:szCs w:val="21"/>
              </w:rPr>
              <w:t>型理财</w:t>
            </w:r>
            <w:r>
              <w:rPr>
                <w:rFonts w:ascii="宋体" w:hAnsi="宋体" w:cs="宋体" w:eastAsia="宋体" w:hint="default"/>
                <w:spacing w:val="-102"/>
                <w:sz w:val="21"/>
                <w:szCs w:val="21"/>
              </w:rPr>
              <w:t> </w:t>
            </w:r>
            <w:r>
              <w:rPr>
                <w:rFonts w:ascii="宋体" w:hAnsi="宋体" w:cs="宋体" w:eastAsia="宋体" w:hint="default"/>
                <w:sz w:val="21"/>
                <w:szCs w:val="21"/>
              </w:rPr>
              <w:t>产品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575.34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575.34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72" w:lineRule="exact" w:before="27"/>
              <w:ind w:left="105" w:right="239"/>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中信银行天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津分行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动收益型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1,260,000.00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12</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40" w:lineRule="auto"/>
              <w:ind w:left="105" w:right="131"/>
              <w:jc w:val="left"/>
              <w:rPr>
                <w:rFonts w:ascii="宋体" w:hAnsi="宋体" w:cs="宋体" w:eastAsia="宋体" w:hint="default"/>
                <w:sz w:val="21"/>
                <w:szCs w:val="21"/>
              </w:rPr>
            </w:pPr>
            <w:r>
              <w:rPr>
                <w:rFonts w:ascii="宋体" w:hAnsi="宋体" w:cs="宋体" w:eastAsia="宋体" w:hint="default"/>
                <w:sz w:val="21"/>
                <w:szCs w:val="21"/>
              </w:rPr>
              <w:t>型理财</w:t>
            </w:r>
            <w:r>
              <w:rPr>
                <w:rFonts w:ascii="宋体" w:hAnsi="宋体" w:cs="宋体" w:eastAsia="宋体" w:hint="default"/>
                <w:spacing w:val="-102"/>
                <w:sz w:val="21"/>
                <w:szCs w:val="21"/>
              </w:rPr>
              <w:t> </w:t>
            </w:r>
            <w:r>
              <w:rPr>
                <w:rFonts w:ascii="宋体" w:hAnsi="宋体" w:cs="宋体" w:eastAsia="宋体" w:hint="default"/>
                <w:sz w:val="21"/>
                <w:szCs w:val="21"/>
              </w:rPr>
              <w:t>产品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1,329.04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1,329.04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40" w:lineRule="auto"/>
              <w:ind w:left="105" w:right="239"/>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中信银行天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津分行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动收益型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20,980,000.00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12</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72" w:lineRule="exact" w:before="26"/>
              <w:ind w:left="105" w:right="131"/>
              <w:jc w:val="left"/>
              <w:rPr>
                <w:rFonts w:ascii="宋体" w:hAnsi="宋体" w:cs="宋体" w:eastAsia="宋体" w:hint="default"/>
                <w:sz w:val="21"/>
                <w:szCs w:val="21"/>
              </w:rPr>
            </w:pPr>
            <w:r>
              <w:rPr>
                <w:rFonts w:ascii="宋体" w:hAnsi="宋体" w:cs="宋体" w:eastAsia="宋体" w:hint="default"/>
                <w:sz w:val="21"/>
                <w:szCs w:val="21"/>
              </w:rPr>
              <w:t>型理财</w:t>
            </w:r>
            <w:r>
              <w:rPr>
                <w:rFonts w:ascii="宋体" w:hAnsi="宋体" w:cs="宋体" w:eastAsia="宋体" w:hint="default"/>
                <w:spacing w:val="-102"/>
                <w:sz w:val="21"/>
                <w:szCs w:val="21"/>
              </w:rPr>
              <w:t> </w:t>
            </w:r>
            <w:r>
              <w:rPr>
                <w:rFonts w:ascii="宋体" w:hAnsi="宋体" w:cs="宋体" w:eastAsia="宋体" w:hint="default"/>
                <w:sz w:val="21"/>
                <w:szCs w:val="21"/>
              </w:rPr>
              <w:t>产品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3.50%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16,094.25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16,094.25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72" w:lineRule="exact" w:before="26"/>
              <w:ind w:left="105" w:right="239"/>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中信银行天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津分行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动收益型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14,100,000.00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12</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72" w:lineRule="exact" w:before="27"/>
              <w:ind w:left="105" w:right="131"/>
              <w:jc w:val="left"/>
              <w:rPr>
                <w:rFonts w:ascii="宋体" w:hAnsi="宋体" w:cs="宋体" w:eastAsia="宋体" w:hint="default"/>
                <w:sz w:val="21"/>
                <w:szCs w:val="21"/>
              </w:rPr>
            </w:pPr>
            <w:r>
              <w:rPr>
                <w:rFonts w:ascii="宋体" w:hAnsi="宋体" w:cs="宋体" w:eastAsia="宋体" w:hint="default"/>
                <w:sz w:val="21"/>
                <w:szCs w:val="21"/>
              </w:rPr>
              <w:t>型理财</w:t>
            </w:r>
            <w:r>
              <w:rPr>
                <w:rFonts w:ascii="宋体" w:hAnsi="宋体" w:cs="宋体" w:eastAsia="宋体" w:hint="default"/>
                <w:spacing w:val="-102"/>
                <w:sz w:val="21"/>
                <w:szCs w:val="21"/>
              </w:rPr>
              <w:t> </w:t>
            </w:r>
            <w:r>
              <w:rPr>
                <w:rFonts w:ascii="宋体" w:hAnsi="宋体" w:cs="宋体" w:eastAsia="宋体" w:hint="default"/>
                <w:sz w:val="21"/>
                <w:szCs w:val="21"/>
              </w:rPr>
              <w:t>产品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9,464.38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9,464.38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72" w:lineRule="exact" w:before="27"/>
              <w:ind w:left="105" w:right="239"/>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中信银行天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津分行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动收益型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13,660,000.00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12</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40" w:lineRule="auto"/>
              <w:ind w:left="105" w:right="131"/>
              <w:jc w:val="left"/>
              <w:rPr>
                <w:rFonts w:ascii="宋体" w:hAnsi="宋体" w:cs="宋体" w:eastAsia="宋体" w:hint="default"/>
                <w:sz w:val="21"/>
                <w:szCs w:val="21"/>
              </w:rPr>
            </w:pPr>
            <w:r>
              <w:rPr>
                <w:rFonts w:ascii="宋体" w:hAnsi="宋体" w:cs="宋体" w:eastAsia="宋体" w:hint="default"/>
                <w:sz w:val="21"/>
                <w:szCs w:val="21"/>
              </w:rPr>
              <w:t>型理财</w:t>
            </w:r>
            <w:r>
              <w:rPr>
                <w:rFonts w:ascii="宋体" w:hAnsi="宋体" w:cs="宋体" w:eastAsia="宋体" w:hint="default"/>
                <w:spacing w:val="-102"/>
                <w:sz w:val="21"/>
                <w:szCs w:val="21"/>
              </w:rPr>
              <w:t> </w:t>
            </w:r>
            <w:r>
              <w:rPr>
                <w:rFonts w:ascii="宋体" w:hAnsi="宋体" w:cs="宋体" w:eastAsia="宋体" w:hint="default"/>
                <w:sz w:val="21"/>
                <w:szCs w:val="21"/>
              </w:rPr>
              <w:t>产品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6,549.32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6,549.32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40" w:lineRule="auto"/>
              <w:ind w:left="105" w:right="239"/>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中信银行天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津分行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动收益型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4,710,000.00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12</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型理财</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浮动收</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2,709.86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2,709.86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收</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2"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4"/>
          <w:pgSz w:w="16840" w:h="11910" w:orient="landscape"/>
          <w:pgMar w:footer="1195" w:header="880" w:top="1120" w:bottom="1380" w:left="840" w:right="440"/>
        </w:sectPr>
      </w:pPr>
    </w:p>
    <w:p>
      <w:pPr>
        <w:spacing w:line="240" w:lineRule="auto" w:before="5"/>
        <w:rPr>
          <w:rFonts w:ascii="Times New Roman" w:hAnsi="Times New Roman" w:cs="Times New Roman" w:eastAsia="Times New Roman" w:hint="default"/>
          <w:sz w:val="13"/>
          <w:szCs w:val="13"/>
        </w:rPr>
      </w:pPr>
    </w:p>
    <w:tbl>
      <w:tblPr>
        <w:tblW w:w="0" w:type="auto"/>
        <w:jc w:val="left"/>
        <w:tblInd w:w="112" w:type="dxa"/>
        <w:tblLayout w:type="fixed"/>
        <w:tblCellMar>
          <w:top w:w="0" w:type="dxa"/>
          <w:left w:w="0" w:type="dxa"/>
          <w:bottom w:w="0" w:type="dxa"/>
          <w:right w:w="0" w:type="dxa"/>
        </w:tblCellMar>
        <w:tblLook w:val="01E0"/>
      </w:tblPr>
      <w:tblGrid>
        <w:gridCol w:w="1306"/>
        <w:gridCol w:w="1133"/>
        <w:gridCol w:w="1702"/>
        <w:gridCol w:w="1274"/>
        <w:gridCol w:w="1135"/>
        <w:gridCol w:w="680"/>
        <w:gridCol w:w="881"/>
        <w:gridCol w:w="850"/>
        <w:gridCol w:w="864"/>
        <w:gridCol w:w="1515"/>
        <w:gridCol w:w="1277"/>
        <w:gridCol w:w="566"/>
        <w:gridCol w:w="569"/>
        <w:gridCol w:w="708"/>
        <w:gridCol w:w="852"/>
      </w:tblGrid>
      <w:tr>
        <w:trPr>
          <w:trHeight w:val="281"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产品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864"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回</w:t>
            </w: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中信银行天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津分行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动收益型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12</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72" w:lineRule="exact" w:before="27"/>
              <w:ind w:left="105" w:right="131"/>
              <w:jc w:val="left"/>
              <w:rPr>
                <w:rFonts w:ascii="宋体" w:hAnsi="宋体" w:cs="宋体" w:eastAsia="宋体" w:hint="default"/>
                <w:sz w:val="21"/>
                <w:szCs w:val="21"/>
              </w:rPr>
            </w:pPr>
            <w:r>
              <w:rPr>
                <w:rFonts w:ascii="宋体" w:hAnsi="宋体" w:cs="宋体" w:eastAsia="宋体" w:hint="default"/>
                <w:sz w:val="21"/>
                <w:szCs w:val="21"/>
              </w:rPr>
              <w:t>型理财</w:t>
            </w:r>
            <w:r>
              <w:rPr>
                <w:rFonts w:ascii="宋体" w:hAnsi="宋体" w:cs="宋体" w:eastAsia="宋体" w:hint="default"/>
                <w:spacing w:val="-102"/>
                <w:sz w:val="21"/>
                <w:szCs w:val="21"/>
              </w:rPr>
              <w:t> </w:t>
            </w:r>
            <w:r>
              <w:rPr>
                <w:rFonts w:ascii="宋体" w:hAnsi="宋体" w:cs="宋体" w:eastAsia="宋体" w:hint="default"/>
                <w:sz w:val="21"/>
                <w:szCs w:val="21"/>
              </w:rPr>
              <w:t>产品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20,616.44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20,616.44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72" w:lineRule="exact" w:before="27"/>
              <w:ind w:left="105" w:right="239"/>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中信银行天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津分行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动收益型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72" w:lineRule="exact" w:before="27"/>
              <w:ind w:left="105" w:right="131"/>
              <w:jc w:val="left"/>
              <w:rPr>
                <w:rFonts w:ascii="宋体" w:hAnsi="宋体" w:cs="宋体" w:eastAsia="宋体" w:hint="default"/>
                <w:sz w:val="21"/>
                <w:szCs w:val="21"/>
              </w:rPr>
            </w:pPr>
            <w:r>
              <w:rPr>
                <w:rFonts w:ascii="宋体" w:hAnsi="宋体" w:cs="宋体" w:eastAsia="宋体" w:hint="default"/>
                <w:sz w:val="21"/>
                <w:szCs w:val="21"/>
              </w:rPr>
              <w:t>型理财</w:t>
            </w:r>
            <w:r>
              <w:rPr>
                <w:rFonts w:ascii="宋体" w:hAnsi="宋体" w:cs="宋体" w:eastAsia="宋体" w:hint="default"/>
                <w:spacing w:val="-102"/>
                <w:sz w:val="21"/>
                <w:szCs w:val="21"/>
              </w:rPr>
              <w:t> </w:t>
            </w:r>
            <w:r>
              <w:rPr>
                <w:rFonts w:ascii="宋体" w:hAnsi="宋体" w:cs="宋体" w:eastAsia="宋体" w:hint="default"/>
                <w:sz w:val="21"/>
                <w:szCs w:val="21"/>
              </w:rPr>
              <w:t>产品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5.20%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648,219.18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07"/>
              <w:jc w:val="right"/>
              <w:rPr>
                <w:rFonts w:ascii="宋体" w:hAnsi="宋体" w:cs="宋体" w:eastAsia="宋体" w:hint="default"/>
                <w:sz w:val="21"/>
                <w:szCs w:val="21"/>
              </w:rPr>
            </w:pPr>
            <w:r>
              <w:rPr>
                <w:rFonts w:ascii="宋体"/>
                <w:w w:val="100"/>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72" w:lineRule="exact" w:before="27"/>
              <w:ind w:left="105" w:right="239"/>
              <w:jc w:val="left"/>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中信银行天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津分行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动收益型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40" w:lineRule="auto"/>
              <w:ind w:left="105" w:right="131"/>
              <w:jc w:val="left"/>
              <w:rPr>
                <w:rFonts w:ascii="宋体" w:hAnsi="宋体" w:cs="宋体" w:eastAsia="宋体" w:hint="default"/>
                <w:sz w:val="21"/>
                <w:szCs w:val="21"/>
              </w:rPr>
            </w:pPr>
            <w:r>
              <w:rPr>
                <w:rFonts w:ascii="宋体" w:hAnsi="宋体" w:cs="宋体" w:eastAsia="宋体" w:hint="default"/>
                <w:sz w:val="21"/>
                <w:szCs w:val="21"/>
              </w:rPr>
              <w:t>型理财</w:t>
            </w:r>
            <w:r>
              <w:rPr>
                <w:rFonts w:ascii="宋体" w:hAnsi="宋体" w:cs="宋体" w:eastAsia="宋体" w:hint="default"/>
                <w:spacing w:val="-102"/>
                <w:sz w:val="21"/>
                <w:szCs w:val="21"/>
              </w:rPr>
              <w:t> </w:t>
            </w:r>
            <w:r>
              <w:rPr>
                <w:rFonts w:ascii="宋体" w:hAnsi="宋体" w:cs="宋体" w:eastAsia="宋体" w:hint="default"/>
                <w:sz w:val="21"/>
                <w:szCs w:val="21"/>
              </w:rPr>
              <w:t>产品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5.20%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648,219.18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07"/>
              <w:jc w:val="right"/>
              <w:rPr>
                <w:rFonts w:ascii="宋体" w:hAnsi="宋体" w:cs="宋体" w:eastAsia="宋体" w:hint="default"/>
                <w:sz w:val="21"/>
                <w:szCs w:val="21"/>
              </w:rPr>
            </w:pPr>
            <w:r>
              <w:rPr>
                <w:rFonts w:ascii="宋体"/>
                <w:w w:val="100"/>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40" w:lineRule="auto"/>
              <w:ind w:left="105" w:right="239"/>
              <w:jc w:val="left"/>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中信银行天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津分行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动收益型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47,810,000.00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72" w:lineRule="exact" w:before="27"/>
              <w:ind w:left="105" w:right="131"/>
              <w:jc w:val="left"/>
              <w:rPr>
                <w:rFonts w:ascii="宋体" w:hAnsi="宋体" w:cs="宋体" w:eastAsia="宋体" w:hint="default"/>
                <w:sz w:val="21"/>
                <w:szCs w:val="21"/>
              </w:rPr>
            </w:pPr>
            <w:r>
              <w:rPr>
                <w:rFonts w:ascii="宋体" w:hAnsi="宋体" w:cs="宋体" w:eastAsia="宋体" w:hint="default"/>
                <w:sz w:val="21"/>
                <w:szCs w:val="21"/>
              </w:rPr>
              <w:t>型理财</w:t>
            </w:r>
            <w:r>
              <w:rPr>
                <w:rFonts w:ascii="宋体" w:hAnsi="宋体" w:cs="宋体" w:eastAsia="宋体" w:hint="default"/>
                <w:spacing w:val="-102"/>
                <w:sz w:val="21"/>
                <w:szCs w:val="21"/>
              </w:rPr>
              <w:t> </w:t>
            </w:r>
            <w:r>
              <w:rPr>
                <w:rFonts w:ascii="宋体" w:hAnsi="宋体" w:cs="宋体" w:eastAsia="宋体" w:hint="default"/>
                <w:sz w:val="21"/>
                <w:szCs w:val="21"/>
              </w:rPr>
              <w:t>产品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224,641.51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07"/>
              <w:jc w:val="right"/>
              <w:rPr>
                <w:rFonts w:ascii="宋体" w:hAnsi="宋体" w:cs="宋体" w:eastAsia="宋体" w:hint="default"/>
                <w:sz w:val="21"/>
                <w:szCs w:val="21"/>
              </w:rPr>
            </w:pPr>
            <w:r>
              <w:rPr>
                <w:rFonts w:ascii="宋体"/>
                <w:w w:val="100"/>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72" w:lineRule="exact" w:before="27"/>
              <w:ind w:left="105" w:right="239"/>
              <w:jc w:val="left"/>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民生银行天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津分行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动收益型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12</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40" w:lineRule="auto"/>
              <w:ind w:left="105" w:right="131"/>
              <w:jc w:val="left"/>
              <w:rPr>
                <w:rFonts w:ascii="宋体" w:hAnsi="宋体" w:cs="宋体" w:eastAsia="宋体" w:hint="default"/>
                <w:sz w:val="21"/>
                <w:szCs w:val="21"/>
              </w:rPr>
            </w:pPr>
            <w:r>
              <w:rPr>
                <w:rFonts w:ascii="宋体" w:hAnsi="宋体" w:cs="宋体" w:eastAsia="宋体" w:hint="default"/>
                <w:sz w:val="21"/>
                <w:szCs w:val="21"/>
              </w:rPr>
              <w:t>型理财</w:t>
            </w:r>
            <w:r>
              <w:rPr>
                <w:rFonts w:ascii="宋体" w:hAnsi="宋体" w:cs="宋体" w:eastAsia="宋体" w:hint="default"/>
                <w:spacing w:val="-102"/>
                <w:sz w:val="21"/>
                <w:szCs w:val="21"/>
              </w:rPr>
              <w:t> </w:t>
            </w:r>
            <w:r>
              <w:rPr>
                <w:rFonts w:ascii="宋体" w:hAnsi="宋体" w:cs="宋体" w:eastAsia="宋体" w:hint="default"/>
                <w:sz w:val="21"/>
                <w:szCs w:val="21"/>
              </w:rPr>
              <w:t>产品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135,205.48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135,205.48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40" w:lineRule="auto"/>
              <w:ind w:left="105" w:right="239"/>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民生银行天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津分行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动收益型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72" w:lineRule="exact" w:before="27"/>
              <w:ind w:left="105" w:right="131"/>
              <w:jc w:val="left"/>
              <w:rPr>
                <w:rFonts w:ascii="宋体" w:hAnsi="宋体" w:cs="宋体" w:eastAsia="宋体" w:hint="default"/>
                <w:sz w:val="21"/>
                <w:szCs w:val="21"/>
              </w:rPr>
            </w:pPr>
            <w:r>
              <w:rPr>
                <w:rFonts w:ascii="宋体" w:hAnsi="宋体" w:cs="宋体" w:eastAsia="宋体" w:hint="default"/>
                <w:sz w:val="21"/>
                <w:szCs w:val="21"/>
              </w:rPr>
              <w:t>型理财</w:t>
            </w:r>
            <w:r>
              <w:rPr>
                <w:rFonts w:ascii="宋体" w:hAnsi="宋体" w:cs="宋体" w:eastAsia="宋体" w:hint="default"/>
                <w:spacing w:val="-102"/>
                <w:sz w:val="21"/>
                <w:szCs w:val="21"/>
              </w:rPr>
              <w:t> </w:t>
            </w:r>
            <w:r>
              <w:rPr>
                <w:rFonts w:ascii="宋体" w:hAnsi="宋体" w:cs="宋体" w:eastAsia="宋体" w:hint="default"/>
                <w:sz w:val="21"/>
                <w:szCs w:val="21"/>
              </w:rPr>
              <w:t>产品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59,726.03</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72" w:lineRule="exact" w:before="27"/>
              <w:ind w:left="105" w:right="239"/>
              <w:jc w:val="left"/>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中国银行天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津市分行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动收益型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8</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72" w:lineRule="exact" w:before="27"/>
              <w:ind w:left="105" w:right="131"/>
              <w:jc w:val="left"/>
              <w:rPr>
                <w:rFonts w:ascii="宋体" w:hAnsi="宋体" w:cs="宋体" w:eastAsia="宋体" w:hint="default"/>
                <w:sz w:val="21"/>
                <w:szCs w:val="21"/>
              </w:rPr>
            </w:pPr>
            <w:r>
              <w:rPr>
                <w:rFonts w:ascii="宋体" w:hAnsi="宋体" w:cs="宋体" w:eastAsia="宋体" w:hint="default"/>
                <w:sz w:val="21"/>
                <w:szCs w:val="21"/>
              </w:rPr>
              <w:t>型理财</w:t>
            </w:r>
            <w:r>
              <w:rPr>
                <w:rFonts w:ascii="宋体" w:hAnsi="宋体" w:cs="宋体" w:eastAsia="宋体" w:hint="default"/>
                <w:spacing w:val="-102"/>
                <w:sz w:val="21"/>
                <w:szCs w:val="21"/>
              </w:rPr>
              <w:t> </w:t>
            </w:r>
            <w:r>
              <w:rPr>
                <w:rFonts w:ascii="宋体" w:hAnsi="宋体" w:cs="宋体" w:eastAsia="宋体" w:hint="default"/>
                <w:sz w:val="21"/>
                <w:szCs w:val="21"/>
              </w:rPr>
              <w:t>产品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25,698.64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25,698.64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72" w:lineRule="exact" w:before="27"/>
              <w:ind w:left="105" w:right="239"/>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浙商银行天</w:t>
            </w:r>
          </w:p>
          <w:p>
            <w:pPr>
              <w:pStyle w:val="TableParagraph"/>
              <w:spacing w:line="240" w:lineRule="auto"/>
              <w:ind w:left="103" w:right="137"/>
              <w:jc w:val="left"/>
              <w:rPr>
                <w:rFonts w:ascii="宋体" w:hAnsi="宋体" w:cs="宋体" w:eastAsia="宋体" w:hint="default"/>
                <w:sz w:val="21"/>
                <w:szCs w:val="21"/>
              </w:rPr>
            </w:pPr>
            <w:r>
              <w:rPr>
                <w:rFonts w:ascii="宋体" w:hAnsi="宋体" w:cs="宋体" w:eastAsia="宋体" w:hint="default"/>
                <w:sz w:val="21"/>
                <w:szCs w:val="21"/>
              </w:rPr>
              <w:t>津自由贸易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试验区分行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动收益型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40" w:lineRule="auto"/>
              <w:ind w:left="105" w:right="131"/>
              <w:jc w:val="left"/>
              <w:rPr>
                <w:rFonts w:ascii="宋体" w:hAnsi="宋体" w:cs="宋体" w:eastAsia="宋体" w:hint="default"/>
                <w:sz w:val="21"/>
                <w:szCs w:val="21"/>
              </w:rPr>
            </w:pPr>
            <w:r>
              <w:rPr>
                <w:rFonts w:ascii="宋体" w:hAnsi="宋体" w:cs="宋体" w:eastAsia="宋体" w:hint="default"/>
                <w:sz w:val="21"/>
                <w:szCs w:val="21"/>
              </w:rPr>
              <w:t>型理财</w:t>
            </w:r>
            <w:r>
              <w:rPr>
                <w:rFonts w:ascii="宋体" w:hAnsi="宋体" w:cs="宋体" w:eastAsia="宋体" w:hint="default"/>
                <w:spacing w:val="-102"/>
                <w:sz w:val="21"/>
                <w:szCs w:val="21"/>
              </w:rPr>
              <w:t> </w:t>
            </w:r>
            <w:r>
              <w:rPr>
                <w:rFonts w:ascii="宋体" w:hAnsi="宋体" w:cs="宋体" w:eastAsia="宋体" w:hint="default"/>
                <w:sz w:val="21"/>
                <w:szCs w:val="21"/>
              </w:rPr>
              <w:t>产品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5.10%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656,712.33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07"/>
              <w:jc w:val="right"/>
              <w:rPr>
                <w:rFonts w:ascii="宋体" w:hAnsi="宋体" w:cs="宋体" w:eastAsia="宋体" w:hint="default"/>
                <w:sz w:val="21"/>
                <w:szCs w:val="21"/>
              </w:rPr>
            </w:pPr>
            <w:r>
              <w:rPr>
                <w:rFonts w:ascii="宋体"/>
                <w:w w:val="100"/>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40" w:lineRule="auto"/>
              <w:ind w:left="105" w:right="239"/>
              <w:jc w:val="left"/>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中信银行天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津分行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保本浮动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11</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募集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保本型</w:t>
            </w:r>
          </w:p>
          <w:p>
            <w:pPr>
              <w:pStyle w:val="TableParagraph"/>
              <w:spacing w:line="272" w:lineRule="exact" w:before="27"/>
              <w:ind w:left="105" w:right="131"/>
              <w:jc w:val="left"/>
              <w:rPr>
                <w:rFonts w:ascii="宋体" w:hAnsi="宋体" w:cs="宋体" w:eastAsia="宋体" w:hint="default"/>
                <w:sz w:val="21"/>
                <w:szCs w:val="21"/>
              </w:rPr>
            </w:pPr>
            <w:r>
              <w:rPr>
                <w:rFonts w:ascii="宋体" w:hAnsi="宋体" w:cs="宋体" w:eastAsia="宋体" w:hint="default"/>
                <w:sz w:val="21"/>
                <w:szCs w:val="21"/>
              </w:rPr>
              <w:t>理财产</w:t>
            </w:r>
            <w:r>
              <w:rPr>
                <w:rFonts w:ascii="宋体" w:hAnsi="宋体" w:cs="宋体" w:eastAsia="宋体" w:hint="default"/>
                <w:spacing w:val="-102"/>
                <w:sz w:val="21"/>
                <w:szCs w:val="21"/>
              </w:rPr>
              <w:t> </w:t>
            </w:r>
            <w:r>
              <w:rPr>
                <w:rFonts w:ascii="宋体" w:hAnsi="宋体" w:cs="宋体" w:eastAsia="宋体" w:hint="default"/>
                <w:sz w:val="21"/>
                <w:szCs w:val="21"/>
              </w:rPr>
              <w:t>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保本浮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动收益</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68,712.33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68,712.33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72" w:lineRule="exact" w:before="27"/>
              <w:ind w:left="105" w:right="239"/>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中信银行天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津分行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保本浮动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募集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保本型</w:t>
            </w:r>
          </w:p>
          <w:p>
            <w:pPr>
              <w:pStyle w:val="TableParagraph"/>
              <w:spacing w:line="240" w:lineRule="auto"/>
              <w:ind w:left="105" w:right="131"/>
              <w:jc w:val="left"/>
              <w:rPr>
                <w:rFonts w:ascii="宋体" w:hAnsi="宋体" w:cs="宋体" w:eastAsia="宋体" w:hint="default"/>
                <w:sz w:val="21"/>
                <w:szCs w:val="21"/>
              </w:rPr>
            </w:pPr>
            <w:r>
              <w:rPr>
                <w:rFonts w:ascii="宋体" w:hAnsi="宋体" w:cs="宋体" w:eastAsia="宋体" w:hint="default"/>
                <w:sz w:val="21"/>
                <w:szCs w:val="21"/>
              </w:rPr>
              <w:t>理财产</w:t>
            </w:r>
            <w:r>
              <w:rPr>
                <w:rFonts w:ascii="宋体" w:hAnsi="宋体" w:cs="宋体" w:eastAsia="宋体" w:hint="default"/>
                <w:spacing w:val="-102"/>
                <w:sz w:val="21"/>
                <w:szCs w:val="21"/>
              </w:rPr>
              <w:t> </w:t>
            </w:r>
            <w:r>
              <w:rPr>
                <w:rFonts w:ascii="宋体" w:hAnsi="宋体" w:cs="宋体" w:eastAsia="宋体" w:hint="default"/>
                <w:sz w:val="21"/>
                <w:szCs w:val="21"/>
              </w:rPr>
              <w:t>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保本浮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动收益</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4.25%</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272,465.75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07"/>
              <w:jc w:val="right"/>
              <w:rPr>
                <w:rFonts w:ascii="宋体" w:hAnsi="宋体" w:cs="宋体" w:eastAsia="宋体" w:hint="default"/>
                <w:sz w:val="21"/>
                <w:szCs w:val="21"/>
              </w:rPr>
            </w:pPr>
            <w:r>
              <w:rPr>
                <w:rFonts w:ascii="宋体"/>
                <w:w w:val="100"/>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40" w:lineRule="auto"/>
              <w:ind w:left="105" w:right="239"/>
              <w:jc w:val="left"/>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2"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5"/>
          <w:pgSz w:w="16840" w:h="11910" w:orient="landscape"/>
          <w:pgMar w:footer="1195" w:header="880" w:top="1120" w:bottom="1380" w:left="840" w:right="440"/>
          <w:pgNumType w:start="41"/>
        </w:sectPr>
      </w:pPr>
    </w:p>
    <w:p>
      <w:pPr>
        <w:spacing w:line="240" w:lineRule="auto" w:before="5"/>
        <w:rPr>
          <w:rFonts w:ascii="Times New Roman" w:hAnsi="Times New Roman" w:cs="Times New Roman" w:eastAsia="Times New Roman" w:hint="default"/>
          <w:sz w:val="13"/>
          <w:szCs w:val="13"/>
        </w:rPr>
      </w:pPr>
    </w:p>
    <w:tbl>
      <w:tblPr>
        <w:tblW w:w="0" w:type="auto"/>
        <w:jc w:val="left"/>
        <w:tblInd w:w="112" w:type="dxa"/>
        <w:tblLayout w:type="fixed"/>
        <w:tblCellMar>
          <w:top w:w="0" w:type="dxa"/>
          <w:left w:w="0" w:type="dxa"/>
          <w:bottom w:w="0" w:type="dxa"/>
          <w:right w:w="0" w:type="dxa"/>
        </w:tblCellMar>
        <w:tblLook w:val="01E0"/>
      </w:tblPr>
      <w:tblGrid>
        <w:gridCol w:w="1306"/>
        <w:gridCol w:w="1133"/>
        <w:gridCol w:w="1702"/>
        <w:gridCol w:w="1274"/>
        <w:gridCol w:w="1135"/>
        <w:gridCol w:w="680"/>
        <w:gridCol w:w="881"/>
        <w:gridCol w:w="850"/>
        <w:gridCol w:w="864"/>
        <w:gridCol w:w="1515"/>
        <w:gridCol w:w="1277"/>
        <w:gridCol w:w="566"/>
        <w:gridCol w:w="569"/>
        <w:gridCol w:w="708"/>
        <w:gridCol w:w="852"/>
      </w:tblGrid>
      <w:tr>
        <w:trPr>
          <w:trHeight w:val="82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中信银行天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津分行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保本浮动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130,000,000.00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募集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保本型</w:t>
            </w:r>
          </w:p>
          <w:p>
            <w:pPr>
              <w:pStyle w:val="TableParagraph"/>
              <w:spacing w:line="240" w:lineRule="auto"/>
              <w:ind w:left="105" w:right="131"/>
              <w:jc w:val="left"/>
              <w:rPr>
                <w:rFonts w:ascii="宋体" w:hAnsi="宋体" w:cs="宋体" w:eastAsia="宋体" w:hint="default"/>
                <w:sz w:val="21"/>
                <w:szCs w:val="21"/>
              </w:rPr>
            </w:pPr>
            <w:r>
              <w:rPr>
                <w:rFonts w:ascii="宋体" w:hAnsi="宋体" w:cs="宋体" w:eastAsia="宋体" w:hint="default"/>
                <w:sz w:val="21"/>
                <w:szCs w:val="21"/>
              </w:rPr>
              <w:t>理财产</w:t>
            </w:r>
            <w:r>
              <w:rPr>
                <w:rFonts w:ascii="宋体" w:hAnsi="宋体" w:cs="宋体" w:eastAsia="宋体" w:hint="default"/>
                <w:spacing w:val="-102"/>
                <w:sz w:val="21"/>
                <w:szCs w:val="21"/>
              </w:rPr>
              <w:t> </w:t>
            </w:r>
            <w:r>
              <w:rPr>
                <w:rFonts w:ascii="宋体" w:hAnsi="宋体" w:cs="宋体" w:eastAsia="宋体" w:hint="default"/>
                <w:sz w:val="21"/>
                <w:szCs w:val="21"/>
              </w:rPr>
              <w:t>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保本浮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动收益</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2,863,917.81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07"/>
              <w:jc w:val="right"/>
              <w:rPr>
                <w:rFonts w:ascii="宋体" w:hAnsi="宋体" w:cs="宋体" w:eastAsia="宋体" w:hint="default"/>
                <w:sz w:val="21"/>
                <w:szCs w:val="21"/>
              </w:rPr>
            </w:pPr>
            <w:r>
              <w:rPr>
                <w:rFonts w:ascii="宋体"/>
                <w:w w:val="100"/>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40" w:lineRule="auto"/>
              <w:ind w:left="105" w:right="239"/>
              <w:jc w:val="left"/>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中国银行天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津市分行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保本保证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102,000,000.00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9</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10</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募集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保本型</w:t>
            </w:r>
          </w:p>
          <w:p>
            <w:pPr>
              <w:pStyle w:val="TableParagraph"/>
              <w:spacing w:line="272" w:lineRule="exact" w:before="27"/>
              <w:ind w:left="105" w:right="131"/>
              <w:jc w:val="left"/>
              <w:rPr>
                <w:rFonts w:ascii="宋体" w:hAnsi="宋体" w:cs="宋体" w:eastAsia="宋体" w:hint="default"/>
                <w:sz w:val="21"/>
                <w:szCs w:val="21"/>
              </w:rPr>
            </w:pPr>
            <w:r>
              <w:rPr>
                <w:rFonts w:ascii="宋体" w:hAnsi="宋体" w:cs="宋体" w:eastAsia="宋体" w:hint="default"/>
                <w:sz w:val="21"/>
                <w:szCs w:val="21"/>
              </w:rPr>
              <w:t>理财产</w:t>
            </w:r>
            <w:r>
              <w:rPr>
                <w:rFonts w:ascii="宋体" w:hAnsi="宋体" w:cs="宋体" w:eastAsia="宋体" w:hint="default"/>
                <w:spacing w:val="-102"/>
                <w:sz w:val="21"/>
                <w:szCs w:val="21"/>
              </w:rPr>
              <w:t> </w:t>
            </w:r>
            <w:r>
              <w:rPr>
                <w:rFonts w:ascii="宋体" w:hAnsi="宋体" w:cs="宋体" w:eastAsia="宋体" w:hint="default"/>
                <w:sz w:val="21"/>
                <w:szCs w:val="21"/>
              </w:rPr>
              <w:t>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保本保</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证收益</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187,791.78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sz w:val="21"/>
              </w:rPr>
              <w:t>187,791.78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72" w:lineRule="exact" w:before="27"/>
              <w:ind w:left="105" w:right="239"/>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中国银行天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津市分行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保本保证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1" w:right="0"/>
              <w:jc w:val="center"/>
              <w:rPr>
                <w:rFonts w:ascii="宋体" w:hAnsi="宋体" w:cs="宋体" w:eastAsia="宋体" w:hint="default"/>
                <w:sz w:val="21"/>
                <w:szCs w:val="21"/>
              </w:rPr>
            </w:pPr>
            <w:r>
              <w:rPr>
                <w:rFonts w:ascii="宋体"/>
                <w:sz w:val="21"/>
              </w:rPr>
              <w:t>20,000,000.00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募集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保本型</w:t>
            </w:r>
          </w:p>
          <w:p>
            <w:pPr>
              <w:pStyle w:val="TableParagraph"/>
              <w:spacing w:line="272" w:lineRule="exact" w:before="27"/>
              <w:ind w:left="105" w:right="131"/>
              <w:jc w:val="left"/>
              <w:rPr>
                <w:rFonts w:ascii="宋体" w:hAnsi="宋体" w:cs="宋体" w:eastAsia="宋体" w:hint="default"/>
                <w:sz w:val="21"/>
                <w:szCs w:val="21"/>
              </w:rPr>
            </w:pPr>
            <w:r>
              <w:rPr>
                <w:rFonts w:ascii="宋体" w:hAnsi="宋体" w:cs="宋体" w:eastAsia="宋体" w:hint="default"/>
                <w:sz w:val="21"/>
                <w:szCs w:val="21"/>
              </w:rPr>
              <w:t>理财产</w:t>
            </w:r>
            <w:r>
              <w:rPr>
                <w:rFonts w:ascii="宋体" w:hAnsi="宋体" w:cs="宋体" w:eastAsia="宋体" w:hint="default"/>
                <w:spacing w:val="-102"/>
                <w:sz w:val="21"/>
                <w:szCs w:val="21"/>
              </w:rPr>
              <w:t> </w:t>
            </w:r>
            <w:r>
              <w:rPr>
                <w:rFonts w:ascii="宋体" w:hAnsi="宋体" w:cs="宋体" w:eastAsia="宋体" w:hint="default"/>
                <w:sz w:val="21"/>
                <w:szCs w:val="21"/>
              </w:rPr>
              <w:t>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保本保</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证收益</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157,260.27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sz w:val="21"/>
              </w:rPr>
              <w:t>157,260.27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72" w:lineRule="exact" w:before="27"/>
              <w:ind w:left="105" w:right="239"/>
              <w:jc w:val="left"/>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中国银行天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津市分行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保本保证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21" w:right="0"/>
              <w:jc w:val="center"/>
              <w:rPr>
                <w:rFonts w:ascii="宋体" w:hAnsi="宋体" w:cs="宋体" w:eastAsia="宋体" w:hint="default"/>
                <w:sz w:val="21"/>
                <w:szCs w:val="21"/>
              </w:rPr>
            </w:pPr>
            <w:r>
              <w:rPr>
                <w:rFonts w:ascii="宋体"/>
                <w:sz w:val="21"/>
              </w:rPr>
              <w:t>70,000,000.00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募集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保本型</w:t>
            </w:r>
          </w:p>
          <w:p>
            <w:pPr>
              <w:pStyle w:val="TableParagraph"/>
              <w:spacing w:line="240" w:lineRule="auto"/>
              <w:ind w:left="105" w:right="131"/>
              <w:jc w:val="left"/>
              <w:rPr>
                <w:rFonts w:ascii="宋体" w:hAnsi="宋体" w:cs="宋体" w:eastAsia="宋体" w:hint="default"/>
                <w:sz w:val="21"/>
                <w:szCs w:val="21"/>
              </w:rPr>
            </w:pPr>
            <w:r>
              <w:rPr>
                <w:rFonts w:ascii="宋体" w:hAnsi="宋体" w:cs="宋体" w:eastAsia="宋体" w:hint="default"/>
                <w:sz w:val="21"/>
                <w:szCs w:val="21"/>
              </w:rPr>
              <w:t>理财产</w:t>
            </w:r>
            <w:r>
              <w:rPr>
                <w:rFonts w:ascii="宋体" w:hAnsi="宋体" w:cs="宋体" w:eastAsia="宋体" w:hint="default"/>
                <w:spacing w:val="-102"/>
                <w:sz w:val="21"/>
                <w:szCs w:val="21"/>
              </w:rPr>
              <w:t> </w:t>
            </w:r>
            <w:r>
              <w:rPr>
                <w:rFonts w:ascii="宋体" w:hAnsi="宋体" w:cs="宋体" w:eastAsia="宋体" w:hint="default"/>
                <w:sz w:val="21"/>
                <w:szCs w:val="21"/>
              </w:rPr>
              <w:t>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保本保</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证收益</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3.60%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1,277,260.27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07"/>
              <w:jc w:val="right"/>
              <w:rPr>
                <w:rFonts w:ascii="宋体" w:hAnsi="宋体" w:cs="宋体" w:eastAsia="宋体" w:hint="default"/>
                <w:sz w:val="21"/>
                <w:szCs w:val="21"/>
              </w:rPr>
            </w:pPr>
            <w:r>
              <w:rPr>
                <w:rFonts w:ascii="宋体"/>
                <w:w w:val="100"/>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40" w:lineRule="auto"/>
              <w:ind w:left="105" w:right="239"/>
              <w:jc w:val="left"/>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天津银行天</w:t>
            </w:r>
          </w:p>
          <w:p>
            <w:pPr>
              <w:pStyle w:val="TableParagraph"/>
              <w:spacing w:line="272" w:lineRule="exact" w:before="27"/>
              <w:ind w:left="103" w:right="137"/>
              <w:jc w:val="left"/>
              <w:rPr>
                <w:rFonts w:ascii="宋体" w:hAnsi="宋体" w:cs="宋体" w:eastAsia="宋体" w:hint="default"/>
                <w:sz w:val="21"/>
                <w:szCs w:val="21"/>
              </w:rPr>
            </w:pPr>
            <w:r>
              <w:rPr>
                <w:rFonts w:ascii="宋体" w:hAnsi="宋体" w:cs="宋体" w:eastAsia="宋体" w:hint="default"/>
                <w:sz w:val="21"/>
                <w:szCs w:val="21"/>
              </w:rPr>
              <w:t>津自由贸易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试验区分行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保本保证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1" w:right="0"/>
              <w:jc w:val="center"/>
              <w:rPr>
                <w:rFonts w:ascii="宋体" w:hAnsi="宋体" w:cs="宋体" w:eastAsia="宋体" w:hint="default"/>
                <w:sz w:val="21"/>
                <w:szCs w:val="21"/>
              </w:rPr>
            </w:pPr>
            <w:r>
              <w:rPr>
                <w:rFonts w:ascii="宋体"/>
                <w:sz w:val="21"/>
              </w:rPr>
              <w:t>70,000,000.00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募集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保本型</w:t>
            </w:r>
          </w:p>
          <w:p>
            <w:pPr>
              <w:pStyle w:val="TableParagraph"/>
              <w:spacing w:line="272" w:lineRule="exact" w:before="27"/>
              <w:ind w:left="105" w:right="131"/>
              <w:jc w:val="left"/>
              <w:rPr>
                <w:rFonts w:ascii="宋体" w:hAnsi="宋体" w:cs="宋体" w:eastAsia="宋体" w:hint="default"/>
                <w:sz w:val="21"/>
                <w:szCs w:val="21"/>
              </w:rPr>
            </w:pPr>
            <w:r>
              <w:rPr>
                <w:rFonts w:ascii="宋体" w:hAnsi="宋体" w:cs="宋体" w:eastAsia="宋体" w:hint="default"/>
                <w:sz w:val="21"/>
                <w:szCs w:val="21"/>
              </w:rPr>
              <w:t>理财产</w:t>
            </w:r>
            <w:r>
              <w:rPr>
                <w:rFonts w:ascii="宋体" w:hAnsi="宋体" w:cs="宋体" w:eastAsia="宋体" w:hint="default"/>
                <w:spacing w:val="-102"/>
                <w:sz w:val="21"/>
                <w:szCs w:val="21"/>
              </w:rPr>
              <w:t> </w:t>
            </w:r>
            <w:r>
              <w:rPr>
                <w:rFonts w:ascii="宋体" w:hAnsi="宋体" w:cs="宋体" w:eastAsia="宋体" w:hint="default"/>
                <w:sz w:val="21"/>
                <w:szCs w:val="21"/>
              </w:rPr>
              <w:t>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保本保</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证收益</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4.35%</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1,526,671.23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07"/>
              <w:jc w:val="right"/>
              <w:rPr>
                <w:rFonts w:ascii="宋体" w:hAnsi="宋体" w:cs="宋体" w:eastAsia="宋体" w:hint="default"/>
                <w:sz w:val="21"/>
                <w:szCs w:val="21"/>
              </w:rPr>
            </w:pPr>
            <w:r>
              <w:rPr>
                <w:rFonts w:ascii="宋体"/>
                <w:w w:val="100"/>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72" w:lineRule="exact" w:before="27"/>
              <w:ind w:left="105" w:right="239"/>
              <w:jc w:val="left"/>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p>
      <w:pPr>
        <w:pStyle w:val="Heading2"/>
        <w:spacing w:line="273" w:lineRule="exact" w:before="36"/>
        <w:ind w:left="684" w:right="0"/>
        <w:jc w:val="left"/>
        <w:rPr>
          <w:b w:val="0"/>
          <w:bCs w:val="0"/>
        </w:rPr>
      </w:pPr>
      <w:r>
        <w:rPr/>
        <w:t>其他情况</w:t>
      </w:r>
      <w:r>
        <w:rPr>
          <w:b w:val="0"/>
          <w:bCs w:val="0"/>
        </w:rPr>
      </w:r>
    </w:p>
    <w:p>
      <w:pPr>
        <w:pStyle w:val="BodyText"/>
        <w:spacing w:line="273" w:lineRule="exact"/>
        <w:ind w:left="684" w:right="0"/>
        <w:jc w:val="left"/>
      </w:pPr>
      <w:r>
        <w:rPr/>
        <w:t>√适用 □不适用</w:t>
      </w:r>
    </w:p>
    <w:p>
      <w:pPr>
        <w:pStyle w:val="BodyText"/>
        <w:spacing w:line="355" w:lineRule="auto"/>
        <w:ind w:left="684" w:right="0" w:firstLine="420"/>
        <w:jc w:val="left"/>
      </w:pPr>
      <w:r>
        <w:rPr>
          <w:rFonts w:ascii="宋体" w:hAnsi="宋体" w:cs="宋体" w:eastAsia="宋体" w:hint="default"/>
        </w:rPr>
        <w:t>2017</w:t>
      </w:r>
      <w:r>
        <w:rPr>
          <w:rFonts w:ascii="宋体" w:hAnsi="宋体" w:cs="宋体" w:eastAsia="宋体" w:hint="default"/>
          <w:spacing w:val="-49"/>
        </w:rPr>
        <w:t> </w:t>
      </w:r>
      <w:r>
        <w:rPr/>
        <w:t>年</w:t>
      </w:r>
      <w:r>
        <w:rPr>
          <w:spacing w:val="-46"/>
        </w:rPr>
        <w:t> </w:t>
      </w:r>
      <w:r>
        <w:rPr>
          <w:rFonts w:ascii="宋体" w:hAnsi="宋体" w:cs="宋体" w:eastAsia="宋体" w:hint="default"/>
        </w:rPr>
        <w:t>12</w:t>
      </w:r>
      <w:r>
        <w:rPr>
          <w:rFonts w:ascii="宋体" w:hAnsi="宋体" w:cs="宋体" w:eastAsia="宋体" w:hint="default"/>
          <w:spacing w:val="-49"/>
        </w:rPr>
        <w:t> </w:t>
      </w:r>
      <w:r>
        <w:rPr/>
        <w:t>月</w:t>
      </w:r>
      <w:r>
        <w:rPr>
          <w:spacing w:val="-46"/>
        </w:rPr>
        <w:t> </w:t>
      </w:r>
      <w:r>
        <w:rPr>
          <w:rFonts w:ascii="宋体" w:hAnsi="宋体" w:cs="宋体" w:eastAsia="宋体" w:hint="default"/>
        </w:rPr>
        <w:t>29</w:t>
      </w:r>
      <w:r>
        <w:rPr>
          <w:rFonts w:ascii="宋体" w:hAnsi="宋体" w:cs="宋体" w:eastAsia="宋体" w:hint="default"/>
          <w:spacing w:val="-46"/>
        </w:rPr>
        <w:t> </w:t>
      </w:r>
      <w:r>
        <w:rPr/>
        <w:t>日使用闲置自有资金向民生银行股份有限公司天津分行购买的</w:t>
      </w:r>
      <w:r>
        <w:rPr>
          <w:spacing w:val="-46"/>
        </w:rPr>
        <w:t> </w:t>
      </w:r>
      <w:r>
        <w:rPr>
          <w:rFonts w:ascii="宋体" w:hAnsi="宋体" w:cs="宋体" w:eastAsia="宋体" w:hint="default"/>
        </w:rPr>
        <w:t>3,000</w:t>
      </w:r>
      <w:r>
        <w:rPr>
          <w:rFonts w:ascii="宋体" w:hAnsi="宋体" w:cs="宋体" w:eastAsia="宋体" w:hint="default"/>
          <w:spacing w:val="-46"/>
        </w:rPr>
        <w:t> </w:t>
      </w:r>
      <w:r>
        <w:rPr>
          <w:spacing w:val="-4"/>
        </w:rPr>
        <w:t>万元非保本收益类理财产品的赎回日期为开放式的，即无具体</w:t>
      </w:r>
      <w:r>
        <w:rPr>
          <w:spacing w:val="-3"/>
          <w:w w:val="100"/>
        </w:rPr>
        <w:t> </w:t>
      </w:r>
      <w:r>
        <w:rPr/>
        <w:t>赎回日期，公司可随时进行赎回。</w:t>
      </w:r>
    </w:p>
    <w:p>
      <w:pPr>
        <w:spacing w:after="0" w:line="355" w:lineRule="auto"/>
        <w:jc w:val="left"/>
        <w:sectPr>
          <w:pgSz w:w="16840" w:h="11910" w:orient="landscape"/>
          <w:pgMar w:header="880" w:footer="1195" w:top="1120" w:bottom="1380" w:left="840" w:right="4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Heading2"/>
        <w:spacing w:line="273" w:lineRule="exact" w:before="36"/>
        <w:ind w:left="138" w:right="0"/>
        <w:jc w:val="both"/>
        <w:rPr>
          <w:b w:val="0"/>
          <w:bCs w:val="0"/>
        </w:rPr>
      </w:pPr>
      <w:r>
        <w:rPr>
          <w:rFonts w:ascii="宋体" w:hAnsi="宋体" w:cs="宋体" w:eastAsia="宋体" w:hint="default"/>
        </w:rPr>
        <w:t>(3).</w:t>
      </w:r>
      <w:r>
        <w:rPr/>
        <w:t>委托理财减值准备</w:t>
      </w:r>
      <w:r>
        <w:rPr>
          <w:b w:val="0"/>
          <w:bCs w:val="0"/>
        </w:rPr>
      </w:r>
    </w:p>
    <w:p>
      <w:pPr>
        <w:pStyle w:val="BodyText"/>
        <w:spacing w:line="273" w:lineRule="exact"/>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ind w:left="138" w:right="6838"/>
        <w:jc w:val="left"/>
        <w:rPr>
          <w:b w:val="0"/>
          <w:bCs w:val="0"/>
        </w:rPr>
      </w:pPr>
      <w:r>
        <w:rPr>
          <w:rFonts w:ascii="宋体" w:hAnsi="宋体" w:cs="宋体" w:eastAsia="宋体" w:hint="default"/>
        </w:rPr>
        <w:t>2</w:t>
      </w:r>
      <w:r>
        <w:rPr/>
        <w:t>、</w:t>
      </w:r>
      <w:r>
        <w:rPr>
          <w:spacing w:val="-3"/>
        </w:rPr>
        <w:t> </w:t>
      </w:r>
      <w:r>
        <w:rPr/>
        <w:t>委托贷款情况</w:t>
      </w:r>
      <w:r>
        <w:rPr>
          <w:w w:val="100"/>
        </w:rPr>
        <w:t> </w:t>
      </w:r>
      <w:r>
        <w:rPr>
          <w:rFonts w:ascii="宋体" w:hAnsi="宋体" w:cs="宋体" w:eastAsia="宋体" w:hint="default"/>
        </w:rPr>
        <w:t>(1).</w:t>
      </w:r>
      <w:r>
        <w:rPr/>
        <w:t>委托贷款总体情况</w:t>
      </w:r>
      <w:r>
        <w:rPr>
          <w:b w:val="0"/>
          <w:bCs w:val="0"/>
        </w:rPr>
      </w:r>
    </w:p>
    <w:p>
      <w:pPr>
        <w:pStyle w:val="BodyText"/>
        <w:spacing w:line="226" w:lineRule="exact"/>
        <w:ind w:right="0"/>
        <w:jc w:val="both"/>
      </w:pPr>
      <w:r>
        <w:rPr/>
        <w:t>□适用</w:t>
      </w:r>
      <w:r>
        <w:rPr>
          <w:spacing w:val="-1"/>
        </w:rPr>
        <w:t> </w:t>
      </w:r>
      <w:r>
        <w:rPr/>
        <w:t>√不适用</w:t>
      </w:r>
    </w:p>
    <w:p>
      <w:pPr>
        <w:pStyle w:val="Heading2"/>
        <w:spacing w:line="272" w:lineRule="exact"/>
        <w:ind w:left="138" w:right="0"/>
        <w:jc w:val="both"/>
        <w:rPr>
          <w:b w:val="0"/>
          <w:bCs w:val="0"/>
        </w:rPr>
      </w:pPr>
      <w:r>
        <w:rPr/>
        <w:t>其他情况</w:t>
      </w:r>
      <w:r>
        <w:rPr>
          <w:b w:val="0"/>
          <w:bCs w:val="0"/>
        </w:rPr>
      </w:r>
    </w:p>
    <w:p>
      <w:pPr>
        <w:pStyle w:val="BodyText"/>
        <w:spacing w:line="273" w:lineRule="exact"/>
        <w:ind w:right="0"/>
        <w:jc w:val="both"/>
      </w:pPr>
      <w:r>
        <w:rPr/>
        <w:t>□适用</w:t>
      </w:r>
      <w:r>
        <w:rPr>
          <w:spacing w:val="-1"/>
        </w:rPr>
        <w:t> </w:t>
      </w:r>
      <w:r>
        <w:rPr/>
        <w:t>√不适用</w:t>
      </w:r>
    </w:p>
    <w:p>
      <w:pPr>
        <w:spacing w:line="240" w:lineRule="auto" w:before="8"/>
        <w:rPr>
          <w:rFonts w:ascii="宋体" w:hAnsi="宋体" w:cs="宋体" w:eastAsia="宋体" w:hint="default"/>
          <w:sz w:val="20"/>
          <w:szCs w:val="20"/>
        </w:rPr>
      </w:pPr>
    </w:p>
    <w:p>
      <w:pPr>
        <w:pStyle w:val="Heading2"/>
        <w:spacing w:line="274" w:lineRule="exact"/>
        <w:ind w:left="138" w:right="0"/>
        <w:jc w:val="both"/>
        <w:rPr>
          <w:b w:val="0"/>
          <w:bCs w:val="0"/>
        </w:rPr>
      </w:pPr>
      <w:r>
        <w:rPr>
          <w:rFonts w:ascii="宋体" w:hAnsi="宋体" w:cs="宋体" w:eastAsia="宋体" w:hint="default"/>
        </w:rPr>
        <w:t>(2).</w:t>
      </w:r>
      <w:r>
        <w:rPr/>
        <w:t>单项委托贷款情况</w:t>
      </w:r>
      <w:r>
        <w:rPr>
          <w:b w:val="0"/>
          <w:bCs w:val="0"/>
        </w:rPr>
      </w:r>
    </w:p>
    <w:p>
      <w:pPr>
        <w:spacing w:line="272" w:lineRule="exact" w:before="27"/>
        <w:ind w:left="138" w:right="73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spacing w:line="249" w:lineRule="exact"/>
        <w:ind w:right="0"/>
        <w:jc w:val="both"/>
      </w:pPr>
      <w:r>
        <w:rPr/>
        <w:t>□适用</w:t>
      </w:r>
      <w:r>
        <w:rPr>
          <w:spacing w:val="-1"/>
        </w:rPr>
        <w:t> </w:t>
      </w:r>
      <w:r>
        <w:rPr/>
        <w:t>√不适用</w:t>
      </w:r>
    </w:p>
    <w:p>
      <w:pPr>
        <w:spacing w:line="240" w:lineRule="auto" w:before="8"/>
        <w:rPr>
          <w:rFonts w:ascii="宋体" w:hAnsi="宋体" w:cs="宋体" w:eastAsia="宋体" w:hint="default"/>
          <w:sz w:val="20"/>
          <w:szCs w:val="20"/>
        </w:rPr>
      </w:pPr>
    </w:p>
    <w:p>
      <w:pPr>
        <w:pStyle w:val="Heading2"/>
        <w:spacing w:line="273" w:lineRule="exact"/>
        <w:ind w:left="138" w:right="0"/>
        <w:jc w:val="both"/>
        <w:rPr>
          <w:b w:val="0"/>
          <w:bCs w:val="0"/>
        </w:rPr>
      </w:pPr>
      <w:r>
        <w:rPr>
          <w:rFonts w:ascii="宋体" w:hAnsi="宋体" w:cs="宋体" w:eastAsia="宋体" w:hint="default"/>
        </w:rPr>
        <w:t>(3).</w:t>
      </w:r>
      <w:r>
        <w:rPr/>
        <w:t>委托贷款减值准备</w:t>
      </w:r>
      <w:r>
        <w:rPr>
          <w:b w:val="0"/>
          <w:bCs w:val="0"/>
        </w:rPr>
      </w:r>
    </w:p>
    <w:p>
      <w:pPr>
        <w:pStyle w:val="BodyText"/>
        <w:spacing w:line="273" w:lineRule="exact"/>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3</w:t>
      </w:r>
      <w:r>
        <w:rPr/>
        <w:t>、</w:t>
      </w:r>
      <w:r>
        <w:rPr>
          <w:spacing w:val="-2"/>
        </w:rPr>
        <w:t> </w:t>
      </w:r>
      <w:r>
        <w:rPr/>
        <w:t>其他情况</w:t>
      </w:r>
      <w:r>
        <w:rPr>
          <w:b w:val="0"/>
          <w:bCs w:val="0"/>
        </w:rPr>
      </w:r>
    </w:p>
    <w:p>
      <w:pPr>
        <w:pStyle w:val="BodyText"/>
        <w:spacing w:line="240" w:lineRule="auto" w:before="56"/>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1"/>
        </w:rPr>
        <w:t> </w:t>
      </w:r>
      <w:r>
        <w:rPr/>
        <w:t>其他重大合同</w:t>
      </w:r>
      <w:r>
        <w:rPr>
          <w:b w:val="0"/>
          <w:bCs w:val="0"/>
        </w:rPr>
      </w:r>
    </w:p>
    <w:p>
      <w:pPr>
        <w:pStyle w:val="BodyText"/>
        <w:spacing w:line="240" w:lineRule="auto" w:before="58"/>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t>十六、其他重大事项的说明</w:t>
      </w:r>
      <w:r>
        <w:rPr>
          <w:b w:val="0"/>
          <w:bCs w:val="0"/>
        </w:rPr>
      </w:r>
    </w:p>
    <w:p>
      <w:pPr>
        <w:pStyle w:val="BodyText"/>
        <w:spacing w:line="240" w:lineRule="auto" w:before="56"/>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781" w:val="left" w:leader="none"/>
        </w:tabs>
        <w:spacing w:line="290" w:lineRule="auto"/>
        <w:ind w:left="138" w:right="5591"/>
        <w:jc w:val="left"/>
        <w:rPr>
          <w:b w:val="0"/>
          <w:bCs w:val="0"/>
        </w:rPr>
      </w:pPr>
      <w:r>
        <w:rPr>
          <w:spacing w:val="-1"/>
        </w:rPr>
        <w:t>十七、积极履行社会责任的工作情况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上市公司扶贫工作情况</w:t>
      </w:r>
      <w:r>
        <w:rPr>
          <w:b w:val="0"/>
          <w:bCs w:val="0"/>
          <w:spacing w:val="-1"/>
        </w:rPr>
      </w:r>
    </w:p>
    <w:p>
      <w:pPr>
        <w:pStyle w:val="BodyText"/>
        <w:spacing w:line="240" w:lineRule="auto" w:before="12"/>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0"/>
        </w:rPr>
        <w:t> </w:t>
      </w:r>
      <w:r>
        <w:rPr/>
        <w:t>社会责任工作情况</w:t>
      </w:r>
      <w:r>
        <w:rPr>
          <w:b w:val="0"/>
          <w:bCs w:val="0"/>
        </w:rPr>
      </w:r>
    </w:p>
    <w:p>
      <w:pPr>
        <w:pStyle w:val="BodyText"/>
        <w:spacing w:line="272" w:lineRule="exact" w:before="86"/>
        <w:ind w:left="558" w:right="0" w:hanging="420"/>
        <w:jc w:val="left"/>
      </w:pPr>
      <w:r>
        <w:rPr/>
        <w:t>√适用</w:t>
      </w:r>
      <w:r>
        <w:rPr>
          <w:spacing w:val="-2"/>
        </w:rPr>
        <w:t> </w:t>
      </w:r>
      <w:r>
        <w:rPr/>
        <w:t>□不适用</w:t>
      </w:r>
      <w:r>
        <w:rPr>
          <w:w w:val="100"/>
        </w:rPr>
        <w:t> </w:t>
      </w:r>
      <w:r>
        <w:rPr>
          <w:spacing w:val="-7"/>
        </w:rPr>
        <w:t>公司在经营发展过程中，始终坚持积极履行社会责任，积极投身社会公益，为社会创造价值，</w:t>
      </w:r>
    </w:p>
    <w:p>
      <w:pPr>
        <w:pStyle w:val="BodyText"/>
        <w:spacing w:line="357" w:lineRule="auto" w:before="108"/>
        <w:ind w:right="127"/>
        <w:jc w:val="both"/>
      </w:pPr>
      <w:r>
        <w:rPr>
          <w:spacing w:val="-6"/>
        </w:rPr>
        <w:t>为推动地方经济发展贡献力量。按照“创新、高效、诚信、和谐”的企业精神和“实现客户成功、</w:t>
      </w:r>
      <w:r>
        <w:rPr>
          <w:spacing w:val="-52"/>
        </w:rPr>
        <w:t> </w:t>
      </w:r>
      <w:r>
        <w:rPr>
          <w:spacing w:val="-52"/>
        </w:rPr>
      </w:r>
      <w:r>
        <w:rPr>
          <w:spacing w:val="-1"/>
        </w:rPr>
        <w:t>回报股东利益、提升员工价值”的经营理念，在创造经济价值的同时，重视与股东、债权人、员</w:t>
      </w:r>
      <w:r>
        <w:rPr>
          <w:spacing w:val="-55"/>
        </w:rPr>
        <w:t> </w:t>
      </w:r>
      <w:r>
        <w:rPr>
          <w:spacing w:val="-55"/>
        </w:rPr>
      </w:r>
      <w:r>
        <w:rPr>
          <w:spacing w:val="-6"/>
        </w:rPr>
        <w:t>工、客户、供应商等利益相关方及时沟通，在合作过程中做到重信誉、重承诺、重合同、守信用，</w:t>
      </w:r>
      <w:r>
        <w:rPr>
          <w:spacing w:val="-52"/>
        </w:rPr>
        <w:t> </w:t>
      </w:r>
      <w:r>
        <w:rPr>
          <w:spacing w:val="-52"/>
        </w:rPr>
      </w:r>
      <w:r>
        <w:rPr>
          <w:spacing w:val="-6"/>
        </w:rPr>
        <w:t>与利益相关方保持健康良好、合作共赢的关系。公司积极履行纳税人义务，缴纳各种税款近亿元。</w:t>
      </w:r>
      <w:r>
        <w:rPr>
          <w:spacing w:val="-54"/>
        </w:rPr>
        <w:t> </w:t>
      </w:r>
      <w:r>
        <w:rPr>
          <w:spacing w:val="-54"/>
        </w:rPr>
      </w:r>
      <w:r>
        <w:rPr>
          <w:spacing w:val="-1"/>
        </w:rPr>
        <w:t>为地方安排提供了大量的就业岗位，促进公司与员工、社会与自然的和谐，为社会和谐稳定贡献</w:t>
      </w:r>
      <w:r>
        <w:rPr>
          <w:spacing w:val="-55"/>
        </w:rPr>
        <w:t> </w:t>
      </w:r>
      <w:r>
        <w:rPr>
          <w:spacing w:val="-55"/>
        </w:rPr>
      </w:r>
      <w:r>
        <w:rPr/>
        <w:t>了自己的一份力量。</w:t>
      </w:r>
    </w:p>
    <w:p>
      <w:pPr>
        <w:spacing w:after="0" w:line="357" w:lineRule="auto"/>
        <w:jc w:val="both"/>
        <w:sectPr>
          <w:headerReference w:type="default" r:id="rId26"/>
          <w:footerReference w:type="default" r:id="rId27"/>
          <w:pgSz w:w="11910" w:h="16840"/>
          <w:pgMar w:header="880" w:footer="1195" w:top="1120" w:bottom="1380" w:left="1660" w:right="1140"/>
          <w:pgNumType w:start="43"/>
        </w:sectPr>
      </w:pPr>
    </w:p>
    <w:p>
      <w:pPr>
        <w:spacing w:line="240" w:lineRule="auto" w:before="4"/>
        <w:rPr>
          <w:rFonts w:ascii="宋体" w:hAnsi="宋体" w:cs="宋体" w:eastAsia="宋体" w:hint="default"/>
          <w:sz w:val="25"/>
          <w:szCs w:val="25"/>
        </w:rPr>
      </w:pPr>
    </w:p>
    <w:p>
      <w:pPr>
        <w:pStyle w:val="Heading2"/>
        <w:tabs>
          <w:tab w:pos="1181" w:val="left" w:leader="none"/>
        </w:tabs>
        <w:spacing w:line="240" w:lineRule="auto" w:before="36"/>
        <w:ind w:left="538" w:right="359"/>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环境信息情况</w:t>
      </w:r>
      <w:r>
        <w:rPr>
          <w:b w:val="0"/>
          <w:bCs w:val="0"/>
        </w:rPr>
      </w:r>
    </w:p>
    <w:p>
      <w:pPr>
        <w:pStyle w:val="Heading2"/>
        <w:tabs>
          <w:tab w:pos="962" w:val="left" w:leader="none"/>
        </w:tabs>
        <w:spacing w:line="240" w:lineRule="auto" w:before="58"/>
        <w:ind w:left="538" w:right="359"/>
        <w:jc w:val="left"/>
        <w:rPr>
          <w:b w:val="0"/>
          <w:bCs w:val="0"/>
        </w:rPr>
      </w:pPr>
      <w:r>
        <w:rPr>
          <w:rFonts w:ascii="宋体" w:hAnsi="宋体" w:cs="宋体" w:eastAsia="宋体" w:hint="default"/>
          <w:w w:val="95"/>
        </w:rPr>
        <w:t>1.</w:t>
        <w:tab/>
      </w:r>
      <w:r>
        <w:rPr/>
        <w:t>属于环境保护部门公布的重点排污单位的公司及其重要子公司的环保情况说明</w:t>
      </w:r>
      <w:r>
        <w:rPr>
          <w:b w:val="0"/>
          <w:bCs w:val="0"/>
        </w:rPr>
      </w:r>
    </w:p>
    <w:p>
      <w:pPr>
        <w:pStyle w:val="BodyText"/>
        <w:spacing w:line="240" w:lineRule="auto" w:before="56"/>
        <w:ind w:left="538" w:right="359"/>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962" w:val="left" w:leader="none"/>
        </w:tabs>
        <w:spacing w:line="240" w:lineRule="auto"/>
        <w:ind w:left="538" w:right="359"/>
        <w:jc w:val="left"/>
        <w:rPr>
          <w:b w:val="0"/>
          <w:bCs w:val="0"/>
        </w:rPr>
      </w:pPr>
      <w:r>
        <w:rPr>
          <w:rFonts w:ascii="宋体" w:hAnsi="宋体" w:cs="宋体" w:eastAsia="宋体" w:hint="default"/>
          <w:w w:val="95"/>
        </w:rPr>
        <w:t>2.</w:t>
        <w:tab/>
      </w:r>
      <w:r>
        <w:rPr/>
        <w:t>重点排污单位之外的公司</w:t>
      </w:r>
      <w:r>
        <w:rPr>
          <w:b w:val="0"/>
          <w:bCs w:val="0"/>
        </w:rPr>
      </w:r>
    </w:p>
    <w:p>
      <w:pPr>
        <w:pStyle w:val="BodyText"/>
        <w:spacing w:line="273" w:lineRule="exact" w:before="58"/>
        <w:ind w:left="538" w:right="359"/>
        <w:jc w:val="left"/>
      </w:pPr>
      <w:r>
        <w:rPr/>
        <w:t>√适用</w:t>
      </w:r>
      <w:r>
        <w:rPr>
          <w:spacing w:val="-1"/>
        </w:rPr>
        <w:t> </w:t>
      </w:r>
      <w:r>
        <w:rPr/>
        <w:t>□不适用</w:t>
      </w:r>
    </w:p>
    <w:p>
      <w:pPr>
        <w:pStyle w:val="BodyText"/>
        <w:spacing w:line="355" w:lineRule="auto"/>
        <w:ind w:left="538" w:right="359" w:firstLine="419"/>
        <w:jc w:val="left"/>
      </w:pPr>
      <w:r>
        <w:rPr/>
        <w:t>公司特别重视节能减排和环境保护，已通过 </w:t>
      </w:r>
      <w:r>
        <w:rPr>
          <w:rFonts w:ascii="宋体" w:hAnsi="宋体" w:cs="宋体" w:eastAsia="宋体" w:hint="default"/>
        </w:rPr>
        <w:t>ISO14001 </w:t>
      </w:r>
      <w:r>
        <w:rPr/>
        <w:t>环境管理体系和 </w:t>
      </w:r>
      <w:r>
        <w:rPr>
          <w:rFonts w:ascii="宋体" w:hAnsi="宋体" w:cs="宋体" w:eastAsia="宋体" w:hint="default"/>
        </w:rPr>
        <w:t>OHSAS18001</w:t>
      </w:r>
      <w:r>
        <w:rPr>
          <w:rFonts w:ascii="宋体" w:hAnsi="宋体" w:cs="宋体" w:eastAsia="宋体" w:hint="default"/>
          <w:spacing w:val="-10"/>
        </w:rPr>
        <w:t> </w:t>
      </w:r>
      <w:r>
        <w:rPr/>
        <w:t>职业健</w:t>
      </w:r>
      <w:r>
        <w:rPr>
          <w:w w:val="100"/>
        </w:rPr>
        <w:t> </w:t>
      </w:r>
      <w:r>
        <w:rPr/>
        <w:t>康安全管理体系的认证，建立了环保安全体系，为可持续发展奠定了基础。</w:t>
      </w:r>
    </w:p>
    <w:p>
      <w:pPr>
        <w:pStyle w:val="Heading2"/>
        <w:tabs>
          <w:tab w:pos="962" w:val="left" w:leader="none"/>
        </w:tabs>
        <w:spacing w:line="240" w:lineRule="auto" w:before="94"/>
        <w:ind w:left="538" w:right="359"/>
        <w:jc w:val="left"/>
        <w:rPr>
          <w:b w:val="0"/>
          <w:bCs w:val="0"/>
        </w:rPr>
      </w:pPr>
      <w:r>
        <w:rPr>
          <w:rFonts w:ascii="宋体" w:hAnsi="宋体" w:cs="宋体" w:eastAsia="宋体" w:hint="default"/>
          <w:w w:val="95"/>
        </w:rPr>
        <w:t>3.</w:t>
        <w:tab/>
      </w:r>
      <w:r>
        <w:rPr/>
        <w:t>其他说明</w:t>
      </w:r>
      <w:r>
        <w:rPr>
          <w:b w:val="0"/>
          <w:bCs w:val="0"/>
        </w:rPr>
      </w:r>
    </w:p>
    <w:p>
      <w:pPr>
        <w:pStyle w:val="BodyText"/>
        <w:spacing w:line="240" w:lineRule="auto" w:before="56"/>
        <w:ind w:left="538" w:right="359"/>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1181" w:val="left" w:leader="none"/>
        </w:tabs>
        <w:spacing w:line="240" w:lineRule="auto"/>
        <w:ind w:left="538" w:right="359"/>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其他说明</w:t>
      </w:r>
      <w:r>
        <w:rPr>
          <w:b w:val="0"/>
          <w:bCs w:val="0"/>
        </w:rPr>
      </w:r>
    </w:p>
    <w:p>
      <w:pPr>
        <w:pStyle w:val="BodyText"/>
        <w:spacing w:line="240" w:lineRule="auto" w:before="58"/>
        <w:ind w:left="538" w:right="359"/>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538" w:right="359"/>
        <w:jc w:val="left"/>
        <w:rPr>
          <w:b w:val="0"/>
          <w:bCs w:val="0"/>
        </w:rPr>
      </w:pPr>
      <w:r>
        <w:rPr/>
        <w:t>十八、可转换公司债券情况</w:t>
      </w:r>
      <w:r>
        <w:rPr>
          <w:b w:val="0"/>
          <w:bCs w:val="0"/>
        </w:rPr>
      </w:r>
    </w:p>
    <w:p>
      <w:pPr>
        <w:pStyle w:val="Heading2"/>
        <w:spacing w:line="240" w:lineRule="auto" w:before="56"/>
        <w:ind w:left="538" w:right="35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转债发行情况</w:t>
      </w:r>
      <w:r>
        <w:rPr>
          <w:b w:val="0"/>
          <w:bCs w:val="0"/>
        </w:rPr>
      </w:r>
    </w:p>
    <w:p>
      <w:pPr>
        <w:pStyle w:val="BodyText"/>
        <w:spacing w:line="240" w:lineRule="auto" w:before="32"/>
        <w:ind w:left="538" w:right="359"/>
        <w:jc w:val="left"/>
      </w:pPr>
      <w:r>
        <w:rPr/>
        <w:t>□适用</w:t>
      </w:r>
      <w:r>
        <w:rPr>
          <w:spacing w:val="-1"/>
        </w:rPr>
        <w:t> </w:t>
      </w:r>
      <w:r>
        <w:rPr/>
        <w:t>√不适用</w:t>
      </w:r>
    </w:p>
    <w:p>
      <w:pPr>
        <w:spacing w:line="240" w:lineRule="auto" w:before="0"/>
        <w:rPr>
          <w:rFonts w:ascii="宋体" w:hAnsi="宋体" w:cs="宋体" w:eastAsia="宋体" w:hint="default"/>
          <w:sz w:val="25"/>
          <w:szCs w:val="25"/>
        </w:rPr>
      </w:pPr>
    </w:p>
    <w:p>
      <w:pPr>
        <w:pStyle w:val="Heading2"/>
        <w:spacing w:line="240" w:lineRule="auto"/>
        <w:ind w:left="538" w:right="359"/>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BodyText"/>
        <w:spacing w:line="240" w:lineRule="auto" w:before="32"/>
        <w:ind w:left="538" w:right="359"/>
        <w:jc w:val="left"/>
      </w:pPr>
      <w:r>
        <w:rPr/>
        <w:t>□适用</w:t>
      </w:r>
      <w:r>
        <w:rPr>
          <w:spacing w:val="-1"/>
        </w:rPr>
        <w:t> </w:t>
      </w:r>
      <w:r>
        <w:rPr/>
        <w:t>√不适用</w:t>
      </w:r>
    </w:p>
    <w:p>
      <w:pPr>
        <w:pStyle w:val="Heading2"/>
        <w:spacing w:line="240" w:lineRule="auto" w:before="56"/>
        <w:ind w:left="538" w:right="359"/>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报告期转债变动情况</w:t>
      </w:r>
      <w:r>
        <w:rPr>
          <w:b w:val="0"/>
          <w:bCs w:val="0"/>
        </w:rPr>
      </w:r>
    </w:p>
    <w:p>
      <w:pPr>
        <w:pStyle w:val="BodyText"/>
        <w:spacing w:line="272" w:lineRule="exact" w:before="59"/>
        <w:ind w:left="538" w:right="5347"/>
        <w:jc w:val="left"/>
      </w:pPr>
      <w:r>
        <w:rPr/>
        <w:t>□适用</w:t>
      </w:r>
      <w:r>
        <w:rPr>
          <w:spacing w:val="-2"/>
        </w:rPr>
        <w:t> </w:t>
      </w:r>
      <w:r>
        <w:rPr/>
        <w:t>√不适用</w:t>
      </w:r>
      <w:r>
        <w:rPr>
          <w:w w:val="100"/>
        </w:rPr>
        <w:t> </w:t>
      </w:r>
      <w:r>
        <w:rPr>
          <w:spacing w:val="-2"/>
        </w:rPr>
        <w:t>报告期转债累计转股情况</w:t>
      </w:r>
    </w:p>
    <w:p>
      <w:pPr>
        <w:pStyle w:val="BodyText"/>
        <w:spacing w:line="249" w:lineRule="exact"/>
        <w:ind w:left="538" w:right="359"/>
        <w:jc w:val="left"/>
      </w:pPr>
      <w:r>
        <w:rPr/>
        <w:t>□适用</w:t>
      </w:r>
      <w:r>
        <w:rPr>
          <w:spacing w:val="-1"/>
        </w:rPr>
        <w:t> </w:t>
      </w:r>
      <w:r>
        <w:rPr/>
        <w:t>√不适用</w:t>
      </w:r>
    </w:p>
    <w:p>
      <w:pPr>
        <w:pStyle w:val="Heading2"/>
        <w:spacing w:line="240" w:lineRule="auto" w:before="56"/>
        <w:ind w:left="538" w:right="359"/>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0"/>
        </w:rPr>
        <w:t> </w:t>
      </w:r>
      <w:r>
        <w:rPr/>
        <w:t>转股价格历次调整情况</w:t>
      </w:r>
      <w:r>
        <w:rPr>
          <w:b w:val="0"/>
          <w:bCs w:val="0"/>
        </w:rPr>
      </w:r>
    </w:p>
    <w:p>
      <w:pPr>
        <w:pStyle w:val="BodyText"/>
        <w:spacing w:line="240" w:lineRule="auto" w:before="32"/>
        <w:ind w:left="538" w:right="359"/>
        <w:jc w:val="left"/>
      </w:pPr>
      <w:r>
        <w:rPr/>
        <w:t>□适用</w:t>
      </w:r>
      <w:r>
        <w:rPr>
          <w:spacing w:val="-1"/>
        </w:rPr>
        <w:t> </w:t>
      </w:r>
      <w:r>
        <w:rPr/>
        <w:t>√不适用</w:t>
      </w:r>
    </w:p>
    <w:p>
      <w:pPr>
        <w:pStyle w:val="Heading2"/>
        <w:spacing w:line="240" w:lineRule="auto" w:before="56"/>
        <w:ind w:left="538" w:right="359"/>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公司的负债情况、资信变化情况及在未来年度还债的现金安排</w:t>
      </w:r>
      <w:r>
        <w:rPr>
          <w:b w:val="0"/>
          <w:bCs w:val="0"/>
        </w:rPr>
      </w:r>
    </w:p>
    <w:p>
      <w:pPr>
        <w:pStyle w:val="BodyText"/>
        <w:spacing w:line="240" w:lineRule="auto" w:before="32"/>
        <w:ind w:left="538" w:right="359"/>
        <w:jc w:val="left"/>
      </w:pPr>
      <w:r>
        <w:rPr/>
        <w:t>□适用</w:t>
      </w:r>
      <w:r>
        <w:rPr>
          <w:spacing w:val="-1"/>
        </w:rPr>
        <w:t> </w:t>
      </w:r>
      <w:r>
        <w:rPr/>
        <w:t>√不适用</w:t>
      </w:r>
    </w:p>
    <w:p>
      <w:pPr>
        <w:pStyle w:val="Heading2"/>
        <w:spacing w:line="240" w:lineRule="auto" w:before="56"/>
        <w:ind w:left="538" w:right="359"/>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转债其他情况说明</w:t>
      </w:r>
      <w:r>
        <w:rPr>
          <w:b w:val="0"/>
          <w:bCs w:val="0"/>
        </w:rPr>
      </w:r>
    </w:p>
    <w:p>
      <w:pPr>
        <w:pStyle w:val="BodyText"/>
        <w:spacing w:line="240" w:lineRule="auto" w:before="32"/>
        <w:ind w:left="538" w:right="359"/>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1"/>
        <w:tabs>
          <w:tab w:pos="3896" w:val="left" w:leader="none"/>
        </w:tabs>
        <w:spacing w:line="240" w:lineRule="auto"/>
        <w:ind w:left="2636" w:right="359"/>
        <w:jc w:val="left"/>
        <w:rPr>
          <w:b w:val="0"/>
          <w:bCs w:val="0"/>
        </w:rPr>
      </w:pPr>
      <w:bookmarkStart w:name="_TOC_250006" w:id="6"/>
      <w:r>
        <w:rPr>
          <w:w w:val="95"/>
        </w:rPr>
        <w:t>第六节</w:t>
        <w:tab/>
      </w:r>
      <w:r>
        <w:rPr/>
        <w:t>普通股股份变动及股东情况</w:t>
      </w:r>
      <w:bookmarkEnd w:id="6"/>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80" w:footer="1195" w:top="1120" w:bottom="1380" w:left="1260" w:right="920"/>
        </w:sectPr>
      </w:pPr>
    </w:p>
    <w:p>
      <w:pPr>
        <w:pStyle w:val="Heading2"/>
        <w:tabs>
          <w:tab w:pos="1104" w:val="left" w:leader="none"/>
        </w:tabs>
        <w:spacing w:line="278" w:lineRule="auto" w:before="36"/>
        <w:ind w:left="538" w:right="0"/>
        <w:jc w:val="left"/>
        <w:rPr>
          <w:b w:val="0"/>
          <w:bCs w:val="0"/>
        </w:rPr>
      </w:pPr>
      <w:r>
        <w:rPr/>
        <w:t>一、</w:t>
      </w:r>
      <w:r>
        <w:rPr>
          <w:spacing w:val="-78"/>
        </w:rPr>
        <w:t> </w:t>
      </w:r>
      <w:r>
        <w:rPr/>
        <w:t>普通股股本变动情况</w:t>
      </w:r>
      <w:r>
        <w:rPr>
          <w:spacing w:val="-102"/>
        </w:rPr>
        <w:t> </w:t>
      </w:r>
      <w:r>
        <w:rPr>
          <w:spacing w:val="-102"/>
        </w:rPr>
      </w:r>
      <w:r>
        <w:rPr>
          <w:rFonts w:ascii="Calibri" w:hAnsi="Calibri" w:cs="Calibri" w:eastAsia="Calibri" w:hint="default"/>
        </w:rPr>
        <w:t>(</w:t>
      </w:r>
      <w:r>
        <w:rPr/>
        <w:t>一</w:t>
      </w:r>
      <w:r>
        <w:rPr>
          <w:rFonts w:ascii="Calibri" w:hAnsi="Calibri" w:cs="Calibri" w:eastAsia="Calibri" w:hint="default"/>
        </w:rPr>
        <w:t>)</w:t>
        <w:tab/>
      </w:r>
      <w:r>
        <w:rPr>
          <w:spacing w:val="-1"/>
        </w:rPr>
        <w:t>普通股股份变动情况表</w:t>
      </w:r>
      <w:r>
        <w:rPr>
          <w:spacing w:val="-96"/>
        </w:rPr>
        <w:t> </w:t>
      </w:r>
      <w:r>
        <w:rPr>
          <w:spacing w:val="-96"/>
        </w:rPr>
      </w:r>
      <w:r>
        <w:rPr>
          <w:rFonts w:ascii="宋体" w:hAnsi="宋体" w:cs="宋体" w:eastAsia="宋体" w:hint="default"/>
        </w:rPr>
        <w:t>1</w:t>
      </w:r>
      <w:r>
        <w:rPr/>
        <w:t>、</w:t>
      </w:r>
      <w:r>
        <w:rPr>
          <w:spacing w:val="-3"/>
        </w:rPr>
        <w:t> </w:t>
      </w:r>
      <w:r>
        <w:rPr/>
        <w:t>普通股股份变动情况表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240" w:lineRule="auto"/>
        <w:ind w:left="538" w:right="0"/>
        <w:jc w:val="left"/>
      </w:pPr>
      <w:r>
        <w:rPr/>
        <w:t>单位：股</w:t>
      </w:r>
    </w:p>
    <w:p>
      <w:pPr>
        <w:spacing w:after="0" w:line="240" w:lineRule="auto"/>
        <w:jc w:val="left"/>
        <w:sectPr>
          <w:type w:val="continuous"/>
          <w:pgSz w:w="11910" w:h="16840"/>
          <w:pgMar w:top="1120" w:bottom="1380" w:left="1260" w:right="920"/>
          <w:cols w:num="2" w:equalWidth="0">
            <w:col w:w="3215" w:space="4779"/>
            <w:col w:w="1736"/>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135"/>
        <w:gridCol w:w="1419"/>
        <w:gridCol w:w="850"/>
        <w:gridCol w:w="1306"/>
        <w:gridCol w:w="425"/>
        <w:gridCol w:w="427"/>
        <w:gridCol w:w="425"/>
        <w:gridCol w:w="1270"/>
        <w:gridCol w:w="1371"/>
        <w:gridCol w:w="874"/>
      </w:tblGrid>
      <w:tr>
        <w:trPr>
          <w:trHeight w:val="283" w:hRule="exact"/>
        </w:trPr>
        <w:tc>
          <w:tcPr>
            <w:tcW w:w="1135" w:type="dxa"/>
            <w:vMerge w:val="restart"/>
            <w:tcBorders>
              <w:top w:val="single" w:sz="4" w:space="0" w:color="000000"/>
              <w:left w:val="single" w:sz="4" w:space="0" w:color="000000"/>
              <w:right w:val="single" w:sz="4" w:space="0" w:color="000000"/>
            </w:tcBorders>
          </w:tcPr>
          <w:p>
            <w:pPr/>
          </w:p>
        </w:tc>
        <w:tc>
          <w:tcPr>
            <w:tcW w:w="22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2"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8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3"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2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8"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371" w:hRule="exact"/>
        </w:trPr>
        <w:tc>
          <w:tcPr>
            <w:tcW w:w="1135"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61" w:right="206"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公</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积</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101"/>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73" w:right="218"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r>
    </w:tbl>
    <w:p>
      <w:pPr>
        <w:spacing w:after="0" w:line="240" w:lineRule="auto"/>
        <w:jc w:val="left"/>
        <w:rPr>
          <w:rFonts w:ascii="宋体" w:hAnsi="宋体" w:cs="宋体" w:eastAsia="宋体" w:hint="default"/>
          <w:sz w:val="21"/>
          <w:szCs w:val="21"/>
        </w:rPr>
        <w:sectPr>
          <w:type w:val="continuous"/>
          <w:pgSz w:w="11910" w:h="16840"/>
          <w:pgMar w:top="1120" w:bottom="1380" w:left="1260" w:right="9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1135"/>
        <w:gridCol w:w="1419"/>
        <w:gridCol w:w="850"/>
        <w:gridCol w:w="1306"/>
        <w:gridCol w:w="425"/>
        <w:gridCol w:w="427"/>
        <w:gridCol w:w="425"/>
        <w:gridCol w:w="1270"/>
        <w:gridCol w:w="1371"/>
        <w:gridCol w:w="874"/>
      </w:tblGrid>
      <w:tr>
        <w:trPr>
          <w:trHeight w:val="828"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一、有限</w:t>
            </w:r>
          </w:p>
          <w:p>
            <w:pPr>
              <w:pStyle w:val="TableParagraph"/>
              <w:spacing w:line="240" w:lineRule="auto"/>
              <w:ind w:left="103" w:right="177"/>
              <w:jc w:val="left"/>
              <w:rPr>
                <w:rFonts w:ascii="宋体" w:hAnsi="宋体" w:cs="宋体" w:eastAsia="宋体" w:hint="default"/>
                <w:sz w:val="21"/>
                <w:szCs w:val="21"/>
              </w:rPr>
            </w:pPr>
            <w:r>
              <w:rPr>
                <w:rFonts w:ascii="宋体" w:hAnsi="宋体" w:cs="宋体" w:eastAsia="宋体" w:hint="default"/>
                <w:sz w:val="21"/>
                <w:szCs w:val="21"/>
              </w:rPr>
              <w:t>售条件股</w:t>
            </w:r>
            <w:r>
              <w:rPr>
                <w:rFonts w:ascii="宋体" w:hAnsi="宋体" w:cs="宋体" w:eastAsia="宋体" w:hint="default"/>
                <w:w w:val="100"/>
                <w:sz w:val="21"/>
                <w:szCs w:val="21"/>
              </w:rPr>
              <w:t> </w:t>
            </w:r>
            <w:r>
              <w:rPr>
                <w:rFonts w:ascii="宋体" w:hAnsi="宋体" w:cs="宋体" w:eastAsia="宋体" w:hint="default"/>
                <w:sz w:val="21"/>
                <w:szCs w:val="21"/>
              </w:rPr>
              <w:t>份</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210,000,000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100.00</w:t>
            </w:r>
          </w:p>
        </w:tc>
        <w:tc>
          <w:tcPr>
            <w:tcW w:w="130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210,000,000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75.00</w:t>
            </w: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1</w:t>
            </w:r>
            <w:r>
              <w:rPr>
                <w:rFonts w:ascii="宋体" w:hAnsi="宋体" w:cs="宋体" w:eastAsia="宋体" w:hint="default"/>
                <w:spacing w:val="-6"/>
                <w:sz w:val="21"/>
                <w:szCs w:val="21"/>
              </w:rPr>
              <w:t>、国家持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2</w:t>
            </w:r>
            <w:r>
              <w:rPr>
                <w:rFonts w:ascii="宋体" w:hAnsi="宋体" w:cs="宋体" w:eastAsia="宋体" w:hint="default"/>
                <w:spacing w:val="-6"/>
                <w:sz w:val="21"/>
                <w:szCs w:val="21"/>
              </w:rPr>
              <w:t>、国有法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3</w:t>
            </w:r>
            <w:r>
              <w:rPr>
                <w:rFonts w:ascii="宋体" w:hAnsi="宋体" w:cs="宋体" w:eastAsia="宋体" w:hint="default"/>
                <w:spacing w:val="-6"/>
                <w:sz w:val="21"/>
                <w:szCs w:val="21"/>
              </w:rPr>
              <w:t>、其他内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资持股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30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210,000,000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75.00</w:t>
            </w:r>
          </w:p>
        </w:tc>
      </w:tr>
      <w:tr>
        <w:trPr>
          <w:trHeight w:val="828"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其中：境</w:t>
            </w:r>
          </w:p>
          <w:p>
            <w:pPr>
              <w:pStyle w:val="TableParagraph"/>
              <w:spacing w:line="272" w:lineRule="exact" w:before="26"/>
              <w:ind w:left="103" w:right="177"/>
              <w:jc w:val="left"/>
              <w:rPr>
                <w:rFonts w:ascii="宋体" w:hAnsi="宋体" w:cs="宋体" w:eastAsia="宋体" w:hint="default"/>
                <w:sz w:val="21"/>
                <w:szCs w:val="21"/>
              </w:rPr>
            </w:pPr>
            <w:r>
              <w:rPr>
                <w:rFonts w:ascii="宋体" w:hAnsi="宋体" w:cs="宋体" w:eastAsia="宋体" w:hint="default"/>
                <w:sz w:val="21"/>
                <w:szCs w:val="21"/>
              </w:rPr>
              <w:t>内非国有</w:t>
            </w:r>
            <w:r>
              <w:rPr>
                <w:rFonts w:ascii="宋体" w:hAnsi="宋体" w:cs="宋体" w:eastAsia="宋体" w:hint="default"/>
                <w:w w:val="100"/>
                <w:sz w:val="21"/>
                <w:szCs w:val="21"/>
              </w:rPr>
              <w:t> </w:t>
            </w:r>
            <w:r>
              <w:rPr>
                <w:rFonts w:ascii="宋体" w:hAnsi="宋体" w:cs="宋体" w:eastAsia="宋体" w:hint="default"/>
                <w:sz w:val="21"/>
                <w:szCs w:val="21"/>
              </w:rPr>
              <w:t>法人持股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162,950,000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77.60</w:t>
            </w:r>
          </w:p>
        </w:tc>
        <w:tc>
          <w:tcPr>
            <w:tcW w:w="130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162,950,000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58.20</w:t>
            </w:r>
          </w:p>
        </w:tc>
      </w:tr>
      <w:tr>
        <w:trPr>
          <w:trHeight w:val="555"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47,050,000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22.40</w:t>
            </w:r>
          </w:p>
        </w:tc>
        <w:tc>
          <w:tcPr>
            <w:tcW w:w="130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47,050,000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16.80</w:t>
            </w: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4</w:t>
            </w:r>
            <w:r>
              <w:rPr>
                <w:rFonts w:ascii="宋体" w:hAnsi="宋体" w:cs="宋体" w:eastAsia="宋体" w:hint="default"/>
                <w:spacing w:val="-6"/>
                <w:sz w:val="21"/>
                <w:szCs w:val="21"/>
              </w:rPr>
              <w:t>、外资持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其中：境</w:t>
            </w:r>
          </w:p>
          <w:p>
            <w:pPr>
              <w:pStyle w:val="TableParagraph"/>
              <w:spacing w:line="272" w:lineRule="exact" w:before="27"/>
              <w:ind w:left="103" w:right="177"/>
              <w:jc w:val="left"/>
              <w:rPr>
                <w:rFonts w:ascii="宋体" w:hAnsi="宋体" w:cs="宋体" w:eastAsia="宋体" w:hint="default"/>
                <w:sz w:val="21"/>
                <w:szCs w:val="21"/>
              </w:rPr>
            </w:pPr>
            <w:r>
              <w:rPr>
                <w:rFonts w:ascii="宋体" w:hAnsi="宋体" w:cs="宋体" w:eastAsia="宋体" w:hint="default"/>
                <w:sz w:val="21"/>
                <w:szCs w:val="21"/>
              </w:rPr>
              <w:t>外法人持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631"/>
              <w:jc w:val="left"/>
              <w:rPr>
                <w:rFonts w:ascii="宋体" w:hAnsi="宋体" w:cs="宋体" w:eastAsia="宋体" w:hint="default"/>
                <w:sz w:val="21"/>
                <w:szCs w:val="21"/>
              </w:rPr>
            </w:pPr>
            <w:r>
              <w:rPr>
                <w:rFonts w:ascii="宋体" w:hAnsi="宋体" w:cs="宋体" w:eastAsia="宋体" w:hint="default"/>
                <w:w w:val="100"/>
                <w:sz w:val="21"/>
                <w:szCs w:val="21"/>
              </w:rPr>
              <w:t>境</w:t>
            </w:r>
          </w:p>
          <w:p>
            <w:pPr>
              <w:pStyle w:val="TableParagraph"/>
              <w:spacing w:line="240" w:lineRule="auto"/>
              <w:ind w:left="103" w:right="177"/>
              <w:jc w:val="left"/>
              <w:rPr>
                <w:rFonts w:ascii="宋体" w:hAnsi="宋体" w:cs="宋体" w:eastAsia="宋体" w:hint="default"/>
                <w:sz w:val="21"/>
                <w:szCs w:val="21"/>
              </w:rPr>
            </w:pPr>
            <w:r>
              <w:rPr>
                <w:rFonts w:ascii="宋体" w:hAnsi="宋体" w:cs="宋体" w:eastAsia="宋体" w:hint="default"/>
                <w:sz w:val="21"/>
                <w:szCs w:val="21"/>
              </w:rPr>
              <w:t>外自然人</w:t>
            </w:r>
            <w:r>
              <w:rPr>
                <w:rFonts w:ascii="宋体" w:hAnsi="宋体" w:cs="宋体" w:eastAsia="宋体" w:hint="default"/>
                <w:w w:val="100"/>
                <w:sz w:val="21"/>
                <w:szCs w:val="21"/>
              </w:rPr>
              <w:t> </w:t>
            </w:r>
            <w:r>
              <w:rPr>
                <w:rFonts w:ascii="宋体" w:hAnsi="宋体" w:cs="宋体" w:eastAsia="宋体" w:hint="default"/>
                <w:sz w:val="21"/>
                <w:szCs w:val="21"/>
              </w:rPr>
              <w:t>持股</w:t>
            </w: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78"/>
                <w:sz w:val="21"/>
                <w:szCs w:val="21"/>
              </w:rPr>
              <w:t> </w:t>
            </w:r>
            <w:r>
              <w:rPr>
                <w:rFonts w:ascii="宋体" w:hAnsi="宋体" w:cs="宋体" w:eastAsia="宋体" w:hint="default"/>
                <w:sz w:val="21"/>
                <w:szCs w:val="21"/>
              </w:rPr>
              <w:t>、</w:t>
            </w:r>
            <w:r>
              <w:rPr>
                <w:rFonts w:ascii="宋体" w:hAnsi="宋体" w:cs="宋体" w:eastAsia="宋体" w:hint="default"/>
                <w:spacing w:val="-81"/>
                <w:sz w:val="21"/>
                <w:szCs w:val="21"/>
              </w:rPr>
              <w:t> </w:t>
            </w:r>
            <w:r>
              <w:rPr>
                <w:rFonts w:ascii="宋体" w:hAnsi="宋体" w:cs="宋体" w:eastAsia="宋体" w:hint="default"/>
                <w:sz w:val="21"/>
                <w:szCs w:val="21"/>
              </w:rPr>
              <w:t>无</w:t>
            </w:r>
            <w:r>
              <w:rPr>
                <w:rFonts w:ascii="宋体" w:hAnsi="宋体" w:cs="宋体" w:eastAsia="宋体" w:hint="default"/>
                <w:spacing w:val="-78"/>
                <w:sz w:val="21"/>
                <w:szCs w:val="21"/>
              </w:rPr>
              <w:t> </w:t>
            </w:r>
            <w:r>
              <w:rPr>
                <w:rFonts w:ascii="宋体" w:hAnsi="宋体" w:cs="宋体" w:eastAsia="宋体" w:hint="default"/>
                <w:sz w:val="21"/>
                <w:szCs w:val="21"/>
              </w:rPr>
              <w:t>限</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售</w:t>
            </w:r>
            <w:r>
              <w:rPr>
                <w:rFonts w:ascii="宋体" w:hAnsi="宋体" w:cs="宋体" w:eastAsia="宋体" w:hint="default"/>
                <w:spacing w:val="-77"/>
                <w:sz w:val="21"/>
                <w:szCs w:val="21"/>
              </w:rPr>
              <w:t> </w:t>
            </w:r>
            <w:r>
              <w:rPr>
                <w:rFonts w:ascii="宋体" w:hAnsi="宋体" w:cs="宋体" w:eastAsia="宋体" w:hint="default"/>
                <w:spacing w:val="11"/>
                <w:sz w:val="21"/>
                <w:szCs w:val="21"/>
              </w:rPr>
              <w:t>条件</w:t>
            </w:r>
            <w:r>
              <w:rPr>
                <w:rFonts w:ascii="宋体" w:hAnsi="宋体" w:cs="宋体" w:eastAsia="宋体" w:hint="default"/>
                <w:spacing w:val="-77"/>
                <w:sz w:val="21"/>
                <w:szCs w:val="21"/>
              </w:rPr>
              <w:t> </w:t>
            </w: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通股份</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 w:right="0"/>
              <w:jc w:val="center"/>
              <w:rPr>
                <w:rFonts w:ascii="宋体" w:hAnsi="宋体" w:cs="宋体" w:eastAsia="宋体" w:hint="default"/>
                <w:sz w:val="21"/>
                <w:szCs w:val="21"/>
              </w:rPr>
            </w:pPr>
            <w:r>
              <w:rPr>
                <w:rFonts w:ascii="宋体"/>
                <w:sz w:val="21"/>
              </w:rPr>
              <w:t>70,000,000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70,000,000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70,000,000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25.00</w:t>
            </w: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1</w:t>
            </w:r>
            <w:r>
              <w:rPr>
                <w:rFonts w:ascii="宋体" w:hAnsi="宋体" w:cs="宋体" w:eastAsia="宋体" w:hint="default"/>
                <w:spacing w:val="-6"/>
                <w:sz w:val="21"/>
                <w:szCs w:val="21"/>
              </w:rPr>
              <w:t>、人民币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sz w:val="21"/>
              </w:rPr>
              <w:t>70,000,000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70,000,000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70,000,000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25.00</w:t>
            </w:r>
          </w:p>
        </w:tc>
      </w:tr>
      <w:tr>
        <w:trPr>
          <w:trHeight w:val="828"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2</w:t>
            </w:r>
            <w:r>
              <w:rPr>
                <w:rFonts w:ascii="宋体" w:hAnsi="宋体" w:cs="宋体" w:eastAsia="宋体" w:hint="default"/>
                <w:spacing w:val="-6"/>
                <w:sz w:val="21"/>
                <w:szCs w:val="21"/>
              </w:rPr>
              <w:t>、境内上</w:t>
            </w:r>
          </w:p>
          <w:p>
            <w:pPr>
              <w:pStyle w:val="TableParagraph"/>
              <w:spacing w:line="272" w:lineRule="exact" w:before="27"/>
              <w:ind w:left="103" w:right="177"/>
              <w:jc w:val="left"/>
              <w:rPr>
                <w:rFonts w:ascii="宋体" w:hAnsi="宋体" w:cs="宋体" w:eastAsia="宋体" w:hint="default"/>
                <w:sz w:val="21"/>
                <w:szCs w:val="21"/>
              </w:rPr>
            </w:pPr>
            <w:r>
              <w:rPr>
                <w:rFonts w:ascii="宋体" w:hAnsi="宋体" w:cs="宋体" w:eastAsia="宋体" w:hint="default"/>
                <w:sz w:val="21"/>
                <w:szCs w:val="21"/>
              </w:rPr>
              <w:t>市的外资</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3</w:t>
            </w:r>
            <w:r>
              <w:rPr>
                <w:rFonts w:ascii="宋体" w:hAnsi="宋体" w:cs="宋体" w:eastAsia="宋体" w:hint="default"/>
                <w:spacing w:val="-6"/>
                <w:sz w:val="21"/>
                <w:szCs w:val="21"/>
              </w:rPr>
              <w:t>、境外上</w:t>
            </w:r>
          </w:p>
          <w:p>
            <w:pPr>
              <w:pStyle w:val="TableParagraph"/>
              <w:spacing w:line="240" w:lineRule="auto"/>
              <w:ind w:left="103" w:right="177"/>
              <w:jc w:val="left"/>
              <w:rPr>
                <w:rFonts w:ascii="宋体" w:hAnsi="宋体" w:cs="宋体" w:eastAsia="宋体" w:hint="default"/>
                <w:sz w:val="21"/>
                <w:szCs w:val="21"/>
              </w:rPr>
            </w:pPr>
            <w:r>
              <w:rPr>
                <w:rFonts w:ascii="宋体" w:hAnsi="宋体" w:cs="宋体" w:eastAsia="宋体" w:hint="default"/>
                <w:sz w:val="21"/>
                <w:szCs w:val="21"/>
              </w:rPr>
              <w:t>市的外资</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三、普通</w:t>
            </w:r>
          </w:p>
          <w:p>
            <w:pPr>
              <w:pStyle w:val="TableParagraph"/>
              <w:spacing w:line="272" w:lineRule="exact" w:before="27"/>
              <w:ind w:left="103" w:right="177"/>
              <w:jc w:val="left"/>
              <w:rPr>
                <w:rFonts w:ascii="宋体" w:hAnsi="宋体" w:cs="宋体" w:eastAsia="宋体" w:hint="default"/>
                <w:sz w:val="21"/>
                <w:szCs w:val="21"/>
              </w:rPr>
            </w:pPr>
            <w:r>
              <w:rPr>
                <w:rFonts w:ascii="宋体" w:hAnsi="宋体" w:cs="宋体" w:eastAsia="宋体" w:hint="default"/>
                <w:sz w:val="21"/>
                <w:szCs w:val="21"/>
              </w:rPr>
              <w:t>股股份总</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
              <w:jc w:val="right"/>
              <w:rPr>
                <w:rFonts w:ascii="宋体" w:hAnsi="宋体" w:cs="宋体" w:eastAsia="宋体" w:hint="default"/>
                <w:sz w:val="21"/>
                <w:szCs w:val="21"/>
              </w:rPr>
            </w:pPr>
            <w:r>
              <w:rPr>
                <w:rFonts w:ascii="宋体"/>
                <w:spacing w:val="-1"/>
                <w:sz w:val="21"/>
              </w:rPr>
              <w:t>210,000,000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sz w:val="21"/>
              </w:rPr>
              <w:t>70,000,000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70,000,000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280,000,000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100.00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before="36"/>
        <w:ind w:left="538" w:right="359"/>
        <w:jc w:val="left"/>
        <w:rPr>
          <w:b w:val="0"/>
          <w:bCs w:val="0"/>
        </w:rPr>
      </w:pPr>
      <w:r>
        <w:rPr>
          <w:rFonts w:ascii="宋体" w:hAnsi="宋体" w:cs="宋体" w:eastAsia="宋体" w:hint="default"/>
        </w:rPr>
        <w:t>2</w:t>
      </w:r>
      <w:r>
        <w:rPr/>
        <w:t>、</w:t>
      </w:r>
      <w:r>
        <w:rPr>
          <w:spacing w:val="-2"/>
        </w:rPr>
        <w:t> </w:t>
      </w:r>
      <w:r>
        <w:rPr/>
        <w:t>普通股股份变动情况说明</w:t>
      </w:r>
      <w:r>
        <w:rPr>
          <w:b w:val="0"/>
          <w:bCs w:val="0"/>
        </w:rPr>
      </w:r>
    </w:p>
    <w:p>
      <w:pPr>
        <w:pStyle w:val="BodyText"/>
        <w:spacing w:line="274" w:lineRule="exact" w:before="56"/>
        <w:ind w:left="538" w:right="359"/>
        <w:jc w:val="left"/>
      </w:pPr>
      <w:r>
        <w:rPr/>
        <w:t>√适用</w:t>
      </w:r>
      <w:r>
        <w:rPr>
          <w:spacing w:val="-1"/>
        </w:rPr>
        <w:t> </w:t>
      </w:r>
      <w:r>
        <w:rPr/>
        <w:t>□不适用</w:t>
      </w:r>
    </w:p>
    <w:p>
      <w:pPr>
        <w:pStyle w:val="BodyText"/>
        <w:spacing w:line="355" w:lineRule="auto"/>
        <w:ind w:left="538" w:right="347" w:firstLine="419"/>
        <w:jc w:val="both"/>
      </w:pPr>
      <w:r>
        <w:rPr/>
        <w:t>报告期内，经中国证券监督管理委员会核准，于</w:t>
      </w:r>
      <w:r>
        <w:rPr>
          <w:spacing w:val="-50"/>
        </w:rPr>
        <w:t> </w:t>
      </w:r>
      <w:r>
        <w:rPr>
          <w:rFonts w:ascii="宋体" w:hAnsi="宋体" w:cs="宋体" w:eastAsia="宋体" w:hint="default"/>
        </w:rPr>
        <w:t>2017</w:t>
      </w:r>
      <w:r>
        <w:rPr>
          <w:rFonts w:ascii="宋体" w:hAnsi="宋体" w:cs="宋体" w:eastAsia="宋体" w:hint="default"/>
          <w:spacing w:val="-50"/>
        </w:rPr>
        <w:t> </w:t>
      </w:r>
      <w:r>
        <w:rPr/>
        <w:t>年</w:t>
      </w:r>
      <w:r>
        <w:rPr>
          <w:spacing w:val="-53"/>
        </w:rPr>
        <w:t> </w:t>
      </w:r>
      <w:r>
        <w:rPr>
          <w:rFonts w:ascii="宋体" w:hAnsi="宋体" w:cs="宋体" w:eastAsia="宋体" w:hint="default"/>
        </w:rPr>
        <w:t>8</w:t>
      </w:r>
      <w:r>
        <w:rPr>
          <w:rFonts w:ascii="宋体" w:hAnsi="宋体" w:cs="宋体" w:eastAsia="宋体" w:hint="default"/>
          <w:spacing w:val="-53"/>
        </w:rPr>
        <w:t> </w:t>
      </w:r>
      <w:r>
        <w:rPr/>
        <w:t>月</w:t>
      </w:r>
      <w:r>
        <w:rPr>
          <w:spacing w:val="-50"/>
        </w:rPr>
        <w:t> </w:t>
      </w:r>
      <w:r>
        <w:rPr>
          <w:rFonts w:ascii="宋体" w:hAnsi="宋体" w:cs="宋体" w:eastAsia="宋体" w:hint="default"/>
        </w:rPr>
        <w:t>24</w:t>
      </w:r>
      <w:r>
        <w:rPr>
          <w:rFonts w:ascii="宋体" w:hAnsi="宋体" w:cs="宋体" w:eastAsia="宋体" w:hint="default"/>
          <w:spacing w:val="-53"/>
        </w:rPr>
        <w:t> </w:t>
      </w:r>
      <w:r>
        <w:rPr/>
        <w:t>日向公司出具了《关于核准</w:t>
      </w:r>
      <w:r>
        <w:rPr>
          <w:w w:val="100"/>
        </w:rPr>
        <w:t> </w:t>
      </w:r>
      <w:r>
        <w:rPr>
          <w:spacing w:val="-2"/>
        </w:rPr>
        <w:t>恒银金融科技股份有限公司首次公开发行股票的批复》（证监许可</w:t>
      </w:r>
      <w:r>
        <w:rPr>
          <w:rFonts w:ascii="宋体" w:hAnsi="宋体" w:cs="宋体" w:eastAsia="宋体" w:hint="default"/>
          <w:spacing w:val="-2"/>
        </w:rPr>
        <w:t>[2017]1563</w:t>
      </w:r>
      <w:r>
        <w:rPr>
          <w:rFonts w:ascii="宋体" w:hAnsi="宋体" w:cs="宋体" w:eastAsia="宋体" w:hint="default"/>
        </w:rPr>
        <w:t> </w:t>
      </w:r>
      <w:r>
        <w:rPr>
          <w:spacing w:val="-4"/>
        </w:rPr>
        <w:t>号），公司首次向</w:t>
      </w:r>
      <w:r>
        <w:rPr>
          <w:spacing w:val="-98"/>
        </w:rPr>
        <w:t> </w:t>
      </w:r>
      <w:r>
        <w:rPr>
          <w:spacing w:val="-98"/>
        </w:rPr>
      </w:r>
      <w:r>
        <w:rPr>
          <w:spacing w:val="-4"/>
        </w:rPr>
        <w:t>社会公开发行人民币普通股（</w:t>
      </w:r>
      <w:r>
        <w:rPr>
          <w:rFonts w:ascii="宋体" w:hAnsi="宋体" w:cs="宋体" w:eastAsia="宋体" w:hint="default"/>
          <w:spacing w:val="-4"/>
        </w:rPr>
        <w:t>A</w:t>
      </w:r>
      <w:r>
        <w:rPr>
          <w:rFonts w:ascii="宋体" w:hAnsi="宋体" w:cs="宋体" w:eastAsia="宋体" w:hint="default"/>
          <w:spacing w:val="-51"/>
        </w:rPr>
        <w:t> </w:t>
      </w:r>
      <w:r>
        <w:rPr>
          <w:spacing w:val="-5"/>
        </w:rPr>
        <w:t>股）</w:t>
      </w:r>
      <w:r>
        <w:rPr>
          <w:rFonts w:ascii="宋体" w:hAnsi="宋体" w:cs="宋体" w:eastAsia="宋体" w:hint="default"/>
          <w:spacing w:val="-5"/>
        </w:rPr>
        <w:t>7,000</w:t>
      </w:r>
      <w:r>
        <w:rPr>
          <w:rFonts w:ascii="宋体" w:hAnsi="宋体" w:cs="宋体" w:eastAsia="宋体" w:hint="default"/>
          <w:spacing w:val="-51"/>
        </w:rPr>
        <w:t> </w:t>
      </w:r>
      <w:r>
        <w:rPr>
          <w:spacing w:val="-8"/>
        </w:rPr>
        <w:t>万股，并于</w:t>
      </w:r>
      <w:r>
        <w:rPr>
          <w:spacing w:val="-47"/>
        </w:rPr>
        <w:t> </w:t>
      </w:r>
      <w:r>
        <w:rPr>
          <w:rFonts w:ascii="宋体" w:hAnsi="宋体" w:cs="宋体" w:eastAsia="宋体" w:hint="default"/>
        </w:rPr>
        <w:t>2017</w:t>
      </w:r>
      <w:r>
        <w:rPr>
          <w:rFonts w:ascii="宋体" w:hAnsi="宋体" w:cs="宋体" w:eastAsia="宋体" w:hint="default"/>
          <w:spacing w:val="-49"/>
        </w:rPr>
        <w:t> </w:t>
      </w:r>
      <w:r>
        <w:rPr/>
        <w:t>年</w:t>
      </w:r>
      <w:r>
        <w:rPr>
          <w:spacing w:val="-51"/>
        </w:rPr>
        <w:t> </w:t>
      </w:r>
      <w:r>
        <w:rPr>
          <w:rFonts w:ascii="宋体" w:hAnsi="宋体" w:cs="宋体" w:eastAsia="宋体" w:hint="default"/>
        </w:rPr>
        <w:t>9</w:t>
      </w:r>
      <w:r>
        <w:rPr>
          <w:rFonts w:ascii="宋体" w:hAnsi="宋体" w:cs="宋体" w:eastAsia="宋体" w:hint="default"/>
          <w:spacing w:val="-49"/>
        </w:rPr>
        <w:t> </w:t>
      </w:r>
      <w:r>
        <w:rPr/>
        <w:t>月</w:t>
      </w:r>
      <w:r>
        <w:rPr>
          <w:spacing w:val="-51"/>
        </w:rPr>
        <w:t> </w:t>
      </w:r>
      <w:r>
        <w:rPr>
          <w:rFonts w:ascii="宋体" w:hAnsi="宋体" w:cs="宋体" w:eastAsia="宋体" w:hint="default"/>
        </w:rPr>
        <w:t>20</w:t>
      </w:r>
      <w:r>
        <w:rPr>
          <w:rFonts w:ascii="宋体" w:hAnsi="宋体" w:cs="宋体" w:eastAsia="宋体" w:hint="default"/>
          <w:spacing w:val="-49"/>
        </w:rPr>
        <w:t> </w:t>
      </w:r>
      <w:r>
        <w:rPr/>
        <w:t>日在上海证券交易所挂牌上</w:t>
      </w:r>
    </w:p>
    <w:p>
      <w:pPr>
        <w:pStyle w:val="BodyText"/>
        <w:spacing w:line="240" w:lineRule="auto" w:before="32"/>
        <w:ind w:left="538" w:right="0"/>
        <w:jc w:val="left"/>
      </w:pPr>
      <w:r>
        <w:rPr/>
        <w:t>市。本次公开发行股票后，公司注册资本由 </w:t>
      </w:r>
      <w:r>
        <w:rPr>
          <w:rFonts w:ascii="宋体" w:hAnsi="宋体" w:cs="宋体" w:eastAsia="宋体" w:hint="default"/>
        </w:rPr>
        <w:t>21,000 </w:t>
      </w:r>
      <w:r>
        <w:rPr/>
        <w:t>万元增加至 </w:t>
      </w:r>
      <w:r>
        <w:rPr>
          <w:rFonts w:ascii="宋体" w:hAnsi="宋体" w:cs="宋体" w:eastAsia="宋体" w:hint="default"/>
        </w:rPr>
        <w:t>28,000</w:t>
      </w:r>
      <w:r>
        <w:rPr>
          <w:rFonts w:ascii="宋体" w:hAnsi="宋体" w:cs="宋体" w:eastAsia="宋体" w:hint="default"/>
          <w:spacing w:val="7"/>
        </w:rPr>
        <w:t> </w:t>
      </w:r>
      <w:r>
        <w:rPr/>
        <w:t>万元，公司股份总数由</w:t>
      </w:r>
    </w:p>
    <w:p>
      <w:pPr>
        <w:pStyle w:val="BodyText"/>
        <w:spacing w:line="240" w:lineRule="auto" w:before="133"/>
        <w:ind w:left="538" w:right="359"/>
        <w:jc w:val="left"/>
      </w:pPr>
      <w:r>
        <w:rPr>
          <w:rFonts w:ascii="宋体" w:hAnsi="宋体" w:cs="宋体" w:eastAsia="宋体" w:hint="default"/>
        </w:rPr>
        <w:t>21,000</w:t>
      </w:r>
      <w:r>
        <w:rPr>
          <w:rFonts w:ascii="宋体" w:hAnsi="宋体" w:cs="宋体" w:eastAsia="宋体" w:hint="default"/>
          <w:spacing w:val="-54"/>
        </w:rPr>
        <w:t> </w:t>
      </w:r>
      <w:r>
        <w:rPr/>
        <w:t>万股增加至</w:t>
      </w:r>
      <w:r>
        <w:rPr>
          <w:spacing w:val="-54"/>
        </w:rPr>
        <w:t> </w:t>
      </w:r>
      <w:r>
        <w:rPr>
          <w:rFonts w:ascii="宋体" w:hAnsi="宋体" w:cs="宋体" w:eastAsia="宋体" w:hint="default"/>
        </w:rPr>
        <w:t>28,000</w:t>
      </w:r>
      <w:r>
        <w:rPr>
          <w:rFonts w:ascii="宋体" w:hAnsi="宋体" w:cs="宋体" w:eastAsia="宋体" w:hint="default"/>
          <w:spacing w:val="-54"/>
        </w:rPr>
        <w:t> </w:t>
      </w:r>
      <w:r>
        <w:rPr/>
        <w:t>万股。</w:t>
      </w:r>
    </w:p>
    <w:p>
      <w:pPr>
        <w:spacing w:after="0" w:line="240" w:lineRule="auto"/>
        <w:jc w:val="left"/>
        <w:sectPr>
          <w:pgSz w:w="11910" w:h="16840"/>
          <w:pgMar w:header="880" w:footer="1195" w:top="1120" w:bottom="1380" w:left="1260" w:right="920"/>
        </w:sectPr>
      </w:pPr>
    </w:p>
    <w:p>
      <w:pPr>
        <w:spacing w:line="240" w:lineRule="auto" w:before="4"/>
        <w:rPr>
          <w:rFonts w:ascii="宋体" w:hAnsi="宋体" w:cs="宋体" w:eastAsia="宋体" w:hint="default"/>
          <w:sz w:val="25"/>
          <w:szCs w:val="25"/>
        </w:rPr>
      </w:pPr>
    </w:p>
    <w:p>
      <w:pPr>
        <w:pStyle w:val="Heading2"/>
        <w:spacing w:line="240" w:lineRule="auto" w:before="36"/>
        <w:ind w:right="227"/>
        <w:jc w:val="left"/>
        <w:rPr>
          <w:b w:val="0"/>
          <w:bCs w:val="0"/>
        </w:rPr>
      </w:pPr>
      <w:r>
        <w:rPr>
          <w:rFonts w:ascii="宋体" w:hAnsi="宋体" w:cs="宋体" w:eastAsia="宋体" w:hint="default"/>
        </w:rPr>
        <w:t>3</w:t>
      </w:r>
      <w:r>
        <w:rPr/>
        <w:t>、</w:t>
      </w:r>
      <w:r>
        <w:rPr>
          <w:spacing w:val="-6"/>
        </w:rPr>
        <w:t> </w:t>
      </w:r>
      <w:r>
        <w:rPr/>
        <w:t>普通股股份变动对最近一年和最近一期每股收益、每股净资产等财务指标的影响（如有）</w:t>
      </w:r>
      <w:r>
        <w:rPr>
          <w:b w:val="0"/>
          <w:bCs w:val="0"/>
        </w:rPr>
      </w:r>
    </w:p>
    <w:p>
      <w:pPr>
        <w:pStyle w:val="BodyText"/>
        <w:spacing w:line="273" w:lineRule="exact" w:before="58"/>
        <w:ind w:left="218" w:right="3084"/>
        <w:jc w:val="left"/>
      </w:pPr>
      <w:r>
        <w:rPr/>
        <w:t>√适用</w:t>
      </w:r>
      <w:r>
        <w:rPr>
          <w:spacing w:val="-1"/>
        </w:rPr>
        <w:t> </w:t>
      </w:r>
      <w:r>
        <w:rPr/>
        <w:t>□不适用</w:t>
      </w:r>
    </w:p>
    <w:p>
      <w:pPr>
        <w:pStyle w:val="BodyText"/>
        <w:spacing w:line="273" w:lineRule="exact"/>
        <w:ind w:left="638" w:right="0"/>
        <w:jc w:val="left"/>
      </w:pPr>
      <w:r>
        <w:rPr/>
        <w:t>报告期内，由于公司首次公开发行股份导致公司股本由</w:t>
      </w:r>
      <w:r>
        <w:rPr>
          <w:spacing w:val="-53"/>
        </w:rPr>
        <w:t> </w:t>
      </w:r>
      <w:r>
        <w:rPr>
          <w:rFonts w:ascii="宋体" w:hAnsi="宋体" w:cs="宋体" w:eastAsia="宋体" w:hint="default"/>
        </w:rPr>
        <w:t>21,000</w:t>
      </w:r>
      <w:r>
        <w:rPr>
          <w:rFonts w:ascii="宋体" w:hAnsi="宋体" w:cs="宋体" w:eastAsia="宋体" w:hint="default"/>
          <w:spacing w:val="-54"/>
        </w:rPr>
        <w:t> </w:t>
      </w:r>
      <w:r>
        <w:rPr/>
        <w:t>万股变更为</w:t>
      </w:r>
      <w:r>
        <w:rPr>
          <w:spacing w:val="-56"/>
        </w:rPr>
        <w:t> </w:t>
      </w:r>
      <w:r>
        <w:rPr>
          <w:rFonts w:ascii="宋体" w:hAnsi="宋体" w:cs="宋体" w:eastAsia="宋体" w:hint="default"/>
        </w:rPr>
        <w:t>28,000</w:t>
      </w:r>
      <w:r>
        <w:rPr>
          <w:rFonts w:ascii="宋体" w:hAnsi="宋体" w:cs="宋体" w:eastAsia="宋体" w:hint="default"/>
          <w:spacing w:val="-56"/>
        </w:rPr>
        <w:t> </w:t>
      </w:r>
      <w:r>
        <w:rPr/>
        <w:t>万股，如</w:t>
      </w:r>
    </w:p>
    <w:p>
      <w:pPr>
        <w:pStyle w:val="BodyText"/>
        <w:spacing w:line="240" w:lineRule="auto" w:before="135"/>
        <w:ind w:left="218" w:right="227"/>
        <w:jc w:val="left"/>
      </w:pPr>
      <w:r>
        <w:rPr/>
        <w:t>不考虑本次变更影响，</w:t>
      </w:r>
      <w:r>
        <w:rPr>
          <w:rFonts w:ascii="宋体" w:hAnsi="宋体" w:cs="宋体" w:eastAsia="宋体" w:hint="default"/>
        </w:rPr>
        <w:t>2017</w:t>
      </w:r>
      <w:r>
        <w:rPr>
          <w:rFonts w:ascii="宋体" w:hAnsi="宋体" w:cs="宋体" w:eastAsia="宋体" w:hint="default"/>
          <w:spacing w:val="-55"/>
        </w:rPr>
        <w:t> </w:t>
      </w:r>
      <w:r>
        <w:rPr/>
        <w:t>年度基本每股收益、每股净资产分别为</w:t>
      </w:r>
      <w:r>
        <w:rPr>
          <w:spacing w:val="-55"/>
        </w:rPr>
        <w:t> </w:t>
      </w:r>
      <w:r>
        <w:rPr>
          <w:rFonts w:ascii="宋体" w:hAnsi="宋体" w:cs="宋体" w:eastAsia="宋体" w:hint="default"/>
        </w:rPr>
        <w:t>0.71</w:t>
      </w:r>
      <w:r>
        <w:rPr>
          <w:rFonts w:ascii="宋体" w:hAnsi="宋体" w:cs="宋体" w:eastAsia="宋体" w:hint="default"/>
          <w:spacing w:val="-55"/>
        </w:rPr>
        <w:t> </w:t>
      </w:r>
      <w:r>
        <w:rPr/>
        <w:t>元</w:t>
      </w:r>
      <w:r>
        <w:rPr>
          <w:rFonts w:ascii="宋体" w:hAnsi="宋体" w:cs="宋体" w:eastAsia="宋体" w:hint="default"/>
        </w:rPr>
        <w:t>/</w:t>
      </w:r>
      <w:r>
        <w:rPr/>
        <w:t>股和</w:t>
      </w:r>
      <w:r>
        <w:rPr>
          <w:spacing w:val="-54"/>
        </w:rPr>
        <w:t> </w:t>
      </w:r>
      <w:r>
        <w:rPr>
          <w:rFonts w:ascii="宋体" w:hAnsi="宋体" w:cs="宋体" w:eastAsia="宋体" w:hint="default"/>
        </w:rPr>
        <w:t>7.54</w:t>
      </w:r>
      <w:r>
        <w:rPr>
          <w:rFonts w:ascii="宋体" w:hAnsi="宋体" w:cs="宋体" w:eastAsia="宋体" w:hint="default"/>
          <w:spacing w:val="-57"/>
        </w:rPr>
        <w:t> </w:t>
      </w:r>
      <w:r>
        <w:rPr/>
        <w:t>元</w:t>
      </w:r>
      <w:r>
        <w:rPr>
          <w:rFonts w:ascii="宋体" w:hAnsi="宋体" w:cs="宋体" w:eastAsia="宋体" w:hint="default"/>
        </w:rPr>
        <w:t>/</w:t>
      </w:r>
      <w:r>
        <w:rPr/>
        <w:t>股。</w:t>
      </w:r>
    </w:p>
    <w:p>
      <w:pPr>
        <w:spacing w:line="240" w:lineRule="auto" w:before="1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880" w:footer="1195" w:top="1120" w:bottom="1380" w:left="1580" w:right="1040"/>
        </w:sectPr>
      </w:pPr>
    </w:p>
    <w:p>
      <w:pPr>
        <w:pStyle w:val="Heading2"/>
        <w:spacing w:line="240" w:lineRule="auto" w:before="36"/>
        <w:ind w:right="-18"/>
        <w:jc w:val="left"/>
        <w:rPr>
          <w:b w:val="0"/>
          <w:bCs w:val="0"/>
        </w:rPr>
      </w:pPr>
      <w:r>
        <w:rPr>
          <w:rFonts w:ascii="宋体" w:hAnsi="宋体" w:cs="宋体" w:eastAsia="宋体" w:hint="default"/>
        </w:rPr>
        <w:t>4</w:t>
      </w:r>
      <w:r>
        <w:rPr/>
        <w:t>、</w:t>
      </w:r>
      <w:r>
        <w:rPr>
          <w:spacing w:val="-4"/>
        </w:rPr>
        <w:t> </w:t>
      </w:r>
      <w:r>
        <w:rPr/>
        <w:t>公司认为必要或证券监管机构要求披露的其他内容</w:t>
      </w:r>
      <w:r>
        <w:rPr>
          <w:b w:val="0"/>
          <w:bCs w:val="0"/>
        </w:rPr>
      </w:r>
    </w:p>
    <w:p>
      <w:pPr>
        <w:pStyle w:val="BodyText"/>
        <w:spacing w:line="240" w:lineRule="auto" w:before="56"/>
        <w:ind w:left="218" w:right="-18"/>
        <w:jc w:val="left"/>
      </w:pPr>
      <w:r>
        <w:rPr/>
        <w:t>□适用</w:t>
      </w:r>
      <w:r>
        <w:rPr>
          <w:spacing w:val="-1"/>
        </w:rPr>
        <w:t> </w:t>
      </w:r>
      <w:r>
        <w:rPr/>
        <w:t>√不适用</w:t>
      </w:r>
    </w:p>
    <w:p>
      <w:pPr>
        <w:pStyle w:val="Heading2"/>
        <w:tabs>
          <w:tab w:pos="784" w:val="left" w:leader="none"/>
        </w:tabs>
        <w:spacing w:line="240" w:lineRule="auto" w:before="58"/>
        <w:ind w:right="-18"/>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29"/>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18" w:right="0"/>
        <w:jc w:val="left"/>
      </w:pPr>
      <w:r>
        <w:rPr/>
        <w:t>单位</w:t>
      </w:r>
      <w:r>
        <w:rPr>
          <w:rFonts w:ascii="宋体" w:hAnsi="宋体" w:cs="宋体" w:eastAsia="宋体" w:hint="default"/>
        </w:rPr>
        <w:t>:</w:t>
      </w:r>
      <w:r>
        <w:rPr>
          <w:rFonts w:ascii="宋体" w:hAnsi="宋体" w:cs="宋体" w:eastAsia="宋体" w:hint="default"/>
          <w:spacing w:val="2"/>
        </w:rPr>
        <w:t> </w:t>
      </w:r>
      <w:r>
        <w:rPr/>
        <w:t>股</w:t>
      </w:r>
    </w:p>
    <w:p>
      <w:pPr>
        <w:spacing w:after="0" w:line="240" w:lineRule="auto"/>
        <w:jc w:val="left"/>
        <w:sectPr>
          <w:type w:val="continuous"/>
          <w:pgSz w:w="11910" w:h="16840"/>
          <w:pgMar w:top="1120" w:bottom="1380" w:left="1580" w:right="1040"/>
          <w:cols w:num="2" w:equalWidth="0">
            <w:col w:w="5278" w:space="2716"/>
            <w:col w:w="129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67"/>
        <w:gridCol w:w="1373"/>
        <w:gridCol w:w="1258"/>
        <w:gridCol w:w="1260"/>
        <w:gridCol w:w="1370"/>
        <w:gridCol w:w="1261"/>
        <w:gridCol w:w="1260"/>
      </w:tblGrid>
      <w:tr>
        <w:trPr>
          <w:trHeight w:val="55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08"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年初限售股</w:t>
            </w:r>
          </w:p>
          <w:p>
            <w:pPr>
              <w:pStyle w:val="TableParagraph"/>
              <w:spacing w:line="27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数</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1" w:right="0"/>
              <w:jc w:val="left"/>
              <w:rPr>
                <w:rFonts w:ascii="宋体" w:hAnsi="宋体" w:cs="宋体" w:eastAsia="宋体" w:hint="default"/>
                <w:sz w:val="21"/>
                <w:szCs w:val="21"/>
              </w:rPr>
            </w:pPr>
            <w:r>
              <w:rPr>
                <w:rFonts w:ascii="宋体" w:hAnsi="宋体" w:cs="宋体" w:eastAsia="宋体" w:hint="default"/>
                <w:sz w:val="21"/>
                <w:szCs w:val="21"/>
              </w:rPr>
              <w:t>本年解除</w:t>
            </w:r>
          </w:p>
          <w:p>
            <w:pPr>
              <w:pStyle w:val="TableParagraph"/>
              <w:spacing w:line="275" w:lineRule="exact"/>
              <w:ind w:left="201"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75" w:lineRule="exact"/>
              <w:ind w:left="203"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年末限售股</w:t>
            </w:r>
          </w:p>
          <w:p>
            <w:pPr>
              <w:pStyle w:val="TableParagraph"/>
              <w:spacing w:line="27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数</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03"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解除限售</w:t>
            </w:r>
          </w:p>
          <w:p>
            <w:pPr>
              <w:pStyle w:val="TableParagraph"/>
              <w:spacing w:line="275" w:lineRule="exact"/>
              <w:ind w:left="2" w:right="0"/>
              <w:jc w:val="center"/>
              <w:rPr>
                <w:rFonts w:ascii="宋体" w:hAnsi="宋体" w:cs="宋体" w:eastAsia="宋体" w:hint="default"/>
                <w:sz w:val="21"/>
                <w:szCs w:val="21"/>
              </w:rPr>
            </w:pPr>
            <w:r>
              <w:rPr>
                <w:rFonts w:ascii="宋体" w:hAnsi="宋体" w:cs="宋体" w:eastAsia="宋体" w:hint="default"/>
                <w:sz w:val="21"/>
                <w:szCs w:val="21"/>
              </w:rPr>
              <w:t>日期</w:t>
            </w:r>
          </w:p>
        </w:tc>
      </w:tr>
      <w:tr>
        <w:trPr>
          <w:trHeight w:val="828"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恒融投资集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130,000,000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130,000,000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9"/>
                <w:sz w:val="21"/>
                <w:szCs w:val="21"/>
              </w:rPr>
              <w:t>首发限售</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3"/>
                <w:sz w:val="21"/>
                <w:szCs w:val="21"/>
              </w:rPr>
              <w:t>股，限售期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36</w:t>
            </w:r>
            <w:r>
              <w:rPr>
                <w:rFonts w:ascii="宋体" w:hAnsi="宋体" w:cs="宋体" w:eastAsia="宋体" w:hint="default"/>
                <w:spacing w:val="3"/>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9</w:t>
            </w:r>
            <w:r>
              <w:rPr>
                <w:rFonts w:ascii="宋体" w:hAnsi="宋体" w:cs="宋体" w:eastAsia="宋体" w:hint="default"/>
                <w:spacing w:val="-73"/>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51"/>
                <w:sz w:val="21"/>
                <w:szCs w:val="21"/>
              </w:rPr>
              <w:t> </w:t>
            </w:r>
            <w:r>
              <w:rPr>
                <w:rFonts w:ascii="宋体" w:hAnsi="宋体" w:cs="宋体" w:eastAsia="宋体" w:hint="default"/>
                <w:sz w:val="21"/>
                <w:szCs w:val="21"/>
              </w:rPr>
              <w:t>日</w:t>
            </w:r>
          </w:p>
        </w:tc>
      </w:tr>
      <w:tr>
        <w:trPr>
          <w:trHeight w:val="826"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王淑琴</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31,500,000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31,500,000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9"/>
                <w:sz w:val="21"/>
                <w:szCs w:val="21"/>
              </w:rPr>
              <w:t>首发限售</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3"/>
                <w:sz w:val="21"/>
                <w:szCs w:val="21"/>
              </w:rPr>
              <w:t>股，限售期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36</w:t>
            </w:r>
            <w:r>
              <w:rPr>
                <w:rFonts w:ascii="宋体" w:hAnsi="宋体" w:cs="宋体" w:eastAsia="宋体" w:hint="default"/>
                <w:spacing w:val="-50"/>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9</w:t>
            </w:r>
            <w:r>
              <w:rPr>
                <w:rFonts w:ascii="宋体" w:hAnsi="宋体" w:cs="宋体" w:eastAsia="宋体" w:hint="default"/>
                <w:spacing w:val="-73"/>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51"/>
                <w:sz w:val="21"/>
                <w:szCs w:val="21"/>
              </w:rPr>
              <w:t> </w:t>
            </w:r>
            <w:r>
              <w:rPr>
                <w:rFonts w:ascii="宋体" w:hAnsi="宋体" w:cs="宋体" w:eastAsia="宋体" w:hint="default"/>
                <w:sz w:val="21"/>
                <w:szCs w:val="21"/>
              </w:rPr>
              <w:t>日</w:t>
            </w:r>
          </w:p>
        </w:tc>
      </w:tr>
      <w:tr>
        <w:trPr>
          <w:trHeight w:val="110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珠海融恒股</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权投资合伙</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企业（有限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合伙）</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sz w:val="21"/>
              </w:rPr>
              <w:t>10,000,000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10,000,000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9"/>
                <w:sz w:val="21"/>
                <w:szCs w:val="21"/>
              </w:rPr>
              <w:t>首发限售</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3"/>
                <w:sz w:val="21"/>
                <w:szCs w:val="21"/>
              </w:rPr>
              <w:t>股，限售期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9</w:t>
            </w:r>
            <w:r>
              <w:rPr>
                <w:rFonts w:ascii="宋体" w:hAnsi="宋体" w:cs="宋体" w:eastAsia="宋体" w:hint="default"/>
                <w:spacing w:val="-73"/>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1"/>
                <w:sz w:val="21"/>
                <w:szCs w:val="21"/>
              </w:rPr>
              <w:t> </w:t>
            </w:r>
            <w:r>
              <w:rPr>
                <w:rFonts w:ascii="宋体" w:hAnsi="宋体" w:cs="宋体" w:eastAsia="宋体" w:hint="default"/>
                <w:sz w:val="21"/>
                <w:szCs w:val="21"/>
              </w:rPr>
              <w:t>日</w:t>
            </w:r>
          </w:p>
        </w:tc>
      </w:tr>
      <w:tr>
        <w:trPr>
          <w:trHeight w:val="826"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青岛金石灏</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汭投资有限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center"/>
              <w:rPr>
                <w:rFonts w:ascii="宋体" w:hAnsi="宋体" w:cs="宋体" w:eastAsia="宋体" w:hint="default"/>
                <w:sz w:val="21"/>
                <w:szCs w:val="21"/>
              </w:rPr>
            </w:pPr>
            <w:r>
              <w:rPr>
                <w:rFonts w:ascii="宋体"/>
                <w:sz w:val="21"/>
              </w:rPr>
              <w:t>8,000,000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8,000,000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9"/>
                <w:sz w:val="21"/>
                <w:szCs w:val="21"/>
              </w:rPr>
              <w:t>首发限售</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3"/>
                <w:sz w:val="21"/>
                <w:szCs w:val="21"/>
              </w:rPr>
              <w:t>股，限售期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9</w:t>
            </w:r>
            <w:r>
              <w:rPr>
                <w:rFonts w:ascii="宋体" w:hAnsi="宋体" w:cs="宋体" w:eastAsia="宋体" w:hint="default"/>
                <w:spacing w:val="-73"/>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1"/>
                <w:sz w:val="21"/>
                <w:szCs w:val="21"/>
              </w:rPr>
              <w:t> </w:t>
            </w:r>
            <w:r>
              <w:rPr>
                <w:rFonts w:ascii="宋体" w:hAnsi="宋体" w:cs="宋体" w:eastAsia="宋体" w:hint="default"/>
                <w:sz w:val="21"/>
                <w:szCs w:val="21"/>
              </w:rPr>
              <w:t>日</w:t>
            </w:r>
          </w:p>
        </w:tc>
      </w:tr>
      <w:tr>
        <w:trPr>
          <w:trHeight w:val="828"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深圳市创新</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投资集团有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center"/>
              <w:rPr>
                <w:rFonts w:ascii="宋体" w:hAnsi="宋体" w:cs="宋体" w:eastAsia="宋体" w:hint="default"/>
                <w:sz w:val="21"/>
                <w:szCs w:val="21"/>
              </w:rPr>
            </w:pPr>
            <w:r>
              <w:rPr>
                <w:rFonts w:ascii="宋体"/>
                <w:sz w:val="21"/>
              </w:rPr>
              <w:t>7,000,000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7,000,000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9"/>
                <w:sz w:val="21"/>
                <w:szCs w:val="21"/>
              </w:rPr>
              <w:t>首发限售</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3"/>
                <w:sz w:val="21"/>
                <w:szCs w:val="21"/>
              </w:rPr>
              <w:t>股，限售期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9</w:t>
            </w:r>
            <w:r>
              <w:rPr>
                <w:rFonts w:ascii="宋体" w:hAnsi="宋体" w:cs="宋体" w:eastAsia="宋体" w:hint="default"/>
                <w:spacing w:val="-73"/>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1"/>
                <w:sz w:val="21"/>
                <w:szCs w:val="21"/>
              </w:rPr>
              <w:t> </w:t>
            </w:r>
            <w:r>
              <w:rPr>
                <w:rFonts w:ascii="宋体" w:hAnsi="宋体" w:cs="宋体" w:eastAsia="宋体" w:hint="default"/>
                <w:sz w:val="21"/>
                <w:szCs w:val="21"/>
              </w:rPr>
              <w:t>日</w:t>
            </w:r>
          </w:p>
        </w:tc>
      </w:tr>
      <w:tr>
        <w:trPr>
          <w:trHeight w:val="1099"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浙江海宁嘉</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慧投资合伙</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企业（有限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合伙）</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center"/>
              <w:rPr>
                <w:rFonts w:ascii="宋体" w:hAnsi="宋体" w:cs="宋体" w:eastAsia="宋体" w:hint="default"/>
                <w:sz w:val="21"/>
                <w:szCs w:val="21"/>
              </w:rPr>
            </w:pPr>
            <w:r>
              <w:rPr>
                <w:rFonts w:ascii="宋体"/>
                <w:sz w:val="21"/>
              </w:rPr>
              <w:t>4,000,000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4,000,000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9"/>
                <w:sz w:val="21"/>
                <w:szCs w:val="21"/>
              </w:rPr>
              <w:t>首发限售</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3"/>
                <w:sz w:val="21"/>
                <w:szCs w:val="21"/>
              </w:rPr>
              <w:t>股，限售期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9</w:t>
            </w:r>
            <w:r>
              <w:rPr>
                <w:rFonts w:ascii="宋体" w:hAnsi="宋体" w:cs="宋体" w:eastAsia="宋体" w:hint="default"/>
                <w:spacing w:val="-73"/>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1"/>
                <w:sz w:val="21"/>
                <w:szCs w:val="21"/>
              </w:rPr>
              <w:t> </w:t>
            </w:r>
            <w:r>
              <w:rPr>
                <w:rFonts w:ascii="宋体" w:hAnsi="宋体" w:cs="宋体" w:eastAsia="宋体" w:hint="default"/>
                <w:sz w:val="21"/>
                <w:szCs w:val="21"/>
              </w:rPr>
              <w:t>日</w:t>
            </w:r>
          </w:p>
        </w:tc>
      </w:tr>
      <w:tr>
        <w:trPr>
          <w:trHeight w:val="826"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天津颐润投</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资管理有限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center"/>
              <w:rPr>
                <w:rFonts w:ascii="宋体" w:hAnsi="宋体" w:cs="宋体" w:eastAsia="宋体" w:hint="default"/>
                <w:sz w:val="21"/>
                <w:szCs w:val="21"/>
              </w:rPr>
            </w:pPr>
            <w:r>
              <w:rPr>
                <w:rFonts w:ascii="宋体"/>
                <w:sz w:val="21"/>
              </w:rPr>
              <w:t>3,950,000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3,950,000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9"/>
                <w:sz w:val="21"/>
                <w:szCs w:val="21"/>
              </w:rPr>
              <w:t>首发限售</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3"/>
                <w:sz w:val="21"/>
                <w:szCs w:val="21"/>
              </w:rPr>
              <w:t>股，限售期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9</w:t>
            </w:r>
            <w:r>
              <w:rPr>
                <w:rFonts w:ascii="宋体" w:hAnsi="宋体" w:cs="宋体" w:eastAsia="宋体" w:hint="default"/>
                <w:spacing w:val="-73"/>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1"/>
                <w:sz w:val="21"/>
                <w:szCs w:val="21"/>
              </w:rPr>
              <w:t> </w:t>
            </w:r>
            <w:r>
              <w:rPr>
                <w:rFonts w:ascii="宋体" w:hAnsi="宋体" w:cs="宋体" w:eastAsia="宋体" w:hint="default"/>
                <w:sz w:val="21"/>
                <w:szCs w:val="21"/>
              </w:rPr>
              <w:t>日</w:t>
            </w:r>
          </w:p>
        </w:tc>
      </w:tr>
      <w:tr>
        <w:trPr>
          <w:trHeight w:val="828"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肖平</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3" w:right="0"/>
              <w:jc w:val="center"/>
              <w:rPr>
                <w:rFonts w:ascii="宋体" w:hAnsi="宋体" w:cs="宋体" w:eastAsia="宋体" w:hint="default"/>
                <w:sz w:val="21"/>
                <w:szCs w:val="21"/>
              </w:rPr>
            </w:pPr>
            <w:r>
              <w:rPr>
                <w:rFonts w:ascii="宋体"/>
                <w:sz w:val="21"/>
              </w:rPr>
              <w:t>3,000,000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3,000,000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9"/>
                <w:sz w:val="21"/>
                <w:szCs w:val="21"/>
              </w:rPr>
              <w:t>首发限售</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3"/>
                <w:sz w:val="21"/>
                <w:szCs w:val="21"/>
              </w:rPr>
              <w:t>股，限售期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9</w:t>
            </w:r>
            <w:r>
              <w:rPr>
                <w:rFonts w:ascii="宋体" w:hAnsi="宋体" w:cs="宋体" w:eastAsia="宋体" w:hint="default"/>
                <w:spacing w:val="-73"/>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1"/>
                <w:sz w:val="21"/>
                <w:szCs w:val="21"/>
              </w:rPr>
              <w:t> </w:t>
            </w:r>
            <w:r>
              <w:rPr>
                <w:rFonts w:ascii="宋体" w:hAnsi="宋体" w:cs="宋体" w:eastAsia="宋体" w:hint="default"/>
                <w:sz w:val="21"/>
                <w:szCs w:val="21"/>
              </w:rPr>
              <w:t>日</w:t>
            </w:r>
          </w:p>
        </w:tc>
      </w:tr>
      <w:tr>
        <w:trPr>
          <w:trHeight w:val="828"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薛晓忠</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center"/>
              <w:rPr>
                <w:rFonts w:ascii="宋体" w:hAnsi="宋体" w:cs="宋体" w:eastAsia="宋体" w:hint="default"/>
                <w:sz w:val="21"/>
                <w:szCs w:val="21"/>
              </w:rPr>
            </w:pPr>
            <w:r>
              <w:rPr>
                <w:rFonts w:ascii="宋体"/>
                <w:sz w:val="21"/>
              </w:rPr>
              <w:t>2,000,000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9"/>
                <w:sz w:val="21"/>
                <w:szCs w:val="21"/>
              </w:rPr>
              <w:t>首发限售</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3"/>
                <w:sz w:val="21"/>
                <w:szCs w:val="21"/>
              </w:rPr>
              <w:t>股，限售期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9</w:t>
            </w:r>
            <w:r>
              <w:rPr>
                <w:rFonts w:ascii="宋体" w:hAnsi="宋体" w:cs="宋体" w:eastAsia="宋体" w:hint="default"/>
                <w:spacing w:val="-73"/>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1"/>
                <w:sz w:val="21"/>
                <w:szCs w:val="21"/>
              </w:rPr>
              <w:t> </w:t>
            </w:r>
            <w:r>
              <w:rPr>
                <w:rFonts w:ascii="宋体" w:hAnsi="宋体" w:cs="宋体" w:eastAsia="宋体" w:hint="default"/>
                <w:sz w:val="21"/>
                <w:szCs w:val="21"/>
              </w:rPr>
              <w:t>日</w:t>
            </w:r>
          </w:p>
        </w:tc>
      </w:tr>
      <w:tr>
        <w:trPr>
          <w:trHeight w:val="826"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吴龙云</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center"/>
              <w:rPr>
                <w:rFonts w:ascii="宋体" w:hAnsi="宋体" w:cs="宋体" w:eastAsia="宋体" w:hint="default"/>
                <w:sz w:val="21"/>
                <w:szCs w:val="21"/>
              </w:rPr>
            </w:pPr>
            <w:r>
              <w:rPr>
                <w:rFonts w:ascii="宋体"/>
                <w:sz w:val="21"/>
              </w:rPr>
              <w:t>1,600,000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1,600,000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9"/>
                <w:sz w:val="21"/>
                <w:szCs w:val="21"/>
              </w:rPr>
              <w:t>首发限售</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3"/>
                <w:sz w:val="21"/>
                <w:szCs w:val="21"/>
              </w:rPr>
              <w:t>股，限售期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9</w:t>
            </w:r>
            <w:r>
              <w:rPr>
                <w:rFonts w:ascii="宋体" w:hAnsi="宋体" w:cs="宋体" w:eastAsia="宋体" w:hint="default"/>
                <w:spacing w:val="-73"/>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1"/>
                <w:sz w:val="21"/>
                <w:szCs w:val="21"/>
              </w:rPr>
              <w:t> </w:t>
            </w:r>
            <w:r>
              <w:rPr>
                <w:rFonts w:ascii="宋体" w:hAnsi="宋体" w:cs="宋体" w:eastAsia="宋体" w:hint="default"/>
                <w:sz w:val="21"/>
                <w:szCs w:val="21"/>
              </w:rPr>
              <w:t>日</w:t>
            </w:r>
          </w:p>
        </w:tc>
      </w:tr>
      <w:tr>
        <w:trPr>
          <w:trHeight w:val="828"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王亚君</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center"/>
              <w:rPr>
                <w:rFonts w:ascii="宋体" w:hAnsi="宋体" w:cs="宋体" w:eastAsia="宋体" w:hint="default"/>
                <w:sz w:val="21"/>
                <w:szCs w:val="21"/>
              </w:rPr>
            </w:pPr>
            <w:r>
              <w:rPr>
                <w:rFonts w:ascii="宋体"/>
                <w:sz w:val="21"/>
              </w:rPr>
              <w:t>1,000,000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9"/>
                <w:sz w:val="21"/>
                <w:szCs w:val="21"/>
              </w:rPr>
              <w:t>首发限售</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3"/>
                <w:sz w:val="21"/>
                <w:szCs w:val="21"/>
              </w:rPr>
              <w:t>股，限售期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9</w:t>
            </w:r>
            <w:r>
              <w:rPr>
                <w:rFonts w:ascii="宋体" w:hAnsi="宋体" w:cs="宋体" w:eastAsia="宋体" w:hint="default"/>
                <w:spacing w:val="-73"/>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1"/>
                <w:sz w:val="21"/>
                <w:szCs w:val="21"/>
              </w:rPr>
              <w:t> </w:t>
            </w:r>
            <w:r>
              <w:rPr>
                <w:rFonts w:ascii="宋体" w:hAnsi="宋体" w:cs="宋体" w:eastAsia="宋体" w:hint="default"/>
                <w:sz w:val="21"/>
                <w:szCs w:val="21"/>
              </w:rPr>
              <w:t>日</w:t>
            </w:r>
          </w:p>
        </w:tc>
      </w:tr>
      <w:tr>
        <w:trPr>
          <w:trHeight w:val="554"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王伟</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center"/>
              <w:rPr>
                <w:rFonts w:ascii="宋体" w:hAnsi="宋体" w:cs="宋体" w:eastAsia="宋体" w:hint="default"/>
                <w:sz w:val="21"/>
                <w:szCs w:val="21"/>
              </w:rPr>
            </w:pPr>
            <w:r>
              <w:rPr>
                <w:rFonts w:ascii="宋体"/>
                <w:sz w:val="21"/>
              </w:rPr>
              <w:t>1,000,000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9"/>
                <w:sz w:val="21"/>
                <w:szCs w:val="21"/>
              </w:rPr>
              <w:t>首发限售</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股，限售期</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9</w:t>
            </w:r>
            <w:r>
              <w:rPr>
                <w:rFonts w:ascii="宋体" w:hAnsi="宋体" w:cs="宋体" w:eastAsia="宋体" w:hint="default"/>
                <w:spacing w:val="-73"/>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1"/>
                <w:sz w:val="21"/>
                <w:szCs w:val="21"/>
              </w:rPr>
              <w:t> </w:t>
            </w:r>
            <w:r>
              <w:rPr>
                <w:rFonts w:ascii="宋体" w:hAnsi="宋体" w:cs="宋体" w:eastAsia="宋体" w:hint="default"/>
                <w:sz w:val="21"/>
                <w:szCs w:val="21"/>
              </w:rPr>
              <w:t>日</w:t>
            </w:r>
          </w:p>
        </w:tc>
      </w:tr>
    </w:tbl>
    <w:p>
      <w:pPr>
        <w:spacing w:after="0" w:line="273"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267"/>
        <w:gridCol w:w="1373"/>
        <w:gridCol w:w="1258"/>
        <w:gridCol w:w="1260"/>
        <w:gridCol w:w="1370"/>
        <w:gridCol w:w="1261"/>
        <w:gridCol w:w="1260"/>
      </w:tblGrid>
      <w:tr>
        <w:trPr>
          <w:trHeight w:val="284" w:hRule="exact"/>
        </w:trPr>
        <w:tc>
          <w:tcPr>
            <w:tcW w:w="1267"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赵再兴</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9"/>
                <w:sz w:val="21"/>
                <w:szCs w:val="21"/>
              </w:rPr>
              <w:t>首发限售</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3"/>
                <w:sz w:val="21"/>
                <w:szCs w:val="21"/>
              </w:rPr>
              <w:t>股，限售期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9</w:t>
            </w:r>
            <w:r>
              <w:rPr>
                <w:rFonts w:ascii="宋体" w:hAnsi="宋体" w:cs="宋体" w:eastAsia="宋体" w:hint="default"/>
                <w:spacing w:val="-73"/>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1"/>
                <w:sz w:val="21"/>
                <w:szCs w:val="21"/>
              </w:rPr>
              <w:t> </w:t>
            </w:r>
            <w:r>
              <w:rPr>
                <w:rFonts w:ascii="宋体" w:hAnsi="宋体" w:cs="宋体" w:eastAsia="宋体" w:hint="default"/>
                <w:sz w:val="21"/>
                <w:szCs w:val="21"/>
              </w:rPr>
              <w:t>日</w:t>
            </w:r>
          </w:p>
        </w:tc>
      </w:tr>
      <w:tr>
        <w:trPr>
          <w:trHeight w:val="826"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张云峰</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9"/>
                <w:sz w:val="21"/>
                <w:szCs w:val="21"/>
              </w:rPr>
              <w:t>首发限售</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3"/>
                <w:sz w:val="21"/>
                <w:szCs w:val="21"/>
              </w:rPr>
              <w:t>股，限售期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9</w:t>
            </w:r>
            <w:r>
              <w:rPr>
                <w:rFonts w:ascii="宋体" w:hAnsi="宋体" w:cs="宋体" w:eastAsia="宋体" w:hint="default"/>
                <w:spacing w:val="-73"/>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1"/>
                <w:sz w:val="21"/>
                <w:szCs w:val="21"/>
              </w:rPr>
              <w:t> </w:t>
            </w:r>
            <w:r>
              <w:rPr>
                <w:rFonts w:ascii="宋体" w:hAnsi="宋体" w:cs="宋体" w:eastAsia="宋体" w:hint="default"/>
                <w:sz w:val="21"/>
                <w:szCs w:val="21"/>
              </w:rPr>
              <w:t>日</w:t>
            </w:r>
          </w:p>
        </w:tc>
      </w:tr>
      <w:tr>
        <w:trPr>
          <w:trHeight w:val="828"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方先锋</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9"/>
                <w:sz w:val="21"/>
                <w:szCs w:val="21"/>
              </w:rPr>
              <w:t>首发限售</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3"/>
                <w:sz w:val="21"/>
                <w:szCs w:val="21"/>
              </w:rPr>
              <w:t>股，限售期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9</w:t>
            </w:r>
            <w:r>
              <w:rPr>
                <w:rFonts w:ascii="宋体" w:hAnsi="宋体" w:cs="宋体" w:eastAsia="宋体" w:hint="default"/>
                <w:spacing w:val="-73"/>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1"/>
                <w:sz w:val="21"/>
                <w:szCs w:val="21"/>
              </w:rPr>
              <w:t> </w:t>
            </w:r>
            <w:r>
              <w:rPr>
                <w:rFonts w:ascii="宋体" w:hAnsi="宋体" w:cs="宋体" w:eastAsia="宋体" w:hint="default"/>
                <w:sz w:val="21"/>
                <w:szCs w:val="21"/>
              </w:rPr>
              <w:t>日</w:t>
            </w:r>
          </w:p>
        </w:tc>
      </w:tr>
      <w:tr>
        <w:trPr>
          <w:trHeight w:val="826"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张伟峰</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9"/>
                <w:sz w:val="21"/>
                <w:szCs w:val="21"/>
              </w:rPr>
              <w:t>首发限售</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3"/>
                <w:sz w:val="21"/>
                <w:szCs w:val="21"/>
              </w:rPr>
              <w:t>股，限售期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9</w:t>
            </w:r>
            <w:r>
              <w:rPr>
                <w:rFonts w:ascii="宋体" w:hAnsi="宋体" w:cs="宋体" w:eastAsia="宋体" w:hint="default"/>
                <w:spacing w:val="-73"/>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1"/>
                <w:sz w:val="21"/>
                <w:szCs w:val="21"/>
              </w:rPr>
              <w:t> </w:t>
            </w:r>
            <w:r>
              <w:rPr>
                <w:rFonts w:ascii="宋体" w:hAnsi="宋体" w:cs="宋体" w:eastAsia="宋体" w:hint="default"/>
                <w:sz w:val="21"/>
                <w:szCs w:val="21"/>
              </w:rPr>
              <w:t>日</w:t>
            </w:r>
          </w:p>
        </w:tc>
      </w:tr>
      <w:tr>
        <w:trPr>
          <w:trHeight w:val="828"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黄艺明</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950,000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950,000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9"/>
                <w:sz w:val="21"/>
                <w:szCs w:val="21"/>
              </w:rPr>
              <w:t>首发限售</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3"/>
                <w:sz w:val="21"/>
                <w:szCs w:val="21"/>
              </w:rPr>
              <w:t>股，限售期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9</w:t>
            </w:r>
            <w:r>
              <w:rPr>
                <w:rFonts w:ascii="宋体" w:hAnsi="宋体" w:cs="宋体" w:eastAsia="宋体" w:hint="default"/>
                <w:spacing w:val="-73"/>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1"/>
                <w:sz w:val="21"/>
                <w:szCs w:val="21"/>
              </w:rPr>
              <w:t> </w:t>
            </w:r>
            <w:r>
              <w:rPr>
                <w:rFonts w:ascii="宋体" w:hAnsi="宋体" w:cs="宋体" w:eastAsia="宋体" w:hint="default"/>
                <w:sz w:val="21"/>
                <w:szCs w:val="21"/>
              </w:rPr>
              <w:t>日</w:t>
            </w:r>
          </w:p>
        </w:tc>
      </w:tr>
      <w:tr>
        <w:trPr>
          <w:trHeight w:val="828"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周芳宇</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600,000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600,000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9"/>
                <w:sz w:val="21"/>
                <w:szCs w:val="21"/>
              </w:rPr>
              <w:t>首发限售</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3"/>
                <w:sz w:val="21"/>
                <w:szCs w:val="21"/>
              </w:rPr>
              <w:t>股，限售期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9</w:t>
            </w:r>
            <w:r>
              <w:rPr>
                <w:rFonts w:ascii="宋体" w:hAnsi="宋体" w:cs="宋体" w:eastAsia="宋体" w:hint="default"/>
                <w:spacing w:val="-73"/>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1"/>
                <w:sz w:val="21"/>
                <w:szCs w:val="21"/>
              </w:rPr>
              <w:t> </w:t>
            </w:r>
            <w:r>
              <w:rPr>
                <w:rFonts w:ascii="宋体" w:hAnsi="宋体" w:cs="宋体" w:eastAsia="宋体" w:hint="default"/>
                <w:sz w:val="21"/>
                <w:szCs w:val="21"/>
              </w:rPr>
              <w:t>日</w:t>
            </w:r>
          </w:p>
        </w:tc>
      </w:tr>
      <w:tr>
        <w:trPr>
          <w:trHeight w:val="826"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秦威</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500,000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9"/>
                <w:sz w:val="21"/>
                <w:szCs w:val="21"/>
              </w:rPr>
              <w:t>首发限售</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3"/>
                <w:sz w:val="21"/>
                <w:szCs w:val="21"/>
              </w:rPr>
              <w:t>股，限售期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9</w:t>
            </w:r>
            <w:r>
              <w:rPr>
                <w:rFonts w:ascii="宋体" w:hAnsi="宋体" w:cs="宋体" w:eastAsia="宋体" w:hint="default"/>
                <w:spacing w:val="-73"/>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1"/>
                <w:sz w:val="21"/>
                <w:szCs w:val="21"/>
              </w:rPr>
              <w:t> </w:t>
            </w:r>
            <w:r>
              <w:rPr>
                <w:rFonts w:ascii="宋体" w:hAnsi="宋体" w:cs="宋体" w:eastAsia="宋体" w:hint="default"/>
                <w:sz w:val="21"/>
                <w:szCs w:val="21"/>
              </w:rPr>
              <w:t>日</w:t>
            </w:r>
          </w:p>
        </w:tc>
      </w:tr>
      <w:tr>
        <w:trPr>
          <w:trHeight w:val="828"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蒋晗</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300,000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9"/>
                <w:sz w:val="21"/>
                <w:szCs w:val="21"/>
              </w:rPr>
              <w:t>首发限售</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3"/>
                <w:sz w:val="21"/>
                <w:szCs w:val="21"/>
              </w:rPr>
              <w:t>股，限售期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9</w:t>
            </w:r>
            <w:r>
              <w:rPr>
                <w:rFonts w:ascii="宋体" w:hAnsi="宋体" w:cs="宋体" w:eastAsia="宋体" w:hint="default"/>
                <w:spacing w:val="-73"/>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1"/>
                <w:sz w:val="21"/>
                <w:szCs w:val="21"/>
              </w:rPr>
              <w:t> </w:t>
            </w:r>
            <w:r>
              <w:rPr>
                <w:rFonts w:ascii="宋体" w:hAnsi="宋体" w:cs="宋体" w:eastAsia="宋体" w:hint="default"/>
                <w:sz w:val="21"/>
                <w:szCs w:val="21"/>
              </w:rPr>
              <w:t>日</w:t>
            </w:r>
          </w:p>
        </w:tc>
      </w:tr>
      <w:tr>
        <w:trPr>
          <w:trHeight w:val="826"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叶超邦</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300,000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9"/>
                <w:sz w:val="21"/>
                <w:szCs w:val="21"/>
              </w:rPr>
              <w:t>首发限售</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3"/>
                <w:sz w:val="21"/>
                <w:szCs w:val="21"/>
              </w:rPr>
              <w:t>股，限售期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9</w:t>
            </w:r>
            <w:r>
              <w:rPr>
                <w:rFonts w:ascii="宋体" w:hAnsi="宋体" w:cs="宋体" w:eastAsia="宋体" w:hint="default"/>
                <w:spacing w:val="-73"/>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1"/>
                <w:sz w:val="21"/>
                <w:szCs w:val="21"/>
              </w:rPr>
              <w:t> </w:t>
            </w:r>
            <w:r>
              <w:rPr>
                <w:rFonts w:ascii="宋体" w:hAnsi="宋体" w:cs="宋体" w:eastAsia="宋体" w:hint="default"/>
                <w:sz w:val="21"/>
                <w:szCs w:val="21"/>
              </w:rPr>
              <w:t>日</w:t>
            </w:r>
          </w:p>
        </w:tc>
      </w:tr>
      <w:tr>
        <w:trPr>
          <w:trHeight w:val="828"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吴文丹</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300,000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300,000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9"/>
                <w:sz w:val="21"/>
                <w:szCs w:val="21"/>
              </w:rPr>
              <w:t>首发限售</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3"/>
                <w:sz w:val="21"/>
                <w:szCs w:val="21"/>
              </w:rPr>
              <w:t>股，限售期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9</w:t>
            </w:r>
            <w:r>
              <w:rPr>
                <w:rFonts w:ascii="宋体" w:hAnsi="宋体" w:cs="宋体" w:eastAsia="宋体" w:hint="default"/>
                <w:spacing w:val="-73"/>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1"/>
                <w:sz w:val="21"/>
                <w:szCs w:val="21"/>
              </w:rPr>
              <w:t> </w:t>
            </w:r>
            <w:r>
              <w:rPr>
                <w:rFonts w:ascii="宋体" w:hAnsi="宋体" w:cs="宋体" w:eastAsia="宋体" w:hint="default"/>
                <w:sz w:val="21"/>
                <w:szCs w:val="21"/>
              </w:rPr>
              <w:t>日</w:t>
            </w:r>
          </w:p>
        </w:tc>
      </w:tr>
      <w:tr>
        <w:trPr>
          <w:trHeight w:val="283"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210,000,000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210,000,000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0" w:footer="1195" w:top="1120" w:bottom="1380" w:left="1580" w:right="920"/>
        </w:sectPr>
      </w:pPr>
    </w:p>
    <w:p>
      <w:pPr>
        <w:pStyle w:val="Heading2"/>
        <w:spacing w:line="290" w:lineRule="auto" w:before="36"/>
        <w:ind w:right="-3"/>
        <w:jc w:val="left"/>
        <w:rPr>
          <w:b w:val="0"/>
          <w:bCs w:val="0"/>
        </w:rPr>
      </w:pPr>
      <w:r>
        <w:rPr/>
        <w:t>二、</w:t>
      </w:r>
      <w:r>
        <w:rPr>
          <w:spacing w:val="-78"/>
        </w:rPr>
        <w:t> </w:t>
      </w:r>
      <w:r>
        <w:rPr/>
        <w:t>证券发行与上市情况</w:t>
      </w:r>
      <w:r>
        <w:rPr>
          <w:spacing w:val="-102"/>
        </w:rPr>
        <w:t> </w:t>
      </w:r>
      <w:r>
        <w:rPr>
          <w:spacing w:val="-102"/>
        </w:rPr>
      </w:r>
      <w:r>
        <w:rPr>
          <w:rFonts w:ascii="宋体" w:hAnsi="宋体" w:cs="宋体" w:eastAsia="宋体" w:hint="default"/>
          <w:spacing w:val="-1"/>
        </w:rPr>
        <w:t>(</w:t>
      </w:r>
      <w:r>
        <w:rPr>
          <w:spacing w:val="-1"/>
        </w:rPr>
        <w:t>一</w:t>
      </w:r>
      <w:r>
        <w:rPr>
          <w:rFonts w:ascii="宋体" w:hAnsi="宋体" w:cs="宋体" w:eastAsia="宋体" w:hint="default"/>
          <w:spacing w:val="-1"/>
        </w:rPr>
        <w:t>)</w:t>
      </w:r>
      <w:r>
        <w:rPr>
          <w:spacing w:val="-1"/>
        </w:rPr>
        <w:t>截至报告期内证券发行情况</w:t>
      </w:r>
      <w:r>
        <w:rPr>
          <w:b w:val="0"/>
          <w:bCs w:val="0"/>
          <w:spacing w:val="-1"/>
        </w:rPr>
      </w:r>
    </w:p>
    <w:p>
      <w:pPr>
        <w:pStyle w:val="BodyText"/>
        <w:spacing w:line="240" w:lineRule="auto" w:before="12"/>
        <w:ind w:left="218" w:right="-3"/>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单位：股</w:t>
        <w:tab/>
      </w:r>
      <w:r>
        <w:rPr>
          <w:spacing w:val="-2"/>
        </w:rPr>
        <w:t>币种：人民币</w:t>
      </w:r>
    </w:p>
    <w:p>
      <w:pPr>
        <w:spacing w:after="0" w:line="240" w:lineRule="auto"/>
        <w:jc w:val="left"/>
        <w:sectPr>
          <w:type w:val="continuous"/>
          <w:pgSz w:w="11910" w:h="16840"/>
          <w:pgMar w:top="1120" w:bottom="1380" w:left="1580" w:right="920"/>
          <w:cols w:num="2" w:equalWidth="0">
            <w:col w:w="3173" w:space="3349"/>
            <w:col w:w="288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68"/>
        <w:gridCol w:w="1395"/>
        <w:gridCol w:w="1217"/>
        <w:gridCol w:w="1359"/>
        <w:gridCol w:w="1274"/>
        <w:gridCol w:w="1277"/>
        <w:gridCol w:w="991"/>
      </w:tblGrid>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股票及其衍生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证券的种类</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1"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（或利率）</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发行数量</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8"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获准上市交</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易数量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hAnsi="宋体" w:cs="宋体" w:eastAsia="宋体" w:hint="default"/>
                <w:sz w:val="21"/>
                <w:szCs w:val="21"/>
              </w:rPr>
              <w:t>交易终</w:t>
            </w:r>
          </w:p>
          <w:p>
            <w:pPr>
              <w:pStyle w:val="TableParagraph"/>
              <w:spacing w:line="274" w:lineRule="exact"/>
              <w:ind w:left="172" w:right="0"/>
              <w:jc w:val="left"/>
              <w:rPr>
                <w:rFonts w:ascii="宋体" w:hAnsi="宋体" w:cs="宋体" w:eastAsia="宋体" w:hint="default"/>
                <w:sz w:val="21"/>
                <w:szCs w:val="21"/>
              </w:rPr>
            </w:pPr>
            <w:r>
              <w:rPr>
                <w:rFonts w:ascii="宋体" w:hAnsi="宋体" w:cs="宋体" w:eastAsia="宋体" w:hint="default"/>
                <w:sz w:val="21"/>
                <w:szCs w:val="21"/>
              </w:rPr>
              <w:t>止日期</w:t>
            </w:r>
          </w:p>
        </w:tc>
      </w:tr>
      <w:tr>
        <w:trPr>
          <w:trHeight w:val="283" w:hRule="exact"/>
        </w:trPr>
        <w:tc>
          <w:tcPr>
            <w:tcW w:w="918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普通股股票类</w:t>
            </w: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首</w:t>
            </w:r>
            <w:r>
              <w:rPr>
                <w:rFonts w:ascii="宋体" w:hAnsi="宋体" w:cs="宋体" w:eastAsia="宋体" w:hint="default"/>
                <w:spacing w:val="-57"/>
                <w:sz w:val="21"/>
                <w:szCs w:val="21"/>
              </w:rPr>
              <w:t> </w:t>
            </w:r>
            <w:r>
              <w:rPr>
                <w:rFonts w:ascii="宋体" w:hAnsi="宋体" w:cs="宋体" w:eastAsia="宋体" w:hint="default"/>
                <w:sz w:val="21"/>
                <w:szCs w:val="21"/>
              </w:rPr>
              <w:t>次</w:t>
            </w:r>
            <w:r>
              <w:rPr>
                <w:rFonts w:ascii="宋体" w:hAnsi="宋体" w:cs="宋体" w:eastAsia="宋体" w:hint="default"/>
                <w:spacing w:val="-57"/>
                <w:sz w:val="21"/>
                <w:szCs w:val="21"/>
              </w:rPr>
              <w:t> </w:t>
            </w:r>
            <w:r>
              <w:rPr>
                <w:rFonts w:ascii="宋体" w:hAnsi="宋体" w:cs="宋体" w:eastAsia="宋体" w:hint="default"/>
                <w:sz w:val="21"/>
                <w:szCs w:val="21"/>
              </w:rPr>
              <w:t>公</w:t>
            </w:r>
            <w:r>
              <w:rPr>
                <w:rFonts w:ascii="宋体" w:hAnsi="宋体" w:cs="宋体" w:eastAsia="宋体" w:hint="default"/>
                <w:spacing w:val="-59"/>
                <w:sz w:val="21"/>
                <w:szCs w:val="21"/>
              </w:rPr>
              <w:t> </w:t>
            </w:r>
            <w:r>
              <w:rPr>
                <w:rFonts w:ascii="宋体" w:hAnsi="宋体" w:cs="宋体" w:eastAsia="宋体" w:hint="default"/>
                <w:sz w:val="21"/>
                <w:szCs w:val="21"/>
              </w:rPr>
              <w:t>开</w:t>
            </w:r>
            <w:r>
              <w:rPr>
                <w:rFonts w:ascii="宋体" w:hAnsi="宋体" w:cs="宋体" w:eastAsia="宋体" w:hint="default"/>
                <w:spacing w:val="-57"/>
                <w:sz w:val="21"/>
                <w:szCs w:val="21"/>
              </w:rPr>
              <w:t> </w:t>
            </w:r>
            <w:r>
              <w:rPr>
                <w:rFonts w:ascii="宋体" w:hAnsi="宋体" w:cs="宋体" w:eastAsia="宋体" w:hint="default"/>
                <w:sz w:val="21"/>
                <w:szCs w:val="21"/>
              </w:rPr>
              <w:t>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行股票</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0" w:right="0"/>
              <w:jc w:val="left"/>
              <w:rPr>
                <w:rFonts w:ascii="宋体" w:hAnsi="宋体" w:cs="宋体" w:eastAsia="宋体" w:hint="default"/>
                <w:sz w:val="21"/>
                <w:szCs w:val="21"/>
              </w:rPr>
            </w:pPr>
            <w:r>
              <w:rPr>
                <w:rFonts w:ascii="宋体"/>
                <w:sz w:val="21"/>
              </w:rPr>
              <w:t>10.75</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70,000,000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9</w:t>
            </w:r>
            <w:r>
              <w:rPr>
                <w:rFonts w:ascii="宋体" w:hAnsi="宋体" w:cs="宋体" w:eastAsia="宋体" w:hint="default"/>
                <w:spacing w:val="-68"/>
                <w:sz w:val="21"/>
                <w:szCs w:val="21"/>
              </w:rPr>
              <w:t> </w:t>
            </w:r>
            <w:r>
              <w:rPr>
                <w:rFonts w:ascii="宋体" w:hAnsi="宋体" w:cs="宋体" w:eastAsia="宋体" w:hint="default"/>
                <w:sz w:val="21"/>
                <w:szCs w:val="21"/>
              </w:rPr>
              <w:t>月</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left"/>
              <w:rPr>
                <w:rFonts w:ascii="宋体" w:hAnsi="宋体" w:cs="宋体" w:eastAsia="宋体" w:hint="default"/>
                <w:sz w:val="21"/>
                <w:szCs w:val="21"/>
              </w:rPr>
            </w:pPr>
            <w:r>
              <w:rPr>
                <w:rFonts w:ascii="宋体"/>
                <w:sz w:val="21"/>
              </w:rPr>
              <w:t>70,000,000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center"/>
              <w:rPr>
                <w:rFonts w:ascii="宋体" w:hAnsi="宋体" w:cs="宋体" w:eastAsia="宋体" w:hint="default"/>
                <w:sz w:val="21"/>
                <w:szCs w:val="21"/>
              </w:rPr>
            </w:pPr>
            <w:r>
              <w:rPr>
                <w:rFonts w:ascii="宋体"/>
                <w:w w:val="100"/>
                <w:sz w:val="21"/>
              </w:rPr>
              <w:t>/</w:t>
            </w:r>
          </w:p>
        </w:tc>
      </w:tr>
    </w:tbl>
    <w:p>
      <w:pPr>
        <w:spacing w:line="240" w:lineRule="auto" w:before="7"/>
        <w:rPr>
          <w:rFonts w:ascii="宋体" w:hAnsi="宋体" w:cs="宋体" w:eastAsia="宋体" w:hint="default"/>
          <w:sz w:val="15"/>
          <w:szCs w:val="15"/>
        </w:rPr>
      </w:pPr>
    </w:p>
    <w:p>
      <w:pPr>
        <w:pStyle w:val="BodyText"/>
        <w:spacing w:line="273" w:lineRule="exact" w:before="36"/>
        <w:ind w:left="218" w:right="0"/>
        <w:jc w:val="left"/>
      </w:pPr>
      <w:r>
        <w:rPr/>
        <w:t>截至报告期内证券发行情况的说明（存续期内利率不同的债券，请分别说明）：</w:t>
      </w:r>
    </w:p>
    <w:p>
      <w:pPr>
        <w:pStyle w:val="BodyText"/>
        <w:spacing w:line="273" w:lineRule="exact"/>
        <w:ind w:left="218" w:right="0"/>
        <w:jc w:val="left"/>
      </w:pPr>
      <w:r>
        <w:rPr/>
        <w:t>√适用</w:t>
      </w:r>
      <w:r>
        <w:rPr>
          <w:spacing w:val="-1"/>
        </w:rPr>
        <w:t> </w:t>
      </w:r>
      <w:r>
        <w:rPr/>
        <w:t>□不适用</w:t>
      </w:r>
    </w:p>
    <w:p>
      <w:pPr>
        <w:pStyle w:val="BodyText"/>
        <w:spacing w:line="355" w:lineRule="auto"/>
        <w:ind w:left="218" w:right="0" w:firstLine="419"/>
        <w:jc w:val="left"/>
      </w:pPr>
      <w:r>
        <w:rPr/>
        <w:t>根据公司</w:t>
      </w:r>
      <w:r>
        <w:rPr>
          <w:spacing w:val="-47"/>
        </w:rPr>
        <w:t> </w:t>
      </w:r>
      <w:r>
        <w:rPr>
          <w:rFonts w:ascii="宋体" w:hAnsi="宋体" w:cs="宋体" w:eastAsia="宋体" w:hint="default"/>
        </w:rPr>
        <w:t>2016</w:t>
      </w:r>
      <w:r>
        <w:rPr>
          <w:rFonts w:ascii="宋体" w:hAnsi="宋体" w:cs="宋体" w:eastAsia="宋体" w:hint="default"/>
          <w:spacing w:val="-50"/>
        </w:rPr>
        <w:t> </w:t>
      </w:r>
      <w:r>
        <w:rPr/>
        <w:t>年</w:t>
      </w:r>
      <w:r>
        <w:rPr>
          <w:spacing w:val="-46"/>
        </w:rPr>
        <w:t> </w:t>
      </w:r>
      <w:r>
        <w:rPr>
          <w:rFonts w:ascii="宋体" w:hAnsi="宋体" w:cs="宋体" w:eastAsia="宋体" w:hint="default"/>
        </w:rPr>
        <w:t>3</w:t>
      </w:r>
      <w:r>
        <w:rPr>
          <w:rFonts w:ascii="宋体" w:hAnsi="宋体" w:cs="宋体" w:eastAsia="宋体" w:hint="default"/>
          <w:spacing w:val="-50"/>
        </w:rPr>
        <w:t> </w:t>
      </w:r>
      <w:r>
        <w:rPr/>
        <w:t>月</w:t>
      </w:r>
      <w:r>
        <w:rPr>
          <w:spacing w:val="-47"/>
        </w:rPr>
        <w:t> </w:t>
      </w:r>
      <w:r>
        <w:rPr>
          <w:rFonts w:ascii="宋体" w:hAnsi="宋体" w:cs="宋体" w:eastAsia="宋体" w:hint="default"/>
        </w:rPr>
        <w:t>2</w:t>
      </w:r>
      <w:r>
        <w:rPr>
          <w:rFonts w:ascii="宋体" w:hAnsi="宋体" w:cs="宋体" w:eastAsia="宋体" w:hint="default"/>
          <w:spacing w:val="-50"/>
        </w:rPr>
        <w:t> </w:t>
      </w:r>
      <w:r>
        <w:rPr/>
        <w:t>日召开的</w:t>
      </w:r>
      <w:r>
        <w:rPr>
          <w:spacing w:val="9"/>
        </w:rPr>
        <w:t> </w:t>
      </w:r>
      <w:r>
        <w:rPr>
          <w:rFonts w:ascii="宋体" w:hAnsi="宋体" w:cs="宋体" w:eastAsia="宋体" w:hint="default"/>
        </w:rPr>
        <w:t>2016</w:t>
      </w:r>
      <w:r>
        <w:rPr>
          <w:rFonts w:ascii="宋体" w:hAnsi="宋体" w:cs="宋体" w:eastAsia="宋体" w:hint="default"/>
          <w:spacing w:val="-47"/>
        </w:rPr>
        <w:t> </w:t>
      </w:r>
      <w:r>
        <w:rPr>
          <w:spacing w:val="-4"/>
        </w:rPr>
        <w:t>年第一次临时股东大会审议通过的发行方案，以及中</w:t>
      </w:r>
      <w:r>
        <w:rPr>
          <w:w w:val="100"/>
        </w:rPr>
        <w:t> </w:t>
      </w:r>
      <w:r>
        <w:rPr>
          <w:spacing w:val="-1"/>
        </w:rPr>
        <w:t>国证券监督管理委员会《关于核准恒银金融科技股份有限公司首次公开发行股票的批复》（证监</w:t>
      </w:r>
    </w:p>
    <w:p>
      <w:pPr>
        <w:spacing w:after="0" w:line="355" w:lineRule="auto"/>
        <w:jc w:val="left"/>
        <w:sectPr>
          <w:type w:val="continuous"/>
          <w:pgSz w:w="11910" w:h="16840"/>
          <w:pgMar w:top="1120" w:bottom="1380" w:left="1580" w:right="920"/>
        </w:sectPr>
      </w:pPr>
    </w:p>
    <w:p>
      <w:pPr>
        <w:spacing w:line="240" w:lineRule="auto" w:before="4"/>
        <w:rPr>
          <w:rFonts w:ascii="宋体" w:hAnsi="宋体" w:cs="宋体" w:eastAsia="宋体" w:hint="default"/>
          <w:sz w:val="25"/>
          <w:szCs w:val="25"/>
        </w:rPr>
      </w:pPr>
    </w:p>
    <w:p>
      <w:pPr>
        <w:pStyle w:val="BodyText"/>
        <w:spacing w:line="357" w:lineRule="auto" w:before="36"/>
        <w:ind w:left="218" w:right="0"/>
        <w:jc w:val="left"/>
      </w:pPr>
      <w:r>
        <w:rPr/>
        <w:t>许可</w:t>
      </w:r>
      <w:r>
        <w:rPr>
          <w:rFonts w:ascii="宋体" w:hAnsi="宋体" w:cs="宋体" w:eastAsia="宋体" w:hint="default"/>
        </w:rPr>
        <w:t>[2017]1563</w:t>
      </w:r>
      <w:r>
        <w:rPr>
          <w:rFonts w:ascii="宋体" w:hAnsi="宋体" w:cs="宋体" w:eastAsia="宋体" w:hint="default"/>
          <w:spacing w:val="-34"/>
        </w:rPr>
        <w:t> </w:t>
      </w:r>
      <w:r>
        <w:rPr/>
        <w:t>号）核准，公司获准向社会公众公开发行人民币普通股（</w:t>
      </w:r>
      <w:r>
        <w:rPr>
          <w:rFonts w:ascii="宋体" w:hAnsi="宋体" w:cs="宋体" w:eastAsia="宋体" w:hint="default"/>
        </w:rPr>
        <w:t>A</w:t>
      </w:r>
      <w:r>
        <w:rPr>
          <w:rFonts w:ascii="宋体" w:hAnsi="宋体" w:cs="宋体" w:eastAsia="宋体" w:hint="default"/>
          <w:spacing w:val="-33"/>
        </w:rPr>
        <w:t> </w:t>
      </w:r>
      <w:r>
        <w:rPr/>
        <w:t>股）</w:t>
      </w:r>
      <w:r>
        <w:rPr>
          <w:rFonts w:ascii="宋体" w:hAnsi="宋体" w:cs="宋体" w:eastAsia="宋体" w:hint="default"/>
        </w:rPr>
        <w:t>7,000.00</w:t>
      </w:r>
      <w:r>
        <w:rPr>
          <w:rFonts w:ascii="宋体" w:hAnsi="宋体" w:cs="宋体" w:eastAsia="宋体" w:hint="default"/>
          <w:spacing w:val="-31"/>
        </w:rPr>
        <w:t> </w:t>
      </w:r>
      <w:r>
        <w:rPr>
          <w:spacing w:val="-3"/>
        </w:rPr>
        <w:t>万股，</w:t>
      </w:r>
      <w:r>
        <w:rPr>
          <w:spacing w:val="-3"/>
          <w:w w:val="100"/>
        </w:rPr>
        <w:t> </w:t>
      </w:r>
      <w:r>
        <w:rPr>
          <w:spacing w:val="-1"/>
          <w:w w:val="100"/>
        </w:rPr>
        <w:t>每股面值人民币</w:t>
      </w:r>
      <w:r>
        <w:rPr>
          <w:spacing w:val="-69"/>
          <w:w w:val="100"/>
        </w:rPr>
        <w:t> </w:t>
      </w:r>
      <w:r>
        <w:rPr>
          <w:rFonts w:ascii="宋体" w:hAnsi="宋体" w:cs="宋体" w:eastAsia="宋体" w:hint="default"/>
          <w:spacing w:val="-1"/>
          <w:w w:val="100"/>
        </w:rPr>
        <w:t>1.00</w:t>
      </w:r>
      <w:r>
        <w:rPr>
          <w:rFonts w:ascii="宋体" w:hAnsi="宋体" w:cs="宋体" w:eastAsia="宋体" w:hint="default"/>
          <w:spacing w:val="-69"/>
          <w:w w:val="100"/>
        </w:rPr>
        <w:t> </w:t>
      </w:r>
      <w:r>
        <w:rPr>
          <w:spacing w:val="-10"/>
          <w:w w:val="100"/>
        </w:rPr>
        <w:t>元，每股发行价格为人民币</w:t>
      </w:r>
      <w:r>
        <w:rPr>
          <w:spacing w:val="-71"/>
          <w:w w:val="100"/>
        </w:rPr>
        <w:t> </w:t>
      </w:r>
      <w:r>
        <w:rPr>
          <w:rFonts w:ascii="宋体" w:hAnsi="宋体" w:cs="宋体" w:eastAsia="宋体" w:hint="default"/>
          <w:spacing w:val="-1"/>
          <w:w w:val="100"/>
        </w:rPr>
        <w:t>10.75</w:t>
      </w:r>
      <w:r>
        <w:rPr>
          <w:rFonts w:ascii="宋体" w:hAnsi="宋体" w:cs="宋体" w:eastAsia="宋体" w:hint="default"/>
          <w:spacing w:val="-68"/>
          <w:w w:val="100"/>
        </w:rPr>
        <w:t> </w:t>
      </w:r>
      <w:r>
        <w:rPr>
          <w:spacing w:val="-11"/>
          <w:w w:val="100"/>
        </w:rPr>
        <w:t>元。募集资金总额人民币</w:t>
      </w:r>
      <w:r>
        <w:rPr>
          <w:spacing w:val="-68"/>
          <w:w w:val="100"/>
        </w:rPr>
        <w:t> </w:t>
      </w:r>
      <w:r>
        <w:rPr>
          <w:rFonts w:ascii="宋体" w:hAnsi="宋体" w:cs="宋体" w:eastAsia="宋体" w:hint="default"/>
          <w:spacing w:val="-1"/>
          <w:w w:val="100"/>
        </w:rPr>
        <w:t>75,250.00</w:t>
      </w:r>
      <w:r>
        <w:rPr>
          <w:rFonts w:ascii="宋体" w:hAnsi="宋体" w:cs="宋体" w:eastAsia="宋体" w:hint="default"/>
          <w:spacing w:val="-69"/>
          <w:w w:val="100"/>
        </w:rPr>
        <w:t> </w:t>
      </w:r>
      <w:r>
        <w:rPr>
          <w:spacing w:val="-1"/>
          <w:w w:val="100"/>
        </w:rPr>
        <w:t>万元，</w:t>
      </w:r>
    </w:p>
    <w:p>
      <w:pPr>
        <w:pStyle w:val="BodyText"/>
        <w:spacing w:line="240" w:lineRule="auto" w:before="30"/>
        <w:ind w:left="218" w:right="0"/>
        <w:jc w:val="left"/>
      </w:pPr>
      <w:r>
        <w:rPr/>
        <w:t>扣除保荐承销费用及发行费用后实际募集资金净额人民币  </w:t>
      </w:r>
      <w:r>
        <w:rPr>
          <w:rFonts w:ascii="宋体" w:hAnsi="宋体" w:cs="宋体" w:eastAsia="宋体" w:hint="default"/>
        </w:rPr>
        <w:t>70,113.87 </w:t>
      </w:r>
      <w:r>
        <w:rPr/>
        <w:t>万元。其中新增注册资本</w:t>
      </w:r>
    </w:p>
    <w:p>
      <w:pPr>
        <w:pStyle w:val="BodyText"/>
        <w:spacing w:line="240" w:lineRule="auto" w:before="133"/>
        <w:ind w:left="218" w:right="0"/>
        <w:jc w:val="left"/>
        <w:rPr>
          <w:rFonts w:ascii="宋体" w:hAnsi="宋体" w:cs="宋体" w:eastAsia="宋体" w:hint="default"/>
        </w:rPr>
      </w:pPr>
      <w:r>
        <w:rPr>
          <w:rFonts w:ascii="宋体" w:hAnsi="宋体" w:cs="宋体" w:eastAsia="宋体" w:hint="default"/>
          <w:w w:val="100"/>
        </w:rPr>
        <w:t>7,000</w:t>
      </w:r>
      <w:r>
        <w:rPr>
          <w:rFonts w:ascii="宋体" w:hAnsi="宋体" w:cs="宋体" w:eastAsia="宋体" w:hint="default"/>
          <w:spacing w:val="-3"/>
          <w:w w:val="100"/>
        </w:rPr>
        <w:t>.</w:t>
      </w:r>
      <w:r>
        <w:rPr>
          <w:rFonts w:ascii="宋体" w:hAnsi="宋体" w:cs="宋体" w:eastAsia="宋体" w:hint="default"/>
          <w:w w:val="100"/>
        </w:rPr>
        <w:t>00</w:t>
      </w:r>
      <w:r>
        <w:rPr>
          <w:rFonts w:ascii="宋体" w:hAnsi="宋体" w:cs="宋体" w:eastAsia="宋体" w:hint="default"/>
          <w:spacing w:val="-77"/>
        </w:rPr>
        <w:t> </w:t>
      </w:r>
      <w:r>
        <w:rPr>
          <w:spacing w:val="-3"/>
          <w:w w:val="100"/>
        </w:rPr>
        <w:t>万</w:t>
      </w:r>
      <w:r>
        <w:rPr>
          <w:w w:val="100"/>
        </w:rPr>
        <w:t>元</w:t>
      </w:r>
      <w:r>
        <w:rPr>
          <w:spacing w:val="-106"/>
          <w:w w:val="100"/>
        </w:rPr>
        <w:t>，</w:t>
      </w:r>
      <w:r>
        <w:rPr>
          <w:spacing w:val="-3"/>
          <w:w w:val="100"/>
        </w:rPr>
        <w:t>增</w:t>
      </w:r>
      <w:r>
        <w:rPr>
          <w:w w:val="100"/>
        </w:rPr>
        <w:t>加</w:t>
      </w:r>
      <w:r>
        <w:rPr>
          <w:spacing w:val="-3"/>
          <w:w w:val="100"/>
        </w:rPr>
        <w:t>资</w:t>
      </w:r>
      <w:r>
        <w:rPr>
          <w:w w:val="100"/>
        </w:rPr>
        <w:t>本</w:t>
      </w:r>
      <w:r>
        <w:rPr>
          <w:spacing w:val="-3"/>
          <w:w w:val="100"/>
        </w:rPr>
        <w:t>公</w:t>
      </w:r>
      <w:r>
        <w:rPr>
          <w:w w:val="100"/>
        </w:rPr>
        <w:t>积</w:t>
      </w:r>
      <w:r>
        <w:rPr/>
        <w:t> </w:t>
      </w:r>
      <w:r>
        <w:rPr>
          <w:rFonts w:ascii="宋体" w:hAnsi="宋体" w:cs="宋体" w:eastAsia="宋体" w:hint="default"/>
          <w:w w:val="100"/>
        </w:rPr>
        <w:t>63</w:t>
      </w:r>
      <w:r>
        <w:rPr>
          <w:rFonts w:ascii="宋体" w:hAnsi="宋体" w:cs="宋体" w:eastAsia="宋体" w:hint="default"/>
          <w:spacing w:val="-3"/>
          <w:w w:val="100"/>
        </w:rPr>
        <w:t>,</w:t>
      </w:r>
      <w:r>
        <w:rPr>
          <w:rFonts w:ascii="宋体" w:hAnsi="宋体" w:cs="宋体" w:eastAsia="宋体" w:hint="default"/>
          <w:w w:val="100"/>
        </w:rPr>
        <w:t>113</w:t>
      </w:r>
      <w:r>
        <w:rPr>
          <w:rFonts w:ascii="宋体" w:hAnsi="宋体" w:cs="宋体" w:eastAsia="宋体" w:hint="default"/>
          <w:spacing w:val="-3"/>
          <w:w w:val="100"/>
        </w:rPr>
        <w:t>.</w:t>
      </w:r>
      <w:r>
        <w:rPr>
          <w:rFonts w:ascii="宋体" w:hAnsi="宋体" w:cs="宋体" w:eastAsia="宋体" w:hint="default"/>
          <w:w w:val="100"/>
        </w:rPr>
        <w:t>87</w:t>
      </w:r>
      <w:r>
        <w:rPr>
          <w:rFonts w:ascii="宋体" w:hAnsi="宋体" w:cs="宋体" w:eastAsia="宋体" w:hint="default"/>
          <w:spacing w:val="-77"/>
        </w:rPr>
        <w:t> </w:t>
      </w:r>
      <w:r>
        <w:rPr>
          <w:spacing w:val="-3"/>
          <w:w w:val="100"/>
        </w:rPr>
        <w:t>万</w:t>
      </w:r>
      <w:r>
        <w:rPr>
          <w:w w:val="100"/>
        </w:rPr>
        <w:t>元</w:t>
      </w:r>
      <w:r>
        <w:rPr>
          <w:rFonts w:ascii="宋体" w:hAnsi="宋体" w:cs="宋体" w:eastAsia="宋体" w:hint="default"/>
          <w:w w:val="100"/>
        </w:rPr>
        <w:t>,</w:t>
      </w:r>
      <w:r>
        <w:rPr>
          <w:spacing w:val="-3"/>
          <w:w w:val="100"/>
        </w:rPr>
        <w:t>公</w:t>
      </w:r>
      <w:r>
        <w:rPr>
          <w:w w:val="100"/>
        </w:rPr>
        <w:t>司</w:t>
      </w:r>
      <w:r>
        <w:rPr>
          <w:spacing w:val="-3"/>
          <w:w w:val="100"/>
        </w:rPr>
        <w:t>注</w:t>
      </w:r>
      <w:r>
        <w:rPr>
          <w:w w:val="100"/>
        </w:rPr>
        <w:t>册资</w:t>
      </w:r>
      <w:r>
        <w:rPr>
          <w:spacing w:val="-3"/>
          <w:w w:val="100"/>
        </w:rPr>
        <w:t>本</w:t>
      </w:r>
      <w:r>
        <w:rPr>
          <w:w w:val="100"/>
        </w:rPr>
        <w:t>由</w:t>
      </w:r>
      <w:r>
        <w:rPr/>
        <w:t> </w:t>
      </w:r>
      <w:r>
        <w:rPr>
          <w:rFonts w:ascii="宋体" w:hAnsi="宋体" w:cs="宋体" w:eastAsia="宋体" w:hint="default"/>
          <w:spacing w:val="-3"/>
          <w:w w:val="100"/>
        </w:rPr>
        <w:t>2</w:t>
      </w:r>
      <w:r>
        <w:rPr>
          <w:rFonts w:ascii="宋体" w:hAnsi="宋体" w:cs="宋体" w:eastAsia="宋体" w:hint="default"/>
          <w:w w:val="100"/>
        </w:rPr>
        <w:t>1,0</w:t>
      </w:r>
      <w:r>
        <w:rPr>
          <w:rFonts w:ascii="宋体" w:hAnsi="宋体" w:cs="宋体" w:eastAsia="宋体" w:hint="default"/>
          <w:spacing w:val="-3"/>
          <w:w w:val="100"/>
        </w:rPr>
        <w:t>0</w:t>
      </w:r>
      <w:r>
        <w:rPr>
          <w:rFonts w:ascii="宋体" w:hAnsi="宋体" w:cs="宋体" w:eastAsia="宋体" w:hint="default"/>
          <w:spacing w:val="-1"/>
          <w:w w:val="100"/>
        </w:rPr>
        <w:t>0</w:t>
      </w:r>
      <w:r>
        <w:rPr>
          <w:rFonts w:ascii="宋体" w:hAnsi="宋体" w:cs="宋体" w:eastAsia="宋体" w:hint="default"/>
          <w:w w:val="100"/>
        </w:rPr>
        <w:t>.00</w:t>
      </w:r>
      <w:r>
        <w:rPr>
          <w:rFonts w:ascii="宋体" w:hAnsi="宋体" w:cs="宋体" w:eastAsia="宋体" w:hint="default"/>
          <w:spacing w:val="-79"/>
        </w:rPr>
        <w:t> </w:t>
      </w:r>
      <w:r>
        <w:rPr>
          <w:w w:val="100"/>
        </w:rPr>
        <w:t>万</w:t>
      </w:r>
      <w:r>
        <w:rPr>
          <w:spacing w:val="-3"/>
          <w:w w:val="100"/>
        </w:rPr>
        <w:t>元</w:t>
      </w:r>
      <w:r>
        <w:rPr>
          <w:w w:val="100"/>
        </w:rPr>
        <w:t>变更为</w:t>
      </w:r>
      <w:r>
        <w:rPr>
          <w:spacing w:val="-76"/>
        </w:rPr>
        <w:t> </w:t>
      </w:r>
      <w:r>
        <w:rPr>
          <w:rFonts w:ascii="宋体" w:hAnsi="宋体" w:cs="宋体" w:eastAsia="宋体" w:hint="default"/>
          <w:spacing w:val="-3"/>
          <w:w w:val="100"/>
        </w:rPr>
        <w:t>2</w:t>
      </w:r>
      <w:r>
        <w:rPr>
          <w:rFonts w:ascii="宋体" w:hAnsi="宋体" w:cs="宋体" w:eastAsia="宋体" w:hint="default"/>
          <w:w w:val="100"/>
        </w:rPr>
        <w:t>8,0</w:t>
      </w:r>
      <w:r>
        <w:rPr>
          <w:rFonts w:ascii="宋体" w:hAnsi="宋体" w:cs="宋体" w:eastAsia="宋体" w:hint="default"/>
          <w:spacing w:val="-3"/>
          <w:w w:val="100"/>
        </w:rPr>
        <w:t>0</w:t>
      </w:r>
      <w:r>
        <w:rPr>
          <w:rFonts w:ascii="宋体" w:hAnsi="宋体" w:cs="宋体" w:eastAsia="宋体" w:hint="default"/>
          <w:spacing w:val="-1"/>
          <w:w w:val="100"/>
        </w:rPr>
        <w:t>0</w:t>
      </w:r>
      <w:r>
        <w:rPr>
          <w:rFonts w:ascii="宋体" w:hAnsi="宋体" w:cs="宋体" w:eastAsia="宋体" w:hint="default"/>
          <w:w w:val="100"/>
        </w:rPr>
        <w:t>.</w:t>
      </w:r>
      <w:r>
        <w:rPr>
          <w:rFonts w:ascii="宋体" w:hAnsi="宋体" w:cs="宋体" w:eastAsia="宋体" w:hint="default"/>
          <w:spacing w:val="-3"/>
          <w:w w:val="100"/>
        </w:rPr>
        <w:t>0</w:t>
      </w:r>
      <w:r>
        <w:rPr>
          <w:rFonts w:ascii="宋体" w:hAnsi="宋体" w:cs="宋体" w:eastAsia="宋体" w:hint="default"/>
          <w:w w:val="100"/>
        </w:rPr>
        <w:t>0</w:t>
      </w:r>
    </w:p>
    <w:p>
      <w:pPr>
        <w:pStyle w:val="BodyText"/>
        <w:spacing w:line="240" w:lineRule="auto" w:before="133"/>
        <w:ind w:left="218" w:right="3084"/>
        <w:jc w:val="left"/>
      </w:pPr>
      <w:r>
        <w:rPr/>
        <w:t>万元，公司总股本由</w:t>
      </w:r>
      <w:r>
        <w:rPr>
          <w:spacing w:val="-55"/>
        </w:rPr>
        <w:t> </w:t>
      </w:r>
      <w:r>
        <w:rPr>
          <w:rFonts w:ascii="宋体" w:hAnsi="宋体" w:cs="宋体" w:eastAsia="宋体" w:hint="default"/>
        </w:rPr>
        <w:t>21,000.00</w:t>
      </w:r>
      <w:r>
        <w:rPr>
          <w:rFonts w:ascii="宋体" w:hAnsi="宋体" w:cs="宋体" w:eastAsia="宋体" w:hint="default"/>
          <w:spacing w:val="-57"/>
        </w:rPr>
        <w:t> </w:t>
      </w:r>
      <w:r>
        <w:rPr/>
        <w:t>万股变更为</w:t>
      </w:r>
      <w:r>
        <w:rPr>
          <w:spacing w:val="-55"/>
        </w:rPr>
        <w:t> </w:t>
      </w:r>
      <w:r>
        <w:rPr>
          <w:rFonts w:ascii="宋体" w:hAnsi="宋体" w:cs="宋体" w:eastAsia="宋体" w:hint="default"/>
        </w:rPr>
        <w:t>28,000.00</w:t>
      </w:r>
      <w:r>
        <w:rPr>
          <w:rFonts w:ascii="宋体" w:hAnsi="宋体" w:cs="宋体" w:eastAsia="宋体" w:hint="default"/>
          <w:spacing w:val="-55"/>
        </w:rPr>
        <w:t> </w:t>
      </w:r>
      <w:r>
        <w:rPr/>
        <w:t>万股。</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40" w:lineRule="auto"/>
        <w:ind w:right="227"/>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BodyText"/>
        <w:spacing w:line="274" w:lineRule="exact" w:before="56"/>
        <w:ind w:left="218" w:right="3084"/>
        <w:jc w:val="left"/>
      </w:pPr>
      <w:r>
        <w:rPr/>
        <w:t>√适用</w:t>
      </w:r>
      <w:r>
        <w:rPr>
          <w:spacing w:val="-1"/>
        </w:rPr>
        <w:t> </w:t>
      </w:r>
      <w:r>
        <w:rPr/>
        <w:t>□不适用</w:t>
      </w:r>
    </w:p>
    <w:p>
      <w:pPr>
        <w:pStyle w:val="BodyText"/>
        <w:spacing w:line="274" w:lineRule="exact"/>
        <w:ind w:left="0" w:right="180"/>
        <w:jc w:val="center"/>
      </w:pP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9</w:t>
      </w:r>
      <w:r>
        <w:rPr>
          <w:rFonts w:ascii="宋体" w:hAnsi="宋体" w:cs="宋体" w:eastAsia="宋体" w:hint="default"/>
          <w:spacing w:val="-56"/>
        </w:rPr>
        <w:t> </w:t>
      </w:r>
      <w:r>
        <w:rPr/>
        <w:t>月</w:t>
      </w:r>
      <w:r>
        <w:rPr>
          <w:spacing w:val="-54"/>
        </w:rPr>
        <w:t> </w:t>
      </w:r>
      <w:r>
        <w:rPr>
          <w:rFonts w:ascii="宋体" w:hAnsi="宋体" w:cs="宋体" w:eastAsia="宋体" w:hint="default"/>
        </w:rPr>
        <w:t>20</w:t>
      </w:r>
      <w:r>
        <w:rPr>
          <w:rFonts w:ascii="宋体" w:hAnsi="宋体" w:cs="宋体" w:eastAsia="宋体" w:hint="default"/>
          <w:spacing w:val="-56"/>
        </w:rPr>
        <w:t> </w:t>
      </w:r>
      <w:r>
        <w:rPr/>
        <w:t>日，公司首次公开发行股票</w:t>
      </w:r>
      <w:r>
        <w:rPr>
          <w:spacing w:val="-53"/>
        </w:rPr>
        <w:t> </w:t>
      </w:r>
      <w:r>
        <w:rPr>
          <w:rFonts w:ascii="宋体" w:hAnsi="宋体" w:cs="宋体" w:eastAsia="宋体" w:hint="default"/>
        </w:rPr>
        <w:t>7,000.00</w:t>
      </w:r>
      <w:r>
        <w:rPr>
          <w:rFonts w:ascii="宋体" w:hAnsi="宋体" w:cs="宋体" w:eastAsia="宋体" w:hint="default"/>
          <w:spacing w:val="-54"/>
        </w:rPr>
        <w:t> </w:t>
      </w:r>
      <w:r>
        <w:rPr/>
        <w:t>万股，发行完成后，公司股本变更为</w:t>
      </w:r>
    </w:p>
    <w:p>
      <w:pPr>
        <w:pStyle w:val="BodyText"/>
        <w:spacing w:line="240" w:lineRule="auto" w:before="133"/>
        <w:ind w:left="218" w:right="227"/>
        <w:jc w:val="left"/>
      </w:pPr>
      <w:r>
        <w:rPr>
          <w:rFonts w:ascii="宋体" w:hAnsi="宋体" w:cs="宋体" w:eastAsia="宋体" w:hint="default"/>
        </w:rPr>
        <w:t>28,000.00</w:t>
      </w:r>
      <w:r>
        <w:rPr>
          <w:rFonts w:ascii="宋体" w:hAnsi="宋体" w:cs="宋体" w:eastAsia="宋体" w:hint="default"/>
          <w:spacing w:val="-56"/>
        </w:rPr>
        <w:t> </w:t>
      </w:r>
      <w:r>
        <w:rPr/>
        <w:t>万股，募集资金净额</w:t>
      </w:r>
      <w:r>
        <w:rPr>
          <w:spacing w:val="-53"/>
        </w:rPr>
        <w:t> </w:t>
      </w:r>
      <w:r>
        <w:rPr>
          <w:rFonts w:ascii="宋体" w:hAnsi="宋体" w:cs="宋体" w:eastAsia="宋体" w:hint="default"/>
        </w:rPr>
        <w:t>70,113.87</w:t>
      </w:r>
      <w:r>
        <w:rPr>
          <w:rFonts w:ascii="宋体" w:hAnsi="宋体" w:cs="宋体" w:eastAsia="宋体" w:hint="default"/>
          <w:spacing w:val="-54"/>
        </w:rPr>
        <w:t> </w:t>
      </w:r>
      <w:r>
        <w:rPr/>
        <w:t>万元，公司资产相应增加。</w:t>
      </w:r>
    </w:p>
    <w:p>
      <w:pPr>
        <w:pStyle w:val="BodyText"/>
        <w:spacing w:line="240" w:lineRule="auto" w:before="133"/>
        <w:ind w:left="638" w:right="0"/>
        <w:jc w:val="left"/>
      </w:pPr>
      <w:r>
        <w:rPr>
          <w:rFonts w:ascii="宋体" w:hAnsi="宋体" w:cs="宋体" w:eastAsia="宋体" w:hint="default"/>
        </w:rPr>
        <w:t>2017</w:t>
      </w:r>
      <w:r>
        <w:rPr>
          <w:rFonts w:ascii="宋体" w:hAnsi="宋体" w:cs="宋体" w:eastAsia="宋体" w:hint="default"/>
          <w:spacing w:val="-49"/>
        </w:rPr>
        <w:t> </w:t>
      </w:r>
      <w:r>
        <w:rPr>
          <w:spacing w:val="-9"/>
        </w:rPr>
        <w:t>年度，公司资产总额</w:t>
      </w:r>
      <w:r>
        <w:rPr>
          <w:spacing w:val="-46"/>
        </w:rPr>
        <w:t> </w:t>
      </w:r>
      <w:r>
        <w:rPr>
          <w:rFonts w:ascii="宋体" w:hAnsi="宋体" w:cs="宋体" w:eastAsia="宋体" w:hint="default"/>
        </w:rPr>
        <w:t>233,271.31</w:t>
      </w:r>
      <w:r>
        <w:rPr>
          <w:rFonts w:ascii="宋体" w:hAnsi="宋体" w:cs="宋体" w:eastAsia="宋体" w:hint="default"/>
          <w:spacing w:val="-49"/>
        </w:rPr>
        <w:t> </w:t>
      </w:r>
      <w:r>
        <w:rPr>
          <w:spacing w:val="-11"/>
        </w:rPr>
        <w:t>万元，负债总额</w:t>
      </w:r>
      <w:r>
        <w:rPr>
          <w:spacing w:val="-49"/>
        </w:rPr>
        <w:t> </w:t>
      </w:r>
      <w:r>
        <w:rPr>
          <w:rFonts w:ascii="宋体" w:hAnsi="宋体" w:cs="宋体" w:eastAsia="宋体" w:hint="default"/>
        </w:rPr>
        <w:t>74,971.59</w:t>
      </w:r>
      <w:r>
        <w:rPr>
          <w:rFonts w:ascii="宋体" w:hAnsi="宋体" w:cs="宋体" w:eastAsia="宋体" w:hint="default"/>
          <w:spacing w:val="-49"/>
        </w:rPr>
        <w:t> </w:t>
      </w:r>
      <w:r>
        <w:rPr>
          <w:spacing w:val="-10"/>
        </w:rPr>
        <w:t>万元，资产负债率</w:t>
      </w:r>
      <w:r>
        <w:rPr>
          <w:spacing w:val="-46"/>
        </w:rPr>
        <w:t> </w:t>
      </w:r>
      <w:r>
        <w:rPr>
          <w:rFonts w:ascii="宋体" w:hAnsi="宋体" w:cs="宋体" w:eastAsia="宋体" w:hint="default"/>
        </w:rPr>
        <w:t>32.14%</w:t>
      </w:r>
      <w:r>
        <w:rPr/>
        <w:t>。</w:t>
      </w:r>
    </w:p>
    <w:p>
      <w:pPr>
        <w:pStyle w:val="BodyText"/>
        <w:spacing w:line="240" w:lineRule="auto" w:before="135"/>
        <w:ind w:left="218" w:right="227"/>
        <w:jc w:val="left"/>
      </w:pPr>
      <w:r>
        <w:rPr>
          <w:rFonts w:ascii="宋体" w:hAnsi="宋体" w:cs="宋体" w:eastAsia="宋体" w:hint="default"/>
        </w:rPr>
        <w:t>2016</w:t>
      </w:r>
      <w:r>
        <w:rPr>
          <w:rFonts w:ascii="宋体" w:hAnsi="宋体" w:cs="宋体" w:eastAsia="宋体" w:hint="default"/>
          <w:spacing w:val="-57"/>
        </w:rPr>
        <w:t> </w:t>
      </w:r>
      <w:r>
        <w:rPr/>
        <w:t>年度，公司资产总额</w:t>
      </w:r>
      <w:r>
        <w:rPr>
          <w:spacing w:val="-57"/>
        </w:rPr>
        <w:t> </w:t>
      </w:r>
      <w:r>
        <w:rPr>
          <w:rFonts w:ascii="宋体" w:hAnsi="宋体" w:cs="宋体" w:eastAsia="宋体" w:hint="default"/>
        </w:rPr>
        <w:t>185,295.76</w:t>
      </w:r>
      <w:r>
        <w:rPr>
          <w:rFonts w:ascii="宋体" w:hAnsi="宋体" w:cs="宋体" w:eastAsia="宋体" w:hint="default"/>
          <w:spacing w:val="-55"/>
        </w:rPr>
        <w:t> </w:t>
      </w:r>
      <w:r>
        <w:rPr/>
        <w:t>万元，负债总额</w:t>
      </w:r>
      <w:r>
        <w:rPr>
          <w:spacing w:val="-55"/>
        </w:rPr>
        <w:t> </w:t>
      </w:r>
      <w:r>
        <w:rPr>
          <w:rFonts w:ascii="宋体" w:hAnsi="宋体" w:cs="宋体" w:eastAsia="宋体" w:hint="default"/>
        </w:rPr>
        <w:t>112,031.15</w:t>
      </w:r>
      <w:r>
        <w:rPr>
          <w:rFonts w:ascii="宋体" w:hAnsi="宋体" w:cs="宋体" w:eastAsia="宋体" w:hint="default"/>
          <w:spacing w:val="-57"/>
        </w:rPr>
        <w:t> </w:t>
      </w:r>
      <w:r>
        <w:rPr/>
        <w:t>万元，资产负债率</w:t>
      </w:r>
      <w:r>
        <w:rPr>
          <w:spacing w:val="-54"/>
        </w:rPr>
        <w:t> </w:t>
      </w:r>
      <w:r>
        <w:rPr>
          <w:rFonts w:ascii="宋体" w:hAnsi="宋体" w:cs="宋体" w:eastAsia="宋体" w:hint="default"/>
        </w:rPr>
        <w:t>60.46%</w:t>
      </w:r>
      <w:r>
        <w:rPr/>
        <w:t>。</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2"/>
        <w:spacing w:line="240" w:lineRule="auto"/>
        <w:ind w:right="3084"/>
        <w:jc w:val="left"/>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BodyText"/>
        <w:spacing w:line="240" w:lineRule="auto" w:before="58"/>
        <w:ind w:left="218" w:right="3084"/>
        <w:jc w:val="left"/>
      </w:pPr>
      <w:r>
        <w:rPr/>
        <w:t>□适用</w:t>
      </w:r>
      <w:r>
        <w:rPr>
          <w:spacing w:val="-1"/>
        </w:rPr>
        <w:t> </w:t>
      </w:r>
      <w:r>
        <w:rPr/>
        <w:t>√不适用</w:t>
      </w:r>
    </w:p>
    <w:p>
      <w:pPr>
        <w:pStyle w:val="Heading2"/>
        <w:spacing w:line="240" w:lineRule="auto" w:before="56"/>
        <w:ind w:right="3084"/>
        <w:jc w:val="left"/>
        <w:rPr>
          <w:b w:val="0"/>
          <w:bCs w:val="0"/>
        </w:rPr>
      </w:pPr>
      <w:r>
        <w:rPr/>
        <w:t>三、</w:t>
      </w:r>
      <w:r>
        <w:rPr>
          <w:spacing w:val="-80"/>
        </w:rPr>
        <w:t> </w:t>
      </w:r>
      <w:r>
        <w:rPr/>
        <w:t>股东和实际控制人情况</w:t>
      </w:r>
      <w:r>
        <w:rPr>
          <w:b w:val="0"/>
          <w:bCs w:val="0"/>
        </w:rPr>
      </w:r>
    </w:p>
    <w:p>
      <w:pPr>
        <w:pStyle w:val="Heading2"/>
        <w:spacing w:line="240" w:lineRule="auto" w:before="58"/>
        <w:ind w:right="3084"/>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34,000</w:t>
            </w:r>
          </w:p>
        </w:tc>
      </w:tr>
      <w:tr>
        <w:trPr>
          <w:trHeight w:val="555"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年度报告披露日前上一月末的普通股股东总数</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31,510</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截止报告期末表决权恢复的优先股股东总数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（户）</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年度报告披露日前上一月末表决权恢复的优先</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股股东总数（户）</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2"/>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580" w:right="1040"/>
        </w:sectPr>
      </w:pPr>
    </w:p>
    <w:p>
      <w:pPr>
        <w:pStyle w:val="Heading2"/>
        <w:spacing w:line="240" w:lineRule="auto" w:before="36"/>
        <w:ind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BodyText"/>
        <w:spacing w:line="240" w:lineRule="auto"/>
        <w:ind w:left="218"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120" w:bottom="1380" w:left="1580" w:right="1040"/>
          <w:cols w:num="2" w:equalWidth="0">
            <w:col w:w="7813" w:space="287"/>
            <w:col w:w="1190"/>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0"/>
        <w:gridCol w:w="879"/>
        <w:gridCol w:w="1390"/>
        <w:gridCol w:w="879"/>
        <w:gridCol w:w="1418"/>
        <w:gridCol w:w="425"/>
        <w:gridCol w:w="994"/>
        <w:gridCol w:w="1255"/>
      </w:tblGrid>
      <w:tr>
        <w:trPr>
          <w:trHeight w:val="281"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557" w:hRule="exact"/>
        </w:trPr>
        <w:tc>
          <w:tcPr>
            <w:tcW w:w="18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73" w:lineRule="exact"/>
              <w:ind w:left="479"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3" w:lineRule="exact"/>
              <w:ind w:left="479"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8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72" w:lineRule="exact"/>
              <w:ind w:left="119" w:right="113"/>
              <w:jc w:val="left"/>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pacing w:val="-102"/>
                <w:sz w:val="21"/>
                <w:szCs w:val="21"/>
              </w:rPr>
              <w:t> </w:t>
            </w:r>
            <w:r>
              <w:rPr>
                <w:rFonts w:ascii="宋体" w:hAnsi="宋体" w:cs="宋体" w:eastAsia="宋体" w:hint="default"/>
                <w:sz w:val="21"/>
                <w:szCs w:val="21"/>
              </w:rPr>
              <w:t>内增减</w:t>
            </w:r>
          </w:p>
        </w:tc>
        <w:tc>
          <w:tcPr>
            <w:tcW w:w="13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72" w:lineRule="exact"/>
              <w:ind w:left="583" w:right="161" w:hanging="420"/>
              <w:jc w:val="left"/>
              <w:rPr>
                <w:rFonts w:ascii="宋体" w:hAnsi="宋体" w:cs="宋体" w:eastAsia="宋体" w:hint="default"/>
                <w:sz w:val="21"/>
                <w:szCs w:val="21"/>
              </w:rPr>
            </w:pPr>
            <w:r>
              <w:rPr>
                <w:rFonts w:ascii="宋体" w:hAnsi="宋体" w:cs="宋体" w:eastAsia="宋体" w:hint="default"/>
                <w:sz w:val="21"/>
                <w:szCs w:val="21"/>
              </w:rPr>
              <w:t>期末持股数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p>
        </w:tc>
        <w:tc>
          <w:tcPr>
            <w:tcW w:w="8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72" w:lineRule="exact"/>
              <w:ind w:left="275" w:right="221"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37" w:lineRule="auto"/>
              <w:ind w:left="177" w:right="175"/>
              <w:jc w:val="center"/>
              <w:rPr>
                <w:rFonts w:ascii="宋体" w:hAnsi="宋体" w:cs="宋体" w:eastAsia="宋体" w:hint="default"/>
                <w:sz w:val="21"/>
                <w:szCs w:val="21"/>
              </w:rPr>
            </w:pPr>
            <w:r>
              <w:rPr>
                <w:rFonts w:ascii="宋体" w:hAnsi="宋体" w:cs="宋体" w:eastAsia="宋体" w:hint="default"/>
                <w:sz w:val="21"/>
                <w:szCs w:val="21"/>
              </w:rPr>
              <w:t>持有有限售</w:t>
            </w:r>
            <w:r>
              <w:rPr>
                <w:rFonts w:ascii="宋体" w:hAnsi="宋体" w:cs="宋体" w:eastAsia="宋体" w:hint="default"/>
                <w:w w:val="100"/>
                <w:sz w:val="21"/>
                <w:szCs w:val="21"/>
              </w:rPr>
              <w:t> </w:t>
            </w:r>
            <w:r>
              <w:rPr>
                <w:rFonts w:ascii="宋体" w:hAnsi="宋体" w:cs="宋体" w:eastAsia="宋体" w:hint="default"/>
                <w:sz w:val="21"/>
                <w:szCs w:val="21"/>
              </w:rPr>
              <w:t>条件股份数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质押或冻结</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情况</w:t>
            </w:r>
          </w:p>
        </w:tc>
        <w:tc>
          <w:tcPr>
            <w:tcW w:w="125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72" w:lineRule="exact"/>
              <w:ind w:left="410" w:right="410"/>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性质</w:t>
            </w:r>
          </w:p>
        </w:tc>
      </w:tr>
      <w:tr>
        <w:trPr>
          <w:trHeight w:val="1099" w:hRule="exact"/>
        </w:trPr>
        <w:tc>
          <w:tcPr>
            <w:tcW w:w="1810" w:type="dxa"/>
            <w:vMerge/>
            <w:tcBorders>
              <w:left w:val="single" w:sz="4" w:space="0" w:color="000000"/>
              <w:bottom w:val="single" w:sz="4" w:space="0" w:color="000000"/>
              <w:right w:val="single" w:sz="4" w:space="0" w:color="000000"/>
            </w:tcBorders>
          </w:tcPr>
          <w:p>
            <w:pPr/>
          </w:p>
        </w:tc>
        <w:tc>
          <w:tcPr>
            <w:tcW w:w="879" w:type="dxa"/>
            <w:vMerge/>
            <w:tcBorders>
              <w:left w:val="single" w:sz="4" w:space="0" w:color="000000"/>
              <w:bottom w:val="single" w:sz="4" w:space="0" w:color="000000"/>
              <w:right w:val="single" w:sz="4" w:space="0" w:color="000000"/>
            </w:tcBorders>
          </w:tcPr>
          <w:p>
            <w:pPr/>
          </w:p>
        </w:tc>
        <w:tc>
          <w:tcPr>
            <w:tcW w:w="1390" w:type="dxa"/>
            <w:vMerge/>
            <w:tcBorders>
              <w:left w:val="single" w:sz="4" w:space="0" w:color="000000"/>
              <w:bottom w:val="single" w:sz="4" w:space="0" w:color="000000"/>
              <w:right w:val="single" w:sz="4" w:space="0" w:color="000000"/>
            </w:tcBorders>
          </w:tcPr>
          <w:p>
            <w:pPr/>
          </w:p>
        </w:tc>
        <w:tc>
          <w:tcPr>
            <w:tcW w:w="879"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股</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状</w:t>
            </w:r>
            <w:r>
              <w:rPr>
                <w:rFonts w:ascii="宋体" w:hAnsi="宋体" w:cs="宋体" w:eastAsia="宋体" w:hint="default"/>
                <w:w w:val="100"/>
                <w:sz w:val="21"/>
                <w:szCs w:val="21"/>
              </w:rPr>
              <w:t> </w:t>
            </w:r>
            <w:r>
              <w:rPr>
                <w:rFonts w:ascii="宋体" w:hAnsi="宋体" w:cs="宋体" w:eastAsia="宋体" w:hint="default"/>
                <w:sz w:val="21"/>
                <w:szCs w:val="21"/>
              </w:rPr>
              <w:t>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1255" w:type="dxa"/>
            <w:vMerge/>
            <w:tcBorders>
              <w:left w:val="single" w:sz="4" w:space="0" w:color="000000"/>
              <w:bottom w:val="single" w:sz="4" w:space="0" w:color="000000"/>
              <w:right w:val="single" w:sz="4" w:space="0" w:color="000000"/>
            </w:tcBorders>
          </w:tcPr>
          <w:p>
            <w:pP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恒融投资集团有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w w:val="100"/>
                <w:sz w:val="21"/>
              </w:rPr>
              <w:t>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 w:right="0"/>
              <w:jc w:val="center"/>
              <w:rPr>
                <w:rFonts w:ascii="宋体" w:hAnsi="宋体" w:cs="宋体" w:eastAsia="宋体" w:hint="default"/>
                <w:sz w:val="21"/>
                <w:szCs w:val="21"/>
              </w:rPr>
            </w:pPr>
            <w:r>
              <w:rPr>
                <w:rFonts w:ascii="宋体"/>
                <w:sz w:val="21"/>
              </w:rPr>
              <w:t>130,000,000</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46.43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130,000,000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94"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境内非国</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有法人</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王淑琴</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w w:val="100"/>
                <w:sz w:val="21"/>
              </w:rPr>
              <w:t>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0" w:right="0"/>
              <w:jc w:val="center"/>
              <w:rPr>
                <w:rFonts w:ascii="宋体" w:hAnsi="宋体" w:cs="宋体" w:eastAsia="宋体" w:hint="default"/>
                <w:sz w:val="21"/>
                <w:szCs w:val="21"/>
              </w:rPr>
            </w:pPr>
            <w:r>
              <w:rPr>
                <w:rFonts w:ascii="宋体"/>
                <w:sz w:val="21"/>
              </w:rPr>
              <w:t>31,500,000</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11.25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31,500,000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94"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人</w:t>
            </w:r>
          </w:p>
        </w:tc>
      </w:tr>
      <w:tr>
        <w:trPr>
          <w:trHeight w:val="82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珠海融恒股权投</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12"/>
                <w:w w:val="100"/>
                <w:sz w:val="21"/>
                <w:szCs w:val="21"/>
              </w:rPr>
              <w:t>资合伙企业（有限</w:t>
            </w:r>
            <w:r>
              <w:rPr>
                <w:rFonts w:ascii="宋体" w:hAnsi="宋体" w:cs="宋体" w:eastAsia="宋体" w:hint="default"/>
                <w:w w:val="100"/>
                <w:sz w:val="21"/>
                <w:szCs w:val="21"/>
              </w:rPr>
              <w:t> </w:t>
            </w:r>
            <w:r>
              <w:rPr>
                <w:rFonts w:ascii="宋体" w:hAnsi="宋体" w:cs="宋体" w:eastAsia="宋体" w:hint="default"/>
                <w:sz w:val="21"/>
                <w:szCs w:val="21"/>
              </w:rPr>
              <w:t>合伙）</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w w:val="100"/>
                <w:sz w:val="21"/>
              </w:rPr>
              <w:t>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0" w:right="0"/>
              <w:jc w:val="center"/>
              <w:rPr>
                <w:rFonts w:ascii="宋体" w:hAnsi="宋体" w:cs="宋体" w:eastAsia="宋体" w:hint="default"/>
                <w:sz w:val="21"/>
                <w:szCs w:val="21"/>
              </w:rPr>
            </w:pPr>
            <w:r>
              <w:rPr>
                <w:rFonts w:ascii="宋体"/>
                <w:sz w:val="21"/>
              </w:rPr>
              <w:t>10,000,000</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3.57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10,000,000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94"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557"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青岛金石灏汭投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资有限公司</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w w:val="100"/>
                <w:sz w:val="21"/>
              </w:rPr>
              <w:t>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25" w:right="0"/>
              <w:jc w:val="center"/>
              <w:rPr>
                <w:rFonts w:ascii="宋体" w:hAnsi="宋体" w:cs="宋体" w:eastAsia="宋体" w:hint="default"/>
                <w:sz w:val="21"/>
                <w:szCs w:val="21"/>
              </w:rPr>
            </w:pPr>
            <w:r>
              <w:rPr>
                <w:rFonts w:ascii="宋体"/>
                <w:sz w:val="21"/>
              </w:rPr>
              <w:t>8,000,000</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z w:val="21"/>
              </w:rPr>
              <w:t>2.86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8,000,000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94"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境内非国</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有法人</w:t>
            </w:r>
          </w:p>
        </w:tc>
      </w:tr>
    </w:tbl>
    <w:p>
      <w:pPr>
        <w:spacing w:after="0" w:line="273"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810"/>
        <w:gridCol w:w="879"/>
        <w:gridCol w:w="1390"/>
        <w:gridCol w:w="708"/>
        <w:gridCol w:w="170"/>
        <w:gridCol w:w="1418"/>
        <w:gridCol w:w="425"/>
        <w:gridCol w:w="680"/>
        <w:gridCol w:w="314"/>
        <w:gridCol w:w="1255"/>
      </w:tblGrid>
      <w:tr>
        <w:trPr>
          <w:trHeight w:val="557"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深圳市创新投资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w w:val="100"/>
                <w:sz w:val="21"/>
              </w:rPr>
              <w:t>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7,000,000</w:t>
            </w:r>
          </w:p>
        </w:tc>
        <w:tc>
          <w:tcPr>
            <w:tcW w:w="8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45" w:right="0"/>
              <w:jc w:val="left"/>
              <w:rPr>
                <w:rFonts w:ascii="宋体" w:hAnsi="宋体" w:cs="宋体" w:eastAsia="宋体" w:hint="default"/>
                <w:sz w:val="21"/>
                <w:szCs w:val="21"/>
              </w:rPr>
            </w:pPr>
            <w:r>
              <w:rPr>
                <w:rFonts w:ascii="宋体"/>
                <w:sz w:val="21"/>
              </w:rPr>
              <w:t>2.50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7,000,000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境内非国</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有法人</w:t>
            </w:r>
          </w:p>
        </w:tc>
      </w:tr>
      <w:tr>
        <w:trPr>
          <w:trHeight w:val="82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浙江海宁嘉慧投</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12"/>
                <w:w w:val="100"/>
                <w:sz w:val="21"/>
                <w:szCs w:val="21"/>
              </w:rPr>
              <w:t>资合伙企业（有限</w:t>
            </w:r>
            <w:r>
              <w:rPr>
                <w:rFonts w:ascii="宋体" w:hAnsi="宋体" w:cs="宋体" w:eastAsia="宋体" w:hint="default"/>
                <w:w w:val="100"/>
                <w:sz w:val="21"/>
                <w:szCs w:val="21"/>
              </w:rPr>
              <w:t> </w:t>
            </w:r>
            <w:r>
              <w:rPr>
                <w:rFonts w:ascii="宋体" w:hAnsi="宋体" w:cs="宋体" w:eastAsia="宋体" w:hint="default"/>
                <w:sz w:val="21"/>
                <w:szCs w:val="21"/>
              </w:rPr>
              <w:t>合伙）</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w w:val="100"/>
                <w:sz w:val="21"/>
              </w:rPr>
              <w:t>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4,000,000</w:t>
            </w:r>
          </w:p>
        </w:tc>
        <w:tc>
          <w:tcPr>
            <w:tcW w:w="8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45" w:right="0"/>
              <w:jc w:val="left"/>
              <w:rPr>
                <w:rFonts w:ascii="宋体" w:hAnsi="宋体" w:cs="宋体" w:eastAsia="宋体" w:hint="default"/>
                <w:sz w:val="21"/>
                <w:szCs w:val="21"/>
              </w:rPr>
            </w:pPr>
            <w:r>
              <w:rPr>
                <w:rFonts w:ascii="宋体"/>
                <w:sz w:val="21"/>
              </w:rPr>
              <w:t>1.43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4,000,000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天津颐润投资管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w w:val="100"/>
                <w:sz w:val="21"/>
              </w:rPr>
              <w:t>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3,950,000</w:t>
            </w:r>
          </w:p>
        </w:tc>
        <w:tc>
          <w:tcPr>
            <w:tcW w:w="8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5" w:right="0"/>
              <w:jc w:val="left"/>
              <w:rPr>
                <w:rFonts w:ascii="宋体" w:hAnsi="宋体" w:cs="宋体" w:eastAsia="宋体" w:hint="default"/>
                <w:sz w:val="21"/>
                <w:szCs w:val="21"/>
              </w:rPr>
            </w:pPr>
            <w:r>
              <w:rPr>
                <w:rFonts w:ascii="宋体"/>
                <w:sz w:val="21"/>
              </w:rPr>
              <w:t>1.41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3,950,000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境内非国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有法人</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肖平</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w w:val="100"/>
                <w:sz w:val="21"/>
              </w:rPr>
              <w:t>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3,000,000</w:t>
            </w:r>
          </w:p>
        </w:tc>
        <w:tc>
          <w:tcPr>
            <w:tcW w:w="8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5" w:right="0"/>
              <w:jc w:val="left"/>
              <w:rPr>
                <w:rFonts w:ascii="宋体" w:hAnsi="宋体" w:cs="宋体" w:eastAsia="宋体" w:hint="default"/>
                <w:sz w:val="21"/>
                <w:szCs w:val="21"/>
              </w:rPr>
            </w:pPr>
            <w:r>
              <w:rPr>
                <w:rFonts w:ascii="宋体"/>
                <w:sz w:val="21"/>
              </w:rPr>
              <w:t>1.07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3,000,000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人</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薛晓忠</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w w:val="100"/>
                <w:sz w:val="21"/>
              </w:rPr>
              <w:t>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2,000,000</w:t>
            </w:r>
          </w:p>
        </w:tc>
        <w:tc>
          <w:tcPr>
            <w:tcW w:w="8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5" w:right="0"/>
              <w:jc w:val="left"/>
              <w:rPr>
                <w:rFonts w:ascii="宋体" w:hAnsi="宋体" w:cs="宋体" w:eastAsia="宋体" w:hint="default"/>
                <w:sz w:val="21"/>
                <w:szCs w:val="21"/>
              </w:rPr>
            </w:pPr>
            <w:r>
              <w:rPr>
                <w:rFonts w:ascii="宋体"/>
                <w:sz w:val="21"/>
              </w:rPr>
              <w:t>0.71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2,000,000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人</w:t>
            </w:r>
          </w:p>
        </w:tc>
      </w:tr>
      <w:tr>
        <w:trPr>
          <w:trHeight w:val="557"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吴龙云</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w w:val="100"/>
                <w:sz w:val="21"/>
              </w:rPr>
              <w:t>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1,600,000</w:t>
            </w:r>
          </w:p>
        </w:tc>
        <w:tc>
          <w:tcPr>
            <w:tcW w:w="8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45" w:right="0"/>
              <w:jc w:val="left"/>
              <w:rPr>
                <w:rFonts w:ascii="宋体" w:hAnsi="宋体" w:cs="宋体" w:eastAsia="宋体" w:hint="default"/>
                <w:sz w:val="21"/>
                <w:szCs w:val="21"/>
              </w:rPr>
            </w:pPr>
            <w:r>
              <w:rPr>
                <w:rFonts w:ascii="宋体"/>
                <w:sz w:val="21"/>
              </w:rPr>
              <w:t>0.57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1,600,000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押</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6" w:right="0"/>
              <w:jc w:val="left"/>
              <w:rPr>
                <w:rFonts w:ascii="宋体" w:hAnsi="宋体" w:cs="宋体" w:eastAsia="宋体" w:hint="default"/>
                <w:sz w:val="21"/>
                <w:szCs w:val="21"/>
              </w:rPr>
            </w:pPr>
            <w:r>
              <w:rPr>
                <w:rFonts w:ascii="宋体"/>
                <w:sz w:val="21"/>
              </w:rPr>
              <w:t>720,000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人</w:t>
            </w:r>
          </w:p>
        </w:tc>
      </w:tr>
      <w:tr>
        <w:trPr>
          <w:trHeight w:val="281" w:hRule="exact"/>
        </w:trPr>
        <w:tc>
          <w:tcPr>
            <w:tcW w:w="905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3" w:hRule="exact"/>
        </w:trPr>
        <w:tc>
          <w:tcPr>
            <w:tcW w:w="2689" w:type="dxa"/>
            <w:gridSpan w:val="2"/>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098" w:type="dxa"/>
            <w:gridSpan w:val="2"/>
            <w:vMerge w:val="restart"/>
            <w:tcBorders>
              <w:top w:val="single" w:sz="4" w:space="0" w:color="000000"/>
              <w:left w:val="single" w:sz="4" w:space="0" w:color="000000"/>
              <w:right w:val="single" w:sz="4" w:space="0" w:color="000000"/>
            </w:tcBorders>
          </w:tcPr>
          <w:p>
            <w:pPr>
              <w:pStyle w:val="TableParagraph"/>
              <w:spacing w:line="272" w:lineRule="exact" w:before="1"/>
              <w:ind w:left="518" w:right="199" w:hanging="315"/>
              <w:jc w:val="left"/>
              <w:rPr>
                <w:rFonts w:ascii="宋体" w:hAnsi="宋体" w:cs="宋体" w:eastAsia="宋体" w:hint="default"/>
                <w:sz w:val="21"/>
                <w:szCs w:val="21"/>
              </w:rPr>
            </w:pPr>
            <w:r>
              <w:rPr>
                <w:rFonts w:ascii="宋体" w:hAnsi="宋体" w:cs="宋体" w:eastAsia="宋体" w:hint="default"/>
                <w:sz w:val="21"/>
                <w:szCs w:val="21"/>
              </w:rPr>
              <w:t>持有无限售条件流</w:t>
            </w:r>
            <w:r>
              <w:rPr>
                <w:rFonts w:ascii="宋体" w:hAnsi="宋体" w:cs="宋体" w:eastAsia="宋体" w:hint="default"/>
                <w:w w:val="100"/>
                <w:sz w:val="21"/>
                <w:szCs w:val="21"/>
              </w:rPr>
              <w:t> </w:t>
            </w:r>
            <w:r>
              <w:rPr>
                <w:rFonts w:ascii="宋体" w:hAnsi="宋体" w:cs="宋体" w:eastAsia="宋体" w:hint="default"/>
                <w:sz w:val="21"/>
                <w:szCs w:val="21"/>
              </w:rPr>
              <w:t>通股的数量</w:t>
            </w:r>
          </w:p>
        </w:tc>
        <w:tc>
          <w:tcPr>
            <w:tcW w:w="42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89"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3" w:hRule="exact"/>
        </w:trPr>
        <w:tc>
          <w:tcPr>
            <w:tcW w:w="2689" w:type="dxa"/>
            <w:gridSpan w:val="2"/>
            <w:vMerge/>
            <w:tcBorders>
              <w:left w:val="single" w:sz="4" w:space="0" w:color="000000"/>
              <w:bottom w:val="single" w:sz="4" w:space="0" w:color="000000"/>
              <w:right w:val="single" w:sz="4" w:space="0" w:color="000000"/>
            </w:tcBorders>
          </w:tcPr>
          <w:p>
            <w:pPr/>
          </w:p>
        </w:tc>
        <w:tc>
          <w:tcPr>
            <w:tcW w:w="2098" w:type="dxa"/>
            <w:gridSpan w:val="2"/>
            <w:vMerge/>
            <w:tcBorders>
              <w:left w:val="single" w:sz="4" w:space="0" w:color="000000"/>
              <w:bottom w:val="single" w:sz="4" w:space="0" w:color="000000"/>
              <w:right w:val="single" w:sz="4" w:space="0" w:color="000000"/>
            </w:tcBorders>
          </w:tcPr>
          <w:p>
            <w:pPr/>
          </w:p>
        </w:tc>
        <w:tc>
          <w:tcPr>
            <w:tcW w:w="269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281" w:hRule="exact"/>
        </w:trPr>
        <w:tc>
          <w:tcPr>
            <w:tcW w:w="26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唐俞萍</w:t>
            </w:r>
          </w:p>
        </w:tc>
        <w:tc>
          <w:tcPr>
            <w:tcW w:w="20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9" w:right="0"/>
              <w:jc w:val="left"/>
              <w:rPr>
                <w:rFonts w:ascii="宋体" w:hAnsi="宋体" w:cs="宋体" w:eastAsia="宋体" w:hint="default"/>
                <w:sz w:val="21"/>
                <w:szCs w:val="21"/>
              </w:rPr>
            </w:pPr>
            <w:r>
              <w:rPr>
                <w:rFonts w:ascii="宋体"/>
                <w:sz w:val="21"/>
              </w:rPr>
              <w:t>1,183,294</w:t>
            </w:r>
          </w:p>
        </w:tc>
        <w:tc>
          <w:tcPr>
            <w:tcW w:w="269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sz w:val="21"/>
              </w:rPr>
              <w:t>1,183,294</w:t>
            </w:r>
          </w:p>
        </w:tc>
      </w:tr>
      <w:tr>
        <w:trPr>
          <w:trHeight w:val="283" w:hRule="exact"/>
        </w:trPr>
        <w:tc>
          <w:tcPr>
            <w:tcW w:w="26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张文泽</w:t>
            </w:r>
          </w:p>
        </w:tc>
        <w:tc>
          <w:tcPr>
            <w:tcW w:w="20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50" w:right="0"/>
              <w:jc w:val="left"/>
              <w:rPr>
                <w:rFonts w:ascii="宋体" w:hAnsi="宋体" w:cs="宋体" w:eastAsia="宋体" w:hint="default"/>
                <w:sz w:val="21"/>
                <w:szCs w:val="21"/>
              </w:rPr>
            </w:pPr>
            <w:r>
              <w:rPr>
                <w:rFonts w:ascii="宋体"/>
                <w:sz w:val="21"/>
              </w:rPr>
              <w:t>291,936</w:t>
            </w:r>
          </w:p>
        </w:tc>
        <w:tc>
          <w:tcPr>
            <w:tcW w:w="269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2" w:right="0"/>
              <w:jc w:val="left"/>
              <w:rPr>
                <w:rFonts w:ascii="宋体" w:hAnsi="宋体" w:cs="宋体" w:eastAsia="宋体" w:hint="default"/>
                <w:sz w:val="21"/>
                <w:szCs w:val="21"/>
              </w:rPr>
            </w:pPr>
            <w:r>
              <w:rPr>
                <w:rFonts w:ascii="宋体"/>
                <w:sz w:val="21"/>
              </w:rPr>
              <w:t>291,936</w:t>
            </w:r>
          </w:p>
        </w:tc>
      </w:tr>
      <w:tr>
        <w:trPr>
          <w:trHeight w:val="281" w:hRule="exact"/>
        </w:trPr>
        <w:tc>
          <w:tcPr>
            <w:tcW w:w="26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贺银</w:t>
            </w:r>
          </w:p>
        </w:tc>
        <w:tc>
          <w:tcPr>
            <w:tcW w:w="20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50" w:right="0"/>
              <w:jc w:val="left"/>
              <w:rPr>
                <w:rFonts w:ascii="宋体" w:hAnsi="宋体" w:cs="宋体" w:eastAsia="宋体" w:hint="default"/>
                <w:sz w:val="21"/>
                <w:szCs w:val="21"/>
              </w:rPr>
            </w:pPr>
            <w:r>
              <w:rPr>
                <w:rFonts w:ascii="宋体"/>
                <w:sz w:val="21"/>
              </w:rPr>
              <w:t>285,400</w:t>
            </w:r>
          </w:p>
        </w:tc>
        <w:tc>
          <w:tcPr>
            <w:tcW w:w="269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2" w:right="0"/>
              <w:jc w:val="left"/>
              <w:rPr>
                <w:rFonts w:ascii="宋体" w:hAnsi="宋体" w:cs="宋体" w:eastAsia="宋体" w:hint="default"/>
                <w:sz w:val="21"/>
                <w:szCs w:val="21"/>
              </w:rPr>
            </w:pPr>
            <w:r>
              <w:rPr>
                <w:rFonts w:ascii="宋体"/>
                <w:sz w:val="21"/>
              </w:rPr>
              <w:t>285,400</w:t>
            </w:r>
          </w:p>
        </w:tc>
      </w:tr>
      <w:tr>
        <w:trPr>
          <w:trHeight w:val="828" w:hRule="exact"/>
        </w:trPr>
        <w:tc>
          <w:tcPr>
            <w:tcW w:w="26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大业信托有限责任公司－</w:t>
            </w:r>
          </w:p>
          <w:p>
            <w:pPr>
              <w:pStyle w:val="TableParagraph"/>
              <w:spacing w:line="274" w:lineRule="exact" w:before="24"/>
              <w:ind w:left="103" w:right="152"/>
              <w:jc w:val="left"/>
              <w:rPr>
                <w:rFonts w:ascii="宋体" w:hAnsi="宋体" w:cs="宋体" w:eastAsia="宋体" w:hint="default"/>
                <w:sz w:val="21"/>
                <w:szCs w:val="21"/>
              </w:rPr>
            </w:pPr>
            <w:r>
              <w:rPr>
                <w:rFonts w:ascii="宋体" w:hAnsi="宋体" w:cs="宋体" w:eastAsia="宋体" w:hint="default"/>
                <w:sz w:val="21"/>
                <w:szCs w:val="21"/>
              </w:rPr>
              <w:t>大业信托·长赢</w:t>
            </w:r>
            <w:r>
              <w:rPr>
                <w:rFonts w:ascii="宋体" w:hAnsi="宋体" w:cs="宋体" w:eastAsia="宋体" w:hint="default"/>
                <w:spacing w:val="-54"/>
                <w:sz w:val="21"/>
                <w:szCs w:val="21"/>
              </w:rPr>
              <w:t> </w:t>
            </w:r>
            <w:r>
              <w:rPr>
                <w:rFonts w:ascii="Calibri" w:hAnsi="Calibri" w:cs="Calibri" w:eastAsia="Calibri" w:hint="default"/>
                <w:sz w:val="21"/>
                <w:szCs w:val="21"/>
              </w:rPr>
              <w:t>15</w:t>
            </w:r>
            <w:r>
              <w:rPr>
                <w:rFonts w:ascii="Calibri" w:hAnsi="Calibri" w:cs="Calibri" w:eastAsia="Calibri" w:hint="default"/>
                <w:spacing w:val="5"/>
                <w:sz w:val="21"/>
                <w:szCs w:val="21"/>
              </w:rPr>
              <w:t> </w:t>
            </w:r>
            <w:r>
              <w:rPr>
                <w:rFonts w:ascii="宋体" w:hAnsi="宋体" w:cs="宋体" w:eastAsia="宋体" w:hint="default"/>
                <w:sz w:val="21"/>
                <w:szCs w:val="21"/>
              </w:rPr>
              <w:t>号证券</w:t>
            </w:r>
            <w:r>
              <w:rPr>
                <w:rFonts w:ascii="宋体" w:hAnsi="宋体" w:cs="宋体" w:eastAsia="宋体" w:hint="default"/>
                <w:w w:val="100"/>
                <w:sz w:val="21"/>
                <w:szCs w:val="21"/>
              </w:rPr>
              <w:t> </w:t>
            </w:r>
            <w:r>
              <w:rPr>
                <w:rFonts w:ascii="宋体" w:hAnsi="宋体" w:cs="宋体" w:eastAsia="宋体" w:hint="default"/>
                <w:sz w:val="21"/>
                <w:szCs w:val="21"/>
              </w:rPr>
              <w:t>投资集合资金信托计划</w:t>
            </w:r>
          </w:p>
        </w:tc>
        <w:tc>
          <w:tcPr>
            <w:tcW w:w="20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50" w:right="0"/>
              <w:jc w:val="left"/>
              <w:rPr>
                <w:rFonts w:ascii="宋体" w:hAnsi="宋体" w:cs="宋体" w:eastAsia="宋体" w:hint="default"/>
                <w:sz w:val="21"/>
                <w:szCs w:val="21"/>
              </w:rPr>
            </w:pPr>
            <w:r>
              <w:rPr>
                <w:rFonts w:ascii="宋体"/>
                <w:sz w:val="21"/>
              </w:rPr>
              <w:t>264,986</w:t>
            </w:r>
          </w:p>
        </w:tc>
        <w:tc>
          <w:tcPr>
            <w:tcW w:w="269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1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22" w:right="0"/>
              <w:jc w:val="left"/>
              <w:rPr>
                <w:rFonts w:ascii="宋体" w:hAnsi="宋体" w:cs="宋体" w:eastAsia="宋体" w:hint="default"/>
                <w:sz w:val="21"/>
                <w:szCs w:val="21"/>
              </w:rPr>
            </w:pPr>
            <w:r>
              <w:rPr>
                <w:rFonts w:ascii="宋体"/>
                <w:sz w:val="21"/>
              </w:rPr>
              <w:t>264,986</w:t>
            </w:r>
          </w:p>
        </w:tc>
      </w:tr>
      <w:tr>
        <w:trPr>
          <w:trHeight w:val="283" w:hRule="exact"/>
        </w:trPr>
        <w:tc>
          <w:tcPr>
            <w:tcW w:w="26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曹洋</w:t>
            </w:r>
          </w:p>
        </w:tc>
        <w:tc>
          <w:tcPr>
            <w:tcW w:w="20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50" w:right="0"/>
              <w:jc w:val="left"/>
              <w:rPr>
                <w:rFonts w:ascii="宋体" w:hAnsi="宋体" w:cs="宋体" w:eastAsia="宋体" w:hint="default"/>
                <w:sz w:val="21"/>
                <w:szCs w:val="21"/>
              </w:rPr>
            </w:pPr>
            <w:r>
              <w:rPr>
                <w:rFonts w:ascii="宋体"/>
                <w:sz w:val="21"/>
              </w:rPr>
              <w:t>255,200</w:t>
            </w:r>
          </w:p>
        </w:tc>
        <w:tc>
          <w:tcPr>
            <w:tcW w:w="269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2" w:right="0"/>
              <w:jc w:val="left"/>
              <w:rPr>
                <w:rFonts w:ascii="宋体" w:hAnsi="宋体" w:cs="宋体" w:eastAsia="宋体" w:hint="default"/>
                <w:sz w:val="21"/>
                <w:szCs w:val="21"/>
              </w:rPr>
            </w:pPr>
            <w:r>
              <w:rPr>
                <w:rFonts w:ascii="宋体"/>
                <w:sz w:val="21"/>
              </w:rPr>
              <w:t>255,200</w:t>
            </w:r>
          </w:p>
        </w:tc>
      </w:tr>
      <w:tr>
        <w:trPr>
          <w:trHeight w:val="281" w:hRule="exact"/>
        </w:trPr>
        <w:tc>
          <w:tcPr>
            <w:tcW w:w="26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黄仕康</w:t>
            </w:r>
          </w:p>
        </w:tc>
        <w:tc>
          <w:tcPr>
            <w:tcW w:w="20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50" w:right="0"/>
              <w:jc w:val="left"/>
              <w:rPr>
                <w:rFonts w:ascii="宋体" w:hAnsi="宋体" w:cs="宋体" w:eastAsia="宋体" w:hint="default"/>
                <w:sz w:val="21"/>
                <w:szCs w:val="21"/>
              </w:rPr>
            </w:pPr>
            <w:r>
              <w:rPr>
                <w:rFonts w:ascii="宋体"/>
                <w:sz w:val="21"/>
              </w:rPr>
              <w:t>220,800</w:t>
            </w:r>
          </w:p>
        </w:tc>
        <w:tc>
          <w:tcPr>
            <w:tcW w:w="269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2" w:right="0"/>
              <w:jc w:val="left"/>
              <w:rPr>
                <w:rFonts w:ascii="宋体" w:hAnsi="宋体" w:cs="宋体" w:eastAsia="宋体" w:hint="default"/>
                <w:sz w:val="21"/>
                <w:szCs w:val="21"/>
              </w:rPr>
            </w:pPr>
            <w:r>
              <w:rPr>
                <w:rFonts w:ascii="宋体"/>
                <w:sz w:val="21"/>
              </w:rPr>
              <w:t>220,800</w:t>
            </w:r>
          </w:p>
        </w:tc>
      </w:tr>
      <w:tr>
        <w:trPr>
          <w:trHeight w:val="283" w:hRule="exact"/>
        </w:trPr>
        <w:tc>
          <w:tcPr>
            <w:tcW w:w="26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周小美</w:t>
            </w:r>
          </w:p>
        </w:tc>
        <w:tc>
          <w:tcPr>
            <w:tcW w:w="20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50" w:right="0"/>
              <w:jc w:val="left"/>
              <w:rPr>
                <w:rFonts w:ascii="宋体" w:hAnsi="宋体" w:cs="宋体" w:eastAsia="宋体" w:hint="default"/>
                <w:sz w:val="21"/>
                <w:szCs w:val="21"/>
              </w:rPr>
            </w:pPr>
            <w:r>
              <w:rPr>
                <w:rFonts w:ascii="宋体"/>
                <w:sz w:val="21"/>
              </w:rPr>
              <w:t>177,000</w:t>
            </w:r>
          </w:p>
        </w:tc>
        <w:tc>
          <w:tcPr>
            <w:tcW w:w="269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1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22" w:right="0"/>
              <w:jc w:val="left"/>
              <w:rPr>
                <w:rFonts w:ascii="宋体" w:hAnsi="宋体" w:cs="宋体" w:eastAsia="宋体" w:hint="default"/>
                <w:sz w:val="21"/>
                <w:szCs w:val="21"/>
              </w:rPr>
            </w:pPr>
            <w:r>
              <w:rPr>
                <w:rFonts w:ascii="宋体"/>
                <w:sz w:val="21"/>
              </w:rPr>
              <w:t>177,000</w:t>
            </w:r>
          </w:p>
        </w:tc>
      </w:tr>
      <w:tr>
        <w:trPr>
          <w:trHeight w:val="283" w:hRule="exact"/>
        </w:trPr>
        <w:tc>
          <w:tcPr>
            <w:tcW w:w="26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夏白雪</w:t>
            </w:r>
          </w:p>
        </w:tc>
        <w:tc>
          <w:tcPr>
            <w:tcW w:w="20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50" w:right="0"/>
              <w:jc w:val="left"/>
              <w:rPr>
                <w:rFonts w:ascii="宋体" w:hAnsi="宋体" w:cs="宋体" w:eastAsia="宋体" w:hint="default"/>
                <w:sz w:val="21"/>
                <w:szCs w:val="21"/>
              </w:rPr>
            </w:pPr>
            <w:r>
              <w:rPr>
                <w:rFonts w:ascii="宋体"/>
                <w:sz w:val="21"/>
              </w:rPr>
              <w:t>170,000</w:t>
            </w:r>
          </w:p>
        </w:tc>
        <w:tc>
          <w:tcPr>
            <w:tcW w:w="269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2" w:right="0"/>
              <w:jc w:val="left"/>
              <w:rPr>
                <w:rFonts w:ascii="宋体" w:hAnsi="宋体" w:cs="宋体" w:eastAsia="宋体" w:hint="default"/>
                <w:sz w:val="21"/>
                <w:szCs w:val="21"/>
              </w:rPr>
            </w:pPr>
            <w:r>
              <w:rPr>
                <w:rFonts w:ascii="宋体"/>
                <w:sz w:val="21"/>
              </w:rPr>
              <w:t>170,000</w:t>
            </w:r>
          </w:p>
        </w:tc>
      </w:tr>
      <w:tr>
        <w:trPr>
          <w:trHeight w:val="281" w:hRule="exact"/>
        </w:trPr>
        <w:tc>
          <w:tcPr>
            <w:tcW w:w="26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陈建定</w:t>
            </w:r>
          </w:p>
        </w:tc>
        <w:tc>
          <w:tcPr>
            <w:tcW w:w="20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50" w:right="0"/>
              <w:jc w:val="left"/>
              <w:rPr>
                <w:rFonts w:ascii="宋体" w:hAnsi="宋体" w:cs="宋体" w:eastAsia="宋体" w:hint="default"/>
                <w:sz w:val="21"/>
                <w:szCs w:val="21"/>
              </w:rPr>
            </w:pPr>
            <w:r>
              <w:rPr>
                <w:rFonts w:ascii="宋体"/>
                <w:sz w:val="21"/>
              </w:rPr>
              <w:t>166,500</w:t>
            </w:r>
          </w:p>
        </w:tc>
        <w:tc>
          <w:tcPr>
            <w:tcW w:w="269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2" w:right="0"/>
              <w:jc w:val="left"/>
              <w:rPr>
                <w:rFonts w:ascii="宋体" w:hAnsi="宋体" w:cs="宋体" w:eastAsia="宋体" w:hint="default"/>
                <w:sz w:val="21"/>
                <w:szCs w:val="21"/>
              </w:rPr>
            </w:pPr>
            <w:r>
              <w:rPr>
                <w:rFonts w:ascii="宋体"/>
                <w:sz w:val="21"/>
              </w:rPr>
              <w:t>166,500</w:t>
            </w:r>
          </w:p>
        </w:tc>
      </w:tr>
      <w:tr>
        <w:trPr>
          <w:trHeight w:val="283" w:hRule="exact"/>
        </w:trPr>
        <w:tc>
          <w:tcPr>
            <w:tcW w:w="26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张崇畴</w:t>
            </w:r>
          </w:p>
        </w:tc>
        <w:tc>
          <w:tcPr>
            <w:tcW w:w="20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50" w:right="0"/>
              <w:jc w:val="left"/>
              <w:rPr>
                <w:rFonts w:ascii="宋体" w:hAnsi="宋体" w:cs="宋体" w:eastAsia="宋体" w:hint="default"/>
                <w:sz w:val="21"/>
                <w:szCs w:val="21"/>
              </w:rPr>
            </w:pPr>
            <w:r>
              <w:rPr>
                <w:rFonts w:ascii="宋体"/>
                <w:sz w:val="21"/>
              </w:rPr>
              <w:t>162,972</w:t>
            </w:r>
          </w:p>
        </w:tc>
        <w:tc>
          <w:tcPr>
            <w:tcW w:w="269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2" w:right="0"/>
              <w:jc w:val="left"/>
              <w:rPr>
                <w:rFonts w:ascii="宋体" w:hAnsi="宋体" w:cs="宋体" w:eastAsia="宋体" w:hint="default"/>
                <w:sz w:val="21"/>
                <w:szCs w:val="21"/>
              </w:rPr>
            </w:pPr>
            <w:r>
              <w:rPr>
                <w:rFonts w:ascii="宋体"/>
                <w:sz w:val="21"/>
              </w:rPr>
              <w:t>162,972</w:t>
            </w:r>
          </w:p>
        </w:tc>
      </w:tr>
      <w:tr>
        <w:trPr>
          <w:trHeight w:val="828" w:hRule="exact"/>
        </w:trPr>
        <w:tc>
          <w:tcPr>
            <w:tcW w:w="26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行动的说明</w:t>
            </w:r>
          </w:p>
        </w:tc>
        <w:tc>
          <w:tcPr>
            <w:tcW w:w="636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王淑琴与公司实际控制人江浩然及控股股东恒融投资的股东江斐然</w:t>
            </w:r>
          </w:p>
          <w:p>
            <w:pPr>
              <w:pStyle w:val="TableParagraph"/>
              <w:spacing w:line="272" w:lineRule="exact" w:before="27"/>
              <w:ind w:left="103" w:right="149"/>
              <w:jc w:val="left"/>
              <w:rPr>
                <w:rFonts w:ascii="宋体" w:hAnsi="宋体" w:cs="宋体" w:eastAsia="宋体" w:hint="default"/>
                <w:sz w:val="21"/>
                <w:szCs w:val="21"/>
              </w:rPr>
            </w:pPr>
            <w:r>
              <w:rPr>
                <w:rFonts w:ascii="宋体" w:hAnsi="宋体" w:cs="宋体" w:eastAsia="宋体" w:hint="default"/>
                <w:spacing w:val="-2"/>
                <w:sz w:val="21"/>
                <w:szCs w:val="21"/>
              </w:rPr>
              <w:t>为的母亲子关系，除上述关系外，公司未知其他股东之间是否存在</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关联关系或是否属于一致行动人。</w:t>
            </w:r>
          </w:p>
        </w:tc>
      </w:tr>
      <w:tr>
        <w:trPr>
          <w:trHeight w:val="554" w:hRule="exact"/>
        </w:trPr>
        <w:tc>
          <w:tcPr>
            <w:tcW w:w="26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表决权恢复的优先股股东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及持股数量的说明</w:t>
            </w:r>
          </w:p>
        </w:tc>
        <w:tc>
          <w:tcPr>
            <w:tcW w:w="636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0" w:footer="1195" w:top="1120" w:bottom="1380" w:left="1580" w:right="1040"/>
        </w:sectPr>
      </w:pPr>
    </w:p>
    <w:p>
      <w:pPr>
        <w:pStyle w:val="BodyText"/>
        <w:spacing w:line="275" w:lineRule="exact" w:before="36"/>
        <w:ind w:left="218" w:right="0"/>
        <w:jc w:val="left"/>
      </w:pPr>
      <w:r>
        <w:rPr>
          <w:spacing w:val="-2"/>
        </w:rPr>
        <w:t>前十名有限售条件股东持股数量及限售条件</w:t>
      </w:r>
    </w:p>
    <w:p>
      <w:pPr>
        <w:pStyle w:val="BodyText"/>
        <w:spacing w:line="275" w:lineRule="exact"/>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spacing w:line="240" w:lineRule="auto"/>
        <w:ind w:left="218" w:right="0"/>
        <w:jc w:val="left"/>
      </w:pPr>
      <w:r>
        <w:rPr/>
        <w:t>单位：股</w:t>
      </w:r>
    </w:p>
    <w:p>
      <w:pPr>
        <w:spacing w:after="0" w:line="240" w:lineRule="auto"/>
        <w:jc w:val="left"/>
        <w:sectPr>
          <w:type w:val="continuous"/>
          <w:pgSz w:w="11910" w:h="16840"/>
          <w:pgMar w:top="1120" w:bottom="1380" w:left="1580" w:right="1040"/>
          <w:cols w:num="2" w:equalWidth="0">
            <w:col w:w="4213" w:space="3781"/>
            <w:col w:w="129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50"/>
        <w:gridCol w:w="2321"/>
        <w:gridCol w:w="1560"/>
        <w:gridCol w:w="1985"/>
        <w:gridCol w:w="1489"/>
        <w:gridCol w:w="1044"/>
      </w:tblGrid>
      <w:tr>
        <w:trPr>
          <w:trHeight w:val="281" w:hRule="exact"/>
        </w:trPr>
        <w:tc>
          <w:tcPr>
            <w:tcW w:w="65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232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p>
        </w:tc>
        <w:tc>
          <w:tcPr>
            <w:tcW w:w="1560" w:type="dxa"/>
            <w:vMerge w:val="restart"/>
            <w:tcBorders>
              <w:top w:val="single" w:sz="4" w:space="0" w:color="000000"/>
              <w:left w:val="single" w:sz="4" w:space="0" w:color="000000"/>
              <w:right w:val="single" w:sz="4" w:space="0" w:color="000000"/>
            </w:tcBorders>
          </w:tcPr>
          <w:p>
            <w:pPr>
              <w:pStyle w:val="TableParagraph"/>
              <w:spacing w:line="272" w:lineRule="exact" w:before="135"/>
              <w:ind w:left="144" w:right="141"/>
              <w:jc w:val="left"/>
              <w:rPr>
                <w:rFonts w:ascii="宋体" w:hAnsi="宋体" w:cs="宋体" w:eastAsia="宋体" w:hint="default"/>
                <w:sz w:val="21"/>
                <w:szCs w:val="21"/>
              </w:rPr>
            </w:pPr>
            <w:r>
              <w:rPr>
                <w:rFonts w:ascii="宋体" w:hAnsi="宋体" w:cs="宋体" w:eastAsia="宋体" w:hint="default"/>
                <w:sz w:val="21"/>
                <w:szCs w:val="21"/>
              </w:rPr>
              <w:t>持有的有限售</w:t>
            </w:r>
            <w:r>
              <w:rPr>
                <w:rFonts w:ascii="宋体" w:hAnsi="宋体" w:cs="宋体" w:eastAsia="宋体" w:hint="default"/>
                <w:w w:val="100"/>
                <w:sz w:val="21"/>
                <w:szCs w:val="21"/>
              </w:rPr>
              <w:t> </w:t>
            </w:r>
            <w:r>
              <w:rPr>
                <w:rFonts w:ascii="宋体" w:hAnsi="宋体" w:cs="宋体" w:eastAsia="宋体" w:hint="default"/>
                <w:sz w:val="21"/>
                <w:szCs w:val="21"/>
              </w:rPr>
              <w:t>条件股份数量</w:t>
            </w:r>
          </w:p>
        </w:tc>
        <w:tc>
          <w:tcPr>
            <w:tcW w:w="34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sz w:val="21"/>
                <w:szCs w:val="21"/>
              </w:rPr>
              <w:t>有限售条件股份可上市交易情况</w:t>
            </w:r>
          </w:p>
        </w:tc>
        <w:tc>
          <w:tcPr>
            <w:tcW w:w="1044" w:type="dxa"/>
            <w:vMerge w:val="restart"/>
            <w:tcBorders>
              <w:top w:val="single" w:sz="4" w:space="0" w:color="000000"/>
              <w:left w:val="single" w:sz="4" w:space="0" w:color="000000"/>
              <w:right w:val="single" w:sz="4" w:space="0" w:color="000000"/>
            </w:tcBorders>
          </w:tcPr>
          <w:p>
            <w:pPr>
              <w:pStyle w:val="TableParagraph"/>
              <w:spacing w:line="272" w:lineRule="exact" w:before="135"/>
              <w:ind w:left="410" w:right="197" w:hanging="209"/>
              <w:jc w:val="left"/>
              <w:rPr>
                <w:rFonts w:ascii="宋体" w:hAnsi="宋体" w:cs="宋体" w:eastAsia="宋体" w:hint="default"/>
                <w:sz w:val="21"/>
                <w:szCs w:val="21"/>
              </w:rPr>
            </w:pPr>
            <w:r>
              <w:rPr>
                <w:rFonts w:ascii="宋体" w:hAnsi="宋体" w:cs="宋体" w:eastAsia="宋体" w:hint="default"/>
                <w:sz w:val="21"/>
                <w:szCs w:val="21"/>
              </w:rPr>
              <w:t>限售条</w:t>
            </w:r>
            <w:r>
              <w:rPr>
                <w:rFonts w:ascii="宋体" w:hAnsi="宋体" w:cs="宋体" w:eastAsia="宋体" w:hint="default"/>
                <w:spacing w:val="-102"/>
                <w:sz w:val="21"/>
                <w:szCs w:val="21"/>
              </w:rPr>
              <w:t> </w:t>
            </w:r>
            <w:r>
              <w:rPr>
                <w:rFonts w:ascii="宋体" w:hAnsi="宋体" w:cs="宋体" w:eastAsia="宋体" w:hint="default"/>
                <w:sz w:val="21"/>
                <w:szCs w:val="21"/>
              </w:rPr>
              <w:t>件</w:t>
            </w:r>
          </w:p>
        </w:tc>
      </w:tr>
      <w:tr>
        <w:trPr>
          <w:trHeight w:val="554" w:hRule="exact"/>
        </w:trPr>
        <w:tc>
          <w:tcPr>
            <w:tcW w:w="650" w:type="dxa"/>
            <w:vMerge/>
            <w:tcBorders>
              <w:left w:val="single" w:sz="4" w:space="0" w:color="000000"/>
              <w:bottom w:val="single" w:sz="4" w:space="0" w:color="000000"/>
              <w:right w:val="single" w:sz="4" w:space="0" w:color="000000"/>
            </w:tcBorders>
          </w:tcPr>
          <w:p>
            <w:pPr/>
          </w:p>
        </w:tc>
        <w:tc>
          <w:tcPr>
            <w:tcW w:w="2321"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可上市交易时间</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新增可上市交</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易股份数量</w:t>
            </w:r>
          </w:p>
        </w:tc>
        <w:tc>
          <w:tcPr>
            <w:tcW w:w="1044" w:type="dxa"/>
            <w:vMerge/>
            <w:tcBorders>
              <w:left w:val="single" w:sz="4" w:space="0" w:color="000000"/>
              <w:bottom w:val="single" w:sz="4" w:space="0" w:color="000000"/>
              <w:right w:val="single" w:sz="4" w:space="0" w:color="000000"/>
            </w:tcBorders>
          </w:tcPr>
          <w:p>
            <w:pPr/>
          </w:p>
        </w:tc>
      </w:tr>
      <w:tr>
        <w:trPr>
          <w:trHeight w:val="828"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恒融投资集团有限公司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130,000,000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130,000,000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上市之</w:t>
            </w:r>
          </w:p>
          <w:p>
            <w:pPr>
              <w:pStyle w:val="TableParagraph"/>
              <w:spacing w:line="240" w:lineRule="auto"/>
              <w:ind w:left="103" w:right="247"/>
              <w:jc w:val="left"/>
              <w:rPr>
                <w:rFonts w:ascii="宋体" w:hAnsi="宋体" w:cs="宋体" w:eastAsia="宋体" w:hint="default"/>
                <w:sz w:val="21"/>
                <w:szCs w:val="21"/>
              </w:rPr>
            </w:pPr>
            <w:r>
              <w:rPr>
                <w:rFonts w:ascii="宋体" w:hAnsi="宋体" w:cs="宋体" w:eastAsia="宋体" w:hint="default"/>
                <w:sz w:val="21"/>
                <w:szCs w:val="21"/>
              </w:rPr>
              <w:t>日起满</w:t>
            </w:r>
            <w:r>
              <w:rPr>
                <w:rFonts w:ascii="宋体" w:hAnsi="宋体" w:cs="宋体" w:eastAsia="宋体" w:hint="default"/>
                <w:spacing w:val="-102"/>
                <w:sz w:val="21"/>
                <w:szCs w:val="21"/>
              </w:rPr>
              <w:t> </w:t>
            </w:r>
            <w:r>
              <w:rPr>
                <w:rFonts w:ascii="宋体" w:hAnsi="宋体" w:cs="宋体" w:eastAsia="宋体" w:hint="default"/>
                <w:sz w:val="21"/>
                <w:szCs w:val="21"/>
              </w:rPr>
              <w:t>36</w:t>
            </w:r>
            <w:r>
              <w:rPr>
                <w:rFonts w:ascii="宋体" w:hAnsi="宋体" w:cs="宋体" w:eastAsia="宋体" w:hint="default"/>
                <w:spacing w:val="-50"/>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r>
      <w:tr>
        <w:trPr>
          <w:trHeight w:val="828"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王淑琴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31,500,000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31,500,000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上市之</w:t>
            </w:r>
          </w:p>
          <w:p>
            <w:pPr>
              <w:pStyle w:val="TableParagraph"/>
              <w:spacing w:line="272" w:lineRule="exact" w:before="27"/>
              <w:ind w:left="103" w:right="247"/>
              <w:jc w:val="left"/>
              <w:rPr>
                <w:rFonts w:ascii="宋体" w:hAnsi="宋体" w:cs="宋体" w:eastAsia="宋体" w:hint="default"/>
                <w:sz w:val="21"/>
                <w:szCs w:val="21"/>
              </w:rPr>
            </w:pPr>
            <w:r>
              <w:rPr>
                <w:rFonts w:ascii="宋体" w:hAnsi="宋体" w:cs="宋体" w:eastAsia="宋体" w:hint="default"/>
                <w:sz w:val="21"/>
                <w:szCs w:val="21"/>
              </w:rPr>
              <w:t>日起满</w:t>
            </w:r>
            <w:r>
              <w:rPr>
                <w:rFonts w:ascii="宋体" w:hAnsi="宋体" w:cs="宋体" w:eastAsia="宋体" w:hint="default"/>
                <w:spacing w:val="-102"/>
                <w:sz w:val="21"/>
                <w:szCs w:val="21"/>
              </w:rPr>
              <w:t> </w:t>
            </w:r>
            <w:r>
              <w:rPr>
                <w:rFonts w:ascii="宋体" w:hAnsi="宋体" w:cs="宋体" w:eastAsia="宋体" w:hint="default"/>
                <w:sz w:val="21"/>
                <w:szCs w:val="21"/>
              </w:rPr>
              <w:t>36</w:t>
            </w:r>
            <w:r>
              <w:rPr>
                <w:rFonts w:ascii="宋体" w:hAnsi="宋体" w:cs="宋体" w:eastAsia="宋体" w:hint="default"/>
                <w:spacing w:val="-50"/>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r>
      <w:tr>
        <w:trPr>
          <w:trHeight w:val="826"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103" w:right="99"/>
              <w:jc w:val="left"/>
              <w:rPr>
                <w:rFonts w:ascii="宋体" w:hAnsi="宋体" w:cs="宋体" w:eastAsia="宋体" w:hint="default"/>
                <w:sz w:val="21"/>
                <w:szCs w:val="21"/>
              </w:rPr>
            </w:pPr>
            <w:r>
              <w:rPr>
                <w:rFonts w:ascii="宋体" w:hAnsi="宋体" w:cs="宋体" w:eastAsia="宋体" w:hint="default"/>
                <w:sz w:val="21"/>
                <w:szCs w:val="21"/>
              </w:rPr>
              <w:t>珠海融恒股权投资合伙</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企业（有限合伙）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10,000,000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上市之</w:t>
            </w:r>
          </w:p>
          <w:p>
            <w:pPr>
              <w:pStyle w:val="TableParagraph"/>
              <w:spacing w:line="240" w:lineRule="auto"/>
              <w:ind w:left="103" w:right="247"/>
              <w:jc w:val="left"/>
              <w:rPr>
                <w:rFonts w:ascii="宋体" w:hAnsi="宋体" w:cs="宋体" w:eastAsia="宋体" w:hint="default"/>
                <w:sz w:val="21"/>
                <w:szCs w:val="21"/>
              </w:rPr>
            </w:pPr>
            <w:r>
              <w:rPr>
                <w:rFonts w:ascii="宋体" w:hAnsi="宋体" w:cs="宋体" w:eastAsia="宋体" w:hint="default"/>
                <w:sz w:val="21"/>
                <w:szCs w:val="21"/>
              </w:rPr>
              <w:t>日起满</w:t>
            </w:r>
            <w:r>
              <w:rPr>
                <w:rFonts w:ascii="宋体" w:hAnsi="宋体" w:cs="宋体" w:eastAsia="宋体" w:hint="default"/>
                <w:spacing w:val="-102"/>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r>
    </w:tbl>
    <w:p>
      <w:pPr>
        <w:spacing w:after="0" w:line="240" w:lineRule="auto"/>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650"/>
        <w:gridCol w:w="2321"/>
        <w:gridCol w:w="1560"/>
        <w:gridCol w:w="1985"/>
        <w:gridCol w:w="1489"/>
        <w:gridCol w:w="1044"/>
      </w:tblGrid>
      <w:tr>
        <w:trPr>
          <w:trHeight w:val="828"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w w:val="100"/>
                <w:sz w:val="21"/>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99"/>
              <w:jc w:val="left"/>
              <w:rPr>
                <w:rFonts w:ascii="宋体" w:hAnsi="宋体" w:cs="宋体" w:eastAsia="宋体" w:hint="default"/>
                <w:sz w:val="21"/>
                <w:szCs w:val="21"/>
              </w:rPr>
            </w:pPr>
            <w:r>
              <w:rPr>
                <w:rFonts w:ascii="宋体" w:hAnsi="宋体" w:cs="宋体" w:eastAsia="宋体" w:hint="default"/>
                <w:sz w:val="21"/>
                <w:szCs w:val="21"/>
              </w:rPr>
              <w:t>青岛金石灏汭投资有限</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7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8,000,000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上市之</w:t>
            </w:r>
          </w:p>
          <w:p>
            <w:pPr>
              <w:pStyle w:val="TableParagraph"/>
              <w:spacing w:line="240" w:lineRule="auto"/>
              <w:ind w:left="103" w:right="247"/>
              <w:jc w:val="left"/>
              <w:rPr>
                <w:rFonts w:ascii="宋体" w:hAnsi="宋体" w:cs="宋体" w:eastAsia="宋体" w:hint="default"/>
                <w:sz w:val="21"/>
                <w:szCs w:val="21"/>
              </w:rPr>
            </w:pPr>
            <w:r>
              <w:rPr>
                <w:rFonts w:ascii="宋体" w:hAnsi="宋体" w:cs="宋体" w:eastAsia="宋体" w:hint="default"/>
                <w:sz w:val="21"/>
                <w:szCs w:val="21"/>
              </w:rPr>
              <w:t>日起满</w:t>
            </w:r>
            <w:r>
              <w:rPr>
                <w:rFonts w:ascii="宋体" w:hAnsi="宋体" w:cs="宋体" w:eastAsia="宋体" w:hint="default"/>
                <w:spacing w:val="-102"/>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r>
      <w:tr>
        <w:trPr>
          <w:trHeight w:val="828"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99"/>
              <w:jc w:val="left"/>
              <w:rPr>
                <w:rFonts w:ascii="宋体" w:hAnsi="宋体" w:cs="宋体" w:eastAsia="宋体" w:hint="default"/>
                <w:sz w:val="21"/>
                <w:szCs w:val="21"/>
              </w:rPr>
            </w:pPr>
            <w:r>
              <w:rPr>
                <w:rFonts w:ascii="宋体" w:hAnsi="宋体" w:cs="宋体" w:eastAsia="宋体" w:hint="default"/>
                <w:sz w:val="21"/>
                <w:szCs w:val="21"/>
              </w:rPr>
              <w:t>深圳市创新投资集团有</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7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7,000,000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上市之</w:t>
            </w:r>
          </w:p>
          <w:p>
            <w:pPr>
              <w:pStyle w:val="TableParagraph"/>
              <w:spacing w:line="272" w:lineRule="exact" w:before="27"/>
              <w:ind w:left="103" w:right="247"/>
              <w:jc w:val="left"/>
              <w:rPr>
                <w:rFonts w:ascii="宋体" w:hAnsi="宋体" w:cs="宋体" w:eastAsia="宋体" w:hint="default"/>
                <w:sz w:val="21"/>
                <w:szCs w:val="21"/>
              </w:rPr>
            </w:pPr>
            <w:r>
              <w:rPr>
                <w:rFonts w:ascii="宋体" w:hAnsi="宋体" w:cs="宋体" w:eastAsia="宋体" w:hint="default"/>
                <w:sz w:val="21"/>
                <w:szCs w:val="21"/>
              </w:rPr>
              <w:t>日起满</w:t>
            </w:r>
            <w:r>
              <w:rPr>
                <w:rFonts w:ascii="宋体" w:hAnsi="宋体" w:cs="宋体" w:eastAsia="宋体" w:hint="default"/>
                <w:spacing w:val="-102"/>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r>
      <w:tr>
        <w:trPr>
          <w:trHeight w:val="826"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6</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99"/>
              <w:jc w:val="left"/>
              <w:rPr>
                <w:rFonts w:ascii="宋体" w:hAnsi="宋体" w:cs="宋体" w:eastAsia="宋体" w:hint="default"/>
                <w:sz w:val="21"/>
                <w:szCs w:val="21"/>
              </w:rPr>
            </w:pPr>
            <w:r>
              <w:rPr>
                <w:rFonts w:ascii="宋体" w:hAnsi="宋体" w:cs="宋体" w:eastAsia="宋体" w:hint="default"/>
                <w:sz w:val="21"/>
                <w:szCs w:val="21"/>
              </w:rPr>
              <w:t>浙江海宁嘉慧投资合伙</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企业（有限合伙）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4,000,000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上市之</w:t>
            </w:r>
          </w:p>
          <w:p>
            <w:pPr>
              <w:pStyle w:val="TableParagraph"/>
              <w:spacing w:line="240" w:lineRule="auto"/>
              <w:ind w:left="103" w:right="247"/>
              <w:jc w:val="left"/>
              <w:rPr>
                <w:rFonts w:ascii="宋体" w:hAnsi="宋体" w:cs="宋体" w:eastAsia="宋体" w:hint="default"/>
                <w:sz w:val="21"/>
                <w:szCs w:val="21"/>
              </w:rPr>
            </w:pPr>
            <w:r>
              <w:rPr>
                <w:rFonts w:ascii="宋体" w:hAnsi="宋体" w:cs="宋体" w:eastAsia="宋体" w:hint="default"/>
                <w:sz w:val="21"/>
                <w:szCs w:val="21"/>
              </w:rPr>
              <w:t>日起满</w:t>
            </w:r>
            <w:r>
              <w:rPr>
                <w:rFonts w:ascii="宋体" w:hAnsi="宋体" w:cs="宋体" w:eastAsia="宋体" w:hint="default"/>
                <w:spacing w:val="-102"/>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r>
      <w:tr>
        <w:trPr>
          <w:trHeight w:val="828"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7</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99"/>
              <w:jc w:val="left"/>
              <w:rPr>
                <w:rFonts w:ascii="宋体" w:hAnsi="宋体" w:cs="宋体" w:eastAsia="宋体" w:hint="default"/>
                <w:sz w:val="21"/>
                <w:szCs w:val="21"/>
              </w:rPr>
            </w:pPr>
            <w:r>
              <w:rPr>
                <w:rFonts w:ascii="宋体" w:hAnsi="宋体" w:cs="宋体" w:eastAsia="宋体" w:hint="default"/>
                <w:sz w:val="21"/>
                <w:szCs w:val="21"/>
              </w:rPr>
              <w:t>天津颐润投资管理有限</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3,950,000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7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3,950,000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上市之</w:t>
            </w:r>
          </w:p>
          <w:p>
            <w:pPr>
              <w:pStyle w:val="TableParagraph"/>
              <w:spacing w:line="272" w:lineRule="exact" w:before="27"/>
              <w:ind w:left="103" w:right="247"/>
              <w:jc w:val="left"/>
              <w:rPr>
                <w:rFonts w:ascii="宋体" w:hAnsi="宋体" w:cs="宋体" w:eastAsia="宋体" w:hint="default"/>
                <w:sz w:val="21"/>
                <w:szCs w:val="21"/>
              </w:rPr>
            </w:pPr>
            <w:r>
              <w:rPr>
                <w:rFonts w:ascii="宋体" w:hAnsi="宋体" w:cs="宋体" w:eastAsia="宋体" w:hint="default"/>
                <w:sz w:val="21"/>
                <w:szCs w:val="21"/>
              </w:rPr>
              <w:t>日起满</w:t>
            </w:r>
            <w:r>
              <w:rPr>
                <w:rFonts w:ascii="宋体" w:hAnsi="宋体" w:cs="宋体" w:eastAsia="宋体" w:hint="default"/>
                <w:spacing w:val="-102"/>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r>
      <w:tr>
        <w:trPr>
          <w:trHeight w:val="826"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8</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肖平</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3,000,000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上市之</w:t>
            </w:r>
          </w:p>
          <w:p>
            <w:pPr>
              <w:pStyle w:val="TableParagraph"/>
              <w:spacing w:line="240" w:lineRule="auto"/>
              <w:ind w:left="103" w:right="247"/>
              <w:jc w:val="left"/>
              <w:rPr>
                <w:rFonts w:ascii="宋体" w:hAnsi="宋体" w:cs="宋体" w:eastAsia="宋体" w:hint="default"/>
                <w:sz w:val="21"/>
                <w:szCs w:val="21"/>
              </w:rPr>
            </w:pPr>
            <w:r>
              <w:rPr>
                <w:rFonts w:ascii="宋体" w:hAnsi="宋体" w:cs="宋体" w:eastAsia="宋体" w:hint="default"/>
                <w:sz w:val="21"/>
                <w:szCs w:val="21"/>
              </w:rPr>
              <w:t>日起满</w:t>
            </w:r>
            <w:r>
              <w:rPr>
                <w:rFonts w:ascii="宋体" w:hAnsi="宋体" w:cs="宋体" w:eastAsia="宋体" w:hint="default"/>
                <w:spacing w:val="-102"/>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r>
      <w:tr>
        <w:trPr>
          <w:trHeight w:val="828"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9</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薛晓忠</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7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2,000,000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上市之</w:t>
            </w:r>
          </w:p>
          <w:p>
            <w:pPr>
              <w:pStyle w:val="TableParagraph"/>
              <w:spacing w:line="240" w:lineRule="auto"/>
              <w:ind w:left="103" w:right="247"/>
              <w:jc w:val="left"/>
              <w:rPr>
                <w:rFonts w:ascii="宋体" w:hAnsi="宋体" w:cs="宋体" w:eastAsia="宋体" w:hint="default"/>
                <w:sz w:val="21"/>
                <w:szCs w:val="21"/>
              </w:rPr>
            </w:pPr>
            <w:r>
              <w:rPr>
                <w:rFonts w:ascii="宋体" w:hAnsi="宋体" w:cs="宋体" w:eastAsia="宋体" w:hint="default"/>
                <w:sz w:val="21"/>
                <w:szCs w:val="21"/>
              </w:rPr>
              <w:t>日起满</w:t>
            </w:r>
            <w:r>
              <w:rPr>
                <w:rFonts w:ascii="宋体" w:hAnsi="宋体" w:cs="宋体" w:eastAsia="宋体" w:hint="default"/>
                <w:spacing w:val="-102"/>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r>
      <w:tr>
        <w:trPr>
          <w:trHeight w:val="828"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吴龙云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1,600,000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7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1,600,000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上市之</w:t>
            </w:r>
          </w:p>
          <w:p>
            <w:pPr>
              <w:pStyle w:val="TableParagraph"/>
              <w:spacing w:line="272" w:lineRule="exact" w:before="27"/>
              <w:ind w:left="103" w:right="247"/>
              <w:jc w:val="left"/>
              <w:rPr>
                <w:rFonts w:ascii="宋体" w:hAnsi="宋体" w:cs="宋体" w:eastAsia="宋体" w:hint="default"/>
                <w:sz w:val="21"/>
                <w:szCs w:val="21"/>
              </w:rPr>
            </w:pPr>
            <w:r>
              <w:rPr>
                <w:rFonts w:ascii="宋体" w:hAnsi="宋体" w:cs="宋体" w:eastAsia="宋体" w:hint="default"/>
                <w:sz w:val="21"/>
                <w:szCs w:val="21"/>
              </w:rPr>
              <w:t>日起满</w:t>
            </w:r>
            <w:r>
              <w:rPr>
                <w:rFonts w:ascii="宋体" w:hAnsi="宋体" w:cs="宋体" w:eastAsia="宋体" w:hint="default"/>
                <w:spacing w:val="-102"/>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r>
      <w:tr>
        <w:trPr>
          <w:trHeight w:val="826" w:hRule="exact"/>
        </w:trPr>
        <w:tc>
          <w:tcPr>
            <w:tcW w:w="29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动的说明</w:t>
            </w:r>
          </w:p>
        </w:tc>
        <w:tc>
          <w:tcPr>
            <w:tcW w:w="6078" w:type="dxa"/>
            <w:gridSpan w:val="4"/>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王淑琴与公司实际控制人江浩然及控股股东恒融投资的股东江</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pacing w:val="-2"/>
                <w:sz w:val="21"/>
                <w:szCs w:val="21"/>
              </w:rPr>
              <w:t>斐然为的母亲子关系，除上述关系外，公司未知其他股东之间是</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否存在关联关系或是否属于一致行动人。</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tabs>
          <w:tab w:pos="784" w:val="left" w:leader="none"/>
        </w:tabs>
        <w:spacing w:line="240" w:lineRule="auto" w:before="36"/>
        <w:ind w:right="3084"/>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40" w:lineRule="auto" w:before="32"/>
        <w:ind w:left="218" w:right="3084"/>
        <w:jc w:val="left"/>
      </w:pPr>
      <w:r>
        <w:rPr/>
        <w:t>□适用</w:t>
      </w:r>
      <w:r>
        <w:rPr>
          <w:spacing w:val="-1"/>
        </w:rPr>
        <w:t> </w:t>
      </w:r>
      <w:r>
        <w:rPr/>
        <w:t>√不适用</w:t>
      </w:r>
    </w:p>
    <w:p>
      <w:pPr>
        <w:pStyle w:val="Heading2"/>
        <w:spacing w:line="240" w:lineRule="auto" w:before="56"/>
        <w:ind w:right="3084"/>
        <w:jc w:val="left"/>
        <w:rPr>
          <w:b w:val="0"/>
          <w:bCs w:val="0"/>
        </w:rPr>
      </w:pPr>
      <w:r>
        <w:rPr/>
        <w:t>四、</w:t>
      </w:r>
      <w:r>
        <w:rPr>
          <w:spacing w:val="-79"/>
        </w:rPr>
        <w:t> </w:t>
      </w:r>
      <w:r>
        <w:rPr/>
        <w:t>控股股东及实际控制人情况</w:t>
      </w:r>
      <w:r>
        <w:rPr>
          <w:b w:val="0"/>
          <w:bCs w:val="0"/>
        </w:rPr>
      </w:r>
    </w:p>
    <w:p>
      <w:pPr>
        <w:pStyle w:val="Heading2"/>
        <w:tabs>
          <w:tab w:pos="637" w:val="left" w:leader="none"/>
        </w:tabs>
        <w:spacing w:line="264" w:lineRule="auto" w:before="58"/>
        <w:ind w:right="737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37"/>
        <w:ind w:left="218" w:right="3084"/>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恒融投资集团有限公司</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江浩然</w:t>
            </w:r>
          </w:p>
        </w:tc>
      </w:tr>
      <w:tr>
        <w:trPr>
          <w:trHeight w:val="28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投资及投资管理；技术咨询服务；财务顾问；出租商业用房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（未取得行政许可的项目除外）</w:t>
            </w: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tabs>
          <w:tab w:pos="637" w:val="left" w:leader="none"/>
        </w:tabs>
        <w:spacing w:line="240" w:lineRule="auto" w:before="36"/>
        <w:ind w:right="3084"/>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58"/>
        <w:ind w:left="218" w:right="3084"/>
        <w:jc w:val="left"/>
      </w:pPr>
      <w:r>
        <w:rPr/>
        <w:t>□适用</w:t>
      </w:r>
      <w:r>
        <w:rPr>
          <w:spacing w:val="-1"/>
        </w:rPr>
        <w:t> </w:t>
      </w:r>
      <w:r>
        <w:rPr/>
        <w:t>√不适用</w:t>
      </w:r>
    </w:p>
    <w:p>
      <w:pPr>
        <w:pStyle w:val="Heading2"/>
        <w:tabs>
          <w:tab w:pos="637" w:val="left" w:leader="none"/>
        </w:tabs>
        <w:spacing w:line="240" w:lineRule="auto" w:before="56"/>
        <w:ind w:right="3084"/>
        <w:jc w:val="left"/>
        <w:rPr>
          <w:b w:val="0"/>
          <w:bCs w:val="0"/>
        </w:rPr>
      </w:pPr>
      <w:r>
        <w:rPr>
          <w:rFonts w:ascii="宋体" w:hAnsi="宋体" w:cs="宋体" w:eastAsia="宋体" w:hint="default"/>
          <w:w w:val="95"/>
        </w:rPr>
        <w:t>3</w:t>
        <w:tab/>
      </w:r>
      <w:r>
        <w:rPr/>
        <w:t>公司不存在控股股东情况的特别说明</w:t>
      </w:r>
      <w:r>
        <w:rPr>
          <w:b w:val="0"/>
          <w:bCs w:val="0"/>
        </w:rPr>
      </w:r>
    </w:p>
    <w:p>
      <w:pPr>
        <w:pStyle w:val="BodyText"/>
        <w:spacing w:line="240" w:lineRule="auto" w:before="59"/>
        <w:ind w:left="218" w:right="3084"/>
        <w:jc w:val="left"/>
      </w:pPr>
      <w:r>
        <w:rPr/>
        <w:t>□适用</w:t>
      </w:r>
      <w:r>
        <w:rPr>
          <w:spacing w:val="-1"/>
        </w:rPr>
        <w:t> </w:t>
      </w:r>
      <w:r>
        <w:rPr/>
        <w:t>√不适用</w:t>
      </w:r>
    </w:p>
    <w:p>
      <w:pPr>
        <w:spacing w:after="0" w:line="240" w:lineRule="auto"/>
        <w:jc w:val="left"/>
        <w:sectPr>
          <w:footerReference w:type="default" r:id="rId28"/>
          <w:pgSz w:w="11910" w:h="16840"/>
          <w:pgMar w:footer="1195" w:header="880" w:top="1120" w:bottom="1380" w:left="1580" w:right="1040"/>
        </w:sectPr>
      </w:pPr>
    </w:p>
    <w:p>
      <w:pPr>
        <w:spacing w:line="240" w:lineRule="auto" w:before="4"/>
        <w:rPr>
          <w:rFonts w:ascii="宋体" w:hAnsi="宋体" w:cs="宋体" w:eastAsia="宋体" w:hint="default"/>
          <w:sz w:val="25"/>
          <w:szCs w:val="25"/>
        </w:rPr>
      </w:pPr>
    </w:p>
    <w:p>
      <w:pPr>
        <w:pStyle w:val="Heading2"/>
        <w:tabs>
          <w:tab w:pos="637" w:val="left" w:leader="none"/>
        </w:tabs>
        <w:spacing w:line="240" w:lineRule="auto" w:before="36"/>
        <w:ind w:right="3084"/>
        <w:jc w:val="left"/>
        <w:rPr>
          <w:b w:val="0"/>
          <w:bCs w:val="0"/>
        </w:rPr>
      </w:pPr>
      <w:r>
        <w:rPr>
          <w:rFonts w:ascii="宋体" w:hAnsi="宋体" w:cs="宋体" w:eastAsia="宋体" w:hint="default"/>
          <w:w w:val="95"/>
        </w:rPr>
        <w:t>4</w:t>
        <w:tab/>
      </w:r>
      <w:r>
        <w:rPr/>
        <w:t>报告期内控股股东变更情况索引及日期</w:t>
      </w:r>
      <w:r>
        <w:rPr>
          <w:b w:val="0"/>
          <w:bCs w:val="0"/>
        </w:rPr>
      </w:r>
    </w:p>
    <w:p>
      <w:pPr>
        <w:pStyle w:val="BodyText"/>
        <w:spacing w:line="240" w:lineRule="auto" w:before="58"/>
        <w:ind w:left="218" w:right="3084"/>
        <w:jc w:val="left"/>
      </w:pPr>
      <w:r>
        <w:rPr/>
        <w:t>□适用</w:t>
      </w:r>
      <w:r>
        <w:rPr>
          <w:spacing w:val="-1"/>
        </w:rPr>
        <w:t> </w:t>
      </w:r>
      <w:r>
        <w:rPr/>
        <w:t>√不适用</w:t>
      </w:r>
    </w:p>
    <w:p>
      <w:pPr>
        <w:pStyle w:val="Heading2"/>
        <w:tabs>
          <w:tab w:pos="637" w:val="left" w:leader="none"/>
        </w:tabs>
        <w:spacing w:line="240" w:lineRule="auto" w:before="56"/>
        <w:ind w:right="3084"/>
        <w:jc w:val="left"/>
        <w:rPr>
          <w:b w:val="0"/>
          <w:bCs w:val="0"/>
        </w:rPr>
      </w:pPr>
      <w:r>
        <w:rPr>
          <w:rFonts w:ascii="宋体" w:hAnsi="宋体" w:cs="宋体" w:eastAsia="宋体" w:hint="default"/>
          <w:w w:val="95"/>
        </w:rPr>
        <w:t>5</w:t>
        <w:tab/>
      </w:r>
      <w:r>
        <w:rPr/>
        <w:t>公司与控股股东之间的产权及控制关系的方框图</w:t>
      </w:r>
      <w:r>
        <w:rPr>
          <w:b w:val="0"/>
          <w:bCs w:val="0"/>
        </w:rPr>
      </w:r>
    </w:p>
    <w:p>
      <w:pPr>
        <w:pStyle w:val="BodyText"/>
        <w:spacing w:line="240" w:lineRule="auto" w:before="58"/>
        <w:ind w:left="218" w:right="3084"/>
        <w:jc w:val="left"/>
      </w:pPr>
      <w:r>
        <w:rPr/>
        <w:t>√适用</w:t>
      </w:r>
      <w:r>
        <w:rPr>
          <w:spacing w:val="-1"/>
        </w:rPr>
        <w:t> </w:t>
      </w:r>
      <w:r>
        <w:rPr/>
        <w:t>□不适用</w:t>
      </w:r>
    </w:p>
    <w:p>
      <w:pPr>
        <w:spacing w:line="240" w:lineRule="auto" w:before="5"/>
        <w:rPr>
          <w:rFonts w:ascii="宋体" w:hAnsi="宋体" w:cs="宋体" w:eastAsia="宋体" w:hint="default"/>
          <w:sz w:val="2"/>
          <w:szCs w:val="2"/>
        </w:rPr>
      </w:pPr>
    </w:p>
    <w:p>
      <w:pPr>
        <w:spacing w:line="3672" w:lineRule="exact"/>
        <w:ind w:left="1544" w:right="0" w:firstLine="0"/>
        <w:rPr>
          <w:rFonts w:ascii="宋体" w:hAnsi="宋体" w:cs="宋体" w:eastAsia="宋体" w:hint="default"/>
          <w:sz w:val="20"/>
          <w:szCs w:val="20"/>
        </w:rPr>
      </w:pPr>
      <w:r>
        <w:rPr>
          <w:rFonts w:ascii="宋体" w:hAnsi="宋体" w:cs="宋体" w:eastAsia="宋体" w:hint="default"/>
          <w:position w:val="-72"/>
          <w:sz w:val="20"/>
          <w:szCs w:val="20"/>
        </w:rPr>
        <w:drawing>
          <wp:inline distT="0" distB="0" distL="0" distR="0">
            <wp:extent cx="3904733" cy="233172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30" cstate="print"/>
                    <a:stretch>
                      <a:fillRect/>
                    </a:stretch>
                  </pic:blipFill>
                  <pic:spPr>
                    <a:xfrm>
                      <a:off x="0" y="0"/>
                      <a:ext cx="3904733" cy="2331720"/>
                    </a:xfrm>
                    <a:prstGeom prst="rect">
                      <a:avLst/>
                    </a:prstGeom>
                  </pic:spPr>
                </pic:pic>
              </a:graphicData>
            </a:graphic>
          </wp:inline>
        </w:drawing>
      </w:r>
      <w:r>
        <w:rPr>
          <w:rFonts w:ascii="宋体" w:hAnsi="宋体" w:cs="宋体" w:eastAsia="宋体" w:hint="default"/>
          <w:position w:val="-72"/>
          <w:sz w:val="20"/>
          <w:szCs w:val="20"/>
        </w:rPr>
      </w:r>
    </w:p>
    <w:p>
      <w:pPr>
        <w:spacing w:line="240" w:lineRule="auto" w:before="2"/>
        <w:rPr>
          <w:rFonts w:ascii="宋体" w:hAnsi="宋体" w:cs="宋体" w:eastAsia="宋体" w:hint="default"/>
          <w:sz w:val="24"/>
          <w:szCs w:val="24"/>
        </w:rPr>
      </w:pPr>
    </w:p>
    <w:p>
      <w:pPr>
        <w:pStyle w:val="Heading2"/>
        <w:tabs>
          <w:tab w:pos="642" w:val="left" w:leader="none"/>
        </w:tabs>
        <w:spacing w:line="266" w:lineRule="auto"/>
        <w:ind w:right="71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tabs>
          <w:tab w:pos="642" w:val="left" w:leader="none"/>
        </w:tabs>
        <w:spacing w:line="290" w:lineRule="auto" w:before="33"/>
        <w:ind w:left="218" w:right="748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自然人</w:t>
      </w:r>
      <w:r>
        <w:rPr>
          <w:rFonts w:ascii="宋体" w:hAnsi="宋体" w:cs="宋体" w:eastAsia="宋体" w:hint="default"/>
          <w:sz w:val="21"/>
          <w:szCs w:val="21"/>
        </w:rPr>
      </w:r>
    </w:p>
    <w:p>
      <w:pPr>
        <w:pStyle w:val="BodyText"/>
        <w:spacing w:line="240" w:lineRule="auto" w:before="12"/>
        <w:ind w:left="218" w:right="3084"/>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2"/>
        <w:gridCol w:w="5658"/>
      </w:tblGrid>
      <w:tr>
        <w:trPr>
          <w:trHeight w:val="281"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江浩然</w:t>
            </w:r>
          </w:p>
        </w:tc>
      </w:tr>
      <w:tr>
        <w:trPr>
          <w:trHeight w:val="283"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中华人民共和国</w:t>
            </w:r>
          </w:p>
        </w:tc>
      </w:tr>
      <w:tr>
        <w:trPr>
          <w:trHeight w:val="283"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0"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党委书记、董事长</w:t>
            </w:r>
          </w:p>
        </w:tc>
      </w:tr>
      <w:tr>
        <w:trPr>
          <w:trHeight w:val="554"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过去 </w:t>
            </w:r>
            <w:r>
              <w:rPr>
                <w:rFonts w:ascii="宋体" w:hAnsi="宋体" w:cs="宋体" w:eastAsia="宋体" w:hint="default"/>
                <w:sz w:val="21"/>
                <w:szCs w:val="21"/>
              </w:rPr>
              <w:t>10</w:t>
            </w:r>
            <w:r>
              <w:rPr>
                <w:rFonts w:ascii="宋体" w:hAnsi="宋体" w:cs="宋体" w:eastAsia="宋体" w:hint="default"/>
                <w:spacing w:val="22"/>
                <w:sz w:val="21"/>
                <w:szCs w:val="21"/>
              </w:rPr>
              <w:t> </w:t>
            </w:r>
            <w:r>
              <w:rPr>
                <w:rFonts w:ascii="宋体" w:hAnsi="宋体" w:cs="宋体" w:eastAsia="宋体" w:hint="default"/>
                <w:sz w:val="21"/>
                <w:szCs w:val="21"/>
              </w:rPr>
              <w:t>年曾控股的境内外上市公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司情况</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tabs>
          <w:tab w:pos="642" w:val="left" w:leader="none"/>
        </w:tabs>
        <w:spacing w:line="240" w:lineRule="auto" w:before="36"/>
        <w:ind w:right="3084"/>
        <w:jc w:val="left"/>
        <w:rPr>
          <w:b w:val="0"/>
          <w:bCs w:val="0"/>
        </w:rPr>
      </w:pPr>
      <w:r>
        <w:rPr>
          <w:rFonts w:ascii="宋体" w:hAnsi="宋体" w:cs="宋体" w:eastAsia="宋体" w:hint="default"/>
          <w:w w:val="95"/>
        </w:rPr>
        <w:t>3</w:t>
        <w:tab/>
      </w:r>
      <w:r>
        <w:rPr/>
        <w:t>公司不存在实际控制人情况的特别说明</w:t>
      </w:r>
      <w:r>
        <w:rPr>
          <w:b w:val="0"/>
          <w:bCs w:val="0"/>
        </w:rPr>
      </w:r>
    </w:p>
    <w:p>
      <w:pPr>
        <w:pStyle w:val="BodyText"/>
        <w:spacing w:line="240" w:lineRule="auto" w:before="56"/>
        <w:ind w:left="218" w:right="308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642" w:val="left" w:leader="none"/>
        </w:tabs>
        <w:spacing w:line="240" w:lineRule="auto"/>
        <w:ind w:right="3084"/>
        <w:jc w:val="left"/>
        <w:rPr>
          <w:b w:val="0"/>
          <w:bCs w:val="0"/>
        </w:rPr>
      </w:pPr>
      <w:r>
        <w:rPr>
          <w:rFonts w:ascii="宋体" w:hAnsi="宋体" w:cs="宋体" w:eastAsia="宋体" w:hint="default"/>
          <w:w w:val="95"/>
        </w:rPr>
        <w:t>4</w:t>
        <w:tab/>
      </w:r>
      <w:r>
        <w:rPr/>
        <w:t>报告期内实际控制人变更情况索引及日期</w:t>
      </w:r>
      <w:r>
        <w:rPr>
          <w:b w:val="0"/>
          <w:bCs w:val="0"/>
        </w:rPr>
      </w:r>
    </w:p>
    <w:p>
      <w:pPr>
        <w:pStyle w:val="BodyText"/>
        <w:spacing w:line="240" w:lineRule="auto" w:before="58"/>
        <w:ind w:left="218" w:right="308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642" w:val="left" w:leader="none"/>
        </w:tabs>
        <w:spacing w:line="240" w:lineRule="auto"/>
        <w:ind w:right="3084"/>
        <w:jc w:val="left"/>
        <w:rPr>
          <w:b w:val="0"/>
          <w:bCs w:val="0"/>
        </w:rPr>
      </w:pPr>
      <w:r>
        <w:rPr>
          <w:rFonts w:ascii="宋体" w:hAnsi="宋体" w:cs="宋体" w:eastAsia="宋体" w:hint="default"/>
          <w:w w:val="95"/>
        </w:rPr>
        <w:t>5</w:t>
        <w:tab/>
      </w:r>
      <w:r>
        <w:rPr/>
        <w:t>公司与实际控制人之间的产权及控制关系的方框图</w:t>
      </w:r>
      <w:r>
        <w:rPr>
          <w:b w:val="0"/>
          <w:bCs w:val="0"/>
        </w:rPr>
      </w:r>
    </w:p>
    <w:p>
      <w:pPr>
        <w:pStyle w:val="BodyText"/>
        <w:spacing w:line="240" w:lineRule="auto" w:before="56"/>
        <w:ind w:left="218" w:right="3084"/>
        <w:jc w:val="left"/>
      </w:pPr>
      <w:r>
        <w:rPr/>
        <w:t>√适用</w:t>
      </w:r>
      <w:r>
        <w:rPr>
          <w:spacing w:val="-1"/>
        </w:rPr>
        <w:t> </w:t>
      </w:r>
      <w:r>
        <w:rPr/>
        <w:t>□不适用</w:t>
      </w:r>
    </w:p>
    <w:p>
      <w:pPr>
        <w:spacing w:after="0" w:line="240" w:lineRule="auto"/>
        <w:jc w:val="left"/>
        <w:sectPr>
          <w:footerReference w:type="default" r:id="rId29"/>
          <w:pgSz w:w="11910" w:h="16840"/>
          <w:pgMar w:footer="1195" w:header="880" w:top="1120" w:bottom="1380" w:left="1580" w:right="1040"/>
          <w:pgNumType w:start="51"/>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p>
      <w:pPr>
        <w:spacing w:line="4085" w:lineRule="exact"/>
        <w:ind w:left="1515" w:right="0" w:firstLine="0"/>
        <w:rPr>
          <w:rFonts w:ascii="宋体" w:hAnsi="宋体" w:cs="宋体" w:eastAsia="宋体" w:hint="default"/>
          <w:sz w:val="20"/>
          <w:szCs w:val="20"/>
        </w:rPr>
      </w:pPr>
      <w:r>
        <w:rPr>
          <w:rFonts w:ascii="宋体" w:hAnsi="宋体" w:cs="宋体" w:eastAsia="宋体" w:hint="default"/>
          <w:position w:val="-81"/>
          <w:sz w:val="20"/>
          <w:szCs w:val="20"/>
        </w:rPr>
        <w:drawing>
          <wp:inline distT="0" distB="0" distL="0" distR="0">
            <wp:extent cx="3857348" cy="2594038"/>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31" cstate="print"/>
                    <a:stretch>
                      <a:fillRect/>
                    </a:stretch>
                  </pic:blipFill>
                  <pic:spPr>
                    <a:xfrm>
                      <a:off x="0" y="0"/>
                      <a:ext cx="3857348" cy="2594038"/>
                    </a:xfrm>
                    <a:prstGeom prst="rect">
                      <a:avLst/>
                    </a:prstGeom>
                  </pic:spPr>
                </pic:pic>
              </a:graphicData>
            </a:graphic>
          </wp:inline>
        </w:drawing>
      </w:r>
      <w:r>
        <w:rPr>
          <w:rFonts w:ascii="宋体" w:hAnsi="宋体" w:cs="宋体" w:eastAsia="宋体" w:hint="default"/>
          <w:position w:val="-81"/>
          <w:sz w:val="20"/>
          <w:szCs w:val="20"/>
        </w:rPr>
      </w:r>
    </w:p>
    <w:p>
      <w:pPr>
        <w:spacing w:line="240" w:lineRule="auto" w:before="1"/>
        <w:rPr>
          <w:rFonts w:ascii="宋体" w:hAnsi="宋体" w:cs="宋体" w:eastAsia="宋体" w:hint="default"/>
          <w:sz w:val="20"/>
          <w:szCs w:val="20"/>
        </w:rPr>
      </w:pPr>
    </w:p>
    <w:p>
      <w:pPr>
        <w:pStyle w:val="Heading2"/>
        <w:tabs>
          <w:tab w:pos="562" w:val="left" w:leader="none"/>
        </w:tabs>
        <w:spacing w:line="240" w:lineRule="auto" w:before="36"/>
        <w:ind w:left="138" w:right="0"/>
        <w:jc w:val="left"/>
        <w:rPr>
          <w:b w:val="0"/>
          <w:bCs w:val="0"/>
        </w:rPr>
      </w:pPr>
      <w:r>
        <w:rPr>
          <w:rFonts w:ascii="宋体" w:hAnsi="宋体" w:cs="宋体" w:eastAsia="宋体" w:hint="default"/>
          <w:w w:val="95"/>
        </w:rPr>
        <w:t>6</w:t>
        <w:tab/>
      </w:r>
      <w:r>
        <w:rPr/>
        <w:t>实际控制人通过信托或其他资产管理方式控制公司</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spacing w:line="240" w:lineRule="auto" w:before="29"/>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t>五、</w:t>
      </w:r>
      <w:r>
        <w:rPr>
          <w:spacing w:val="-78"/>
        </w:rPr>
        <w:t> </w:t>
      </w:r>
      <w:r>
        <w:rPr/>
        <w:t>其他持股在百分之十以上的法人股东</w:t>
      </w:r>
      <w:r>
        <w:rPr>
          <w:b w:val="0"/>
          <w:bCs w:val="0"/>
        </w:rPr>
      </w:r>
    </w:p>
    <w:p>
      <w:pPr>
        <w:pStyle w:val="BodyText"/>
        <w:spacing w:line="240" w:lineRule="auto" w:before="59"/>
        <w:ind w:right="0"/>
        <w:jc w:val="left"/>
      </w:pPr>
      <w:r>
        <w:rPr/>
        <w:t>□适用</w:t>
      </w:r>
      <w:r>
        <w:rPr>
          <w:spacing w:val="-1"/>
        </w:rPr>
        <w:t> </w:t>
      </w:r>
      <w:r>
        <w:rPr/>
        <w:t>√不适用</w:t>
      </w:r>
    </w:p>
    <w:p>
      <w:pPr>
        <w:pStyle w:val="Heading2"/>
        <w:spacing w:line="240" w:lineRule="auto" w:before="56"/>
        <w:ind w:left="138" w:right="0"/>
        <w:jc w:val="left"/>
        <w:rPr>
          <w:b w:val="0"/>
          <w:bCs w:val="0"/>
        </w:rPr>
      </w:pPr>
      <w:r>
        <w:rPr/>
        <w:t>六、</w:t>
      </w:r>
      <w:r>
        <w:rPr>
          <w:spacing w:val="-77"/>
        </w:rPr>
        <w:t> </w:t>
      </w:r>
      <w:r>
        <w:rPr/>
        <w:t>股份限制减持情况说明</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Heading1"/>
        <w:tabs>
          <w:tab w:pos="4199" w:val="left" w:leader="none"/>
        </w:tabs>
        <w:spacing w:line="240" w:lineRule="auto"/>
        <w:ind w:left="2939" w:right="0"/>
        <w:jc w:val="left"/>
        <w:rPr>
          <w:b w:val="0"/>
          <w:bCs w:val="0"/>
        </w:rPr>
      </w:pPr>
      <w:bookmarkStart w:name="_TOC_250005" w:id="7"/>
      <w:r>
        <w:rPr>
          <w:w w:val="95"/>
        </w:rPr>
        <w:t>第七节</w:t>
        <w:tab/>
      </w:r>
      <w:r>
        <w:rPr/>
        <w:t>优先股相关情况</w:t>
      </w:r>
      <w:bookmarkEnd w:id="7"/>
      <w:r>
        <w:rPr>
          <w:b w:val="0"/>
          <w:bCs w:val="0"/>
        </w:rPr>
      </w:r>
    </w:p>
    <w:p>
      <w:pPr>
        <w:spacing w:line="240" w:lineRule="auto" w:before="4"/>
        <w:rPr>
          <w:rFonts w:ascii="黑体" w:hAnsi="黑体" w:cs="黑体" w:eastAsia="黑体" w:hint="default"/>
          <w:b/>
          <w:bCs/>
          <w:sz w:val="19"/>
          <w:szCs w:val="19"/>
        </w:rPr>
      </w:pPr>
    </w:p>
    <w:p>
      <w:pPr>
        <w:pStyle w:val="BodyText"/>
        <w:spacing w:line="240" w:lineRule="auto"/>
        <w:ind w:right="0"/>
        <w:jc w:val="left"/>
      </w:pPr>
      <w:r>
        <w:rPr/>
        <w:t>□适用</w:t>
      </w:r>
      <w:r>
        <w:rPr>
          <w:spacing w:val="-1"/>
        </w:rPr>
        <w:t> </w:t>
      </w:r>
      <w:r>
        <w:rPr/>
        <w:t>√不适用</w:t>
      </w:r>
    </w:p>
    <w:p>
      <w:pPr>
        <w:spacing w:after="0" w:line="240" w:lineRule="auto"/>
        <w:jc w:val="left"/>
        <w:sectPr>
          <w:pgSz w:w="11910" w:h="16840"/>
          <w:pgMar w:header="880" w:footer="1195" w:top="1120" w:bottom="1380" w:left="1660" w:right="1140"/>
        </w:sectPr>
      </w:pPr>
    </w:p>
    <w:p>
      <w:pPr>
        <w:pStyle w:val="Heading1"/>
        <w:tabs>
          <w:tab w:pos="5401" w:val="left" w:leader="none"/>
        </w:tabs>
        <w:spacing w:line="240" w:lineRule="auto" w:before="105"/>
        <w:ind w:left="4141"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32"/>
          <w:footerReference w:type="default" r:id="rId33"/>
          <w:pgSz w:w="16840" w:h="11910" w:orient="landscape"/>
          <w:pgMar w:header="880" w:footer="1195" w:top="1120" w:bottom="1380" w:left="1300" w:right="1200"/>
          <w:pgNumType w:start="53"/>
        </w:sectPr>
      </w:pPr>
    </w:p>
    <w:p>
      <w:pPr>
        <w:pStyle w:val="Heading2"/>
        <w:spacing w:line="240" w:lineRule="auto" w:before="36"/>
        <w:ind w:left="224" w:right="-15"/>
        <w:jc w:val="left"/>
        <w:rPr>
          <w:b w:val="0"/>
          <w:bCs w:val="0"/>
        </w:rPr>
      </w:pPr>
      <w:r>
        <w:rPr/>
        <w:t>一、持股变动情况及报酬情况</w:t>
      </w:r>
      <w:r>
        <w:rPr>
          <w:b w:val="0"/>
          <w:bCs w:val="0"/>
        </w:rPr>
      </w:r>
    </w:p>
    <w:p>
      <w:pPr>
        <w:pStyle w:val="Heading2"/>
        <w:spacing w:line="240" w:lineRule="auto" w:before="56"/>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tabs>
          <w:tab w:pos="1066" w:val="left" w:leader="none"/>
        </w:tabs>
        <w:spacing w:line="240" w:lineRule="auto" w:before="32"/>
        <w:ind w:left="224" w:right="-15"/>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pPr>
      <w:r>
        <w:rPr/>
        <w:t>单位：股</w:t>
      </w:r>
    </w:p>
    <w:p>
      <w:pPr>
        <w:spacing w:after="0" w:line="240" w:lineRule="auto"/>
        <w:jc w:val="left"/>
        <w:sectPr>
          <w:type w:val="continuous"/>
          <w:pgSz w:w="16840" w:h="11910" w:orient="landscape"/>
          <w:pgMar w:top="1120" w:bottom="1380" w:left="1300" w:right="1200"/>
          <w:cols w:num="2" w:equalWidth="0">
            <w:col w:w="6972" w:space="6062"/>
            <w:col w:w="13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848"/>
        <w:gridCol w:w="1274"/>
        <w:gridCol w:w="660"/>
        <w:gridCol w:w="614"/>
        <w:gridCol w:w="1988"/>
        <w:gridCol w:w="1983"/>
        <w:gridCol w:w="1277"/>
        <w:gridCol w:w="1277"/>
        <w:gridCol w:w="992"/>
        <w:gridCol w:w="991"/>
        <w:gridCol w:w="1238"/>
        <w:gridCol w:w="956"/>
      </w:tblGrid>
      <w:tr>
        <w:trPr>
          <w:trHeight w:val="1371"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96" w:right="194"/>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龄</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0"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pacing w:val="-1"/>
                <w:sz w:val="21"/>
                <w:szCs w:val="21"/>
              </w:rPr>
              <w:t>年初持股数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年末持股数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75" w:right="170"/>
              <w:jc w:val="center"/>
              <w:rPr>
                <w:rFonts w:ascii="宋体" w:hAnsi="宋体" w:cs="宋体" w:eastAsia="宋体" w:hint="default"/>
                <w:sz w:val="21"/>
                <w:szCs w:val="21"/>
              </w:rPr>
            </w:pPr>
            <w:r>
              <w:rPr>
                <w:rFonts w:ascii="宋体" w:hAnsi="宋体" w:cs="宋体" w:eastAsia="宋体" w:hint="default"/>
                <w:sz w:val="21"/>
                <w:szCs w:val="21"/>
              </w:rPr>
              <w:t>年度内</w:t>
            </w:r>
            <w:r>
              <w:rPr>
                <w:rFonts w:ascii="宋体" w:hAnsi="宋体" w:cs="宋体" w:eastAsia="宋体" w:hint="default"/>
                <w:w w:val="100"/>
                <w:sz w:val="21"/>
                <w:szCs w:val="21"/>
              </w:rPr>
              <w:t> </w:t>
            </w:r>
            <w:r>
              <w:rPr>
                <w:rFonts w:ascii="宋体" w:hAnsi="宋体" w:cs="宋体" w:eastAsia="宋体" w:hint="default"/>
                <w:sz w:val="21"/>
                <w:szCs w:val="21"/>
              </w:rPr>
              <w:t>股份增</w:t>
            </w:r>
            <w:r>
              <w:rPr>
                <w:rFonts w:ascii="宋体" w:hAnsi="宋体" w:cs="宋体" w:eastAsia="宋体" w:hint="default"/>
                <w:w w:val="100"/>
                <w:sz w:val="21"/>
                <w:szCs w:val="21"/>
              </w:rPr>
              <w:t> </w:t>
            </w:r>
            <w:r>
              <w:rPr>
                <w:rFonts w:ascii="宋体" w:hAnsi="宋体" w:cs="宋体" w:eastAsia="宋体" w:hint="default"/>
                <w:sz w:val="21"/>
                <w:szCs w:val="21"/>
              </w:rPr>
              <w:t>减变动</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75" w:right="170"/>
              <w:jc w:val="left"/>
              <w:rPr>
                <w:rFonts w:ascii="宋体" w:hAnsi="宋体" w:cs="宋体" w:eastAsia="宋体" w:hint="default"/>
                <w:sz w:val="21"/>
                <w:szCs w:val="21"/>
              </w:rPr>
            </w:pPr>
            <w:r>
              <w:rPr>
                <w:rFonts w:ascii="宋体" w:hAnsi="宋体" w:cs="宋体" w:eastAsia="宋体" w:hint="default"/>
                <w:sz w:val="21"/>
                <w:szCs w:val="21"/>
              </w:rPr>
              <w:t>增减变</w:t>
            </w:r>
            <w:r>
              <w:rPr>
                <w:rFonts w:ascii="宋体" w:hAnsi="宋体" w:cs="宋体" w:eastAsia="宋体" w:hint="default"/>
                <w:spacing w:val="-102"/>
                <w:sz w:val="21"/>
                <w:szCs w:val="21"/>
              </w:rPr>
              <w:t> </w:t>
            </w:r>
            <w:r>
              <w:rPr>
                <w:rFonts w:ascii="宋体" w:hAnsi="宋体" w:cs="宋体" w:eastAsia="宋体" w:hint="default"/>
                <w:sz w:val="21"/>
                <w:szCs w:val="21"/>
              </w:rPr>
              <w:t>动原因</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6" w:right="0"/>
              <w:jc w:val="both"/>
              <w:rPr>
                <w:rFonts w:ascii="宋体" w:hAnsi="宋体" w:cs="宋体" w:eastAsia="宋体" w:hint="default"/>
                <w:sz w:val="21"/>
                <w:szCs w:val="21"/>
              </w:rPr>
            </w:pPr>
            <w:r>
              <w:rPr>
                <w:rFonts w:ascii="宋体" w:hAnsi="宋体" w:cs="宋体" w:eastAsia="宋体" w:hint="default"/>
                <w:sz w:val="21"/>
                <w:szCs w:val="21"/>
              </w:rPr>
              <w:t>报告期内</w:t>
            </w:r>
          </w:p>
          <w:p>
            <w:pPr>
              <w:pStyle w:val="TableParagraph"/>
              <w:spacing w:line="237" w:lineRule="auto"/>
              <w:ind w:left="196" w:right="187"/>
              <w:jc w:val="both"/>
              <w:rPr>
                <w:rFonts w:ascii="宋体" w:hAnsi="宋体" w:cs="宋体" w:eastAsia="宋体" w:hint="default"/>
                <w:sz w:val="21"/>
                <w:szCs w:val="21"/>
              </w:rPr>
            </w:pPr>
            <w:r>
              <w:rPr>
                <w:rFonts w:ascii="宋体" w:hAnsi="宋体" w:cs="宋体" w:eastAsia="宋体" w:hint="default"/>
                <w:sz w:val="21"/>
                <w:szCs w:val="21"/>
              </w:rPr>
              <w:t>从公司获</w:t>
            </w:r>
            <w:r>
              <w:rPr>
                <w:rFonts w:ascii="宋体" w:hAnsi="宋体" w:cs="宋体" w:eastAsia="宋体" w:hint="default"/>
                <w:w w:val="100"/>
                <w:sz w:val="21"/>
                <w:szCs w:val="21"/>
              </w:rPr>
              <w:t> </w:t>
            </w:r>
            <w:r>
              <w:rPr>
                <w:rFonts w:ascii="宋体" w:hAnsi="宋体" w:cs="宋体" w:eastAsia="宋体" w:hint="default"/>
                <w:sz w:val="21"/>
                <w:szCs w:val="21"/>
              </w:rPr>
              <w:t>得的税前</w:t>
            </w:r>
            <w:r>
              <w:rPr>
                <w:rFonts w:ascii="宋体" w:hAnsi="宋体" w:cs="宋体" w:eastAsia="宋体" w:hint="default"/>
                <w:spacing w:val="-3"/>
                <w:w w:val="100"/>
                <w:sz w:val="21"/>
                <w:szCs w:val="21"/>
              </w:rPr>
              <w:t> </w:t>
            </w:r>
            <w:r>
              <w:rPr>
                <w:rFonts w:ascii="宋体" w:hAnsi="宋体" w:cs="宋体" w:eastAsia="宋体" w:hint="default"/>
                <w:sz w:val="21"/>
                <w:szCs w:val="21"/>
              </w:rPr>
              <w:t>报酬总额</w:t>
            </w:r>
          </w:p>
          <w:p>
            <w:pPr>
              <w:pStyle w:val="TableParagraph"/>
              <w:spacing w:line="274" w:lineRule="exact"/>
              <w:ind w:left="196" w:right="0"/>
              <w:jc w:val="both"/>
              <w:rPr>
                <w:rFonts w:ascii="宋体" w:hAnsi="宋体" w:cs="宋体" w:eastAsia="宋体" w:hint="default"/>
                <w:sz w:val="21"/>
                <w:szCs w:val="21"/>
              </w:rPr>
            </w:pPr>
            <w:r>
              <w:rPr>
                <w:rFonts w:ascii="宋体" w:hAnsi="宋体" w:cs="宋体" w:eastAsia="宋体" w:hint="default"/>
                <w:sz w:val="21"/>
                <w:szCs w:val="21"/>
              </w:rPr>
              <w:t>（万元）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6" w:right="0"/>
              <w:jc w:val="both"/>
              <w:rPr>
                <w:rFonts w:ascii="宋体" w:hAnsi="宋体" w:cs="宋体" w:eastAsia="宋体" w:hint="default"/>
                <w:sz w:val="21"/>
                <w:szCs w:val="21"/>
              </w:rPr>
            </w:pPr>
            <w:r>
              <w:rPr>
                <w:rFonts w:ascii="宋体" w:hAnsi="宋体" w:cs="宋体" w:eastAsia="宋体" w:hint="default"/>
                <w:sz w:val="21"/>
                <w:szCs w:val="21"/>
              </w:rPr>
              <w:t>是否在</w:t>
            </w:r>
          </w:p>
          <w:p>
            <w:pPr>
              <w:pStyle w:val="TableParagraph"/>
              <w:spacing w:line="237" w:lineRule="auto"/>
              <w:ind w:left="156" w:right="155"/>
              <w:jc w:val="both"/>
              <w:rPr>
                <w:rFonts w:ascii="宋体" w:hAnsi="宋体" w:cs="宋体" w:eastAsia="宋体" w:hint="default"/>
                <w:sz w:val="21"/>
                <w:szCs w:val="21"/>
              </w:rPr>
            </w:pPr>
            <w:r>
              <w:rPr>
                <w:rFonts w:ascii="宋体" w:hAnsi="宋体" w:cs="宋体" w:eastAsia="宋体" w:hint="default"/>
                <w:sz w:val="21"/>
                <w:szCs w:val="21"/>
              </w:rPr>
              <w:t>公司关</w:t>
            </w:r>
            <w:r>
              <w:rPr>
                <w:rFonts w:ascii="宋体" w:hAnsi="宋体" w:cs="宋体" w:eastAsia="宋体" w:hint="default"/>
                <w:spacing w:val="-102"/>
                <w:sz w:val="21"/>
                <w:szCs w:val="21"/>
              </w:rPr>
              <w:t> </w:t>
            </w:r>
            <w:r>
              <w:rPr>
                <w:rFonts w:ascii="宋体" w:hAnsi="宋体" w:cs="宋体" w:eastAsia="宋体" w:hint="default"/>
                <w:sz w:val="21"/>
                <w:szCs w:val="21"/>
              </w:rPr>
              <w:t>联方获</w:t>
            </w:r>
            <w:r>
              <w:rPr>
                <w:rFonts w:ascii="宋体" w:hAnsi="宋体" w:cs="宋体" w:eastAsia="宋体" w:hint="default"/>
                <w:spacing w:val="-102"/>
                <w:sz w:val="21"/>
                <w:szCs w:val="21"/>
              </w:rPr>
              <w:t> </w:t>
            </w:r>
            <w:r>
              <w:rPr>
                <w:rFonts w:ascii="宋体" w:hAnsi="宋体" w:cs="宋体" w:eastAsia="宋体" w:hint="default"/>
                <w:sz w:val="21"/>
                <w:szCs w:val="21"/>
              </w:rPr>
              <w:t>取报酬</w:t>
            </w:r>
          </w:p>
        </w:tc>
      </w:tr>
      <w:tr>
        <w:trPr>
          <w:trHeight w:val="283"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江浩然</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48</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48.00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吴龙云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董事、总裁</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48.58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江斐然</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45</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4"/>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刘昊嘉</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41</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谭小青</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52</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高立里</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35</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邬丁</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42</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王亚君</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55</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49.09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王伟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董事会秘</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书、副总裁</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42</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48.14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赵再兴</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46</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4"/>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48.73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张云峰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42</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47.96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张泉</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55</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48.13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温健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财务负责人</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28.81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秦威</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48</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31.63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梁晓刚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37</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29.97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邓莉</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原职工监事</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33</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4.57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武延宾</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职工监事</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33</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5.68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w w:val="100"/>
                <w:sz w:val="21"/>
              </w:rPr>
              <w:t>/</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w w:val="100"/>
                <w:sz w:val="21"/>
              </w:rPr>
              <w:t>/</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6,100,000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6,100,000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451.29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r>
    </w:tbl>
    <w:p>
      <w:pPr>
        <w:spacing w:after="0" w:line="243" w:lineRule="exact"/>
        <w:jc w:val="center"/>
        <w:rPr>
          <w:rFonts w:ascii="宋体" w:hAnsi="宋体" w:cs="宋体" w:eastAsia="宋体" w:hint="default"/>
          <w:sz w:val="21"/>
          <w:szCs w:val="21"/>
        </w:rPr>
        <w:sectPr>
          <w:type w:val="continuous"/>
          <w:pgSz w:w="16840" w:h="11910" w:orient="landscape"/>
          <w:pgMar w:top="1120" w:bottom="1380" w:left="1300" w:right="1200"/>
        </w:sectPr>
      </w:pPr>
    </w:p>
    <w:p>
      <w:pPr>
        <w:pStyle w:val="BodyText"/>
        <w:spacing w:line="240" w:lineRule="auto" w:before="120"/>
        <w:ind w:left="224" w:right="0"/>
        <w:jc w:val="left"/>
      </w:pPr>
      <w:r>
        <w:rPr/>
        <w:t>说明：</w:t>
      </w:r>
    </w:p>
    <w:p>
      <w:pPr>
        <w:pStyle w:val="BodyText"/>
        <w:spacing w:line="240" w:lineRule="auto" w:before="133"/>
        <w:ind w:left="644" w:right="0"/>
        <w:jc w:val="left"/>
      </w:pPr>
      <w:r>
        <w:rPr/>
        <w:t>原职工监事邓莉于</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3"/>
        </w:rPr>
        <w:t> </w:t>
      </w:r>
      <w:r>
        <w:rPr/>
        <w:t>月因个人原因离任，故其报告期内从公司获得的税前报酬为自</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5"/>
        </w:rPr>
        <w:t> </w:t>
      </w:r>
      <w:r>
        <w:rPr/>
        <w:t>月</w:t>
      </w:r>
      <w:r>
        <w:rPr>
          <w:rFonts w:ascii="宋体" w:hAnsi="宋体" w:cs="宋体" w:eastAsia="宋体" w:hint="default"/>
        </w:rPr>
        <w:t>-7</w:t>
      </w:r>
      <w:r>
        <w:rPr>
          <w:rFonts w:ascii="宋体" w:hAnsi="宋体" w:cs="宋体" w:eastAsia="宋体" w:hint="default"/>
          <w:spacing w:val="-55"/>
        </w:rPr>
        <w:t> </w:t>
      </w:r>
      <w:r>
        <w:rPr/>
        <w:t>月，共计</w:t>
      </w:r>
      <w:r>
        <w:rPr>
          <w:spacing w:val="-55"/>
        </w:rPr>
        <w:t> </w:t>
      </w:r>
      <w:r>
        <w:rPr>
          <w:rFonts w:ascii="宋体" w:hAnsi="宋体" w:cs="宋体" w:eastAsia="宋体" w:hint="default"/>
        </w:rPr>
        <w:t>7</w:t>
      </w:r>
      <w:r>
        <w:rPr>
          <w:rFonts w:ascii="宋体" w:hAnsi="宋体" w:cs="宋体" w:eastAsia="宋体" w:hint="default"/>
          <w:spacing w:val="-53"/>
        </w:rPr>
        <w:t> </w:t>
      </w:r>
      <w:r>
        <w:rPr/>
        <w:t>个月税前报酬总额。</w:t>
      </w:r>
    </w:p>
    <w:p>
      <w:pPr>
        <w:pStyle w:val="BodyText"/>
        <w:spacing w:line="240" w:lineRule="auto" w:before="133"/>
        <w:ind w:left="644" w:right="0"/>
        <w:jc w:val="left"/>
      </w:pPr>
      <w:r>
        <w:rPr/>
        <w:t>职工监事武延宾于</w:t>
      </w:r>
      <w:r>
        <w:rPr>
          <w:spacing w:val="-48"/>
        </w:rPr>
        <w:t> </w:t>
      </w:r>
      <w:r>
        <w:rPr>
          <w:rFonts w:ascii="宋体" w:hAnsi="宋体" w:cs="宋体" w:eastAsia="宋体" w:hint="default"/>
        </w:rPr>
        <w:t>2017</w:t>
      </w:r>
      <w:r>
        <w:rPr>
          <w:rFonts w:ascii="宋体" w:hAnsi="宋体" w:cs="宋体" w:eastAsia="宋体" w:hint="default"/>
          <w:spacing w:val="-50"/>
        </w:rPr>
        <w:t> </w:t>
      </w:r>
      <w:r>
        <w:rPr/>
        <w:t>年</w:t>
      </w:r>
      <w:r>
        <w:rPr>
          <w:spacing w:val="-48"/>
        </w:rPr>
        <w:t> </w:t>
      </w:r>
      <w:r>
        <w:rPr>
          <w:rFonts w:ascii="宋体" w:hAnsi="宋体" w:cs="宋体" w:eastAsia="宋体" w:hint="default"/>
        </w:rPr>
        <w:t>7</w:t>
      </w:r>
      <w:r>
        <w:rPr>
          <w:rFonts w:ascii="宋体" w:hAnsi="宋体" w:cs="宋体" w:eastAsia="宋体" w:hint="default"/>
          <w:spacing w:val="-48"/>
        </w:rPr>
        <w:t> </w:t>
      </w:r>
      <w:r>
        <w:rPr/>
        <w:t>月</w:t>
      </w:r>
      <w:r>
        <w:rPr>
          <w:spacing w:val="-50"/>
        </w:rPr>
        <w:t> </w:t>
      </w:r>
      <w:r>
        <w:rPr>
          <w:rFonts w:ascii="宋体" w:hAnsi="宋体" w:cs="宋体" w:eastAsia="宋体" w:hint="default"/>
        </w:rPr>
        <w:t>18</w:t>
      </w:r>
      <w:r>
        <w:rPr>
          <w:rFonts w:ascii="宋体" w:hAnsi="宋体" w:cs="宋体" w:eastAsia="宋体" w:hint="default"/>
          <w:spacing w:val="-47"/>
        </w:rPr>
        <w:t> </w:t>
      </w:r>
      <w:r>
        <w:rPr/>
        <w:t>日召开的</w:t>
      </w:r>
      <w:r>
        <w:rPr>
          <w:spacing w:val="-48"/>
        </w:rPr>
        <w:t> </w:t>
      </w:r>
      <w:r>
        <w:rPr>
          <w:rFonts w:ascii="宋体" w:hAnsi="宋体" w:cs="宋体" w:eastAsia="宋体" w:hint="default"/>
        </w:rPr>
        <w:t>2017</w:t>
      </w:r>
      <w:r>
        <w:rPr>
          <w:rFonts w:ascii="宋体" w:hAnsi="宋体" w:cs="宋体" w:eastAsia="宋体" w:hint="default"/>
          <w:spacing w:val="-50"/>
        </w:rPr>
        <w:t> </w:t>
      </w:r>
      <w:r>
        <w:rPr/>
        <w:t>年第一次职工代表大会选举产生，故其报告期内从公司获得的税前报酬为自</w:t>
      </w:r>
      <w:r>
        <w:rPr>
          <w:spacing w:val="-50"/>
        </w:rPr>
        <w:t> </w:t>
      </w:r>
      <w:r>
        <w:rPr>
          <w:rFonts w:ascii="宋体" w:hAnsi="宋体" w:cs="宋体" w:eastAsia="宋体" w:hint="default"/>
        </w:rPr>
        <w:t>2017</w:t>
      </w:r>
      <w:r>
        <w:rPr>
          <w:rFonts w:ascii="宋体" w:hAnsi="宋体" w:cs="宋体" w:eastAsia="宋体" w:hint="default"/>
          <w:spacing w:val="-50"/>
        </w:rPr>
        <w:t> </w:t>
      </w:r>
      <w:r>
        <w:rPr/>
        <w:t>年</w:t>
      </w:r>
      <w:r>
        <w:rPr>
          <w:spacing w:val="-48"/>
        </w:rPr>
        <w:t> </w:t>
      </w:r>
      <w:r>
        <w:rPr>
          <w:rFonts w:ascii="宋体" w:hAnsi="宋体" w:cs="宋体" w:eastAsia="宋体" w:hint="default"/>
        </w:rPr>
        <w:t>8</w:t>
      </w:r>
      <w:r>
        <w:rPr>
          <w:rFonts w:ascii="宋体" w:hAnsi="宋体" w:cs="宋体" w:eastAsia="宋体" w:hint="default"/>
          <w:spacing w:val="-48"/>
        </w:rPr>
        <w:t> </w:t>
      </w:r>
      <w:r>
        <w:rPr/>
        <w:t>月</w:t>
      </w:r>
      <w:r>
        <w:rPr>
          <w:rFonts w:ascii="宋体" w:hAnsi="宋体" w:cs="宋体" w:eastAsia="宋体" w:hint="default"/>
        </w:rPr>
        <w:t>-12</w:t>
      </w:r>
      <w:r>
        <w:rPr>
          <w:rFonts w:ascii="宋体" w:hAnsi="宋体" w:cs="宋体" w:eastAsia="宋体" w:hint="default"/>
          <w:spacing w:val="-50"/>
        </w:rPr>
        <w:t> </w:t>
      </w:r>
      <w:r>
        <w:rPr>
          <w:spacing w:val="-3"/>
        </w:rPr>
        <w:t>月，</w:t>
      </w:r>
      <w:r>
        <w:rPr/>
      </w:r>
    </w:p>
    <w:p>
      <w:pPr>
        <w:pStyle w:val="BodyText"/>
        <w:spacing w:line="240" w:lineRule="auto" w:before="133"/>
        <w:ind w:left="224" w:right="0"/>
        <w:jc w:val="left"/>
      </w:pPr>
      <w:r>
        <w:rPr/>
        <w:t>共计</w:t>
      </w:r>
      <w:r>
        <w:rPr>
          <w:spacing w:val="-52"/>
        </w:rPr>
        <w:t> </w:t>
      </w:r>
      <w:r>
        <w:rPr>
          <w:rFonts w:ascii="宋体" w:hAnsi="宋体" w:cs="宋体" w:eastAsia="宋体" w:hint="default"/>
        </w:rPr>
        <w:t>5</w:t>
      </w:r>
      <w:r>
        <w:rPr>
          <w:rFonts w:ascii="宋体" w:hAnsi="宋体" w:cs="宋体" w:eastAsia="宋体" w:hint="default"/>
          <w:spacing w:val="-55"/>
        </w:rPr>
        <w:t> </w:t>
      </w:r>
      <w:r>
        <w:rPr/>
        <w:t>个月税前报酬总额。</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137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江浩然</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江浩然，男，</w:t>
            </w:r>
            <w:r>
              <w:rPr>
                <w:rFonts w:ascii="宋体" w:hAnsi="宋体" w:cs="宋体" w:eastAsia="宋体" w:hint="default"/>
                <w:sz w:val="21"/>
                <w:szCs w:val="21"/>
              </w:rPr>
              <w:t>1970</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7</w:t>
            </w:r>
            <w:r>
              <w:rPr>
                <w:rFonts w:ascii="宋体" w:hAnsi="宋体" w:cs="宋体" w:eastAsia="宋体" w:hint="default"/>
                <w:spacing w:val="-41"/>
                <w:sz w:val="21"/>
                <w:szCs w:val="21"/>
              </w:rPr>
              <w:t> </w:t>
            </w:r>
            <w:r>
              <w:rPr>
                <w:rFonts w:ascii="宋体" w:hAnsi="宋体" w:cs="宋体" w:eastAsia="宋体" w:hint="default"/>
                <w:sz w:val="21"/>
                <w:szCs w:val="21"/>
              </w:rPr>
              <w:t>月出生，天津大学技术经济与系统工程系工学学士、中欧国际工商学院工商管理硕士、北京邮电大学、法国雷恩</w:t>
            </w:r>
          </w:p>
          <w:p>
            <w:pPr>
              <w:pStyle w:val="TableParagraph"/>
              <w:spacing w:line="240" w:lineRule="auto"/>
              <w:ind w:left="103" w:right="93"/>
              <w:jc w:val="left"/>
              <w:rPr>
                <w:rFonts w:ascii="宋体" w:hAnsi="宋体" w:cs="宋体" w:eastAsia="宋体" w:hint="default"/>
                <w:sz w:val="21"/>
                <w:szCs w:val="21"/>
              </w:rPr>
            </w:pPr>
            <w:r>
              <w:rPr>
                <w:rFonts w:ascii="宋体" w:hAnsi="宋体" w:cs="宋体" w:eastAsia="宋体" w:hint="default"/>
                <w:sz w:val="21"/>
                <w:szCs w:val="21"/>
              </w:rPr>
              <w:t>商学院工商管理博士，国务院特殊津贴专家，高级经济师。</w:t>
            </w:r>
            <w:r>
              <w:rPr>
                <w:rFonts w:ascii="宋体" w:hAnsi="宋体" w:cs="宋体" w:eastAsia="宋体" w:hint="default"/>
                <w:sz w:val="21"/>
                <w:szCs w:val="21"/>
              </w:rPr>
              <w:t>1992 </w:t>
            </w:r>
            <w:r>
              <w:rPr>
                <w:rFonts w:ascii="宋体" w:hAnsi="宋体" w:cs="宋体" w:eastAsia="宋体" w:hint="default"/>
                <w:sz w:val="21"/>
                <w:szCs w:val="21"/>
              </w:rPr>
              <w:t>年至 </w:t>
            </w:r>
            <w:r>
              <w:rPr>
                <w:rFonts w:ascii="宋体" w:hAnsi="宋体" w:cs="宋体" w:eastAsia="宋体" w:hint="default"/>
                <w:sz w:val="21"/>
                <w:szCs w:val="21"/>
              </w:rPr>
              <w:t>1995</w:t>
            </w:r>
            <w:r>
              <w:rPr>
                <w:rFonts w:ascii="宋体" w:hAnsi="宋体" w:cs="宋体" w:eastAsia="宋体" w:hint="default"/>
                <w:spacing w:val="-17"/>
                <w:sz w:val="21"/>
                <w:szCs w:val="21"/>
              </w:rPr>
              <w:t> </w:t>
            </w:r>
            <w:r>
              <w:rPr>
                <w:rFonts w:ascii="宋体" w:hAnsi="宋体" w:cs="宋体" w:eastAsia="宋体" w:hint="default"/>
                <w:sz w:val="21"/>
                <w:szCs w:val="21"/>
              </w:rPr>
              <w:t>年任国家计划委员会长期规划与产业政策司主任科员；</w:t>
            </w:r>
            <w:r>
              <w:rPr>
                <w:rFonts w:ascii="宋体" w:hAnsi="宋体" w:cs="宋体" w:eastAsia="宋体" w:hint="default"/>
                <w:sz w:val="21"/>
                <w:szCs w:val="21"/>
              </w:rPr>
              <w:t>1995</w:t>
            </w:r>
            <w:r>
              <w:rPr>
                <w:rFonts w:ascii="宋体" w:hAnsi="宋体" w:cs="宋体" w:eastAsia="宋体" w:hint="default"/>
                <w:w w:val="100"/>
                <w:sz w:val="21"/>
                <w:szCs w:val="21"/>
              </w:rPr>
              <w:t> </w:t>
            </w:r>
            <w:r>
              <w:rPr>
                <w:rFonts w:ascii="宋体" w:hAnsi="宋体" w:cs="宋体" w:eastAsia="宋体" w:hint="default"/>
                <w:sz w:val="21"/>
                <w:szCs w:val="21"/>
              </w:rPr>
              <w:t>年至</w:t>
            </w:r>
            <w:r>
              <w:rPr>
                <w:rFonts w:ascii="宋体" w:hAnsi="宋体" w:cs="宋体" w:eastAsia="宋体" w:hint="default"/>
                <w:spacing w:val="-46"/>
                <w:sz w:val="21"/>
                <w:szCs w:val="21"/>
              </w:rPr>
              <w:t> </w:t>
            </w:r>
            <w:r>
              <w:rPr>
                <w:rFonts w:ascii="宋体" w:hAnsi="宋体" w:cs="宋体" w:eastAsia="宋体" w:hint="default"/>
                <w:sz w:val="21"/>
                <w:szCs w:val="21"/>
              </w:rPr>
              <w:t>1999</w:t>
            </w:r>
            <w:r>
              <w:rPr>
                <w:rFonts w:ascii="宋体" w:hAnsi="宋体" w:cs="宋体" w:eastAsia="宋体" w:hint="default"/>
                <w:spacing w:val="-49"/>
                <w:sz w:val="21"/>
                <w:szCs w:val="21"/>
              </w:rPr>
              <w:t> </w:t>
            </w:r>
            <w:r>
              <w:rPr>
                <w:rFonts w:ascii="宋体" w:hAnsi="宋体" w:cs="宋体" w:eastAsia="宋体" w:hint="default"/>
                <w:spacing w:val="-3"/>
                <w:sz w:val="21"/>
                <w:szCs w:val="21"/>
              </w:rPr>
              <w:t>年任中国联合通信有限公司总裁办主任；</w:t>
            </w:r>
            <w:r>
              <w:rPr>
                <w:rFonts w:ascii="宋体" w:hAnsi="宋体" w:cs="宋体" w:eastAsia="宋体" w:hint="default"/>
                <w:spacing w:val="-3"/>
                <w:sz w:val="21"/>
                <w:szCs w:val="21"/>
              </w:rPr>
              <w:t>1999</w:t>
            </w:r>
            <w:r>
              <w:rPr>
                <w:rFonts w:ascii="宋体" w:hAnsi="宋体" w:cs="宋体" w:eastAsia="宋体" w:hint="default"/>
                <w:spacing w:val="-46"/>
                <w:sz w:val="21"/>
                <w:szCs w:val="21"/>
              </w:rPr>
              <w:t> </w:t>
            </w:r>
            <w:r>
              <w:rPr>
                <w:rFonts w:ascii="宋体" w:hAnsi="宋体" w:cs="宋体" w:eastAsia="宋体" w:hint="default"/>
                <w:sz w:val="21"/>
                <w:szCs w:val="21"/>
              </w:rPr>
              <w:t>年至</w:t>
            </w:r>
            <w:r>
              <w:rPr>
                <w:rFonts w:ascii="宋体" w:hAnsi="宋体" w:cs="宋体" w:eastAsia="宋体" w:hint="default"/>
                <w:spacing w:val="-45"/>
                <w:sz w:val="21"/>
                <w:szCs w:val="21"/>
              </w:rPr>
              <w:t> </w:t>
            </w:r>
            <w:r>
              <w:rPr>
                <w:rFonts w:ascii="宋体" w:hAnsi="宋体" w:cs="宋体" w:eastAsia="宋体" w:hint="default"/>
                <w:sz w:val="21"/>
                <w:szCs w:val="21"/>
              </w:rPr>
              <w:t>2004</w:t>
            </w:r>
            <w:r>
              <w:rPr>
                <w:rFonts w:ascii="宋体" w:hAnsi="宋体" w:cs="宋体" w:eastAsia="宋体" w:hint="default"/>
                <w:spacing w:val="-49"/>
                <w:sz w:val="21"/>
                <w:szCs w:val="21"/>
              </w:rPr>
              <w:t> </w:t>
            </w:r>
            <w:r>
              <w:rPr>
                <w:rFonts w:ascii="宋体" w:hAnsi="宋体" w:cs="宋体" w:eastAsia="宋体" w:hint="default"/>
                <w:spacing w:val="-3"/>
                <w:sz w:val="21"/>
                <w:szCs w:val="21"/>
              </w:rPr>
              <w:t>年任中国机电产品进出口商会信息中心主任；</w:t>
            </w:r>
            <w:r>
              <w:rPr>
                <w:rFonts w:ascii="宋体" w:hAnsi="宋体" w:cs="宋体" w:eastAsia="宋体" w:hint="default"/>
                <w:spacing w:val="-3"/>
                <w:sz w:val="21"/>
                <w:szCs w:val="21"/>
              </w:rPr>
              <w:t>2004</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3</w:t>
            </w:r>
            <w:r>
              <w:rPr>
                <w:rFonts w:ascii="宋体" w:hAnsi="宋体" w:cs="宋体" w:eastAsia="宋体" w:hint="default"/>
                <w:spacing w:val="-49"/>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宋体" w:hAnsi="宋体" w:cs="宋体" w:eastAsia="宋体" w:hint="default"/>
                <w:sz w:val="21"/>
                <w:szCs w:val="21"/>
              </w:rPr>
              <w:t>2008</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7</w:t>
            </w:r>
          </w:p>
          <w:p>
            <w:pPr>
              <w:pStyle w:val="TableParagraph"/>
              <w:spacing w:line="274" w:lineRule="exact" w:before="22"/>
              <w:ind w:left="103" w:right="96"/>
              <w:jc w:val="left"/>
              <w:rPr>
                <w:rFonts w:ascii="宋体" w:hAnsi="宋体" w:cs="宋体" w:eastAsia="宋体" w:hint="default"/>
                <w:sz w:val="21"/>
                <w:szCs w:val="21"/>
              </w:rPr>
            </w:pPr>
            <w:r>
              <w:rPr>
                <w:rFonts w:ascii="宋体" w:hAnsi="宋体" w:cs="宋体" w:eastAsia="宋体" w:hint="default"/>
                <w:sz w:val="21"/>
                <w:szCs w:val="21"/>
              </w:rPr>
              <w:t>月任恒宝股份董事、总裁；</w:t>
            </w: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月任恒宝股份副董事长；</w:t>
            </w: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月任恒银通执行董事、经理；</w:t>
            </w:r>
            <w:r>
              <w:rPr>
                <w:rFonts w:ascii="宋体" w:hAnsi="宋体" w:cs="宋体" w:eastAsia="宋体" w:hint="default"/>
                <w:sz w:val="21"/>
                <w:szCs w:val="21"/>
              </w:rPr>
              <w:t>2004</w:t>
            </w:r>
            <w:r>
              <w:rPr>
                <w:rFonts w:ascii="宋体" w:hAnsi="宋体" w:cs="宋体" w:eastAsia="宋体" w:hint="default"/>
                <w:w w:val="100"/>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月至今任恒银金融董事长；</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年至今任恒融投资董事长、经理；</w:t>
            </w:r>
            <w:r>
              <w:rPr>
                <w:rFonts w:ascii="宋体" w:hAnsi="宋体" w:cs="宋体" w:eastAsia="宋体" w:hint="default"/>
                <w:sz w:val="21"/>
                <w:szCs w:val="21"/>
              </w:rPr>
              <w:t>2009</w:t>
            </w:r>
            <w:r>
              <w:rPr>
                <w:rFonts w:ascii="宋体" w:hAnsi="宋体" w:cs="宋体" w:eastAsia="宋体" w:hint="default"/>
                <w:spacing w:val="-57"/>
                <w:sz w:val="21"/>
                <w:szCs w:val="21"/>
              </w:rPr>
              <w:t> </w:t>
            </w:r>
            <w:r>
              <w:rPr>
                <w:rFonts w:ascii="宋体" w:hAnsi="宋体" w:cs="宋体" w:eastAsia="宋体" w:hint="default"/>
                <w:sz w:val="21"/>
                <w:szCs w:val="21"/>
              </w:rPr>
              <w:t>年至今任渤海小贷董事。</w:t>
            </w:r>
          </w:p>
        </w:tc>
      </w:tr>
      <w:tr>
        <w:trPr>
          <w:trHeight w:val="137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吴龙云</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吴龙云，男，</w:t>
            </w:r>
            <w:r>
              <w:rPr>
                <w:rFonts w:ascii="宋体" w:hAnsi="宋体" w:cs="宋体" w:eastAsia="宋体" w:hint="default"/>
                <w:sz w:val="21"/>
                <w:szCs w:val="21"/>
              </w:rPr>
              <w:t>1958</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7"/>
                <w:sz w:val="21"/>
                <w:szCs w:val="21"/>
              </w:rPr>
              <w:t> </w:t>
            </w:r>
            <w:r>
              <w:rPr>
                <w:rFonts w:ascii="宋体" w:hAnsi="宋体" w:cs="宋体" w:eastAsia="宋体" w:hint="default"/>
                <w:sz w:val="21"/>
                <w:szCs w:val="21"/>
              </w:rPr>
              <w:t>月出生，华东工学院财务与会计学士，香港理工大学</w:t>
            </w:r>
            <w:r>
              <w:rPr>
                <w:rFonts w:ascii="宋体" w:hAnsi="宋体" w:cs="宋体" w:eastAsia="宋体" w:hint="default"/>
                <w:spacing w:val="-55"/>
                <w:sz w:val="21"/>
                <w:szCs w:val="21"/>
              </w:rPr>
              <w:t> </w:t>
            </w:r>
            <w:r>
              <w:rPr>
                <w:rFonts w:ascii="宋体" w:hAnsi="宋体" w:cs="宋体" w:eastAsia="宋体" w:hint="default"/>
                <w:sz w:val="21"/>
                <w:szCs w:val="21"/>
              </w:rPr>
              <w:t>EMBA</w:t>
            </w:r>
            <w:r>
              <w:rPr>
                <w:rFonts w:ascii="宋体" w:hAnsi="宋体" w:cs="宋体" w:eastAsia="宋体" w:hint="default"/>
                <w:sz w:val="21"/>
                <w:szCs w:val="21"/>
              </w:rPr>
              <w:t>，高级会计师。</w:t>
            </w:r>
            <w:r>
              <w:rPr>
                <w:rFonts w:ascii="宋体" w:hAnsi="宋体" w:cs="宋体" w:eastAsia="宋体" w:hint="default"/>
                <w:sz w:val="21"/>
                <w:szCs w:val="21"/>
              </w:rPr>
              <w:t>1988</w:t>
            </w:r>
            <w:r>
              <w:rPr>
                <w:rFonts w:ascii="宋体" w:hAnsi="宋体" w:cs="宋体" w:eastAsia="宋体" w:hint="default"/>
                <w:spacing w:val="-55"/>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宋体" w:hAnsi="宋体" w:cs="宋体" w:eastAsia="宋体" w:hint="default"/>
                <w:sz w:val="21"/>
                <w:szCs w:val="21"/>
              </w:rPr>
              <w:t>1994</w:t>
            </w:r>
            <w:r>
              <w:rPr>
                <w:rFonts w:ascii="宋体" w:hAnsi="宋体" w:cs="宋体" w:eastAsia="宋体" w:hint="default"/>
                <w:spacing w:val="-55"/>
                <w:sz w:val="21"/>
                <w:szCs w:val="21"/>
              </w:rPr>
              <w:t> </w:t>
            </w:r>
            <w:r>
              <w:rPr>
                <w:rFonts w:ascii="宋体" w:hAnsi="宋体" w:cs="宋体" w:eastAsia="宋体" w:hint="default"/>
                <w:sz w:val="21"/>
                <w:szCs w:val="21"/>
              </w:rPr>
              <w:t>年任电子部第十九所、</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z w:val="21"/>
                <w:szCs w:val="21"/>
              </w:rPr>
              <w:t>五十四所审计监察处处长、总会计师；</w:t>
            </w:r>
            <w:r>
              <w:rPr>
                <w:rFonts w:ascii="宋体" w:hAnsi="宋体" w:cs="宋体" w:eastAsia="宋体" w:hint="default"/>
                <w:sz w:val="21"/>
                <w:szCs w:val="21"/>
              </w:rPr>
              <w:t>1994</w:t>
            </w:r>
            <w:r>
              <w:rPr>
                <w:rFonts w:ascii="宋体" w:hAnsi="宋体" w:cs="宋体" w:eastAsia="宋体" w:hint="default"/>
                <w:spacing w:val="-58"/>
                <w:sz w:val="21"/>
                <w:szCs w:val="21"/>
              </w:rPr>
              <w:t> </w:t>
            </w:r>
            <w:r>
              <w:rPr>
                <w:rFonts w:ascii="宋体" w:hAnsi="宋体" w:cs="宋体" w:eastAsia="宋体" w:hint="default"/>
                <w:sz w:val="21"/>
                <w:szCs w:val="21"/>
              </w:rPr>
              <w:t>年至</w:t>
            </w:r>
            <w:r>
              <w:rPr>
                <w:rFonts w:ascii="宋体" w:hAnsi="宋体" w:cs="宋体" w:eastAsia="宋体" w:hint="default"/>
                <w:spacing w:val="-58"/>
                <w:sz w:val="21"/>
                <w:szCs w:val="21"/>
              </w:rPr>
              <w:t> </w:t>
            </w:r>
            <w:r>
              <w:rPr>
                <w:rFonts w:ascii="宋体" w:hAnsi="宋体" w:cs="宋体" w:eastAsia="宋体" w:hint="default"/>
                <w:sz w:val="21"/>
                <w:szCs w:val="21"/>
              </w:rPr>
              <w:t>2002</w:t>
            </w:r>
            <w:r>
              <w:rPr>
                <w:rFonts w:ascii="宋体" w:hAnsi="宋体" w:cs="宋体" w:eastAsia="宋体" w:hint="default"/>
                <w:spacing w:val="-56"/>
                <w:sz w:val="21"/>
                <w:szCs w:val="21"/>
              </w:rPr>
              <w:t> </w:t>
            </w:r>
            <w:r>
              <w:rPr>
                <w:rFonts w:ascii="宋体" w:hAnsi="宋体" w:cs="宋体" w:eastAsia="宋体" w:hint="default"/>
                <w:sz w:val="21"/>
                <w:szCs w:val="21"/>
              </w:rPr>
              <w:t>年任中国联合通信有限公司财务部部长、审计部总经理；</w:t>
            </w:r>
            <w:r>
              <w:rPr>
                <w:rFonts w:ascii="宋体" w:hAnsi="宋体" w:cs="宋体" w:eastAsia="宋体" w:hint="default"/>
                <w:sz w:val="21"/>
                <w:szCs w:val="21"/>
              </w:rPr>
              <w:t>2002</w:t>
            </w:r>
            <w:r>
              <w:rPr>
                <w:rFonts w:ascii="宋体" w:hAnsi="宋体" w:cs="宋体" w:eastAsia="宋体" w:hint="default"/>
                <w:spacing w:val="-56"/>
                <w:sz w:val="21"/>
                <w:szCs w:val="21"/>
              </w:rPr>
              <w:t> </w:t>
            </w:r>
            <w:r>
              <w:rPr>
                <w:rFonts w:ascii="宋体" w:hAnsi="宋体" w:cs="宋体" w:eastAsia="宋体" w:hint="default"/>
                <w:sz w:val="21"/>
                <w:szCs w:val="21"/>
              </w:rPr>
              <w:t>年至</w:t>
            </w:r>
            <w:r>
              <w:rPr>
                <w:rFonts w:ascii="宋体" w:hAnsi="宋体" w:cs="宋体" w:eastAsia="宋体" w:hint="default"/>
                <w:spacing w:val="-56"/>
                <w:sz w:val="21"/>
                <w:szCs w:val="21"/>
              </w:rPr>
              <w:t> </w:t>
            </w:r>
            <w:r>
              <w:rPr>
                <w:rFonts w:ascii="宋体" w:hAnsi="宋体" w:cs="宋体" w:eastAsia="宋体" w:hint="default"/>
                <w:sz w:val="21"/>
                <w:szCs w:val="21"/>
              </w:rPr>
              <w:t>2007</w:t>
            </w:r>
            <w:r>
              <w:rPr>
                <w:rFonts w:ascii="宋体" w:hAnsi="宋体" w:cs="宋体" w:eastAsia="宋体" w:hint="default"/>
                <w:spacing w:val="-58"/>
                <w:sz w:val="21"/>
                <w:szCs w:val="21"/>
              </w:rPr>
              <w:t> </w:t>
            </w:r>
            <w:r>
              <w:rPr>
                <w:rFonts w:ascii="宋体" w:hAnsi="宋体" w:cs="宋体" w:eastAsia="宋体" w:hint="default"/>
                <w:sz w:val="21"/>
                <w:szCs w:val="21"/>
              </w:rPr>
              <w:t>年任中华</w:t>
            </w:r>
            <w:r>
              <w:rPr>
                <w:rFonts w:ascii="宋体" w:hAnsi="宋体" w:cs="宋体" w:eastAsia="宋体" w:hint="default"/>
                <w:w w:val="100"/>
                <w:sz w:val="21"/>
                <w:szCs w:val="21"/>
              </w:rPr>
              <w:t> </w:t>
            </w:r>
            <w:r>
              <w:rPr>
                <w:rFonts w:ascii="宋体" w:hAnsi="宋体" w:cs="宋体" w:eastAsia="宋体" w:hint="default"/>
                <w:sz w:val="21"/>
                <w:szCs w:val="21"/>
              </w:rPr>
              <w:t>通信系统有限公司总经理、中国联通董事，兼任北京华通时空通信技术有限公司、北京中网华通设计咨询有限公司董事长；</w:t>
            </w:r>
            <w:r>
              <w:rPr>
                <w:rFonts w:ascii="宋体" w:hAnsi="宋体" w:cs="宋体" w:eastAsia="宋体" w:hint="default"/>
                <w:sz w:val="21"/>
                <w:szCs w:val="21"/>
              </w:rPr>
              <w:t>2004</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3</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w w:val="100"/>
                <w:sz w:val="21"/>
                <w:szCs w:val="21"/>
              </w:rPr>
              <w:t> </w:t>
            </w:r>
            <w:r>
              <w:rPr>
                <w:rFonts w:ascii="宋体" w:hAnsi="宋体" w:cs="宋体" w:eastAsia="宋体" w:hint="default"/>
                <w:sz w:val="21"/>
                <w:szCs w:val="21"/>
              </w:rPr>
              <w:t>至</w:t>
            </w:r>
            <w:r>
              <w:rPr>
                <w:rFonts w:ascii="宋体" w:hAnsi="宋体" w:cs="宋体" w:eastAsia="宋体" w:hint="default"/>
                <w:spacing w:val="-48"/>
                <w:sz w:val="21"/>
                <w:szCs w:val="21"/>
              </w:rPr>
              <w:t> </w:t>
            </w:r>
            <w:r>
              <w:rPr>
                <w:rFonts w:ascii="宋体" w:hAnsi="宋体" w:cs="宋体" w:eastAsia="宋体" w:hint="default"/>
                <w:sz w:val="21"/>
                <w:szCs w:val="21"/>
              </w:rPr>
              <w:t>2007</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48"/>
                <w:sz w:val="21"/>
                <w:szCs w:val="21"/>
              </w:rPr>
              <w:t> </w:t>
            </w:r>
            <w:r>
              <w:rPr>
                <w:rFonts w:ascii="宋体" w:hAnsi="宋体" w:cs="宋体" w:eastAsia="宋体" w:hint="default"/>
                <w:sz w:val="21"/>
                <w:szCs w:val="21"/>
              </w:rPr>
              <w:t>月任恒宝股份独立董事；</w:t>
            </w:r>
            <w:r>
              <w:rPr>
                <w:rFonts w:ascii="宋体" w:hAnsi="宋体" w:cs="宋体" w:eastAsia="宋体" w:hint="default"/>
                <w:sz w:val="21"/>
                <w:szCs w:val="21"/>
              </w:rPr>
              <w:t>2007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7</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2008</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7</w:t>
            </w:r>
            <w:r>
              <w:rPr>
                <w:rFonts w:ascii="宋体" w:hAnsi="宋体" w:cs="宋体" w:eastAsia="宋体" w:hint="default"/>
                <w:spacing w:val="-50"/>
                <w:sz w:val="21"/>
                <w:szCs w:val="21"/>
              </w:rPr>
              <w:t> </w:t>
            </w:r>
            <w:r>
              <w:rPr>
                <w:rFonts w:ascii="宋体" w:hAnsi="宋体" w:cs="宋体" w:eastAsia="宋体" w:hint="default"/>
                <w:sz w:val="21"/>
                <w:szCs w:val="21"/>
              </w:rPr>
              <w:t>月任恒宝股份财务总监；</w:t>
            </w:r>
            <w:r>
              <w:rPr>
                <w:rFonts w:ascii="宋体" w:hAnsi="宋体" w:cs="宋体" w:eastAsia="宋体" w:hint="default"/>
                <w:sz w:val="21"/>
                <w:szCs w:val="21"/>
              </w:rPr>
              <w:t>2007</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7</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2009</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3</w:t>
            </w:r>
            <w:r>
              <w:rPr>
                <w:rFonts w:ascii="宋体" w:hAnsi="宋体" w:cs="宋体" w:eastAsia="宋体" w:hint="default"/>
                <w:spacing w:val="-48"/>
                <w:sz w:val="21"/>
                <w:szCs w:val="21"/>
              </w:rPr>
              <w:t> </w:t>
            </w:r>
            <w:r>
              <w:rPr>
                <w:rFonts w:ascii="宋体" w:hAnsi="宋体" w:cs="宋体" w:eastAsia="宋体" w:hint="default"/>
                <w:sz w:val="21"/>
                <w:szCs w:val="21"/>
              </w:rPr>
              <w:t>月任恒宝股份副总裁；</w:t>
            </w:r>
          </w:p>
          <w:p>
            <w:pPr>
              <w:pStyle w:val="TableParagraph"/>
              <w:spacing w:line="271" w:lineRule="exact"/>
              <w:ind w:left="103" w:right="0"/>
              <w:jc w:val="both"/>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月至今任恒银金融董事、总裁；</w:t>
            </w: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月至今任恒融投资董事。</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江斐然</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江斐然，男，</w:t>
            </w:r>
            <w:r>
              <w:rPr>
                <w:rFonts w:ascii="宋体" w:hAnsi="宋体" w:cs="宋体" w:eastAsia="宋体" w:hint="default"/>
                <w:sz w:val="21"/>
                <w:szCs w:val="21"/>
              </w:rPr>
              <w:t>1973</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5</w:t>
            </w:r>
            <w:r>
              <w:rPr>
                <w:rFonts w:ascii="宋体" w:hAnsi="宋体" w:cs="宋体" w:eastAsia="宋体" w:hint="default"/>
                <w:spacing w:val="-43"/>
                <w:sz w:val="21"/>
                <w:szCs w:val="21"/>
              </w:rPr>
              <w:t> </w:t>
            </w:r>
            <w:r>
              <w:rPr>
                <w:rFonts w:ascii="宋体" w:hAnsi="宋体" w:cs="宋体" w:eastAsia="宋体" w:hint="default"/>
                <w:sz w:val="21"/>
                <w:szCs w:val="21"/>
              </w:rPr>
              <w:t>月出生，</w:t>
            </w:r>
            <w:r>
              <w:rPr>
                <w:rFonts w:ascii="宋体" w:hAnsi="宋体" w:cs="宋体" w:eastAsia="宋体" w:hint="default"/>
                <w:sz w:val="21"/>
                <w:szCs w:val="21"/>
              </w:rPr>
              <w:t>1992</w:t>
            </w:r>
            <w:r>
              <w:rPr>
                <w:rFonts w:ascii="宋体" w:hAnsi="宋体" w:cs="宋体" w:eastAsia="宋体" w:hint="default"/>
                <w:spacing w:val="-45"/>
                <w:sz w:val="21"/>
                <w:szCs w:val="21"/>
              </w:rPr>
              <w:t> </w:t>
            </w:r>
            <w:r>
              <w:rPr>
                <w:rFonts w:ascii="宋体" w:hAnsi="宋体" w:cs="宋体" w:eastAsia="宋体" w:hint="default"/>
                <w:sz w:val="21"/>
                <w:szCs w:val="21"/>
              </w:rPr>
              <w:t>年至</w:t>
            </w:r>
            <w:r>
              <w:rPr>
                <w:rFonts w:ascii="宋体" w:hAnsi="宋体" w:cs="宋体" w:eastAsia="宋体" w:hint="default"/>
                <w:spacing w:val="-45"/>
                <w:sz w:val="21"/>
                <w:szCs w:val="21"/>
              </w:rPr>
              <w:t> </w:t>
            </w:r>
            <w:r>
              <w:rPr>
                <w:rFonts w:ascii="宋体" w:hAnsi="宋体" w:cs="宋体" w:eastAsia="宋体" w:hint="default"/>
                <w:sz w:val="21"/>
                <w:szCs w:val="21"/>
              </w:rPr>
              <w:t>1995</w:t>
            </w:r>
            <w:r>
              <w:rPr>
                <w:rFonts w:ascii="宋体" w:hAnsi="宋体" w:cs="宋体" w:eastAsia="宋体" w:hint="default"/>
                <w:spacing w:val="-45"/>
                <w:sz w:val="21"/>
                <w:szCs w:val="21"/>
              </w:rPr>
              <w:t> </w:t>
            </w:r>
            <w:r>
              <w:rPr>
                <w:rFonts w:ascii="宋体" w:hAnsi="宋体" w:cs="宋体" w:eastAsia="宋体" w:hint="default"/>
                <w:sz w:val="21"/>
                <w:szCs w:val="21"/>
              </w:rPr>
              <w:t>年在天津市委党校学习。</w:t>
            </w:r>
            <w:r>
              <w:rPr>
                <w:rFonts w:ascii="宋体" w:hAnsi="宋体" w:cs="宋体" w:eastAsia="宋体" w:hint="default"/>
                <w:sz w:val="21"/>
                <w:szCs w:val="21"/>
              </w:rPr>
              <w:t>1992</w:t>
            </w:r>
            <w:r>
              <w:rPr>
                <w:rFonts w:ascii="宋体" w:hAnsi="宋体" w:cs="宋体" w:eastAsia="宋体" w:hint="default"/>
                <w:spacing w:val="-43"/>
                <w:sz w:val="21"/>
                <w:szCs w:val="21"/>
              </w:rPr>
              <w:t> </w:t>
            </w:r>
            <w:r>
              <w:rPr>
                <w:rFonts w:ascii="宋体" w:hAnsi="宋体" w:cs="宋体" w:eastAsia="宋体" w:hint="default"/>
                <w:sz w:val="21"/>
                <w:szCs w:val="21"/>
              </w:rPr>
              <w:t>年至</w:t>
            </w:r>
            <w:r>
              <w:rPr>
                <w:rFonts w:ascii="宋体" w:hAnsi="宋体" w:cs="宋体" w:eastAsia="宋体" w:hint="default"/>
                <w:spacing w:val="-43"/>
                <w:sz w:val="21"/>
                <w:szCs w:val="21"/>
              </w:rPr>
              <w:t> </w:t>
            </w:r>
            <w:r>
              <w:rPr>
                <w:rFonts w:ascii="宋体" w:hAnsi="宋体" w:cs="宋体" w:eastAsia="宋体" w:hint="default"/>
                <w:sz w:val="21"/>
                <w:szCs w:val="21"/>
              </w:rPr>
              <w:t>1999</w:t>
            </w:r>
            <w:r>
              <w:rPr>
                <w:rFonts w:ascii="宋体" w:hAnsi="宋体" w:cs="宋体" w:eastAsia="宋体" w:hint="default"/>
                <w:spacing w:val="-46"/>
                <w:sz w:val="21"/>
                <w:szCs w:val="21"/>
              </w:rPr>
              <w:t> </w:t>
            </w:r>
            <w:r>
              <w:rPr>
                <w:rFonts w:ascii="宋体" w:hAnsi="宋体" w:cs="宋体" w:eastAsia="宋体" w:hint="default"/>
                <w:sz w:val="21"/>
                <w:szCs w:val="21"/>
              </w:rPr>
              <w:t>年任天津奥的斯电梯公司销售经理；</w:t>
            </w:r>
            <w:r>
              <w:rPr>
                <w:rFonts w:ascii="宋体" w:hAnsi="宋体" w:cs="宋体" w:eastAsia="宋体" w:hint="default"/>
                <w:sz w:val="21"/>
                <w:szCs w:val="21"/>
              </w:rPr>
              <w:t>1999</w:t>
            </w:r>
            <w:r>
              <w:rPr>
                <w:rFonts w:ascii="宋体" w:hAnsi="宋体" w:cs="宋体" w:eastAsia="宋体" w:hint="default"/>
                <w:spacing w:val="-43"/>
                <w:sz w:val="21"/>
                <w:szCs w:val="21"/>
              </w:rPr>
              <w:t> </w:t>
            </w:r>
            <w:r>
              <w:rPr>
                <w:rFonts w:ascii="宋体" w:hAnsi="宋体" w:cs="宋体" w:eastAsia="宋体" w:hint="default"/>
                <w:sz w:val="21"/>
                <w:szCs w:val="21"/>
              </w:rPr>
              <w:t>年至</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43"/>
                <w:sz w:val="21"/>
                <w:szCs w:val="21"/>
              </w:rPr>
              <w:t> </w:t>
            </w:r>
            <w:r>
              <w:rPr>
                <w:rFonts w:ascii="宋体" w:hAnsi="宋体" w:cs="宋体" w:eastAsia="宋体" w:hint="default"/>
                <w:spacing w:val="-4"/>
                <w:sz w:val="21"/>
                <w:szCs w:val="21"/>
              </w:rPr>
              <w:t>年任北京昊宇通达科技有限公司总经理；</w:t>
            </w:r>
            <w:r>
              <w:rPr>
                <w:rFonts w:ascii="宋体" w:hAnsi="宋体" w:cs="宋体" w:eastAsia="宋体" w:hint="default"/>
                <w:spacing w:val="-4"/>
                <w:sz w:val="21"/>
                <w:szCs w:val="21"/>
              </w:rPr>
              <w:t>2013</w:t>
            </w:r>
            <w:r>
              <w:rPr>
                <w:rFonts w:ascii="宋体" w:hAnsi="宋体" w:cs="宋体" w:eastAsia="宋体" w:hint="default"/>
                <w:spacing w:val="-43"/>
                <w:sz w:val="21"/>
                <w:szCs w:val="21"/>
              </w:rPr>
              <w:t> </w:t>
            </w:r>
            <w:r>
              <w:rPr>
                <w:rFonts w:ascii="宋体" w:hAnsi="宋体" w:cs="宋体" w:eastAsia="宋体" w:hint="default"/>
                <w:sz w:val="21"/>
                <w:szCs w:val="21"/>
              </w:rPr>
              <w:t>年至</w:t>
            </w:r>
            <w:r>
              <w:rPr>
                <w:rFonts w:ascii="宋体" w:hAnsi="宋体" w:cs="宋体" w:eastAsia="宋体" w:hint="default"/>
                <w:spacing w:val="-40"/>
                <w:sz w:val="21"/>
                <w:szCs w:val="21"/>
              </w:rPr>
              <w:t> </w:t>
            </w:r>
            <w:r>
              <w:rPr>
                <w:rFonts w:ascii="宋体" w:hAnsi="宋体" w:cs="宋体" w:eastAsia="宋体" w:hint="default"/>
                <w:sz w:val="21"/>
                <w:szCs w:val="21"/>
              </w:rPr>
              <w:t>2017</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2</w:t>
            </w:r>
            <w:r>
              <w:rPr>
                <w:rFonts w:ascii="宋体" w:hAnsi="宋体" w:cs="宋体" w:eastAsia="宋体" w:hint="default"/>
                <w:spacing w:val="-43"/>
                <w:sz w:val="21"/>
                <w:szCs w:val="21"/>
              </w:rPr>
              <w:t> </w:t>
            </w:r>
            <w:r>
              <w:rPr>
                <w:rFonts w:ascii="宋体" w:hAnsi="宋体" w:cs="宋体" w:eastAsia="宋体" w:hint="default"/>
                <w:spacing w:val="-4"/>
                <w:sz w:val="21"/>
                <w:szCs w:val="21"/>
              </w:rPr>
              <w:t>月任联恒电梯执行董事；</w:t>
            </w:r>
            <w:r>
              <w:rPr>
                <w:rFonts w:ascii="宋体" w:hAnsi="宋体" w:cs="宋体" w:eastAsia="宋体" w:hint="default"/>
                <w:spacing w:val="-4"/>
                <w:sz w:val="21"/>
                <w:szCs w:val="21"/>
              </w:rPr>
              <w:t>2003</w:t>
            </w:r>
            <w:r>
              <w:rPr>
                <w:rFonts w:ascii="宋体" w:hAnsi="宋体" w:cs="宋体" w:eastAsia="宋体" w:hint="default"/>
                <w:spacing w:val="-43"/>
                <w:sz w:val="21"/>
                <w:szCs w:val="21"/>
              </w:rPr>
              <w:t> </w:t>
            </w:r>
            <w:r>
              <w:rPr>
                <w:rFonts w:ascii="宋体" w:hAnsi="宋体" w:cs="宋体" w:eastAsia="宋体" w:hint="default"/>
                <w:spacing w:val="-6"/>
                <w:sz w:val="21"/>
                <w:szCs w:val="21"/>
              </w:rPr>
              <w:t>年至今任西奥电梯执行董事、经理；</w:t>
            </w:r>
            <w:r>
              <w:rPr>
                <w:rFonts w:ascii="宋体" w:hAnsi="宋体" w:cs="宋体" w:eastAsia="宋体" w:hint="default"/>
                <w:spacing w:val="-6"/>
                <w:sz w:val="21"/>
                <w:szCs w:val="21"/>
              </w:rPr>
              <w:t>2004</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7"/>
                <w:sz w:val="21"/>
                <w:szCs w:val="21"/>
              </w:rPr>
              <w:t> </w:t>
            </w:r>
            <w:r>
              <w:rPr>
                <w:rFonts w:ascii="宋体" w:hAnsi="宋体" w:cs="宋体" w:eastAsia="宋体" w:hint="default"/>
                <w:sz w:val="21"/>
                <w:szCs w:val="21"/>
              </w:rPr>
              <w:t>月至今任恒银金融董事；</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年至今任恒银物业执行董事、经理；</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年至今任恒融投资董事。</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刘昊嘉</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tabs>
                <w:tab w:pos="9243" w:val="left" w:leader="none"/>
              </w:tabs>
              <w:spacing w:line="241" w:lineRule="exact"/>
              <w:ind w:left="103" w:right="-8"/>
              <w:jc w:val="left"/>
              <w:rPr>
                <w:rFonts w:ascii="宋体" w:hAnsi="宋体" w:cs="宋体" w:eastAsia="宋体" w:hint="default"/>
                <w:sz w:val="21"/>
                <w:szCs w:val="21"/>
              </w:rPr>
            </w:pPr>
            <w:r>
              <w:rPr>
                <w:rFonts w:ascii="宋体" w:hAnsi="宋体" w:cs="宋体" w:eastAsia="宋体" w:hint="default"/>
                <w:spacing w:val="-3"/>
                <w:sz w:val="21"/>
                <w:szCs w:val="21"/>
              </w:rPr>
              <w:t>刘昊嘉，男，</w:t>
            </w:r>
            <w:r>
              <w:rPr>
                <w:rFonts w:ascii="宋体" w:hAnsi="宋体" w:cs="宋体" w:eastAsia="宋体" w:hint="default"/>
                <w:spacing w:val="-3"/>
                <w:sz w:val="21"/>
                <w:szCs w:val="21"/>
              </w:rPr>
              <w:t>1977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9</w:t>
            </w:r>
            <w:r>
              <w:rPr>
                <w:rFonts w:ascii="宋体" w:hAnsi="宋体" w:cs="宋体" w:eastAsia="宋体" w:hint="default"/>
                <w:spacing w:val="-50"/>
                <w:sz w:val="21"/>
                <w:szCs w:val="21"/>
              </w:rPr>
              <w:t> </w:t>
            </w:r>
            <w:r>
              <w:rPr>
                <w:rFonts w:ascii="宋体" w:hAnsi="宋体" w:cs="宋体" w:eastAsia="宋体" w:hint="default"/>
                <w:spacing w:val="-3"/>
                <w:sz w:val="21"/>
                <w:szCs w:val="21"/>
              </w:rPr>
              <w:t>月出生，南京大学本科，劳伦斯科技大学</w:t>
            </w:r>
            <w:r>
              <w:rPr>
                <w:rFonts w:ascii="宋体" w:hAnsi="宋体" w:cs="宋体" w:eastAsia="宋体" w:hint="default"/>
                <w:spacing w:val="-48"/>
                <w:sz w:val="21"/>
                <w:szCs w:val="21"/>
              </w:rPr>
              <w:t> </w:t>
            </w:r>
            <w:r>
              <w:rPr>
                <w:rFonts w:ascii="宋体" w:hAnsi="宋体" w:cs="宋体" w:eastAsia="宋体" w:hint="default"/>
                <w:sz w:val="21"/>
                <w:szCs w:val="21"/>
              </w:rPr>
              <w:t>MBA</w:t>
            </w:r>
            <w:r>
              <w:rPr>
                <w:rFonts w:ascii="宋体" w:hAnsi="宋体" w:cs="宋体" w:eastAsia="宋体" w:hint="default"/>
                <w:sz w:val="21"/>
                <w:szCs w:val="21"/>
              </w:rPr>
              <w:t>，</w:t>
            </w:r>
            <w:r>
              <w:rPr>
                <w:rFonts w:ascii="宋体" w:hAnsi="宋体" w:cs="宋体" w:eastAsia="宋体" w:hint="default"/>
                <w:sz w:val="21"/>
                <w:szCs w:val="21"/>
              </w:rPr>
              <w:t>Information</w:t>
            </w:r>
            <w:r>
              <w:rPr>
                <w:rFonts w:ascii="宋体" w:hAnsi="宋体" w:cs="宋体" w:eastAsia="宋体" w:hint="default"/>
                <w:spacing w:val="-50"/>
                <w:sz w:val="21"/>
                <w:szCs w:val="21"/>
              </w:rPr>
              <w:t> </w:t>
            </w:r>
            <w:r>
              <w:rPr>
                <w:rFonts w:ascii="宋体" w:hAnsi="宋体" w:cs="宋体" w:eastAsia="宋体" w:hint="default"/>
                <w:sz w:val="21"/>
                <w:szCs w:val="21"/>
              </w:rPr>
              <w:t>Technology</w:t>
              <w:tab/>
              <w:t>Institute</w:t>
            </w:r>
            <w:r>
              <w:rPr>
                <w:rFonts w:ascii="宋体" w:hAnsi="宋体" w:cs="宋体" w:eastAsia="宋体" w:hint="default"/>
                <w:spacing w:val="-49"/>
                <w:sz w:val="21"/>
                <w:szCs w:val="21"/>
              </w:rPr>
              <w:t> </w:t>
            </w:r>
            <w:r>
              <w:rPr>
                <w:rFonts w:ascii="宋体" w:hAnsi="宋体" w:cs="宋体" w:eastAsia="宋体" w:hint="default"/>
                <w:spacing w:val="-3"/>
                <w:sz w:val="21"/>
                <w:szCs w:val="21"/>
              </w:rPr>
              <w:t>研究生。</w:t>
            </w:r>
            <w:r>
              <w:rPr>
                <w:rFonts w:ascii="宋体" w:hAnsi="宋体" w:cs="宋体" w:eastAsia="宋体" w:hint="default"/>
                <w:spacing w:val="-3"/>
                <w:sz w:val="21"/>
                <w:szCs w:val="21"/>
              </w:rPr>
              <w:t>2005</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宋体" w:hAnsi="宋体" w:cs="宋体" w:eastAsia="宋体" w:hint="default"/>
                <w:sz w:val="21"/>
                <w:szCs w:val="21"/>
              </w:rPr>
              <w:t>2007</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2" w:lineRule="exact" w:before="26"/>
              <w:ind w:left="103" w:right="94"/>
              <w:jc w:val="left"/>
              <w:rPr>
                <w:rFonts w:ascii="宋体" w:hAnsi="宋体" w:cs="宋体" w:eastAsia="宋体" w:hint="default"/>
                <w:sz w:val="21"/>
                <w:szCs w:val="21"/>
              </w:rPr>
            </w:pPr>
            <w:r>
              <w:rPr>
                <w:rFonts w:ascii="宋体" w:hAnsi="宋体" w:cs="宋体" w:eastAsia="宋体" w:hint="default"/>
                <w:sz w:val="21"/>
                <w:szCs w:val="21"/>
              </w:rPr>
              <w:t>任香港南华融资有限公司助理经理；</w:t>
            </w:r>
            <w:r>
              <w:rPr>
                <w:rFonts w:ascii="宋体" w:hAnsi="宋体" w:cs="宋体" w:eastAsia="宋体" w:hint="default"/>
                <w:sz w:val="21"/>
                <w:szCs w:val="21"/>
              </w:rPr>
              <w:t>2007</w:t>
            </w:r>
            <w:r>
              <w:rPr>
                <w:rFonts w:ascii="宋体" w:hAnsi="宋体" w:cs="宋体" w:eastAsia="宋体" w:hint="default"/>
                <w:spacing w:val="-57"/>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年，任中信证券股份有限公司高级副总裁；</w:t>
            </w:r>
            <w:r>
              <w:rPr>
                <w:rFonts w:ascii="宋体" w:hAnsi="宋体" w:cs="宋体" w:eastAsia="宋体" w:hint="default"/>
                <w:sz w:val="21"/>
                <w:szCs w:val="21"/>
              </w:rPr>
              <w:t>2013</w:t>
            </w:r>
            <w:r>
              <w:rPr>
                <w:rFonts w:ascii="宋体" w:hAnsi="宋体" w:cs="宋体" w:eastAsia="宋体" w:hint="default"/>
                <w:spacing w:val="-57"/>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年历任青岛金石灏汭投资</w:t>
            </w:r>
            <w:r>
              <w:rPr>
                <w:rFonts w:ascii="宋体" w:hAnsi="宋体" w:cs="宋体" w:eastAsia="宋体" w:hint="default"/>
                <w:w w:val="100"/>
                <w:sz w:val="21"/>
                <w:szCs w:val="21"/>
              </w:rPr>
              <w:t> </w:t>
            </w:r>
            <w:r>
              <w:rPr>
                <w:rFonts w:ascii="宋体" w:hAnsi="宋体" w:cs="宋体" w:eastAsia="宋体" w:hint="default"/>
                <w:sz w:val="21"/>
                <w:szCs w:val="21"/>
              </w:rPr>
              <w:t>有限公司，中信证券投资有限公司总监；</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年至今任中信证券股份有限公司总监；</w:t>
            </w:r>
            <w:r>
              <w:rPr>
                <w:rFonts w:ascii="宋体" w:hAnsi="宋体" w:cs="宋体" w:eastAsia="宋体" w:hint="default"/>
                <w:sz w:val="21"/>
                <w:szCs w:val="21"/>
              </w:rPr>
              <w:t>2015</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7"/>
                <w:sz w:val="21"/>
                <w:szCs w:val="21"/>
              </w:rPr>
              <w:t> </w:t>
            </w:r>
            <w:r>
              <w:rPr>
                <w:rFonts w:ascii="宋体" w:hAnsi="宋体" w:cs="宋体" w:eastAsia="宋体" w:hint="default"/>
                <w:sz w:val="21"/>
                <w:szCs w:val="21"/>
              </w:rPr>
              <w:t>月至今，任恒银金融董事。</w:t>
            </w:r>
          </w:p>
        </w:tc>
      </w:tr>
      <w:tr>
        <w:trPr>
          <w:trHeight w:val="164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谭小青</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谭小青，男，</w:t>
            </w:r>
            <w:r>
              <w:rPr>
                <w:rFonts w:ascii="宋体" w:hAnsi="宋体" w:cs="宋体" w:eastAsia="宋体" w:hint="default"/>
                <w:sz w:val="21"/>
                <w:szCs w:val="21"/>
              </w:rPr>
              <w:t>1966</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3</w:t>
            </w:r>
            <w:r>
              <w:rPr>
                <w:rFonts w:ascii="宋体" w:hAnsi="宋体" w:cs="宋体" w:eastAsia="宋体" w:hint="default"/>
                <w:spacing w:val="-41"/>
                <w:sz w:val="21"/>
                <w:szCs w:val="21"/>
              </w:rPr>
              <w:t> </w:t>
            </w:r>
            <w:r>
              <w:rPr>
                <w:rFonts w:ascii="宋体" w:hAnsi="宋体" w:cs="宋体" w:eastAsia="宋体" w:hint="default"/>
                <w:sz w:val="21"/>
                <w:szCs w:val="21"/>
              </w:rPr>
              <w:t>月出生，湖南财经学院（现湖南大学）本科，财政部财政科学研究所硕士研究生、中国注册会计师协会会员、中</w:t>
            </w:r>
          </w:p>
          <w:p>
            <w:pPr>
              <w:pStyle w:val="TableParagraph"/>
              <w:spacing w:line="237" w:lineRule="auto" w:before="2"/>
              <w:ind w:left="103" w:right="-8"/>
              <w:jc w:val="both"/>
              <w:rPr>
                <w:rFonts w:ascii="宋体" w:hAnsi="宋体" w:cs="宋体" w:eastAsia="宋体" w:hint="default"/>
                <w:sz w:val="21"/>
                <w:szCs w:val="21"/>
              </w:rPr>
            </w:pPr>
            <w:r>
              <w:rPr>
                <w:rFonts w:ascii="宋体" w:hAnsi="宋体" w:cs="宋体" w:eastAsia="宋体" w:hint="default"/>
                <w:spacing w:val="-3"/>
                <w:sz w:val="21"/>
                <w:szCs w:val="21"/>
              </w:rPr>
              <w:t>国注册会计师协会特聘专家、中央财经大学财经学院客座导师、中国上市公司协会财务总监专业委员会专家委员。</w:t>
            </w:r>
            <w:r>
              <w:rPr>
                <w:rFonts w:ascii="宋体" w:hAnsi="宋体" w:cs="宋体" w:eastAsia="宋体" w:hint="default"/>
                <w:spacing w:val="-3"/>
                <w:sz w:val="21"/>
                <w:szCs w:val="21"/>
              </w:rPr>
              <w:t>1989</w:t>
            </w:r>
            <w:r>
              <w:rPr>
                <w:rFonts w:ascii="宋体" w:hAnsi="宋体" w:cs="宋体" w:eastAsia="宋体" w:hint="default"/>
                <w:spacing w:val="-39"/>
                <w:sz w:val="21"/>
                <w:szCs w:val="21"/>
              </w:rPr>
              <w:t> </w:t>
            </w:r>
            <w:r>
              <w:rPr>
                <w:rFonts w:ascii="宋体" w:hAnsi="宋体" w:cs="宋体" w:eastAsia="宋体" w:hint="default"/>
                <w:sz w:val="21"/>
                <w:szCs w:val="21"/>
              </w:rPr>
              <w:t>年至</w:t>
            </w:r>
            <w:r>
              <w:rPr>
                <w:rFonts w:ascii="宋体" w:hAnsi="宋体" w:cs="宋体" w:eastAsia="宋体" w:hint="default"/>
                <w:spacing w:val="-39"/>
                <w:sz w:val="21"/>
                <w:szCs w:val="21"/>
              </w:rPr>
              <w:t> </w:t>
            </w:r>
            <w:r>
              <w:rPr>
                <w:rFonts w:ascii="宋体" w:hAnsi="宋体" w:cs="宋体" w:eastAsia="宋体" w:hint="default"/>
                <w:sz w:val="21"/>
                <w:szCs w:val="21"/>
              </w:rPr>
              <w:t>1993</w:t>
            </w:r>
            <w:r>
              <w:rPr>
                <w:rFonts w:ascii="宋体" w:hAnsi="宋体" w:cs="宋体" w:eastAsia="宋体" w:hint="default"/>
                <w:spacing w:val="-35"/>
                <w:sz w:val="21"/>
                <w:szCs w:val="21"/>
              </w:rPr>
              <w:t> </w:t>
            </w:r>
            <w:r>
              <w:rPr>
                <w:rFonts w:ascii="宋体" w:hAnsi="宋体" w:cs="宋体" w:eastAsia="宋体" w:hint="default"/>
                <w:sz w:val="21"/>
                <w:szCs w:val="21"/>
              </w:rPr>
              <w:t>年化学</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3"/>
                <w:sz w:val="21"/>
                <w:szCs w:val="21"/>
              </w:rPr>
              <w:t>工业部财务司工作；</w:t>
            </w:r>
            <w:r>
              <w:rPr>
                <w:rFonts w:ascii="宋体" w:hAnsi="宋体" w:cs="宋体" w:eastAsia="宋体" w:hint="default"/>
                <w:spacing w:val="-3"/>
                <w:sz w:val="21"/>
                <w:szCs w:val="21"/>
              </w:rPr>
              <w:t>1993</w:t>
            </w:r>
            <w:r>
              <w:rPr>
                <w:rFonts w:ascii="宋体" w:hAnsi="宋体" w:cs="宋体" w:eastAsia="宋体" w:hint="default"/>
                <w:spacing w:val="-46"/>
                <w:sz w:val="21"/>
                <w:szCs w:val="21"/>
              </w:rPr>
              <w:t> </w:t>
            </w:r>
            <w:r>
              <w:rPr>
                <w:rFonts w:ascii="宋体" w:hAnsi="宋体" w:cs="宋体" w:eastAsia="宋体" w:hint="default"/>
                <w:sz w:val="21"/>
                <w:szCs w:val="21"/>
              </w:rPr>
              <w:t>年至</w:t>
            </w:r>
            <w:r>
              <w:rPr>
                <w:rFonts w:ascii="宋体" w:hAnsi="宋体" w:cs="宋体" w:eastAsia="宋体" w:hint="default"/>
                <w:spacing w:val="-44"/>
                <w:sz w:val="21"/>
                <w:szCs w:val="21"/>
              </w:rPr>
              <w:t> </w:t>
            </w:r>
            <w:r>
              <w:rPr>
                <w:rFonts w:ascii="宋体" w:hAnsi="宋体" w:cs="宋体" w:eastAsia="宋体" w:hint="default"/>
                <w:sz w:val="21"/>
                <w:szCs w:val="21"/>
              </w:rPr>
              <w:t>1998</w:t>
            </w:r>
            <w:r>
              <w:rPr>
                <w:rFonts w:ascii="宋体" w:hAnsi="宋体" w:cs="宋体" w:eastAsia="宋体" w:hint="default"/>
                <w:spacing w:val="-46"/>
                <w:sz w:val="21"/>
                <w:szCs w:val="21"/>
              </w:rPr>
              <w:t> </w:t>
            </w:r>
            <w:r>
              <w:rPr>
                <w:rFonts w:ascii="宋体" w:hAnsi="宋体" w:cs="宋体" w:eastAsia="宋体" w:hint="default"/>
                <w:spacing w:val="-3"/>
                <w:sz w:val="21"/>
                <w:szCs w:val="21"/>
              </w:rPr>
              <w:t>年任中进会计师事务所主任会计师；</w:t>
            </w:r>
            <w:r>
              <w:rPr>
                <w:rFonts w:ascii="宋体" w:hAnsi="宋体" w:cs="宋体" w:eastAsia="宋体" w:hint="default"/>
                <w:spacing w:val="-3"/>
                <w:sz w:val="21"/>
                <w:szCs w:val="21"/>
              </w:rPr>
              <w:t>1998</w:t>
            </w:r>
            <w:r>
              <w:rPr>
                <w:rFonts w:ascii="宋体" w:hAnsi="宋体" w:cs="宋体" w:eastAsia="宋体" w:hint="default"/>
                <w:spacing w:val="-46"/>
                <w:sz w:val="21"/>
                <w:szCs w:val="21"/>
              </w:rPr>
              <w:t> </w:t>
            </w:r>
            <w:r>
              <w:rPr>
                <w:rFonts w:ascii="宋体" w:hAnsi="宋体" w:cs="宋体" w:eastAsia="宋体" w:hint="default"/>
                <w:sz w:val="21"/>
                <w:szCs w:val="21"/>
              </w:rPr>
              <w:t>年至</w:t>
            </w:r>
            <w:r>
              <w:rPr>
                <w:rFonts w:ascii="宋体" w:hAnsi="宋体" w:cs="宋体" w:eastAsia="宋体" w:hint="default"/>
                <w:spacing w:val="-44"/>
                <w:sz w:val="21"/>
                <w:szCs w:val="21"/>
              </w:rPr>
              <w:t> </w:t>
            </w:r>
            <w:r>
              <w:rPr>
                <w:rFonts w:ascii="宋体" w:hAnsi="宋体" w:cs="宋体" w:eastAsia="宋体" w:hint="default"/>
                <w:sz w:val="21"/>
                <w:szCs w:val="21"/>
              </w:rPr>
              <w:t>1999</w:t>
            </w:r>
            <w:r>
              <w:rPr>
                <w:rFonts w:ascii="宋体" w:hAnsi="宋体" w:cs="宋体" w:eastAsia="宋体" w:hint="default"/>
                <w:spacing w:val="-46"/>
                <w:sz w:val="21"/>
                <w:szCs w:val="21"/>
              </w:rPr>
              <w:t> </w:t>
            </w:r>
            <w:r>
              <w:rPr>
                <w:rFonts w:ascii="宋体" w:hAnsi="宋体" w:cs="宋体" w:eastAsia="宋体" w:hint="default"/>
                <w:spacing w:val="-3"/>
                <w:sz w:val="21"/>
                <w:szCs w:val="21"/>
              </w:rPr>
              <w:t>年任安达信华强会计师事务所经理；</w:t>
            </w:r>
            <w:r>
              <w:rPr>
                <w:rFonts w:ascii="宋体" w:hAnsi="宋体" w:cs="宋体" w:eastAsia="宋体" w:hint="default"/>
                <w:spacing w:val="-3"/>
                <w:sz w:val="21"/>
                <w:szCs w:val="21"/>
              </w:rPr>
              <w:t>1999</w:t>
            </w:r>
            <w:r>
              <w:rPr>
                <w:rFonts w:ascii="宋体" w:hAnsi="宋体" w:cs="宋体" w:eastAsia="宋体" w:hint="default"/>
                <w:spacing w:val="-46"/>
                <w:sz w:val="21"/>
                <w:szCs w:val="21"/>
              </w:rPr>
              <w:t> </w:t>
            </w:r>
            <w:r>
              <w:rPr>
                <w:rFonts w:ascii="宋体" w:hAnsi="宋体" w:cs="宋体" w:eastAsia="宋体" w:hint="default"/>
                <w:sz w:val="21"/>
                <w:szCs w:val="21"/>
              </w:rPr>
              <w:t>年至今</w:t>
            </w:r>
            <w:r>
              <w:rPr>
                <w:rFonts w:ascii="宋体" w:hAnsi="宋体" w:cs="宋体" w:eastAsia="宋体" w:hint="default"/>
                <w:spacing w:val="-79"/>
                <w:sz w:val="21"/>
                <w:szCs w:val="21"/>
              </w:rPr>
              <w:t> </w:t>
            </w:r>
            <w:r>
              <w:rPr>
                <w:rFonts w:ascii="宋体" w:hAnsi="宋体" w:cs="宋体" w:eastAsia="宋体" w:hint="default"/>
                <w:sz w:val="21"/>
                <w:szCs w:val="21"/>
              </w:rPr>
              <w:t>任信永中和会计师事务所（特殊普通合伙）审计合伙人、管理委员会成员、审计执行委员会主席、信息化发展及管理委员会主席；</w:t>
            </w:r>
            <w:r>
              <w:rPr>
                <w:rFonts w:ascii="宋体" w:hAnsi="宋体" w:cs="宋体" w:eastAsia="宋体" w:hint="default"/>
                <w:sz w:val="21"/>
                <w:szCs w:val="21"/>
              </w:rPr>
              <w:t>2002</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年至今任信永中和（北京）国际投资管理有限公司董事，</w:t>
            </w:r>
            <w:r>
              <w:rPr>
                <w:rFonts w:ascii="宋体" w:hAnsi="宋体" w:cs="宋体" w:eastAsia="宋体" w:hint="default"/>
                <w:sz w:val="21"/>
                <w:szCs w:val="21"/>
              </w:rPr>
              <w:t>2003</w:t>
            </w:r>
            <w:r>
              <w:rPr>
                <w:rFonts w:ascii="宋体" w:hAnsi="宋体" w:cs="宋体" w:eastAsia="宋体" w:hint="default"/>
                <w:spacing w:val="-59"/>
                <w:sz w:val="21"/>
                <w:szCs w:val="21"/>
              </w:rPr>
              <w:t> </w:t>
            </w:r>
            <w:r>
              <w:rPr>
                <w:rFonts w:ascii="宋体" w:hAnsi="宋体" w:cs="宋体" w:eastAsia="宋体" w:hint="default"/>
                <w:sz w:val="21"/>
                <w:szCs w:val="21"/>
              </w:rPr>
              <w:t>年至今任北京信永方略管理咨询有限责任公司监事，</w:t>
            </w:r>
            <w:r>
              <w:rPr>
                <w:rFonts w:ascii="宋体" w:hAnsi="宋体" w:cs="宋体" w:eastAsia="宋体" w:hint="default"/>
                <w:sz w:val="21"/>
                <w:szCs w:val="21"/>
              </w:rPr>
              <w:t>2010</w:t>
            </w:r>
            <w:r>
              <w:rPr>
                <w:rFonts w:ascii="宋体" w:hAnsi="宋体" w:cs="宋体" w:eastAsia="宋体" w:hint="default"/>
                <w:spacing w:val="-57"/>
                <w:sz w:val="21"/>
                <w:szCs w:val="21"/>
              </w:rPr>
              <w:t> </w:t>
            </w:r>
            <w:r>
              <w:rPr>
                <w:rFonts w:ascii="宋体" w:hAnsi="宋体" w:cs="宋体" w:eastAsia="宋体" w:hint="default"/>
                <w:sz w:val="21"/>
                <w:szCs w:val="21"/>
              </w:rPr>
              <w:t>年至今任信永中</w:t>
            </w:r>
            <w:r>
              <w:rPr>
                <w:rFonts w:ascii="宋体" w:hAnsi="宋体" w:cs="宋体" w:eastAsia="宋体" w:hint="default"/>
                <w:w w:val="100"/>
                <w:sz w:val="21"/>
                <w:szCs w:val="21"/>
              </w:rPr>
              <w:t> </w:t>
            </w:r>
            <w:r>
              <w:rPr>
                <w:rFonts w:ascii="宋体" w:hAnsi="宋体" w:cs="宋体" w:eastAsia="宋体" w:hint="default"/>
                <w:spacing w:val="-5"/>
                <w:sz w:val="21"/>
                <w:szCs w:val="21"/>
              </w:rPr>
              <w:t>和（北京）税务师事务所有限责任公司监事；</w:t>
            </w:r>
            <w:r>
              <w:rPr>
                <w:rFonts w:ascii="宋体" w:hAnsi="宋体" w:cs="宋体" w:eastAsia="宋体" w:hint="default"/>
                <w:spacing w:val="-5"/>
                <w:sz w:val="21"/>
                <w:szCs w:val="21"/>
              </w:rPr>
              <w:t>2015</w:t>
            </w:r>
            <w:r>
              <w:rPr>
                <w:rFonts w:ascii="宋体" w:hAnsi="宋体" w:cs="宋体" w:eastAsia="宋体" w:hint="default"/>
                <w:spacing w:val="-36"/>
                <w:sz w:val="21"/>
                <w:szCs w:val="21"/>
              </w:rPr>
              <w:t> </w:t>
            </w:r>
            <w:r>
              <w:rPr>
                <w:rFonts w:ascii="宋体" w:hAnsi="宋体" w:cs="宋体" w:eastAsia="宋体" w:hint="default"/>
                <w:sz w:val="21"/>
                <w:szCs w:val="21"/>
              </w:rPr>
              <w:t>年</w:t>
            </w:r>
            <w:r>
              <w:rPr>
                <w:rFonts w:ascii="宋体" w:hAnsi="宋体" w:cs="宋体" w:eastAsia="宋体" w:hint="default"/>
                <w:spacing w:val="-33"/>
                <w:sz w:val="21"/>
                <w:szCs w:val="21"/>
              </w:rPr>
              <w:t> </w:t>
            </w:r>
            <w:r>
              <w:rPr>
                <w:rFonts w:ascii="宋体" w:hAnsi="宋体" w:cs="宋体" w:eastAsia="宋体" w:hint="default"/>
                <w:sz w:val="21"/>
                <w:szCs w:val="21"/>
              </w:rPr>
              <w:t>8</w:t>
            </w:r>
            <w:r>
              <w:rPr>
                <w:rFonts w:ascii="宋体" w:hAnsi="宋体" w:cs="宋体" w:eastAsia="宋体" w:hint="default"/>
                <w:spacing w:val="-33"/>
                <w:sz w:val="21"/>
                <w:szCs w:val="21"/>
              </w:rPr>
              <w:t> </w:t>
            </w:r>
            <w:r>
              <w:rPr>
                <w:rFonts w:ascii="宋体" w:hAnsi="宋体" w:cs="宋体" w:eastAsia="宋体" w:hint="default"/>
                <w:spacing w:val="-3"/>
                <w:sz w:val="21"/>
                <w:szCs w:val="21"/>
              </w:rPr>
              <w:t>月至今任上海那恒新材料有限公司董事；</w:t>
            </w:r>
            <w:r>
              <w:rPr>
                <w:rFonts w:ascii="宋体" w:hAnsi="宋体" w:cs="宋体" w:eastAsia="宋体" w:hint="default"/>
                <w:spacing w:val="-3"/>
                <w:sz w:val="21"/>
                <w:szCs w:val="21"/>
              </w:rPr>
              <w:t>2015</w:t>
            </w:r>
            <w:r>
              <w:rPr>
                <w:rFonts w:ascii="宋体" w:hAnsi="宋体" w:cs="宋体" w:eastAsia="宋体" w:hint="default"/>
                <w:spacing w:val="-36"/>
                <w:sz w:val="21"/>
                <w:szCs w:val="21"/>
              </w:rPr>
              <w:t> </w:t>
            </w:r>
            <w:r>
              <w:rPr>
                <w:rFonts w:ascii="宋体" w:hAnsi="宋体" w:cs="宋体" w:eastAsia="宋体" w:hint="default"/>
                <w:sz w:val="21"/>
                <w:szCs w:val="21"/>
              </w:rPr>
              <w:t>年</w:t>
            </w:r>
            <w:r>
              <w:rPr>
                <w:rFonts w:ascii="宋体" w:hAnsi="宋体" w:cs="宋体" w:eastAsia="宋体" w:hint="default"/>
                <w:spacing w:val="-33"/>
                <w:sz w:val="21"/>
                <w:szCs w:val="21"/>
              </w:rPr>
              <w:t> </w:t>
            </w:r>
            <w:r>
              <w:rPr>
                <w:rFonts w:ascii="宋体" w:hAnsi="宋体" w:cs="宋体" w:eastAsia="宋体" w:hint="default"/>
                <w:sz w:val="21"/>
                <w:szCs w:val="21"/>
              </w:rPr>
              <w:t>6</w:t>
            </w:r>
            <w:r>
              <w:rPr>
                <w:rFonts w:ascii="宋体" w:hAnsi="宋体" w:cs="宋体" w:eastAsia="宋体" w:hint="default"/>
                <w:spacing w:val="-33"/>
                <w:sz w:val="21"/>
                <w:szCs w:val="21"/>
              </w:rPr>
              <w:t> </w:t>
            </w:r>
            <w:r>
              <w:rPr>
                <w:rFonts w:ascii="宋体" w:hAnsi="宋体" w:cs="宋体" w:eastAsia="宋体" w:hint="default"/>
                <w:spacing w:val="-4"/>
                <w:sz w:val="21"/>
                <w:szCs w:val="21"/>
              </w:rPr>
              <w:t>月至今，任恒银金融独立董事。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高立里</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5"/>
              <w:jc w:val="left"/>
              <w:rPr>
                <w:rFonts w:ascii="宋体" w:hAnsi="宋体" w:cs="宋体" w:eastAsia="宋体" w:hint="default"/>
                <w:sz w:val="21"/>
                <w:szCs w:val="21"/>
              </w:rPr>
            </w:pPr>
            <w:r>
              <w:rPr>
                <w:rFonts w:ascii="宋体" w:hAnsi="宋体" w:cs="宋体" w:eastAsia="宋体" w:hint="default"/>
                <w:spacing w:val="-4"/>
                <w:sz w:val="21"/>
                <w:szCs w:val="21"/>
              </w:rPr>
              <w:t>高立里，男，</w:t>
            </w:r>
            <w:r>
              <w:rPr>
                <w:rFonts w:ascii="宋体" w:hAnsi="宋体" w:cs="宋体" w:eastAsia="宋体" w:hint="default"/>
                <w:spacing w:val="-4"/>
                <w:sz w:val="21"/>
                <w:szCs w:val="21"/>
              </w:rPr>
              <w:t>1983</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宋体" w:hAnsi="宋体" w:cs="宋体" w:eastAsia="宋体" w:hint="default"/>
                <w:sz w:val="21"/>
                <w:szCs w:val="21"/>
              </w:rPr>
              <w:t>10</w:t>
            </w:r>
            <w:r>
              <w:rPr>
                <w:rFonts w:ascii="宋体" w:hAnsi="宋体" w:cs="宋体" w:eastAsia="宋体" w:hint="default"/>
                <w:spacing w:val="-34"/>
                <w:sz w:val="21"/>
                <w:szCs w:val="21"/>
              </w:rPr>
              <w:t> </w:t>
            </w:r>
            <w:r>
              <w:rPr>
                <w:rFonts w:ascii="宋体" w:hAnsi="宋体" w:cs="宋体" w:eastAsia="宋体" w:hint="default"/>
                <w:spacing w:val="-4"/>
                <w:sz w:val="21"/>
                <w:szCs w:val="21"/>
              </w:rPr>
              <w:t>月出生，上海交通大学本科，北京大学在职研究生。</w:t>
            </w:r>
            <w:r>
              <w:rPr>
                <w:rFonts w:ascii="宋体" w:hAnsi="宋体" w:cs="宋体" w:eastAsia="宋体" w:hint="default"/>
                <w:spacing w:val="-4"/>
                <w:sz w:val="21"/>
                <w:szCs w:val="21"/>
              </w:rPr>
              <w:t>2006</w:t>
            </w:r>
            <w:r>
              <w:rPr>
                <w:rFonts w:ascii="宋体" w:hAnsi="宋体" w:cs="宋体" w:eastAsia="宋体" w:hint="default"/>
                <w:spacing w:val="-36"/>
                <w:sz w:val="21"/>
                <w:szCs w:val="21"/>
              </w:rPr>
              <w:t> </w:t>
            </w:r>
            <w:r>
              <w:rPr>
                <w:rFonts w:ascii="宋体" w:hAnsi="宋体" w:cs="宋体" w:eastAsia="宋体" w:hint="default"/>
                <w:sz w:val="21"/>
                <w:szCs w:val="21"/>
              </w:rPr>
              <w:t>年至</w:t>
            </w:r>
            <w:r>
              <w:rPr>
                <w:rFonts w:ascii="宋体" w:hAnsi="宋体" w:cs="宋体" w:eastAsia="宋体" w:hint="default"/>
                <w:spacing w:val="-36"/>
                <w:sz w:val="21"/>
                <w:szCs w:val="21"/>
              </w:rPr>
              <w:t> </w:t>
            </w:r>
            <w:r>
              <w:rPr>
                <w:rFonts w:ascii="宋体" w:hAnsi="宋体" w:cs="宋体" w:eastAsia="宋体" w:hint="default"/>
                <w:sz w:val="21"/>
                <w:szCs w:val="21"/>
              </w:rPr>
              <w:t>2008</w:t>
            </w:r>
            <w:r>
              <w:rPr>
                <w:rFonts w:ascii="宋体" w:hAnsi="宋体" w:cs="宋体" w:eastAsia="宋体" w:hint="default"/>
                <w:spacing w:val="-38"/>
                <w:sz w:val="21"/>
                <w:szCs w:val="21"/>
              </w:rPr>
              <w:t> </w:t>
            </w:r>
            <w:r>
              <w:rPr>
                <w:rFonts w:ascii="宋体" w:hAnsi="宋体" w:cs="宋体" w:eastAsia="宋体" w:hint="default"/>
                <w:spacing w:val="-4"/>
                <w:sz w:val="21"/>
                <w:szCs w:val="21"/>
              </w:rPr>
              <w:t>年任联合利华（中国）有限公司管理培训生；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44"/>
                <w:sz w:val="21"/>
                <w:szCs w:val="21"/>
              </w:rPr>
              <w:t> </w:t>
            </w:r>
            <w:r>
              <w:rPr>
                <w:rFonts w:ascii="宋体" w:hAnsi="宋体" w:cs="宋体" w:eastAsia="宋体" w:hint="default"/>
                <w:sz w:val="21"/>
                <w:szCs w:val="21"/>
              </w:rPr>
              <w:t>年至</w:t>
            </w:r>
            <w:r>
              <w:rPr>
                <w:rFonts w:ascii="宋体" w:hAnsi="宋体" w:cs="宋体" w:eastAsia="宋体" w:hint="default"/>
                <w:spacing w:val="-44"/>
                <w:sz w:val="21"/>
                <w:szCs w:val="21"/>
              </w:rPr>
              <w:t> </w:t>
            </w:r>
            <w:r>
              <w:rPr>
                <w:rFonts w:ascii="宋体" w:hAnsi="宋体" w:cs="宋体" w:eastAsia="宋体" w:hint="default"/>
                <w:sz w:val="21"/>
                <w:szCs w:val="21"/>
              </w:rPr>
              <w:t>2009</w:t>
            </w:r>
            <w:r>
              <w:rPr>
                <w:rFonts w:ascii="宋体" w:hAnsi="宋体" w:cs="宋体" w:eastAsia="宋体" w:hint="default"/>
                <w:spacing w:val="-44"/>
                <w:sz w:val="21"/>
                <w:szCs w:val="21"/>
              </w:rPr>
              <w:t> </w:t>
            </w:r>
            <w:r>
              <w:rPr>
                <w:rFonts w:ascii="宋体" w:hAnsi="宋体" w:cs="宋体" w:eastAsia="宋体" w:hint="default"/>
                <w:sz w:val="21"/>
                <w:szCs w:val="21"/>
              </w:rPr>
              <w:t>年任上海汇投控股集团有限公司投资总监；</w:t>
            </w:r>
            <w:r>
              <w:rPr>
                <w:rFonts w:ascii="宋体" w:hAnsi="宋体" w:cs="宋体" w:eastAsia="宋体" w:hint="default"/>
                <w:sz w:val="21"/>
                <w:szCs w:val="21"/>
              </w:rPr>
              <w:t>2009</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10</w:t>
            </w:r>
            <w:r>
              <w:rPr>
                <w:rFonts w:ascii="宋体" w:hAnsi="宋体" w:cs="宋体" w:eastAsia="宋体" w:hint="default"/>
                <w:spacing w:val="-44"/>
                <w:sz w:val="21"/>
                <w:szCs w:val="21"/>
              </w:rPr>
              <w:t> </w:t>
            </w:r>
            <w:r>
              <w:rPr>
                <w:rFonts w:ascii="宋体" w:hAnsi="宋体" w:cs="宋体" w:eastAsia="宋体" w:hint="default"/>
                <w:sz w:val="21"/>
                <w:szCs w:val="21"/>
              </w:rPr>
              <w:t>月至</w:t>
            </w:r>
            <w:r>
              <w:rPr>
                <w:rFonts w:ascii="宋体" w:hAnsi="宋体" w:cs="宋体" w:eastAsia="宋体" w:hint="default"/>
                <w:spacing w:val="-44"/>
                <w:sz w:val="21"/>
                <w:szCs w:val="21"/>
              </w:rPr>
              <w:t> </w:t>
            </w:r>
            <w:r>
              <w:rPr>
                <w:rFonts w:ascii="宋体" w:hAnsi="宋体" w:cs="宋体" w:eastAsia="宋体" w:hint="default"/>
                <w:sz w:val="21"/>
                <w:szCs w:val="21"/>
              </w:rPr>
              <w:t>2016</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w:t>
            </w:r>
            <w:r>
              <w:rPr>
                <w:rFonts w:ascii="宋体" w:hAnsi="宋体" w:cs="宋体" w:eastAsia="宋体" w:hint="default"/>
                <w:spacing w:val="-46"/>
                <w:sz w:val="21"/>
                <w:szCs w:val="21"/>
              </w:rPr>
              <w:t> </w:t>
            </w:r>
            <w:r>
              <w:rPr>
                <w:rFonts w:ascii="宋体" w:hAnsi="宋体" w:cs="宋体" w:eastAsia="宋体" w:hint="default"/>
                <w:sz w:val="21"/>
                <w:szCs w:val="21"/>
              </w:rPr>
              <w:t>月任中科招商投资管理集团股份有限公司执行副总</w:t>
            </w:r>
          </w:p>
        </w:tc>
      </w:tr>
    </w:tbl>
    <w:p>
      <w:pPr>
        <w:spacing w:after="0" w:line="274" w:lineRule="exact"/>
        <w:jc w:val="lef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裁；</w:t>
            </w:r>
            <w:r>
              <w:rPr>
                <w:rFonts w:ascii="宋体" w:hAnsi="宋体" w:cs="宋体" w:eastAsia="宋体" w:hint="default"/>
                <w:spacing w:val="-4"/>
                <w:sz w:val="21"/>
                <w:szCs w:val="21"/>
              </w:rPr>
              <w:t>2010</w:t>
            </w:r>
            <w:r>
              <w:rPr>
                <w:rFonts w:ascii="宋体" w:hAnsi="宋体" w:cs="宋体" w:eastAsia="宋体" w:hint="default"/>
                <w:spacing w:val="-47"/>
                <w:sz w:val="21"/>
                <w:szCs w:val="21"/>
              </w:rPr>
              <w:t> </w:t>
            </w:r>
            <w:r>
              <w:rPr>
                <w:rFonts w:ascii="宋体" w:hAnsi="宋体" w:cs="宋体" w:eastAsia="宋体" w:hint="default"/>
                <w:sz w:val="21"/>
                <w:szCs w:val="21"/>
              </w:rPr>
              <w:t>年至</w:t>
            </w:r>
            <w:r>
              <w:rPr>
                <w:rFonts w:ascii="宋体" w:hAnsi="宋体" w:cs="宋体" w:eastAsia="宋体" w:hint="default"/>
                <w:spacing w:val="-47"/>
                <w:sz w:val="21"/>
                <w:szCs w:val="21"/>
              </w:rPr>
              <w:t> </w:t>
            </w:r>
            <w:r>
              <w:rPr>
                <w:rFonts w:ascii="宋体" w:hAnsi="宋体" w:cs="宋体" w:eastAsia="宋体" w:hint="default"/>
                <w:sz w:val="21"/>
                <w:szCs w:val="21"/>
              </w:rPr>
              <w:t>2016</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9</w:t>
            </w:r>
            <w:r>
              <w:rPr>
                <w:rFonts w:ascii="宋体" w:hAnsi="宋体" w:cs="宋体" w:eastAsia="宋体" w:hint="default"/>
                <w:spacing w:val="-47"/>
                <w:sz w:val="21"/>
                <w:szCs w:val="21"/>
              </w:rPr>
              <w:t> </w:t>
            </w:r>
            <w:r>
              <w:rPr>
                <w:rFonts w:ascii="宋体" w:hAnsi="宋体" w:cs="宋体" w:eastAsia="宋体" w:hint="default"/>
                <w:spacing w:val="-3"/>
                <w:sz w:val="21"/>
                <w:szCs w:val="21"/>
              </w:rPr>
              <w:t>月任大连举扬科技股份有限公司董事；</w:t>
            </w:r>
            <w:r>
              <w:rPr>
                <w:rFonts w:ascii="宋体" w:hAnsi="宋体" w:cs="宋体" w:eastAsia="宋体" w:hint="default"/>
                <w:spacing w:val="-3"/>
                <w:sz w:val="21"/>
                <w:szCs w:val="21"/>
              </w:rPr>
              <w:t>2011</w:t>
            </w:r>
            <w:r>
              <w:rPr>
                <w:rFonts w:ascii="宋体" w:hAnsi="宋体" w:cs="宋体" w:eastAsia="宋体" w:hint="default"/>
                <w:spacing w:val="-45"/>
                <w:sz w:val="21"/>
                <w:szCs w:val="21"/>
              </w:rPr>
              <w:t> </w:t>
            </w:r>
            <w:r>
              <w:rPr>
                <w:rFonts w:ascii="宋体" w:hAnsi="宋体" w:cs="宋体" w:eastAsia="宋体" w:hint="default"/>
                <w:sz w:val="21"/>
                <w:szCs w:val="21"/>
              </w:rPr>
              <w:t>年至</w:t>
            </w:r>
            <w:r>
              <w:rPr>
                <w:rFonts w:ascii="宋体" w:hAnsi="宋体" w:cs="宋体" w:eastAsia="宋体" w:hint="default"/>
                <w:spacing w:val="-45"/>
                <w:sz w:val="21"/>
                <w:szCs w:val="21"/>
              </w:rPr>
              <w:t> </w:t>
            </w:r>
            <w:r>
              <w:rPr>
                <w:rFonts w:ascii="宋体" w:hAnsi="宋体" w:cs="宋体" w:eastAsia="宋体" w:hint="default"/>
                <w:sz w:val="21"/>
                <w:szCs w:val="21"/>
              </w:rPr>
              <w:t>2016</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pacing w:val="-45"/>
                <w:sz w:val="21"/>
                <w:szCs w:val="21"/>
              </w:rPr>
              <w:t> </w:t>
            </w:r>
            <w:r>
              <w:rPr>
                <w:rFonts w:ascii="宋体" w:hAnsi="宋体" w:cs="宋体" w:eastAsia="宋体" w:hint="default"/>
                <w:spacing w:val="-3"/>
                <w:sz w:val="21"/>
                <w:szCs w:val="21"/>
              </w:rPr>
              <w:t>月任沈阳中北通磁科技股份有限公司董事；</w:t>
            </w:r>
            <w:r>
              <w:rPr>
                <w:rFonts w:ascii="宋体" w:hAnsi="宋体" w:cs="宋体" w:eastAsia="宋体" w:hint="default"/>
                <w:spacing w:val="-3"/>
                <w:sz w:val="21"/>
                <w:szCs w:val="21"/>
              </w:rPr>
              <w:t>2012</w:t>
            </w:r>
            <w:r>
              <w:rPr>
                <w:rFonts w:ascii="宋体" w:hAnsi="宋体" w:cs="宋体" w:eastAsia="宋体" w:hint="default"/>
                <w:spacing w:val="-43"/>
                <w:sz w:val="21"/>
                <w:szCs w:val="21"/>
              </w:rPr>
              <w:t> </w:t>
            </w:r>
            <w:r>
              <w:rPr>
                <w:rFonts w:ascii="宋体" w:hAnsi="宋体" w:cs="宋体" w:eastAsia="宋体" w:hint="default"/>
                <w:sz w:val="21"/>
                <w:szCs w:val="21"/>
              </w:rPr>
              <w:t>年至</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1</w:t>
            </w:r>
            <w:r>
              <w:rPr>
                <w:rFonts w:ascii="宋体" w:hAnsi="宋体" w:cs="宋体" w:eastAsia="宋体" w:hint="default"/>
                <w:spacing w:val="-44"/>
                <w:sz w:val="21"/>
                <w:szCs w:val="21"/>
              </w:rPr>
              <w:t> </w:t>
            </w:r>
            <w:r>
              <w:rPr>
                <w:rFonts w:ascii="宋体" w:hAnsi="宋体" w:cs="宋体" w:eastAsia="宋体" w:hint="default"/>
                <w:spacing w:val="-4"/>
                <w:sz w:val="21"/>
                <w:szCs w:val="21"/>
              </w:rPr>
              <w:t>月任微网信通（北京）通信技术股份有限公司董事；</w:t>
            </w:r>
            <w:r>
              <w:rPr>
                <w:rFonts w:ascii="宋体" w:hAnsi="宋体" w:cs="宋体" w:eastAsia="宋体" w:hint="default"/>
                <w:spacing w:val="-4"/>
                <w:sz w:val="21"/>
                <w:szCs w:val="21"/>
              </w:rPr>
              <w:t>2015</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6</w:t>
            </w:r>
            <w:r>
              <w:rPr>
                <w:rFonts w:ascii="宋体" w:hAnsi="宋体" w:cs="宋体" w:eastAsia="宋体" w:hint="default"/>
                <w:spacing w:val="-42"/>
                <w:sz w:val="21"/>
                <w:szCs w:val="21"/>
              </w:rPr>
              <w:t> </w:t>
            </w:r>
            <w:r>
              <w:rPr>
                <w:rFonts w:ascii="宋体" w:hAnsi="宋体" w:cs="宋体" w:eastAsia="宋体" w:hint="default"/>
                <w:spacing w:val="-3"/>
                <w:sz w:val="21"/>
                <w:szCs w:val="21"/>
              </w:rPr>
              <w:t>月至今任恒银金融独立董事；</w:t>
            </w:r>
            <w:r>
              <w:rPr>
                <w:rFonts w:ascii="宋体" w:hAnsi="宋体" w:cs="宋体" w:eastAsia="宋体" w:hint="default"/>
                <w:spacing w:val="-3"/>
                <w:sz w:val="21"/>
                <w:szCs w:val="21"/>
              </w:rPr>
              <w:t>2016</w:t>
            </w:r>
            <w:r>
              <w:rPr>
                <w:rFonts w:ascii="宋体" w:hAnsi="宋体" w:cs="宋体" w:eastAsia="宋体" w:hint="default"/>
                <w:spacing w:val="-42"/>
                <w:sz w:val="21"/>
                <w:szCs w:val="21"/>
              </w:rPr>
              <w:t> </w:t>
            </w:r>
            <w:r>
              <w:rPr>
                <w:rFonts w:ascii="宋体" w:hAnsi="宋体" w:cs="宋体" w:eastAsia="宋体" w:hint="default"/>
                <w:sz w:val="21"/>
                <w:szCs w:val="21"/>
              </w:rPr>
              <w:t>年至今任建投华科投资股份有</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限公司副总经理。</w:t>
            </w:r>
          </w:p>
        </w:tc>
      </w:tr>
      <w:tr>
        <w:trPr>
          <w:trHeight w:val="109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邬丁</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
              <w:jc w:val="left"/>
              <w:rPr>
                <w:rFonts w:ascii="宋体" w:hAnsi="宋体" w:cs="宋体" w:eastAsia="宋体" w:hint="default"/>
                <w:sz w:val="21"/>
                <w:szCs w:val="21"/>
              </w:rPr>
            </w:pPr>
            <w:r>
              <w:rPr>
                <w:rFonts w:ascii="宋体" w:hAnsi="宋体" w:cs="宋体" w:eastAsia="宋体" w:hint="default"/>
                <w:sz w:val="21"/>
                <w:szCs w:val="21"/>
              </w:rPr>
              <w:t>邬丁，男，</w:t>
            </w:r>
            <w:r>
              <w:rPr>
                <w:rFonts w:ascii="宋体" w:hAnsi="宋体" w:cs="宋体" w:eastAsia="宋体" w:hint="default"/>
                <w:sz w:val="21"/>
                <w:szCs w:val="21"/>
              </w:rPr>
              <w:t>1976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月出生，中国人民大学法学院毕业，法律硕士、中国民主建国会会员。</w:t>
            </w:r>
            <w:r>
              <w:rPr>
                <w:rFonts w:ascii="宋体" w:hAnsi="宋体" w:cs="宋体" w:eastAsia="宋体" w:hint="default"/>
                <w:sz w:val="21"/>
                <w:szCs w:val="21"/>
              </w:rPr>
              <w:t>1999</w:t>
            </w:r>
            <w:r>
              <w:rPr>
                <w:rFonts w:ascii="宋体" w:hAnsi="宋体" w:cs="宋体" w:eastAsia="宋体" w:hint="default"/>
                <w:spacing w:val="-57"/>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宋体" w:hAnsi="宋体" w:cs="宋体" w:eastAsia="宋体" w:hint="default"/>
                <w:sz w:val="21"/>
                <w:szCs w:val="21"/>
              </w:rPr>
              <w:t>2002</w:t>
            </w:r>
            <w:r>
              <w:rPr>
                <w:rFonts w:ascii="宋体" w:hAnsi="宋体" w:cs="宋体" w:eastAsia="宋体" w:hint="default"/>
                <w:spacing w:val="-55"/>
                <w:sz w:val="21"/>
                <w:szCs w:val="21"/>
              </w:rPr>
              <w:t> </w:t>
            </w:r>
            <w:r>
              <w:rPr>
                <w:rFonts w:ascii="宋体" w:hAnsi="宋体" w:cs="宋体" w:eastAsia="宋体" w:hint="default"/>
                <w:sz w:val="21"/>
                <w:szCs w:val="21"/>
              </w:rPr>
              <w:t>年任安徽皋兴律师事务所、</w:t>
            </w:r>
          </w:p>
          <w:p>
            <w:pPr>
              <w:pStyle w:val="TableParagraph"/>
              <w:spacing w:line="237" w:lineRule="auto" w:before="2"/>
              <w:ind w:left="103" w:right="-10"/>
              <w:jc w:val="left"/>
              <w:rPr>
                <w:rFonts w:ascii="宋体" w:hAnsi="宋体" w:cs="宋体" w:eastAsia="宋体" w:hint="default"/>
                <w:sz w:val="21"/>
                <w:szCs w:val="21"/>
              </w:rPr>
            </w:pPr>
            <w:r>
              <w:rPr>
                <w:rFonts w:ascii="宋体" w:hAnsi="宋体" w:cs="宋体" w:eastAsia="宋体" w:hint="default"/>
                <w:spacing w:val="-5"/>
                <w:sz w:val="21"/>
                <w:szCs w:val="21"/>
              </w:rPr>
              <w:t>安徽江淮律师事务所执业律师；</w:t>
            </w:r>
            <w:r>
              <w:rPr>
                <w:rFonts w:ascii="宋体" w:hAnsi="宋体" w:cs="宋体" w:eastAsia="宋体" w:hint="default"/>
                <w:spacing w:val="-5"/>
                <w:sz w:val="21"/>
                <w:szCs w:val="21"/>
              </w:rPr>
              <w:t>2002</w:t>
            </w:r>
            <w:r>
              <w:rPr>
                <w:rFonts w:ascii="宋体" w:hAnsi="宋体" w:cs="宋体" w:eastAsia="宋体" w:hint="default"/>
                <w:spacing w:val="-45"/>
                <w:sz w:val="21"/>
                <w:szCs w:val="21"/>
              </w:rPr>
              <w:t> </w:t>
            </w:r>
            <w:r>
              <w:rPr>
                <w:rFonts w:ascii="宋体" w:hAnsi="宋体" w:cs="宋体" w:eastAsia="宋体" w:hint="default"/>
                <w:sz w:val="21"/>
                <w:szCs w:val="21"/>
              </w:rPr>
              <w:t>年至</w:t>
            </w:r>
            <w:r>
              <w:rPr>
                <w:rFonts w:ascii="宋体" w:hAnsi="宋体" w:cs="宋体" w:eastAsia="宋体" w:hint="default"/>
                <w:spacing w:val="-45"/>
                <w:sz w:val="21"/>
                <w:szCs w:val="21"/>
              </w:rPr>
              <w:t> </w:t>
            </w:r>
            <w:r>
              <w:rPr>
                <w:rFonts w:ascii="宋体" w:hAnsi="宋体" w:cs="宋体" w:eastAsia="宋体" w:hint="default"/>
                <w:sz w:val="21"/>
                <w:szCs w:val="21"/>
              </w:rPr>
              <w:t>2004</w:t>
            </w:r>
            <w:r>
              <w:rPr>
                <w:rFonts w:ascii="宋体" w:hAnsi="宋体" w:cs="宋体" w:eastAsia="宋体" w:hint="default"/>
                <w:spacing w:val="-45"/>
                <w:sz w:val="21"/>
                <w:szCs w:val="21"/>
              </w:rPr>
              <w:t> </w:t>
            </w:r>
            <w:r>
              <w:rPr>
                <w:rFonts w:ascii="宋体" w:hAnsi="宋体" w:cs="宋体" w:eastAsia="宋体" w:hint="default"/>
                <w:spacing w:val="-4"/>
                <w:sz w:val="21"/>
                <w:szCs w:val="21"/>
              </w:rPr>
              <w:t>年任安徽永信人律师事务所执业律师；</w:t>
            </w:r>
            <w:r>
              <w:rPr>
                <w:rFonts w:ascii="宋体" w:hAnsi="宋体" w:cs="宋体" w:eastAsia="宋体" w:hint="default"/>
                <w:spacing w:val="-4"/>
                <w:sz w:val="21"/>
                <w:szCs w:val="21"/>
              </w:rPr>
              <w:t>2006</w:t>
            </w:r>
            <w:r>
              <w:rPr>
                <w:rFonts w:ascii="宋体" w:hAnsi="宋体" w:cs="宋体" w:eastAsia="宋体" w:hint="default"/>
                <w:spacing w:val="-47"/>
                <w:sz w:val="21"/>
                <w:szCs w:val="21"/>
              </w:rPr>
              <w:t> </w:t>
            </w:r>
            <w:r>
              <w:rPr>
                <w:rFonts w:ascii="宋体" w:hAnsi="宋体" w:cs="宋体" w:eastAsia="宋体" w:hint="default"/>
                <w:sz w:val="21"/>
                <w:szCs w:val="21"/>
              </w:rPr>
              <w:t>年至</w:t>
            </w:r>
            <w:r>
              <w:rPr>
                <w:rFonts w:ascii="宋体" w:hAnsi="宋体" w:cs="宋体" w:eastAsia="宋体" w:hint="default"/>
                <w:spacing w:val="-46"/>
                <w:sz w:val="21"/>
                <w:szCs w:val="21"/>
              </w:rPr>
              <w:t> </w:t>
            </w:r>
            <w:r>
              <w:rPr>
                <w:rFonts w:ascii="宋体" w:hAnsi="宋体" w:cs="宋体" w:eastAsia="宋体" w:hint="default"/>
                <w:sz w:val="21"/>
                <w:szCs w:val="21"/>
              </w:rPr>
              <w:t>2009</w:t>
            </w:r>
            <w:r>
              <w:rPr>
                <w:rFonts w:ascii="宋体" w:hAnsi="宋体" w:cs="宋体" w:eastAsia="宋体" w:hint="default"/>
                <w:spacing w:val="-47"/>
                <w:sz w:val="21"/>
                <w:szCs w:val="21"/>
              </w:rPr>
              <w:t> </w:t>
            </w:r>
            <w:r>
              <w:rPr>
                <w:rFonts w:ascii="宋体" w:hAnsi="宋体" w:cs="宋体" w:eastAsia="宋体" w:hint="default"/>
                <w:sz w:val="21"/>
                <w:szCs w:val="21"/>
              </w:rPr>
              <w:t>年任北京中银律师事务所执业律师、</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4"/>
                <w:sz w:val="21"/>
                <w:szCs w:val="21"/>
              </w:rPr>
              <w:t>合伙人；</w:t>
            </w:r>
            <w:r>
              <w:rPr>
                <w:rFonts w:ascii="宋体" w:hAnsi="宋体" w:cs="宋体" w:eastAsia="宋体" w:hint="default"/>
                <w:spacing w:val="-4"/>
                <w:sz w:val="21"/>
                <w:szCs w:val="21"/>
              </w:rPr>
              <w:t>2009</w:t>
            </w:r>
            <w:r>
              <w:rPr>
                <w:rFonts w:ascii="宋体" w:hAnsi="宋体" w:cs="宋体" w:eastAsia="宋体" w:hint="default"/>
                <w:spacing w:val="-39"/>
                <w:sz w:val="21"/>
                <w:szCs w:val="21"/>
              </w:rPr>
              <w:t> </w:t>
            </w:r>
            <w:r>
              <w:rPr>
                <w:rFonts w:ascii="宋体" w:hAnsi="宋体" w:cs="宋体" w:eastAsia="宋体" w:hint="default"/>
                <w:spacing w:val="-3"/>
                <w:sz w:val="21"/>
                <w:szCs w:val="21"/>
              </w:rPr>
              <w:t>年至今任北京大成律师事务所执业律师、高级合伙人；</w:t>
            </w:r>
            <w:r>
              <w:rPr>
                <w:rFonts w:ascii="宋体" w:hAnsi="宋体" w:cs="宋体" w:eastAsia="宋体" w:hint="default"/>
                <w:spacing w:val="-3"/>
                <w:sz w:val="21"/>
                <w:szCs w:val="21"/>
              </w:rPr>
              <w:t>2015</w:t>
            </w:r>
            <w:r>
              <w:rPr>
                <w:rFonts w:ascii="宋体" w:hAnsi="宋体" w:cs="宋体" w:eastAsia="宋体" w:hint="default"/>
                <w:spacing w:val="-42"/>
                <w:sz w:val="21"/>
                <w:szCs w:val="21"/>
              </w:rPr>
              <w:t> </w:t>
            </w:r>
            <w:r>
              <w:rPr>
                <w:rFonts w:ascii="宋体" w:hAnsi="宋体" w:cs="宋体" w:eastAsia="宋体" w:hint="default"/>
                <w:spacing w:val="-3"/>
                <w:sz w:val="21"/>
                <w:szCs w:val="21"/>
              </w:rPr>
              <w:t>年至今任中企资运投资顾问（北京）有限公司执行董事；</w:t>
            </w:r>
            <w:r>
              <w:rPr>
                <w:rFonts w:ascii="宋体" w:hAnsi="宋体" w:cs="宋体" w:eastAsia="宋体" w:hint="default"/>
                <w:spacing w:val="5"/>
                <w:sz w:val="21"/>
                <w:szCs w:val="21"/>
              </w:rPr>
              <w:t> </w:t>
            </w:r>
            <w:r>
              <w:rPr>
                <w:rFonts w:ascii="宋体" w:hAnsi="宋体" w:cs="宋体" w:eastAsia="宋体" w:hint="default"/>
                <w:sz w:val="21"/>
                <w:szCs w:val="21"/>
              </w:rPr>
              <w:t>2015</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月至今，任恒银金融独立董事；</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月至今任资云网络科技（北京）有限公司执行董事兼经理职务。</w:t>
            </w:r>
          </w:p>
        </w:tc>
      </w:tr>
      <w:tr>
        <w:trPr>
          <w:trHeight w:val="82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王亚君</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z w:val="21"/>
                <w:szCs w:val="21"/>
              </w:rPr>
              <w:t>王亚君，男，</w:t>
            </w:r>
            <w:r>
              <w:rPr>
                <w:rFonts w:ascii="宋体" w:hAnsi="宋体" w:cs="宋体" w:eastAsia="宋体" w:hint="default"/>
                <w:sz w:val="21"/>
                <w:szCs w:val="21"/>
              </w:rPr>
              <w:t>1963</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月出生，中国人民大学本科。</w:t>
            </w:r>
            <w:r>
              <w:rPr>
                <w:rFonts w:ascii="宋体" w:hAnsi="宋体" w:cs="宋体" w:eastAsia="宋体" w:hint="default"/>
                <w:sz w:val="21"/>
                <w:szCs w:val="21"/>
              </w:rPr>
              <w:t>1985</w:t>
            </w:r>
            <w:r>
              <w:rPr>
                <w:rFonts w:ascii="宋体" w:hAnsi="宋体" w:cs="宋体" w:eastAsia="宋体" w:hint="default"/>
                <w:spacing w:val="-49"/>
                <w:sz w:val="21"/>
                <w:szCs w:val="21"/>
              </w:rPr>
              <w:t> </w:t>
            </w:r>
            <w:r>
              <w:rPr>
                <w:rFonts w:ascii="宋体" w:hAnsi="宋体" w:cs="宋体" w:eastAsia="宋体" w:hint="default"/>
                <w:sz w:val="21"/>
                <w:szCs w:val="21"/>
              </w:rPr>
              <w:t>年至</w:t>
            </w:r>
            <w:r>
              <w:rPr>
                <w:rFonts w:ascii="宋体" w:hAnsi="宋体" w:cs="宋体" w:eastAsia="宋体" w:hint="default"/>
                <w:spacing w:val="-49"/>
                <w:sz w:val="21"/>
                <w:szCs w:val="21"/>
              </w:rPr>
              <w:t> </w:t>
            </w:r>
            <w:r>
              <w:rPr>
                <w:rFonts w:ascii="宋体" w:hAnsi="宋体" w:cs="宋体" w:eastAsia="宋体" w:hint="default"/>
                <w:sz w:val="21"/>
                <w:szCs w:val="21"/>
              </w:rPr>
              <w:t>2000</w:t>
            </w:r>
            <w:r>
              <w:rPr>
                <w:rFonts w:ascii="宋体" w:hAnsi="宋体" w:cs="宋体" w:eastAsia="宋体" w:hint="default"/>
                <w:spacing w:val="-49"/>
                <w:sz w:val="21"/>
                <w:szCs w:val="21"/>
              </w:rPr>
              <w:t> </w:t>
            </w:r>
            <w:r>
              <w:rPr>
                <w:rFonts w:ascii="宋体" w:hAnsi="宋体" w:cs="宋体" w:eastAsia="宋体" w:hint="default"/>
                <w:sz w:val="21"/>
                <w:szCs w:val="21"/>
              </w:rPr>
              <w:t>年任哈尔滨市计划委员会处长、专职委员；</w:t>
            </w:r>
            <w:r>
              <w:rPr>
                <w:rFonts w:ascii="宋体" w:hAnsi="宋体" w:cs="宋体" w:eastAsia="宋体" w:hint="default"/>
                <w:sz w:val="21"/>
                <w:szCs w:val="21"/>
              </w:rPr>
              <w:t>2000</w:t>
            </w:r>
            <w:r>
              <w:rPr>
                <w:rFonts w:ascii="宋体" w:hAnsi="宋体" w:cs="宋体" w:eastAsia="宋体" w:hint="default"/>
                <w:spacing w:val="-49"/>
                <w:sz w:val="21"/>
                <w:szCs w:val="21"/>
              </w:rPr>
              <w:t> </w:t>
            </w:r>
            <w:r>
              <w:rPr>
                <w:rFonts w:ascii="宋体" w:hAnsi="宋体" w:cs="宋体" w:eastAsia="宋体" w:hint="default"/>
                <w:sz w:val="21"/>
                <w:szCs w:val="21"/>
              </w:rPr>
              <w:t>年至</w:t>
            </w:r>
            <w:r>
              <w:rPr>
                <w:rFonts w:ascii="宋体" w:hAnsi="宋体" w:cs="宋体" w:eastAsia="宋体" w:hint="default"/>
                <w:spacing w:val="-49"/>
                <w:sz w:val="21"/>
                <w:szCs w:val="21"/>
              </w:rPr>
              <w:t> </w:t>
            </w:r>
            <w:r>
              <w:rPr>
                <w:rFonts w:ascii="宋体" w:hAnsi="宋体" w:cs="宋体" w:eastAsia="宋体" w:hint="default"/>
                <w:sz w:val="21"/>
                <w:szCs w:val="21"/>
              </w:rPr>
              <w:t>2005</w:t>
            </w:r>
            <w:r>
              <w:rPr>
                <w:rFonts w:ascii="宋体" w:hAnsi="宋体" w:cs="宋体" w:eastAsia="宋体" w:hint="default"/>
                <w:spacing w:val="-49"/>
                <w:sz w:val="21"/>
                <w:szCs w:val="21"/>
              </w:rPr>
              <w:t> </w:t>
            </w:r>
            <w:r>
              <w:rPr>
                <w:rFonts w:ascii="宋体" w:hAnsi="宋体" w:cs="宋体" w:eastAsia="宋体" w:hint="default"/>
                <w:sz w:val="21"/>
                <w:szCs w:val="21"/>
              </w:rPr>
              <w:t>年任神</w:t>
            </w:r>
          </w:p>
          <w:p>
            <w:pPr>
              <w:pStyle w:val="TableParagraph"/>
              <w:spacing w:line="271" w:lineRule="exact"/>
              <w:ind w:left="103" w:right="-5"/>
              <w:jc w:val="left"/>
              <w:rPr>
                <w:rFonts w:ascii="宋体" w:hAnsi="宋体" w:cs="宋体" w:eastAsia="宋体" w:hint="default"/>
                <w:sz w:val="21"/>
                <w:szCs w:val="21"/>
              </w:rPr>
            </w:pPr>
            <w:r>
              <w:rPr>
                <w:rFonts w:ascii="宋体" w:hAnsi="宋体" w:cs="宋体" w:eastAsia="宋体" w:hint="default"/>
                <w:spacing w:val="-4"/>
                <w:sz w:val="21"/>
                <w:szCs w:val="21"/>
              </w:rPr>
              <w:t>华集团信泰柯科技发展中心副总经理；</w:t>
            </w:r>
            <w:r>
              <w:rPr>
                <w:rFonts w:ascii="宋体" w:hAnsi="宋体" w:cs="宋体" w:eastAsia="宋体" w:hint="default"/>
                <w:spacing w:val="-4"/>
                <w:sz w:val="21"/>
                <w:szCs w:val="21"/>
              </w:rPr>
              <w:t>2005</w:t>
            </w:r>
            <w:r>
              <w:rPr>
                <w:rFonts w:ascii="宋体" w:hAnsi="宋体" w:cs="宋体" w:eastAsia="宋体" w:hint="default"/>
                <w:spacing w:val="-49"/>
                <w:sz w:val="21"/>
                <w:szCs w:val="21"/>
              </w:rPr>
              <w:t> </w:t>
            </w:r>
            <w:r>
              <w:rPr>
                <w:rFonts w:ascii="宋体" w:hAnsi="宋体" w:cs="宋体" w:eastAsia="宋体" w:hint="default"/>
                <w:sz w:val="21"/>
                <w:szCs w:val="21"/>
              </w:rPr>
              <w:t>年至</w:t>
            </w:r>
            <w:r>
              <w:rPr>
                <w:rFonts w:ascii="宋体" w:hAnsi="宋体" w:cs="宋体" w:eastAsia="宋体" w:hint="default"/>
                <w:spacing w:val="-49"/>
                <w:sz w:val="21"/>
                <w:szCs w:val="21"/>
              </w:rPr>
              <w:t> </w:t>
            </w:r>
            <w:r>
              <w:rPr>
                <w:rFonts w:ascii="宋体" w:hAnsi="宋体" w:cs="宋体" w:eastAsia="宋体" w:hint="default"/>
                <w:sz w:val="21"/>
                <w:szCs w:val="21"/>
              </w:rPr>
              <w:t>2007</w:t>
            </w:r>
            <w:r>
              <w:rPr>
                <w:rFonts w:ascii="宋体" w:hAnsi="宋体" w:cs="宋体" w:eastAsia="宋体" w:hint="default"/>
                <w:spacing w:val="-47"/>
                <w:sz w:val="21"/>
                <w:szCs w:val="21"/>
              </w:rPr>
              <w:t> </w:t>
            </w:r>
            <w:r>
              <w:rPr>
                <w:rFonts w:ascii="宋体" w:hAnsi="宋体" w:cs="宋体" w:eastAsia="宋体" w:hint="default"/>
                <w:spacing w:val="-5"/>
                <w:sz w:val="21"/>
                <w:szCs w:val="21"/>
              </w:rPr>
              <w:t>年任中国华源生命产业公司副总裁；</w:t>
            </w:r>
            <w:r>
              <w:rPr>
                <w:rFonts w:ascii="宋体" w:hAnsi="宋体" w:cs="宋体" w:eastAsia="宋体" w:hint="default"/>
                <w:spacing w:val="-5"/>
                <w:sz w:val="21"/>
                <w:szCs w:val="21"/>
              </w:rPr>
              <w:t>2007</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4</w:t>
            </w:r>
            <w:r>
              <w:rPr>
                <w:rFonts w:ascii="宋体" w:hAnsi="宋体" w:cs="宋体" w:eastAsia="宋体" w:hint="default"/>
                <w:spacing w:val="-49"/>
                <w:sz w:val="21"/>
                <w:szCs w:val="21"/>
              </w:rPr>
              <w:t> </w:t>
            </w:r>
            <w:r>
              <w:rPr>
                <w:rFonts w:ascii="宋体" w:hAnsi="宋体" w:cs="宋体" w:eastAsia="宋体" w:hint="default"/>
                <w:sz w:val="21"/>
                <w:szCs w:val="21"/>
              </w:rPr>
              <w:t>月至</w:t>
            </w:r>
            <w:r>
              <w:rPr>
                <w:rFonts w:ascii="宋体" w:hAnsi="宋体" w:cs="宋体" w:eastAsia="宋体" w:hint="default"/>
                <w:spacing w:val="-47"/>
                <w:sz w:val="21"/>
                <w:szCs w:val="21"/>
              </w:rPr>
              <w:t> </w:t>
            </w:r>
            <w:r>
              <w:rPr>
                <w:rFonts w:ascii="宋体" w:hAnsi="宋体" w:cs="宋体" w:eastAsia="宋体" w:hint="default"/>
                <w:sz w:val="21"/>
                <w:szCs w:val="21"/>
              </w:rPr>
              <w:t>2009</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6</w:t>
            </w:r>
            <w:r>
              <w:rPr>
                <w:rFonts w:ascii="宋体" w:hAnsi="宋体" w:cs="宋体" w:eastAsia="宋体" w:hint="default"/>
                <w:spacing w:val="-47"/>
                <w:sz w:val="21"/>
                <w:szCs w:val="21"/>
              </w:rPr>
              <w:t> </w:t>
            </w:r>
            <w:r>
              <w:rPr>
                <w:rFonts w:ascii="宋体" w:hAnsi="宋体" w:cs="宋体" w:eastAsia="宋体" w:hint="default"/>
                <w:sz w:val="21"/>
                <w:szCs w:val="21"/>
              </w:rPr>
              <w:t>月任恒宝股份副总裁；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月至今任恒银金融副总裁。</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王伟</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王伟，男，</w:t>
            </w:r>
            <w:r>
              <w:rPr>
                <w:rFonts w:ascii="宋体" w:hAnsi="宋体" w:cs="宋体" w:eastAsia="宋体" w:hint="default"/>
                <w:sz w:val="21"/>
                <w:szCs w:val="21"/>
              </w:rPr>
              <w:t>1976</w:t>
            </w:r>
            <w:r>
              <w:rPr>
                <w:rFonts w:ascii="宋体" w:hAnsi="宋体" w:cs="宋体" w:eastAsia="宋体"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10</w:t>
            </w:r>
            <w:r>
              <w:rPr>
                <w:rFonts w:ascii="宋体" w:hAnsi="宋体" w:cs="宋体" w:eastAsia="宋体" w:hint="default"/>
                <w:spacing w:val="-39"/>
                <w:sz w:val="21"/>
                <w:szCs w:val="21"/>
              </w:rPr>
              <w:t> </w:t>
            </w:r>
            <w:r>
              <w:rPr>
                <w:rFonts w:ascii="宋体" w:hAnsi="宋体" w:cs="宋体" w:eastAsia="宋体" w:hint="default"/>
                <w:sz w:val="21"/>
                <w:szCs w:val="21"/>
              </w:rPr>
              <w:t>月出生，研究生学历，天津大学工商管理硕士（</w:t>
            </w:r>
            <w:r>
              <w:rPr>
                <w:rFonts w:ascii="宋体" w:hAnsi="宋体" w:cs="宋体" w:eastAsia="宋体" w:hint="default"/>
                <w:sz w:val="21"/>
                <w:szCs w:val="21"/>
              </w:rPr>
              <w:t>MBA</w:t>
            </w:r>
            <w:r>
              <w:rPr>
                <w:rFonts w:ascii="宋体" w:hAnsi="宋体" w:cs="宋体" w:eastAsia="宋体" w:hint="default"/>
                <w:sz w:val="21"/>
                <w:szCs w:val="21"/>
              </w:rPr>
              <w:t>），高级经济师。</w:t>
            </w:r>
            <w:r>
              <w:rPr>
                <w:rFonts w:ascii="宋体" w:hAnsi="宋体" w:cs="宋体" w:eastAsia="宋体" w:hint="default"/>
                <w:sz w:val="21"/>
                <w:szCs w:val="21"/>
              </w:rPr>
              <w:t>1999</w:t>
            </w:r>
            <w:r>
              <w:rPr>
                <w:rFonts w:ascii="宋体" w:hAnsi="宋体" w:cs="宋体" w:eastAsia="宋体" w:hint="default"/>
                <w:spacing w:val="-37"/>
                <w:sz w:val="21"/>
                <w:szCs w:val="21"/>
              </w:rPr>
              <w:t> </w:t>
            </w:r>
            <w:r>
              <w:rPr>
                <w:rFonts w:ascii="宋体" w:hAnsi="宋体" w:cs="宋体" w:eastAsia="宋体" w:hint="default"/>
                <w:sz w:val="21"/>
                <w:szCs w:val="21"/>
              </w:rPr>
              <w:t>年至</w:t>
            </w:r>
            <w:r>
              <w:rPr>
                <w:rFonts w:ascii="宋体" w:hAnsi="宋体" w:cs="宋体" w:eastAsia="宋体" w:hint="default"/>
                <w:spacing w:val="-39"/>
                <w:sz w:val="21"/>
                <w:szCs w:val="21"/>
              </w:rPr>
              <w:t> </w:t>
            </w:r>
            <w:r>
              <w:rPr>
                <w:rFonts w:ascii="宋体" w:hAnsi="宋体" w:cs="宋体" w:eastAsia="宋体" w:hint="default"/>
                <w:sz w:val="21"/>
                <w:szCs w:val="21"/>
              </w:rPr>
              <w:t>2006</w:t>
            </w:r>
            <w:r>
              <w:rPr>
                <w:rFonts w:ascii="宋体" w:hAnsi="宋体" w:cs="宋体" w:eastAsia="宋体" w:hint="default"/>
                <w:spacing w:val="-39"/>
                <w:sz w:val="21"/>
                <w:szCs w:val="21"/>
              </w:rPr>
              <w:t> </w:t>
            </w:r>
            <w:r>
              <w:rPr>
                <w:rFonts w:ascii="宋体" w:hAnsi="宋体" w:cs="宋体" w:eastAsia="宋体" w:hint="default"/>
                <w:sz w:val="21"/>
                <w:szCs w:val="21"/>
              </w:rPr>
              <w:t>年任广东科龙集团分公司经</w:t>
            </w:r>
          </w:p>
          <w:p>
            <w:pPr>
              <w:pStyle w:val="TableParagraph"/>
              <w:spacing w:line="272" w:lineRule="exact" w:before="27"/>
              <w:ind w:left="103" w:right="94"/>
              <w:jc w:val="left"/>
              <w:rPr>
                <w:rFonts w:ascii="宋体" w:hAnsi="宋体" w:cs="宋体" w:eastAsia="宋体" w:hint="default"/>
                <w:sz w:val="21"/>
                <w:szCs w:val="21"/>
              </w:rPr>
            </w:pPr>
            <w:r>
              <w:rPr>
                <w:rFonts w:ascii="宋体" w:hAnsi="宋体" w:cs="宋体" w:eastAsia="宋体" w:hint="default"/>
                <w:spacing w:val="-3"/>
                <w:sz w:val="21"/>
                <w:szCs w:val="21"/>
              </w:rPr>
              <w:t>理；</w:t>
            </w:r>
            <w:r>
              <w:rPr>
                <w:rFonts w:ascii="宋体" w:hAnsi="宋体" w:cs="宋体" w:eastAsia="宋体" w:hint="default"/>
                <w:spacing w:val="-3"/>
                <w:sz w:val="21"/>
                <w:szCs w:val="21"/>
              </w:rPr>
              <w:t>2006</w:t>
            </w:r>
            <w:r>
              <w:rPr>
                <w:rFonts w:ascii="宋体" w:hAnsi="宋体" w:cs="宋体" w:eastAsia="宋体" w:hint="default"/>
                <w:spacing w:val="-51"/>
                <w:sz w:val="21"/>
                <w:szCs w:val="21"/>
              </w:rPr>
              <w:t> </w:t>
            </w:r>
            <w:r>
              <w:rPr>
                <w:rFonts w:ascii="宋体" w:hAnsi="宋体" w:cs="宋体" w:eastAsia="宋体" w:hint="default"/>
                <w:sz w:val="21"/>
                <w:szCs w:val="21"/>
              </w:rPr>
              <w:t>年至</w:t>
            </w:r>
            <w:r>
              <w:rPr>
                <w:rFonts w:ascii="宋体" w:hAnsi="宋体" w:cs="宋体" w:eastAsia="宋体" w:hint="default"/>
                <w:spacing w:val="-51"/>
                <w:sz w:val="21"/>
                <w:szCs w:val="21"/>
              </w:rPr>
              <w:t> </w:t>
            </w: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年任天津松正电动汽车股份有限公司副总经理；</w:t>
            </w: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年至</w:t>
            </w:r>
            <w:r>
              <w:rPr>
                <w:rFonts w:ascii="宋体" w:hAnsi="宋体" w:cs="宋体" w:eastAsia="宋体" w:hint="default"/>
                <w:spacing w:val="-53"/>
                <w:sz w:val="21"/>
                <w:szCs w:val="21"/>
              </w:rPr>
              <w:t> </w:t>
            </w: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pacing w:val="-3"/>
                <w:sz w:val="21"/>
                <w:szCs w:val="21"/>
              </w:rPr>
              <w:t>年任通用咨询（天津）有限公司总监；</w:t>
            </w:r>
            <w:r>
              <w:rPr>
                <w:rFonts w:ascii="宋体" w:hAnsi="宋体" w:cs="宋体" w:eastAsia="宋体" w:hint="default"/>
                <w:spacing w:val="-3"/>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年至今任</w:t>
            </w:r>
            <w:r>
              <w:rPr>
                <w:rFonts w:ascii="宋体" w:hAnsi="宋体" w:cs="宋体" w:eastAsia="宋体" w:hint="default"/>
                <w:w w:val="100"/>
                <w:sz w:val="21"/>
                <w:szCs w:val="21"/>
              </w:rPr>
              <w:t> </w:t>
            </w:r>
            <w:r>
              <w:rPr>
                <w:rFonts w:ascii="宋体" w:hAnsi="宋体" w:cs="宋体" w:eastAsia="宋体" w:hint="default"/>
                <w:sz w:val="21"/>
                <w:szCs w:val="21"/>
              </w:rPr>
              <w:t>恒银金融董事会秘书、副总裁。</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赵再兴</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8"/>
              <w:jc w:val="left"/>
              <w:rPr>
                <w:rFonts w:ascii="宋体" w:hAnsi="宋体" w:cs="宋体" w:eastAsia="宋体" w:hint="default"/>
                <w:sz w:val="21"/>
                <w:szCs w:val="21"/>
              </w:rPr>
            </w:pPr>
            <w:r>
              <w:rPr>
                <w:rFonts w:ascii="宋体" w:hAnsi="宋体" w:cs="宋体" w:eastAsia="宋体" w:hint="default"/>
                <w:sz w:val="21"/>
                <w:szCs w:val="21"/>
              </w:rPr>
              <w:t>赵再兴，男，</w:t>
            </w:r>
            <w:r>
              <w:rPr>
                <w:rFonts w:ascii="宋体" w:hAnsi="宋体" w:cs="宋体" w:eastAsia="宋体" w:hint="default"/>
                <w:sz w:val="21"/>
                <w:szCs w:val="21"/>
              </w:rPr>
              <w:t>1972</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8</w:t>
            </w:r>
            <w:r>
              <w:rPr>
                <w:rFonts w:ascii="宋体" w:hAnsi="宋体" w:cs="宋体" w:eastAsia="宋体" w:hint="default"/>
                <w:spacing w:val="-45"/>
                <w:sz w:val="21"/>
                <w:szCs w:val="21"/>
              </w:rPr>
              <w:t> </w:t>
            </w:r>
            <w:r>
              <w:rPr>
                <w:rFonts w:ascii="宋体" w:hAnsi="宋体" w:cs="宋体" w:eastAsia="宋体" w:hint="default"/>
                <w:sz w:val="21"/>
                <w:szCs w:val="21"/>
              </w:rPr>
              <w:t>月出生，北京工业大学硕士，中欧国际工商学院</w:t>
            </w:r>
            <w:r>
              <w:rPr>
                <w:rFonts w:ascii="宋体" w:hAnsi="宋体" w:cs="宋体" w:eastAsia="宋体" w:hint="default"/>
                <w:spacing w:val="-46"/>
                <w:sz w:val="21"/>
                <w:szCs w:val="21"/>
              </w:rPr>
              <w:t> </w:t>
            </w:r>
            <w:r>
              <w:rPr>
                <w:rFonts w:ascii="宋体" w:hAnsi="宋体" w:cs="宋体" w:eastAsia="宋体" w:hint="default"/>
                <w:sz w:val="21"/>
                <w:szCs w:val="21"/>
              </w:rPr>
              <w:t>EMBA</w:t>
            </w:r>
            <w:r>
              <w:rPr>
                <w:rFonts w:ascii="宋体" w:hAnsi="宋体" w:cs="宋体" w:eastAsia="宋体" w:hint="default"/>
                <w:sz w:val="21"/>
                <w:szCs w:val="21"/>
              </w:rPr>
              <w:t>。</w:t>
            </w:r>
            <w:r>
              <w:rPr>
                <w:rFonts w:ascii="宋体" w:hAnsi="宋体" w:cs="宋体" w:eastAsia="宋体" w:hint="default"/>
                <w:sz w:val="21"/>
                <w:szCs w:val="21"/>
              </w:rPr>
              <w:t>1994</w:t>
            </w:r>
            <w:r>
              <w:rPr>
                <w:rFonts w:ascii="宋体" w:hAnsi="宋体" w:cs="宋体" w:eastAsia="宋体" w:hint="default"/>
                <w:spacing w:val="-48"/>
                <w:sz w:val="21"/>
                <w:szCs w:val="21"/>
              </w:rPr>
              <w:t> </w:t>
            </w:r>
            <w:r>
              <w:rPr>
                <w:rFonts w:ascii="宋体" w:hAnsi="宋体" w:cs="宋体" w:eastAsia="宋体" w:hint="default"/>
                <w:sz w:val="21"/>
                <w:szCs w:val="21"/>
              </w:rPr>
              <w:t>年至</w:t>
            </w:r>
            <w:r>
              <w:rPr>
                <w:rFonts w:ascii="宋体" w:hAnsi="宋体" w:cs="宋体" w:eastAsia="宋体" w:hint="default"/>
                <w:spacing w:val="-45"/>
                <w:sz w:val="21"/>
                <w:szCs w:val="21"/>
              </w:rPr>
              <w:t> </w:t>
            </w:r>
            <w:r>
              <w:rPr>
                <w:rFonts w:ascii="宋体" w:hAnsi="宋体" w:cs="宋体" w:eastAsia="宋体" w:hint="default"/>
                <w:sz w:val="21"/>
                <w:szCs w:val="21"/>
              </w:rPr>
              <w:t>2005</w:t>
            </w:r>
            <w:r>
              <w:rPr>
                <w:rFonts w:ascii="宋体" w:hAnsi="宋体" w:cs="宋体" w:eastAsia="宋体" w:hint="default"/>
                <w:spacing w:val="-45"/>
                <w:sz w:val="21"/>
                <w:szCs w:val="21"/>
              </w:rPr>
              <w:t> </w:t>
            </w:r>
            <w:r>
              <w:rPr>
                <w:rFonts w:ascii="宋体" w:hAnsi="宋体" w:cs="宋体" w:eastAsia="宋体" w:hint="default"/>
                <w:sz w:val="21"/>
                <w:szCs w:val="21"/>
              </w:rPr>
              <w:t>年任</w:t>
            </w:r>
            <w:r>
              <w:rPr>
                <w:rFonts w:ascii="宋体" w:hAnsi="宋体" w:cs="宋体" w:eastAsia="宋体" w:hint="default"/>
                <w:spacing w:val="-45"/>
                <w:sz w:val="21"/>
                <w:szCs w:val="21"/>
              </w:rPr>
              <w:t> </w:t>
            </w:r>
            <w:r>
              <w:rPr>
                <w:rFonts w:ascii="宋体" w:hAnsi="宋体" w:cs="宋体" w:eastAsia="宋体" w:hint="default"/>
                <w:sz w:val="21"/>
                <w:szCs w:val="21"/>
              </w:rPr>
              <w:t>Gemplus</w:t>
            </w:r>
            <w:r>
              <w:rPr>
                <w:rFonts w:ascii="宋体" w:hAnsi="宋体" w:cs="宋体" w:eastAsia="宋体" w:hint="default"/>
                <w:spacing w:val="-46"/>
                <w:sz w:val="21"/>
                <w:szCs w:val="21"/>
              </w:rPr>
              <w:t> </w:t>
            </w:r>
            <w:r>
              <w:rPr>
                <w:rFonts w:ascii="宋体" w:hAnsi="宋体" w:cs="宋体" w:eastAsia="宋体" w:hint="default"/>
                <w:sz w:val="21"/>
                <w:szCs w:val="21"/>
              </w:rPr>
              <w:t>中国经理；</w:t>
            </w:r>
            <w:r>
              <w:rPr>
                <w:rFonts w:ascii="宋体" w:hAnsi="宋体" w:cs="宋体" w:eastAsia="宋体" w:hint="default"/>
                <w:sz w:val="21"/>
                <w:szCs w:val="21"/>
              </w:rPr>
              <w:t>2005</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10</w:t>
            </w:r>
            <w:r>
              <w:rPr>
                <w:rFonts w:ascii="宋体" w:hAnsi="宋体" w:cs="宋体" w:eastAsia="宋体" w:hint="default"/>
                <w:spacing w:val="-45"/>
                <w:sz w:val="21"/>
                <w:szCs w:val="21"/>
              </w:rPr>
              <w:t> </w:t>
            </w:r>
            <w:r>
              <w:rPr>
                <w:rFonts w:ascii="宋体" w:hAnsi="宋体" w:cs="宋体" w:eastAsia="宋体" w:hint="default"/>
                <w:sz w:val="21"/>
                <w:szCs w:val="21"/>
              </w:rPr>
              <w:t>月至</w:t>
            </w:r>
          </w:p>
          <w:p>
            <w:pPr>
              <w:pStyle w:val="TableParagraph"/>
              <w:spacing w:line="272" w:lineRule="exact"/>
              <w:ind w:left="103" w:right="-8"/>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5</w:t>
            </w:r>
            <w:r>
              <w:rPr>
                <w:rFonts w:ascii="宋体" w:hAnsi="宋体" w:cs="宋体" w:eastAsia="宋体" w:hint="default"/>
                <w:spacing w:val="-47"/>
                <w:sz w:val="21"/>
                <w:szCs w:val="21"/>
              </w:rPr>
              <w:t> </w:t>
            </w:r>
            <w:r>
              <w:rPr>
                <w:rFonts w:ascii="宋体" w:hAnsi="宋体" w:cs="宋体" w:eastAsia="宋体" w:hint="default"/>
                <w:spacing w:val="-5"/>
                <w:sz w:val="21"/>
                <w:szCs w:val="21"/>
              </w:rPr>
              <w:t>月历任恒宝软件副总经理、恒宝股份研发中心总经理、金融支付事业部总经理；</w:t>
            </w:r>
            <w:r>
              <w:rPr>
                <w:rFonts w:ascii="宋体" w:hAnsi="宋体" w:cs="宋体" w:eastAsia="宋体" w:hint="default"/>
                <w:spacing w:val="-5"/>
                <w:sz w:val="21"/>
                <w:szCs w:val="21"/>
              </w:rPr>
              <w:t>2009</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6</w:t>
            </w:r>
            <w:r>
              <w:rPr>
                <w:rFonts w:ascii="宋体" w:hAnsi="宋体" w:cs="宋体" w:eastAsia="宋体" w:hint="default"/>
                <w:spacing w:val="-47"/>
                <w:sz w:val="21"/>
                <w:szCs w:val="21"/>
              </w:rPr>
              <w:t> </w:t>
            </w:r>
            <w:r>
              <w:rPr>
                <w:rFonts w:ascii="宋体" w:hAnsi="宋体" w:cs="宋体" w:eastAsia="宋体" w:hint="default"/>
                <w:sz w:val="21"/>
                <w:szCs w:val="21"/>
              </w:rPr>
              <w:t>月至</w:t>
            </w:r>
            <w:r>
              <w:rPr>
                <w:rFonts w:ascii="宋体" w:hAnsi="宋体" w:cs="宋体" w:eastAsia="宋体" w:hint="default"/>
                <w:spacing w:val="-45"/>
                <w:sz w:val="21"/>
                <w:szCs w:val="21"/>
              </w:rPr>
              <w:t> </w:t>
            </w:r>
            <w:r>
              <w:rPr>
                <w:rFonts w:ascii="宋体" w:hAnsi="宋体" w:cs="宋体" w:eastAsia="宋体" w:hint="default"/>
                <w:sz w:val="21"/>
                <w:szCs w:val="21"/>
              </w:rPr>
              <w:t>2010</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10</w:t>
            </w:r>
            <w:r>
              <w:rPr>
                <w:rFonts w:ascii="宋体" w:hAnsi="宋体" w:cs="宋体" w:eastAsia="宋体" w:hint="default"/>
                <w:spacing w:val="-45"/>
                <w:sz w:val="21"/>
                <w:szCs w:val="21"/>
              </w:rPr>
              <w:t> </w:t>
            </w:r>
            <w:r>
              <w:rPr>
                <w:rFonts w:ascii="宋体" w:hAnsi="宋体" w:cs="宋体" w:eastAsia="宋体" w:hint="default"/>
                <w:sz w:val="21"/>
                <w:szCs w:val="21"/>
              </w:rPr>
              <w:t>月任恒宝股份副总裁；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月至今任恒银金融副总裁。</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张云峰</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张云峰，男，</w:t>
            </w:r>
            <w:r>
              <w:rPr>
                <w:rFonts w:ascii="宋体" w:hAnsi="宋体" w:cs="宋体" w:eastAsia="宋体" w:hint="default"/>
                <w:sz w:val="21"/>
                <w:szCs w:val="21"/>
              </w:rPr>
              <w:t>1976</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宋体" w:hAnsi="宋体" w:cs="宋体" w:eastAsia="宋体" w:hint="default"/>
                <w:sz w:val="21"/>
                <w:szCs w:val="21"/>
              </w:rPr>
              <w:t>4</w:t>
            </w:r>
            <w:r>
              <w:rPr>
                <w:rFonts w:ascii="宋体" w:hAnsi="宋体" w:cs="宋体" w:eastAsia="宋体" w:hint="default"/>
                <w:spacing w:val="-39"/>
                <w:sz w:val="21"/>
                <w:szCs w:val="21"/>
              </w:rPr>
              <w:t> </w:t>
            </w:r>
            <w:r>
              <w:rPr>
                <w:rFonts w:ascii="宋体" w:hAnsi="宋体" w:cs="宋体" w:eastAsia="宋体" w:hint="default"/>
                <w:sz w:val="21"/>
                <w:szCs w:val="21"/>
              </w:rPr>
              <w:t>月出生，正高级工程师，浙江应用工程技术学院机械工程系本科。</w:t>
            </w:r>
            <w:r>
              <w:rPr>
                <w:rFonts w:ascii="宋体" w:hAnsi="宋体" w:cs="宋体" w:eastAsia="宋体" w:hint="default"/>
                <w:sz w:val="21"/>
                <w:szCs w:val="21"/>
              </w:rPr>
              <w:t>1998</w:t>
            </w:r>
            <w:r>
              <w:rPr>
                <w:rFonts w:ascii="宋体" w:hAnsi="宋体" w:cs="宋体" w:eastAsia="宋体" w:hint="default"/>
                <w:spacing w:val="-39"/>
                <w:sz w:val="21"/>
                <w:szCs w:val="21"/>
              </w:rPr>
              <w:t> </w:t>
            </w:r>
            <w:r>
              <w:rPr>
                <w:rFonts w:ascii="宋体" w:hAnsi="宋体" w:cs="宋体" w:eastAsia="宋体" w:hint="default"/>
                <w:sz w:val="21"/>
                <w:szCs w:val="21"/>
              </w:rPr>
              <w:t>年至</w:t>
            </w:r>
            <w:r>
              <w:rPr>
                <w:rFonts w:ascii="宋体" w:hAnsi="宋体" w:cs="宋体" w:eastAsia="宋体" w:hint="default"/>
                <w:spacing w:val="-39"/>
                <w:sz w:val="21"/>
                <w:szCs w:val="21"/>
              </w:rPr>
              <w:t> </w:t>
            </w:r>
            <w:r>
              <w:rPr>
                <w:rFonts w:ascii="宋体" w:hAnsi="宋体" w:cs="宋体" w:eastAsia="宋体" w:hint="default"/>
                <w:sz w:val="21"/>
                <w:szCs w:val="21"/>
              </w:rPr>
              <w:t>2011</w:t>
            </w:r>
            <w:r>
              <w:rPr>
                <w:rFonts w:ascii="宋体" w:hAnsi="宋体" w:cs="宋体" w:eastAsia="宋体" w:hint="default"/>
                <w:spacing w:val="-37"/>
                <w:sz w:val="21"/>
                <w:szCs w:val="21"/>
              </w:rPr>
              <w:t> </w:t>
            </w:r>
            <w:r>
              <w:rPr>
                <w:rFonts w:ascii="宋体" w:hAnsi="宋体" w:cs="宋体" w:eastAsia="宋体" w:hint="default"/>
                <w:sz w:val="21"/>
                <w:szCs w:val="21"/>
              </w:rPr>
              <w:t>年历任东方通信金融事业部主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管、经理、总监；</w:t>
            </w:r>
            <w:r>
              <w:rPr>
                <w:rFonts w:ascii="宋体" w:hAnsi="宋体" w:cs="宋体" w:eastAsia="宋体" w:hint="default"/>
                <w:sz w:val="21"/>
                <w:szCs w:val="21"/>
              </w:rPr>
              <w:t>2012</w:t>
            </w:r>
            <w:r>
              <w:rPr>
                <w:rFonts w:ascii="宋体" w:hAnsi="宋体" w:cs="宋体" w:eastAsia="宋体" w:hint="default"/>
                <w:spacing w:val="-57"/>
                <w:sz w:val="21"/>
                <w:szCs w:val="21"/>
              </w:rPr>
              <w:t> </w:t>
            </w:r>
            <w:r>
              <w:rPr>
                <w:rFonts w:ascii="宋体" w:hAnsi="宋体" w:cs="宋体" w:eastAsia="宋体" w:hint="default"/>
                <w:sz w:val="21"/>
                <w:szCs w:val="21"/>
              </w:rPr>
              <w:t>年至今任恒银金融副总裁。</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张泉</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张泉，男，</w:t>
            </w:r>
            <w:r>
              <w:rPr>
                <w:rFonts w:ascii="宋体" w:hAnsi="宋体" w:cs="宋体" w:eastAsia="宋体" w:hint="default"/>
                <w:sz w:val="21"/>
                <w:szCs w:val="21"/>
              </w:rPr>
              <w:t>1963</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9</w:t>
            </w:r>
            <w:r>
              <w:rPr>
                <w:rFonts w:ascii="宋体" w:hAnsi="宋体" w:cs="宋体" w:eastAsia="宋体" w:hint="default"/>
                <w:spacing w:val="-37"/>
                <w:sz w:val="21"/>
                <w:szCs w:val="21"/>
              </w:rPr>
              <w:t> </w:t>
            </w:r>
            <w:r>
              <w:rPr>
                <w:rFonts w:ascii="宋体" w:hAnsi="宋体" w:cs="宋体" w:eastAsia="宋体" w:hint="default"/>
                <w:sz w:val="21"/>
                <w:szCs w:val="21"/>
              </w:rPr>
              <w:t>月出生，研究员级高工，南开大学物理系本科。</w:t>
            </w:r>
            <w:r>
              <w:rPr>
                <w:rFonts w:ascii="宋体" w:hAnsi="宋体" w:cs="宋体" w:eastAsia="宋体" w:hint="default"/>
                <w:sz w:val="21"/>
                <w:szCs w:val="21"/>
              </w:rPr>
              <w:t>1985</w:t>
            </w:r>
            <w:r>
              <w:rPr>
                <w:rFonts w:ascii="宋体" w:hAnsi="宋体" w:cs="宋体" w:eastAsia="宋体" w:hint="default"/>
                <w:spacing w:val="-40"/>
                <w:sz w:val="21"/>
                <w:szCs w:val="21"/>
              </w:rPr>
              <w:t> </w:t>
            </w:r>
            <w:r>
              <w:rPr>
                <w:rFonts w:ascii="宋体" w:hAnsi="宋体" w:cs="宋体" w:eastAsia="宋体" w:hint="default"/>
                <w:sz w:val="21"/>
                <w:szCs w:val="21"/>
              </w:rPr>
              <w:t>年至</w:t>
            </w:r>
            <w:r>
              <w:rPr>
                <w:rFonts w:ascii="宋体" w:hAnsi="宋体" w:cs="宋体" w:eastAsia="宋体" w:hint="default"/>
                <w:spacing w:val="-38"/>
                <w:sz w:val="21"/>
                <w:szCs w:val="21"/>
              </w:rPr>
              <w:t> </w:t>
            </w:r>
            <w:r>
              <w:rPr>
                <w:rFonts w:ascii="宋体" w:hAnsi="宋体" w:cs="宋体" w:eastAsia="宋体" w:hint="default"/>
                <w:sz w:val="21"/>
                <w:szCs w:val="21"/>
              </w:rPr>
              <w:t>2008</w:t>
            </w:r>
            <w:r>
              <w:rPr>
                <w:rFonts w:ascii="宋体" w:hAnsi="宋体" w:cs="宋体" w:eastAsia="宋体" w:hint="default"/>
                <w:spacing w:val="-38"/>
                <w:sz w:val="21"/>
                <w:szCs w:val="21"/>
              </w:rPr>
              <w:t> </w:t>
            </w:r>
            <w:r>
              <w:rPr>
                <w:rFonts w:ascii="宋体" w:hAnsi="宋体" w:cs="宋体" w:eastAsia="宋体" w:hint="default"/>
                <w:sz w:val="21"/>
                <w:szCs w:val="21"/>
              </w:rPr>
              <w:t>年历任天津航空机电有限公司中心实验室工程师、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主任、科技委主任；</w:t>
            </w:r>
            <w:r>
              <w:rPr>
                <w:rFonts w:ascii="宋体" w:hAnsi="宋体" w:cs="宋体" w:eastAsia="宋体" w:hint="default"/>
                <w:sz w:val="21"/>
                <w:szCs w:val="21"/>
              </w:rPr>
              <w:t>2010</w:t>
            </w:r>
            <w:r>
              <w:rPr>
                <w:rFonts w:ascii="宋体" w:hAnsi="宋体" w:cs="宋体" w:eastAsia="宋体" w:hint="default"/>
                <w:spacing w:val="-58"/>
                <w:sz w:val="21"/>
                <w:szCs w:val="21"/>
              </w:rPr>
              <w:t> </w:t>
            </w:r>
            <w:r>
              <w:rPr>
                <w:rFonts w:ascii="宋体" w:hAnsi="宋体" w:cs="宋体" w:eastAsia="宋体" w:hint="default"/>
                <w:sz w:val="21"/>
                <w:szCs w:val="21"/>
              </w:rPr>
              <w:t>年至今任恒银金融副总裁。</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温健</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温健，男，</w:t>
            </w:r>
            <w:r>
              <w:rPr>
                <w:rFonts w:ascii="宋体" w:hAnsi="宋体" w:cs="宋体" w:eastAsia="宋体" w:hint="default"/>
                <w:spacing w:val="-4"/>
                <w:sz w:val="21"/>
                <w:szCs w:val="21"/>
              </w:rPr>
              <w:t>1978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pacing w:val="-3"/>
                <w:sz w:val="21"/>
                <w:szCs w:val="21"/>
              </w:rPr>
              <w:t>月出生，天津师范大学本科。</w:t>
            </w:r>
            <w:r>
              <w:rPr>
                <w:rFonts w:ascii="宋体" w:hAnsi="宋体" w:cs="宋体" w:eastAsia="宋体" w:hint="default"/>
                <w:spacing w:val="-3"/>
                <w:sz w:val="21"/>
                <w:szCs w:val="21"/>
              </w:rPr>
              <w:t>1999</w:t>
            </w:r>
            <w:r>
              <w:rPr>
                <w:rFonts w:ascii="宋体" w:hAnsi="宋体" w:cs="宋体" w:eastAsia="宋体" w:hint="default"/>
                <w:spacing w:val="-51"/>
                <w:sz w:val="21"/>
                <w:szCs w:val="21"/>
              </w:rPr>
              <w:t> </w:t>
            </w:r>
            <w:r>
              <w:rPr>
                <w:rFonts w:ascii="宋体" w:hAnsi="宋体" w:cs="宋体" w:eastAsia="宋体" w:hint="default"/>
                <w:sz w:val="21"/>
                <w:szCs w:val="21"/>
              </w:rPr>
              <w:t>年至</w:t>
            </w:r>
            <w:r>
              <w:rPr>
                <w:rFonts w:ascii="宋体" w:hAnsi="宋体" w:cs="宋体" w:eastAsia="宋体" w:hint="default"/>
                <w:spacing w:val="-50"/>
                <w:sz w:val="21"/>
                <w:szCs w:val="21"/>
              </w:rPr>
              <w:t> </w:t>
            </w:r>
            <w:r>
              <w:rPr>
                <w:rFonts w:ascii="宋体" w:hAnsi="宋体" w:cs="宋体" w:eastAsia="宋体" w:hint="default"/>
                <w:sz w:val="21"/>
                <w:szCs w:val="21"/>
              </w:rPr>
              <w:t>2003</w:t>
            </w:r>
            <w:r>
              <w:rPr>
                <w:rFonts w:ascii="宋体" w:hAnsi="宋体" w:cs="宋体" w:eastAsia="宋体" w:hint="default"/>
                <w:spacing w:val="-53"/>
                <w:sz w:val="21"/>
                <w:szCs w:val="21"/>
              </w:rPr>
              <w:t> </w:t>
            </w:r>
            <w:r>
              <w:rPr>
                <w:rFonts w:ascii="宋体" w:hAnsi="宋体" w:cs="宋体" w:eastAsia="宋体" w:hint="default"/>
                <w:sz w:val="21"/>
                <w:szCs w:val="21"/>
              </w:rPr>
              <w:t>年任天津内燃机磁电机有限公司会计；</w:t>
            </w:r>
            <w:r>
              <w:rPr>
                <w:rFonts w:ascii="宋体" w:hAnsi="宋体" w:cs="宋体" w:eastAsia="宋体" w:hint="default"/>
                <w:sz w:val="21"/>
                <w:szCs w:val="21"/>
              </w:rPr>
              <w:t>2003</w:t>
            </w:r>
            <w:r>
              <w:rPr>
                <w:rFonts w:ascii="宋体" w:hAnsi="宋体" w:cs="宋体" w:eastAsia="宋体" w:hint="default"/>
                <w:spacing w:val="-53"/>
                <w:sz w:val="21"/>
                <w:szCs w:val="21"/>
              </w:rPr>
              <w:t> </w:t>
            </w:r>
            <w:r>
              <w:rPr>
                <w:rFonts w:ascii="宋体" w:hAnsi="宋体" w:cs="宋体" w:eastAsia="宋体" w:hint="default"/>
                <w:sz w:val="21"/>
                <w:szCs w:val="21"/>
              </w:rPr>
              <w:t>年至</w:t>
            </w:r>
            <w:r>
              <w:rPr>
                <w:rFonts w:ascii="宋体" w:hAnsi="宋体" w:cs="宋体" w:eastAsia="宋体" w:hint="default"/>
                <w:spacing w:val="-51"/>
                <w:sz w:val="21"/>
                <w:szCs w:val="21"/>
              </w:rPr>
              <w:t> </w:t>
            </w:r>
            <w:r>
              <w:rPr>
                <w:rFonts w:ascii="宋体" w:hAnsi="宋体" w:cs="宋体" w:eastAsia="宋体" w:hint="default"/>
                <w:sz w:val="21"/>
                <w:szCs w:val="21"/>
              </w:rPr>
              <w:t>2007</w:t>
            </w:r>
            <w:r>
              <w:rPr>
                <w:rFonts w:ascii="宋体" w:hAnsi="宋体" w:cs="宋体" w:eastAsia="宋体" w:hint="default"/>
                <w:spacing w:val="-51"/>
                <w:sz w:val="21"/>
                <w:szCs w:val="21"/>
              </w:rPr>
              <w:t> </w:t>
            </w:r>
            <w:r>
              <w:rPr>
                <w:rFonts w:ascii="宋体" w:hAnsi="宋体" w:cs="宋体" w:eastAsia="宋体" w:hint="default"/>
                <w:sz w:val="21"/>
                <w:szCs w:val="21"/>
              </w:rPr>
              <w:t>年任天津津河电</w:t>
            </w:r>
          </w:p>
          <w:p>
            <w:pPr>
              <w:pStyle w:val="TableParagraph"/>
              <w:spacing w:line="272" w:lineRule="exact" w:before="26"/>
              <w:ind w:left="103" w:right="96"/>
              <w:jc w:val="left"/>
              <w:rPr>
                <w:rFonts w:ascii="宋体" w:hAnsi="宋体" w:cs="宋体" w:eastAsia="宋体" w:hint="default"/>
                <w:sz w:val="21"/>
                <w:szCs w:val="21"/>
              </w:rPr>
            </w:pPr>
            <w:r>
              <w:rPr>
                <w:rFonts w:ascii="宋体" w:hAnsi="宋体" w:cs="宋体" w:eastAsia="宋体" w:hint="default"/>
                <w:sz w:val="21"/>
                <w:szCs w:val="21"/>
              </w:rPr>
              <w:t>工有限公司会计；</w:t>
            </w:r>
            <w:r>
              <w:rPr>
                <w:rFonts w:ascii="宋体" w:hAnsi="宋体" w:cs="宋体" w:eastAsia="宋体" w:hint="default"/>
                <w:sz w:val="21"/>
                <w:szCs w:val="21"/>
              </w:rPr>
              <w:t>2007</w:t>
            </w:r>
            <w:r>
              <w:rPr>
                <w:rFonts w:ascii="宋体" w:hAnsi="宋体" w:cs="宋体" w:eastAsia="宋体" w:hint="default"/>
                <w:spacing w:val="-30"/>
                <w:sz w:val="21"/>
                <w:szCs w:val="21"/>
              </w:rPr>
              <w:t> </w:t>
            </w:r>
            <w:r>
              <w:rPr>
                <w:rFonts w:ascii="宋体" w:hAnsi="宋体" w:cs="宋体" w:eastAsia="宋体" w:hint="default"/>
                <w:sz w:val="21"/>
                <w:szCs w:val="21"/>
              </w:rPr>
              <w:t>年至</w:t>
            </w:r>
            <w:r>
              <w:rPr>
                <w:rFonts w:ascii="宋体" w:hAnsi="宋体" w:cs="宋体" w:eastAsia="宋体" w:hint="default"/>
                <w:spacing w:val="-31"/>
                <w:sz w:val="21"/>
                <w:szCs w:val="21"/>
              </w:rPr>
              <w:t> </w:t>
            </w:r>
            <w:r>
              <w:rPr>
                <w:rFonts w:ascii="宋体" w:hAnsi="宋体" w:cs="宋体" w:eastAsia="宋体" w:hint="default"/>
                <w:sz w:val="21"/>
                <w:szCs w:val="21"/>
              </w:rPr>
              <w:t>2008</w:t>
            </w:r>
            <w:r>
              <w:rPr>
                <w:rFonts w:ascii="宋体" w:hAnsi="宋体" w:cs="宋体" w:eastAsia="宋体" w:hint="default"/>
                <w:spacing w:val="-33"/>
                <w:sz w:val="21"/>
                <w:szCs w:val="21"/>
              </w:rPr>
              <w:t> </w:t>
            </w:r>
            <w:r>
              <w:rPr>
                <w:rFonts w:ascii="宋体" w:hAnsi="宋体" w:cs="宋体" w:eastAsia="宋体" w:hint="default"/>
                <w:sz w:val="21"/>
                <w:szCs w:val="21"/>
              </w:rPr>
              <w:t>年任天津三荣电梯部件有限公司财务经理；</w:t>
            </w:r>
            <w:r>
              <w:rPr>
                <w:rFonts w:ascii="宋体" w:hAnsi="宋体" w:cs="宋体" w:eastAsia="宋体" w:hint="default"/>
                <w:sz w:val="21"/>
                <w:szCs w:val="21"/>
              </w:rPr>
              <w:t>2008</w:t>
            </w:r>
            <w:r>
              <w:rPr>
                <w:rFonts w:ascii="宋体" w:hAnsi="宋体" w:cs="宋体" w:eastAsia="宋体" w:hint="default"/>
                <w:spacing w:val="-33"/>
                <w:sz w:val="21"/>
                <w:szCs w:val="21"/>
              </w:rPr>
              <w:t> </w:t>
            </w:r>
            <w:r>
              <w:rPr>
                <w:rFonts w:ascii="宋体" w:hAnsi="宋体" w:cs="宋体" w:eastAsia="宋体" w:hint="default"/>
                <w:sz w:val="21"/>
                <w:szCs w:val="21"/>
              </w:rPr>
              <w:t>年至今任恒银金融财务部经理、财务部副总经理、财</w:t>
            </w:r>
            <w:r>
              <w:rPr>
                <w:rFonts w:ascii="宋体" w:hAnsi="宋体" w:cs="宋体" w:eastAsia="宋体" w:hint="default"/>
                <w:spacing w:val="-3"/>
                <w:w w:val="100"/>
                <w:sz w:val="21"/>
                <w:szCs w:val="21"/>
              </w:rPr>
              <w:t> </w:t>
            </w:r>
            <w:r>
              <w:rPr>
                <w:rFonts w:ascii="宋体" w:hAnsi="宋体" w:cs="宋体" w:eastAsia="宋体" w:hint="default"/>
                <w:sz w:val="21"/>
                <w:szCs w:val="21"/>
              </w:rPr>
              <w:t>务部总经理；</w:t>
            </w: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月至今任恒银金融财务负责人。</w:t>
            </w:r>
          </w:p>
        </w:tc>
      </w:tr>
      <w:tr>
        <w:trPr>
          <w:trHeight w:val="109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秦威</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秦威，男，</w:t>
            </w:r>
            <w:r>
              <w:rPr>
                <w:rFonts w:ascii="宋体" w:hAnsi="宋体" w:cs="宋体" w:eastAsia="宋体" w:hint="default"/>
                <w:sz w:val="21"/>
                <w:szCs w:val="21"/>
              </w:rPr>
              <w:t>1970</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11</w:t>
            </w:r>
            <w:r>
              <w:rPr>
                <w:rFonts w:ascii="宋体" w:hAnsi="宋体" w:cs="宋体" w:eastAsia="宋体" w:hint="default"/>
                <w:spacing w:val="-50"/>
                <w:sz w:val="21"/>
                <w:szCs w:val="21"/>
              </w:rPr>
              <w:t> </w:t>
            </w:r>
            <w:r>
              <w:rPr>
                <w:rFonts w:ascii="宋体" w:hAnsi="宋体" w:cs="宋体" w:eastAsia="宋体" w:hint="default"/>
                <w:sz w:val="21"/>
                <w:szCs w:val="21"/>
              </w:rPr>
              <w:t>月出生，北京联合大学本科。</w:t>
            </w:r>
            <w:r>
              <w:rPr>
                <w:rFonts w:ascii="宋体" w:hAnsi="宋体" w:cs="宋体" w:eastAsia="宋体" w:hint="default"/>
                <w:sz w:val="21"/>
                <w:szCs w:val="21"/>
              </w:rPr>
              <w:t>1994</w:t>
            </w:r>
            <w:r>
              <w:rPr>
                <w:rFonts w:ascii="宋体" w:hAnsi="宋体" w:cs="宋体" w:eastAsia="宋体" w:hint="default"/>
                <w:spacing w:val="-50"/>
                <w:sz w:val="21"/>
                <w:szCs w:val="21"/>
              </w:rPr>
              <w:t> </w:t>
            </w:r>
            <w:r>
              <w:rPr>
                <w:rFonts w:ascii="宋体" w:hAnsi="宋体" w:cs="宋体" w:eastAsia="宋体" w:hint="default"/>
                <w:sz w:val="21"/>
                <w:szCs w:val="21"/>
              </w:rPr>
              <w:t>年至</w:t>
            </w:r>
            <w:r>
              <w:rPr>
                <w:rFonts w:ascii="宋体" w:hAnsi="宋体" w:cs="宋体" w:eastAsia="宋体" w:hint="default"/>
                <w:spacing w:val="-50"/>
                <w:sz w:val="21"/>
                <w:szCs w:val="21"/>
              </w:rPr>
              <w:t> </w:t>
            </w:r>
            <w:r>
              <w:rPr>
                <w:rFonts w:ascii="宋体" w:hAnsi="宋体" w:cs="宋体" w:eastAsia="宋体" w:hint="default"/>
                <w:sz w:val="21"/>
                <w:szCs w:val="21"/>
              </w:rPr>
              <w:t>1996</w:t>
            </w:r>
            <w:r>
              <w:rPr>
                <w:rFonts w:ascii="宋体" w:hAnsi="宋体" w:cs="宋体" w:eastAsia="宋体" w:hint="default"/>
                <w:spacing w:val="-50"/>
                <w:sz w:val="21"/>
                <w:szCs w:val="21"/>
              </w:rPr>
              <w:t> </w:t>
            </w:r>
            <w:r>
              <w:rPr>
                <w:rFonts w:ascii="宋体" w:hAnsi="宋体" w:cs="宋体" w:eastAsia="宋体" w:hint="default"/>
                <w:sz w:val="21"/>
                <w:szCs w:val="21"/>
              </w:rPr>
              <w:t>年任北京科新电子技术有限公司工程师；</w:t>
            </w:r>
            <w:r>
              <w:rPr>
                <w:rFonts w:ascii="宋体" w:hAnsi="宋体" w:cs="宋体" w:eastAsia="宋体" w:hint="default"/>
                <w:sz w:val="21"/>
                <w:szCs w:val="21"/>
              </w:rPr>
              <w:t>1997</w:t>
            </w:r>
            <w:r>
              <w:rPr>
                <w:rFonts w:ascii="宋体" w:hAnsi="宋体" w:cs="宋体" w:eastAsia="宋体" w:hint="default"/>
                <w:spacing w:val="-48"/>
                <w:sz w:val="21"/>
                <w:szCs w:val="21"/>
              </w:rPr>
              <w:t> </w:t>
            </w:r>
            <w:r>
              <w:rPr>
                <w:rFonts w:ascii="宋体" w:hAnsi="宋体" w:cs="宋体" w:eastAsia="宋体" w:hint="default"/>
                <w:sz w:val="21"/>
                <w:szCs w:val="21"/>
              </w:rPr>
              <w:t>年至</w:t>
            </w:r>
            <w:r>
              <w:rPr>
                <w:rFonts w:ascii="宋体" w:hAnsi="宋体" w:cs="宋体" w:eastAsia="宋体" w:hint="default"/>
                <w:spacing w:val="-48"/>
                <w:sz w:val="21"/>
                <w:szCs w:val="21"/>
              </w:rPr>
              <w:t> </w:t>
            </w:r>
            <w:r>
              <w:rPr>
                <w:rFonts w:ascii="宋体" w:hAnsi="宋体" w:cs="宋体" w:eastAsia="宋体" w:hint="default"/>
                <w:sz w:val="21"/>
                <w:szCs w:val="21"/>
              </w:rPr>
              <w:t>2000</w:t>
            </w:r>
            <w:r>
              <w:rPr>
                <w:rFonts w:ascii="宋体" w:hAnsi="宋体" w:cs="宋体" w:eastAsia="宋体" w:hint="default"/>
                <w:spacing w:val="-50"/>
                <w:sz w:val="21"/>
                <w:szCs w:val="21"/>
              </w:rPr>
              <w:t> </w:t>
            </w:r>
            <w:r>
              <w:rPr>
                <w:rFonts w:ascii="宋体" w:hAnsi="宋体" w:cs="宋体" w:eastAsia="宋体" w:hint="default"/>
                <w:sz w:val="21"/>
                <w:szCs w:val="21"/>
              </w:rPr>
              <w:t>年任北京赛</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z w:val="21"/>
                <w:szCs w:val="21"/>
              </w:rPr>
              <w:t>格凯奇智能电子技术有限公司研发部经理；</w:t>
            </w:r>
            <w:r>
              <w:rPr>
                <w:rFonts w:ascii="宋体" w:hAnsi="宋体" w:cs="宋体" w:eastAsia="宋体" w:hint="default"/>
                <w:sz w:val="21"/>
                <w:szCs w:val="21"/>
              </w:rPr>
              <w:t>2001</w:t>
            </w:r>
            <w:r>
              <w:rPr>
                <w:rFonts w:ascii="宋体" w:hAnsi="宋体" w:cs="宋体" w:eastAsia="宋体" w:hint="default"/>
                <w:spacing w:val="-58"/>
                <w:sz w:val="21"/>
                <w:szCs w:val="21"/>
              </w:rPr>
              <w:t> </w:t>
            </w:r>
            <w:r>
              <w:rPr>
                <w:rFonts w:ascii="宋体" w:hAnsi="宋体" w:cs="宋体" w:eastAsia="宋体" w:hint="default"/>
                <w:sz w:val="21"/>
                <w:szCs w:val="21"/>
              </w:rPr>
              <w:t>年至</w:t>
            </w:r>
            <w:r>
              <w:rPr>
                <w:rFonts w:ascii="宋体" w:hAnsi="宋体" w:cs="宋体" w:eastAsia="宋体" w:hint="default"/>
                <w:spacing w:val="-56"/>
                <w:sz w:val="21"/>
                <w:szCs w:val="21"/>
              </w:rPr>
              <w:t> </w:t>
            </w:r>
            <w:r>
              <w:rPr>
                <w:rFonts w:ascii="宋体" w:hAnsi="宋体" w:cs="宋体" w:eastAsia="宋体" w:hint="default"/>
                <w:sz w:val="21"/>
                <w:szCs w:val="21"/>
              </w:rPr>
              <w:t>2005</w:t>
            </w:r>
            <w:r>
              <w:rPr>
                <w:rFonts w:ascii="宋体" w:hAnsi="宋体" w:cs="宋体" w:eastAsia="宋体" w:hint="default"/>
                <w:spacing w:val="-55"/>
                <w:sz w:val="21"/>
                <w:szCs w:val="21"/>
              </w:rPr>
              <w:t> </w:t>
            </w:r>
            <w:r>
              <w:rPr>
                <w:rFonts w:ascii="宋体" w:hAnsi="宋体" w:cs="宋体" w:eastAsia="宋体" w:hint="default"/>
                <w:sz w:val="21"/>
                <w:szCs w:val="21"/>
              </w:rPr>
              <w:t>年任香港联合易系统数据有限公司研发部经理；</w:t>
            </w:r>
            <w:r>
              <w:rPr>
                <w:rFonts w:ascii="宋体" w:hAnsi="宋体" w:cs="宋体" w:eastAsia="宋体" w:hint="default"/>
                <w:sz w:val="21"/>
                <w:szCs w:val="21"/>
              </w:rPr>
              <w:t>2005</w:t>
            </w:r>
            <w:r>
              <w:rPr>
                <w:rFonts w:ascii="宋体" w:hAnsi="宋体" w:cs="宋体" w:eastAsia="宋体" w:hint="default"/>
                <w:spacing w:val="-58"/>
                <w:sz w:val="21"/>
                <w:szCs w:val="21"/>
              </w:rPr>
              <w:t> </w:t>
            </w:r>
            <w:r>
              <w:rPr>
                <w:rFonts w:ascii="宋体" w:hAnsi="宋体" w:cs="宋体" w:eastAsia="宋体" w:hint="default"/>
                <w:sz w:val="21"/>
                <w:szCs w:val="21"/>
              </w:rPr>
              <w:t>年至</w:t>
            </w:r>
            <w:r>
              <w:rPr>
                <w:rFonts w:ascii="宋体" w:hAnsi="宋体" w:cs="宋体" w:eastAsia="宋体" w:hint="default"/>
                <w:spacing w:val="-58"/>
                <w:sz w:val="21"/>
                <w:szCs w:val="21"/>
              </w:rPr>
              <w:t> </w:t>
            </w:r>
            <w:r>
              <w:rPr>
                <w:rFonts w:ascii="宋体" w:hAnsi="宋体" w:cs="宋体" w:eastAsia="宋体" w:hint="default"/>
                <w:sz w:val="21"/>
                <w:szCs w:val="21"/>
              </w:rPr>
              <w:t>2007</w:t>
            </w:r>
            <w:r>
              <w:rPr>
                <w:rFonts w:ascii="宋体" w:hAnsi="宋体" w:cs="宋体" w:eastAsia="宋体" w:hint="default"/>
                <w:spacing w:val="-56"/>
                <w:sz w:val="21"/>
                <w:szCs w:val="21"/>
              </w:rPr>
              <w:t> </w:t>
            </w:r>
            <w:r>
              <w:rPr>
                <w:rFonts w:ascii="宋体" w:hAnsi="宋体" w:cs="宋体" w:eastAsia="宋体" w:hint="default"/>
                <w:sz w:val="21"/>
                <w:szCs w:val="21"/>
              </w:rPr>
              <w:t>年任北京东方</w:t>
            </w:r>
            <w:r>
              <w:rPr>
                <w:rFonts w:ascii="宋体" w:hAnsi="宋体" w:cs="宋体" w:eastAsia="宋体" w:hint="default"/>
                <w:w w:val="100"/>
                <w:sz w:val="21"/>
                <w:szCs w:val="21"/>
              </w:rPr>
              <w:t> </w:t>
            </w:r>
            <w:r>
              <w:rPr>
                <w:rFonts w:ascii="宋体" w:hAnsi="宋体" w:cs="宋体" w:eastAsia="宋体" w:hint="default"/>
                <w:sz w:val="21"/>
                <w:szCs w:val="21"/>
              </w:rPr>
              <w:t>兴华科技发展有限公司技术总监；</w:t>
            </w:r>
            <w:r>
              <w:rPr>
                <w:rFonts w:ascii="宋体" w:hAnsi="宋体" w:cs="宋体" w:eastAsia="宋体" w:hint="default"/>
                <w:sz w:val="21"/>
                <w:szCs w:val="21"/>
              </w:rPr>
              <w:t>2007</w:t>
            </w:r>
            <w:r>
              <w:rPr>
                <w:rFonts w:ascii="宋体" w:hAnsi="宋体" w:cs="宋体" w:eastAsia="宋体" w:hint="default"/>
                <w:spacing w:val="-48"/>
                <w:sz w:val="21"/>
                <w:szCs w:val="21"/>
              </w:rPr>
              <w:t> </w:t>
            </w:r>
            <w:r>
              <w:rPr>
                <w:rFonts w:ascii="宋体" w:hAnsi="宋体" w:cs="宋体" w:eastAsia="宋体" w:hint="default"/>
                <w:sz w:val="21"/>
                <w:szCs w:val="21"/>
              </w:rPr>
              <w:t>年至今任恒银金融营销中心副总经理；</w:t>
            </w:r>
            <w:r>
              <w:rPr>
                <w:rFonts w:ascii="宋体" w:hAnsi="宋体" w:cs="宋体" w:eastAsia="宋体" w:hint="default"/>
                <w:sz w:val="21"/>
                <w:szCs w:val="21"/>
              </w:rPr>
              <w:t>2011</w:t>
            </w:r>
            <w:r>
              <w:rPr>
                <w:rFonts w:ascii="宋体" w:hAnsi="宋体" w:cs="宋体" w:eastAsia="宋体" w:hint="default"/>
                <w:spacing w:val="-45"/>
                <w:sz w:val="21"/>
                <w:szCs w:val="21"/>
              </w:rPr>
              <w:t> </w:t>
            </w:r>
            <w:r>
              <w:rPr>
                <w:rFonts w:ascii="宋体" w:hAnsi="宋体" w:cs="宋体" w:eastAsia="宋体" w:hint="default"/>
                <w:sz w:val="21"/>
                <w:szCs w:val="21"/>
              </w:rPr>
              <w:t>年至</w:t>
            </w:r>
            <w:r>
              <w:rPr>
                <w:rFonts w:ascii="宋体" w:hAnsi="宋体" w:cs="宋体" w:eastAsia="宋体" w:hint="default"/>
                <w:spacing w:val="-45"/>
                <w:sz w:val="21"/>
                <w:szCs w:val="21"/>
              </w:rPr>
              <w:t> </w:t>
            </w:r>
            <w:r>
              <w:rPr>
                <w:rFonts w:ascii="宋体" w:hAnsi="宋体" w:cs="宋体" w:eastAsia="宋体" w:hint="default"/>
                <w:sz w:val="21"/>
                <w:szCs w:val="21"/>
              </w:rPr>
              <w:t>2015</w:t>
            </w:r>
            <w:r>
              <w:rPr>
                <w:rFonts w:ascii="宋体" w:hAnsi="宋体" w:cs="宋体" w:eastAsia="宋体" w:hint="default"/>
                <w:spacing w:val="-47"/>
                <w:sz w:val="21"/>
                <w:szCs w:val="21"/>
              </w:rPr>
              <w:t> </w:t>
            </w:r>
            <w:r>
              <w:rPr>
                <w:rFonts w:ascii="宋体" w:hAnsi="宋体" w:cs="宋体" w:eastAsia="宋体" w:hint="default"/>
                <w:sz w:val="21"/>
                <w:szCs w:val="21"/>
              </w:rPr>
              <w:t>年任恒银金融监事；</w:t>
            </w:r>
            <w:r>
              <w:rPr>
                <w:rFonts w:ascii="宋体" w:hAnsi="宋体" w:cs="宋体" w:eastAsia="宋体" w:hint="default"/>
                <w:sz w:val="21"/>
                <w:szCs w:val="21"/>
              </w:rPr>
              <w:t>2012</w:t>
            </w:r>
            <w:r>
              <w:rPr>
                <w:rFonts w:ascii="宋体" w:hAnsi="宋体" w:cs="宋体" w:eastAsia="宋体" w:hint="default"/>
                <w:spacing w:val="-48"/>
                <w:sz w:val="21"/>
                <w:szCs w:val="21"/>
              </w:rPr>
              <w:t> </w:t>
            </w:r>
            <w:r>
              <w:rPr>
                <w:rFonts w:ascii="宋体" w:hAnsi="宋体" w:cs="宋体" w:eastAsia="宋体" w:hint="default"/>
                <w:sz w:val="21"/>
                <w:szCs w:val="21"/>
              </w:rPr>
              <w:t>年至今任恒融投</w:t>
            </w:r>
            <w:r>
              <w:rPr>
                <w:rFonts w:ascii="宋体" w:hAnsi="宋体" w:cs="宋体" w:eastAsia="宋体" w:hint="default"/>
                <w:w w:val="100"/>
                <w:sz w:val="21"/>
                <w:szCs w:val="21"/>
              </w:rPr>
              <w:t> </w:t>
            </w:r>
            <w:r>
              <w:rPr>
                <w:rFonts w:ascii="宋体" w:hAnsi="宋体" w:cs="宋体" w:eastAsia="宋体" w:hint="default"/>
                <w:sz w:val="21"/>
                <w:szCs w:val="21"/>
              </w:rPr>
              <w:t>资监事；</w:t>
            </w: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月至今任恒银金融监事会主席。</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梁晓刚</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梁晓刚，男，</w:t>
            </w:r>
            <w:r>
              <w:rPr>
                <w:rFonts w:ascii="宋体" w:hAnsi="宋体" w:cs="宋体" w:eastAsia="宋体" w:hint="default"/>
                <w:sz w:val="21"/>
                <w:szCs w:val="21"/>
              </w:rPr>
              <w:t>1981</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7</w:t>
            </w:r>
            <w:r>
              <w:rPr>
                <w:rFonts w:ascii="宋体" w:hAnsi="宋体" w:cs="宋体" w:eastAsia="宋体" w:hint="default"/>
                <w:spacing w:val="-47"/>
                <w:sz w:val="21"/>
                <w:szCs w:val="21"/>
              </w:rPr>
              <w:t> </w:t>
            </w:r>
            <w:r>
              <w:rPr>
                <w:rFonts w:ascii="宋体" w:hAnsi="宋体" w:cs="宋体" w:eastAsia="宋体" w:hint="default"/>
                <w:sz w:val="21"/>
                <w:szCs w:val="21"/>
              </w:rPr>
              <w:t>月出生，河北经贸大学本科。</w:t>
            </w:r>
            <w:r>
              <w:rPr>
                <w:rFonts w:ascii="宋体" w:hAnsi="宋体" w:cs="宋体" w:eastAsia="宋体" w:hint="default"/>
                <w:sz w:val="21"/>
                <w:szCs w:val="21"/>
              </w:rPr>
              <w:t>2004</w:t>
            </w:r>
            <w:r>
              <w:rPr>
                <w:rFonts w:ascii="宋体" w:hAnsi="宋体" w:cs="宋体" w:eastAsia="宋体" w:hint="default"/>
                <w:spacing w:val="-47"/>
                <w:sz w:val="21"/>
                <w:szCs w:val="21"/>
              </w:rPr>
              <w:t> </w:t>
            </w:r>
            <w:r>
              <w:rPr>
                <w:rFonts w:ascii="宋体" w:hAnsi="宋体" w:cs="宋体" w:eastAsia="宋体" w:hint="default"/>
                <w:sz w:val="21"/>
                <w:szCs w:val="21"/>
              </w:rPr>
              <w:t>年至</w:t>
            </w:r>
            <w:r>
              <w:rPr>
                <w:rFonts w:ascii="宋体" w:hAnsi="宋体" w:cs="宋体" w:eastAsia="宋体" w:hint="default"/>
                <w:spacing w:val="-47"/>
                <w:sz w:val="21"/>
                <w:szCs w:val="21"/>
              </w:rPr>
              <w:t> </w:t>
            </w:r>
            <w:r>
              <w:rPr>
                <w:rFonts w:ascii="宋体" w:hAnsi="宋体" w:cs="宋体" w:eastAsia="宋体" w:hint="default"/>
                <w:sz w:val="21"/>
                <w:szCs w:val="21"/>
              </w:rPr>
              <w:t>2008</w:t>
            </w:r>
            <w:r>
              <w:rPr>
                <w:rFonts w:ascii="宋体" w:hAnsi="宋体" w:cs="宋体" w:eastAsia="宋体" w:hint="default"/>
                <w:spacing w:val="-48"/>
                <w:sz w:val="21"/>
                <w:szCs w:val="21"/>
              </w:rPr>
              <w:t> </w:t>
            </w:r>
            <w:r>
              <w:rPr>
                <w:rFonts w:ascii="宋体" w:hAnsi="宋体" w:cs="宋体" w:eastAsia="宋体" w:hint="default"/>
                <w:sz w:val="21"/>
                <w:szCs w:val="21"/>
              </w:rPr>
              <w:t>年任邯郸新维印染股份有限公司人力资源处副处长；</w:t>
            </w:r>
            <w:r>
              <w:rPr>
                <w:rFonts w:ascii="宋体" w:hAnsi="宋体" w:cs="宋体" w:eastAsia="宋体" w:hint="default"/>
                <w:sz w:val="21"/>
                <w:szCs w:val="21"/>
              </w:rPr>
              <w:t>2009</w:t>
            </w:r>
            <w:r>
              <w:rPr>
                <w:rFonts w:ascii="宋体" w:hAnsi="宋体" w:cs="宋体" w:eastAsia="宋体" w:hint="default"/>
                <w:spacing w:val="-50"/>
                <w:sz w:val="21"/>
                <w:szCs w:val="21"/>
              </w:rPr>
              <w:t> </w:t>
            </w:r>
            <w:r>
              <w:rPr>
                <w:rFonts w:ascii="宋体" w:hAnsi="宋体" w:cs="宋体" w:eastAsia="宋体" w:hint="default"/>
                <w:sz w:val="21"/>
                <w:szCs w:val="21"/>
              </w:rPr>
              <w:t>年至今任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恒银金融人力资源部总经理；</w:t>
            </w:r>
            <w:r>
              <w:rPr>
                <w:rFonts w:ascii="宋体" w:hAnsi="宋体" w:cs="宋体" w:eastAsia="宋体" w:hint="default"/>
                <w:sz w:val="21"/>
                <w:szCs w:val="21"/>
              </w:rPr>
              <w:t>2012</w:t>
            </w:r>
            <w:r>
              <w:rPr>
                <w:rFonts w:ascii="宋体" w:hAnsi="宋体" w:cs="宋体" w:eastAsia="宋体" w:hint="default"/>
                <w:spacing w:val="-56"/>
                <w:sz w:val="21"/>
                <w:szCs w:val="21"/>
              </w:rPr>
              <w:t> </w:t>
            </w:r>
            <w:r>
              <w:rPr>
                <w:rFonts w:ascii="宋体" w:hAnsi="宋体" w:cs="宋体" w:eastAsia="宋体" w:hint="default"/>
                <w:sz w:val="21"/>
                <w:szCs w:val="21"/>
              </w:rPr>
              <w:t>年至今任颐润投资监事；</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月至今任恒银金融监事。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邓莉</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邓莉</w:t>
            </w:r>
            <w:r>
              <w:rPr>
                <w:rFonts w:ascii="宋体" w:hAnsi="宋体" w:cs="宋体" w:eastAsia="宋体" w:hint="default"/>
                <w:spacing w:val="3"/>
                <w:sz w:val="21"/>
                <w:szCs w:val="21"/>
              </w:rPr>
              <w:t> </w:t>
            </w:r>
            <w:r>
              <w:rPr>
                <w:rFonts w:ascii="宋体" w:hAnsi="宋体" w:cs="宋体" w:eastAsia="宋体" w:hint="default"/>
                <w:spacing w:val="-3"/>
                <w:sz w:val="21"/>
                <w:szCs w:val="21"/>
              </w:rPr>
              <w:t>女，</w:t>
            </w:r>
            <w:r>
              <w:rPr>
                <w:rFonts w:ascii="宋体" w:hAnsi="宋体" w:cs="宋体" w:eastAsia="宋体" w:hint="default"/>
                <w:spacing w:val="-3"/>
                <w:sz w:val="21"/>
                <w:szCs w:val="21"/>
              </w:rPr>
              <w:t>1985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pacing w:val="-4"/>
                <w:sz w:val="21"/>
                <w:szCs w:val="21"/>
              </w:rPr>
              <w:t>月出生，天津工业大学本科。</w:t>
            </w:r>
            <w:r>
              <w:rPr>
                <w:rFonts w:ascii="宋体" w:hAnsi="宋体" w:cs="宋体" w:eastAsia="宋体" w:hint="default"/>
                <w:spacing w:val="-4"/>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年至</w:t>
            </w:r>
            <w:r>
              <w:rPr>
                <w:rFonts w:ascii="宋体" w:hAnsi="宋体" w:cs="宋体" w:eastAsia="宋体" w:hint="default"/>
                <w:spacing w:val="-53"/>
                <w:sz w:val="21"/>
                <w:szCs w:val="21"/>
              </w:rPr>
              <w:t> </w:t>
            </w: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年任天津军星管业集团有限公司北京分公司财务部会计；</w:t>
            </w: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年至今任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恒银金融财务部任会计主管；</w:t>
            </w: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月任恒银金融职工监事。</w:t>
            </w:r>
          </w:p>
        </w:tc>
      </w:tr>
    </w:tbl>
    <w:p>
      <w:pPr>
        <w:spacing w:after="0" w:line="274" w:lineRule="exact"/>
        <w:jc w:val="lef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109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2" w:right="0"/>
              <w:jc w:val="left"/>
              <w:rPr>
                <w:rFonts w:ascii="宋体" w:hAnsi="宋体" w:cs="宋体" w:eastAsia="宋体" w:hint="default"/>
                <w:sz w:val="21"/>
                <w:szCs w:val="21"/>
              </w:rPr>
            </w:pPr>
            <w:r>
              <w:rPr>
                <w:rFonts w:ascii="宋体" w:hAnsi="宋体" w:cs="宋体" w:eastAsia="宋体" w:hint="default"/>
                <w:sz w:val="21"/>
                <w:szCs w:val="21"/>
              </w:rPr>
              <w:t>武延宾</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武延宾，男，</w:t>
            </w:r>
            <w:r>
              <w:rPr>
                <w:rFonts w:ascii="宋体" w:hAnsi="宋体" w:cs="宋体" w:eastAsia="宋体" w:hint="default"/>
                <w:sz w:val="21"/>
                <w:szCs w:val="21"/>
              </w:rPr>
              <w:t>1985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月出生，唐山学院专科；</w:t>
            </w: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6"/>
                <w:sz w:val="21"/>
                <w:szCs w:val="21"/>
              </w:rPr>
              <w:t> </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月任天津市高田物流有限公司物流专员；</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2011</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z w:val="21"/>
                <w:szCs w:val="21"/>
              </w:rPr>
              <w:t>3</w:t>
            </w:r>
            <w:r>
              <w:rPr>
                <w:rFonts w:ascii="宋体" w:hAnsi="宋体" w:cs="宋体" w:eastAsia="宋体" w:hint="default"/>
                <w:spacing w:val="-37"/>
                <w:sz w:val="21"/>
                <w:szCs w:val="21"/>
              </w:rPr>
              <w:t> </w:t>
            </w:r>
            <w:r>
              <w:rPr>
                <w:rFonts w:ascii="宋体" w:hAnsi="宋体" w:cs="宋体" w:eastAsia="宋体" w:hint="default"/>
                <w:sz w:val="21"/>
                <w:szCs w:val="21"/>
              </w:rPr>
              <w:t>月任长久物流集团天津业务中心外协管理工员；</w:t>
            </w:r>
            <w:r>
              <w:rPr>
                <w:rFonts w:ascii="宋体" w:hAnsi="宋体" w:cs="宋体" w:eastAsia="宋体" w:hint="default"/>
                <w:sz w:val="21"/>
                <w:szCs w:val="21"/>
              </w:rPr>
              <w:t>2011</w:t>
            </w:r>
            <w:r>
              <w:rPr>
                <w:rFonts w:ascii="宋体" w:hAnsi="宋体" w:cs="宋体" w:eastAsia="宋体"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3</w:t>
            </w:r>
            <w:r>
              <w:rPr>
                <w:rFonts w:ascii="宋体" w:hAnsi="宋体" w:cs="宋体" w:eastAsia="宋体" w:hint="default"/>
                <w:spacing w:val="-37"/>
                <w:sz w:val="21"/>
                <w:szCs w:val="21"/>
              </w:rPr>
              <w:t> </w:t>
            </w:r>
            <w:r>
              <w:rPr>
                <w:rFonts w:ascii="宋体" w:hAnsi="宋体" w:cs="宋体" w:eastAsia="宋体" w:hint="default"/>
                <w:sz w:val="21"/>
                <w:szCs w:val="21"/>
              </w:rPr>
              <w:t>月至</w:t>
            </w:r>
            <w:r>
              <w:rPr>
                <w:rFonts w:ascii="宋体" w:hAnsi="宋体" w:cs="宋体" w:eastAsia="宋体" w:hint="default"/>
                <w:spacing w:val="-37"/>
                <w:sz w:val="21"/>
                <w:szCs w:val="21"/>
              </w:rPr>
              <w:t> </w:t>
            </w:r>
            <w:r>
              <w:rPr>
                <w:rFonts w:ascii="宋体" w:hAnsi="宋体" w:cs="宋体" w:eastAsia="宋体" w:hint="default"/>
                <w:sz w:val="21"/>
                <w:szCs w:val="21"/>
              </w:rPr>
              <w:t>2012</w:t>
            </w:r>
            <w:r>
              <w:rPr>
                <w:rFonts w:ascii="宋体" w:hAnsi="宋体" w:cs="宋体" w:eastAsia="宋体"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5</w:t>
            </w:r>
            <w:r>
              <w:rPr>
                <w:rFonts w:ascii="宋体" w:hAnsi="宋体" w:cs="宋体" w:eastAsia="宋体" w:hint="default"/>
                <w:spacing w:val="-37"/>
                <w:sz w:val="21"/>
                <w:szCs w:val="21"/>
              </w:rPr>
              <w:t> </w:t>
            </w:r>
            <w:r>
              <w:rPr>
                <w:rFonts w:ascii="宋体" w:hAnsi="宋体" w:cs="宋体" w:eastAsia="宋体" w:hint="default"/>
                <w:sz w:val="21"/>
                <w:szCs w:val="21"/>
              </w:rPr>
              <w:t>月任青岛海尔物流天津分公司统一项目部仓储主管；</w:t>
            </w:r>
            <w:r>
              <w:rPr>
                <w:rFonts w:ascii="宋体" w:hAnsi="宋体" w:cs="宋体" w:eastAsia="宋体" w:hint="default"/>
                <w:sz w:val="21"/>
                <w:szCs w:val="21"/>
              </w:rPr>
              <w:t>2012</w:t>
            </w:r>
          </w:p>
          <w:p>
            <w:pPr>
              <w:pStyle w:val="TableParagraph"/>
              <w:spacing w:line="272" w:lineRule="exact" w:before="27"/>
              <w:ind w:left="103" w:right="94"/>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6"/>
                <w:sz w:val="21"/>
                <w:szCs w:val="21"/>
              </w:rPr>
              <w:t> </w:t>
            </w:r>
            <w:r>
              <w:rPr>
                <w:rFonts w:ascii="宋体" w:hAnsi="宋体" w:cs="宋体" w:eastAsia="宋体" w:hint="default"/>
                <w:sz w:val="21"/>
                <w:szCs w:val="21"/>
              </w:rPr>
              <w:t>月任格瑞夫（天津）包装容器有限公司物流主管；</w:t>
            </w: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月至今任恒银金融商务主管；</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月至今任恒银金</w:t>
            </w:r>
            <w:r>
              <w:rPr>
                <w:rFonts w:ascii="宋体" w:hAnsi="宋体" w:cs="宋体" w:eastAsia="宋体" w:hint="default"/>
                <w:w w:val="100"/>
                <w:sz w:val="21"/>
                <w:szCs w:val="21"/>
              </w:rPr>
              <w:t> </w:t>
            </w:r>
            <w:r>
              <w:rPr>
                <w:rFonts w:ascii="宋体" w:hAnsi="宋体" w:cs="宋体" w:eastAsia="宋体" w:hint="default"/>
                <w:sz w:val="21"/>
                <w:szCs w:val="21"/>
              </w:rPr>
              <w:t>融职工监事。</w:t>
            </w:r>
          </w:p>
        </w:tc>
      </w:tr>
    </w:tbl>
    <w:p>
      <w:pPr>
        <w:spacing w:line="240" w:lineRule="auto" w:before="5"/>
        <w:rPr>
          <w:rFonts w:ascii="Times New Roman" w:hAnsi="Times New Roman" w:cs="Times New Roman" w:eastAsia="Times New Roman" w:hint="default"/>
          <w:sz w:val="17"/>
          <w:szCs w:val="17"/>
        </w:rPr>
      </w:pPr>
    </w:p>
    <w:p>
      <w:pPr>
        <w:pStyle w:val="BodyText"/>
        <w:spacing w:line="274" w:lineRule="exact" w:before="36"/>
        <w:ind w:left="224" w:right="0"/>
        <w:jc w:val="left"/>
      </w:pPr>
      <w:r>
        <w:rPr/>
        <w:t>其它情况说明</w:t>
      </w:r>
    </w:p>
    <w:p>
      <w:pPr>
        <w:pStyle w:val="BodyText"/>
        <w:tabs>
          <w:tab w:pos="1066" w:val="left" w:leader="none"/>
        </w:tabs>
        <w:spacing w:line="272" w:lineRule="exact"/>
        <w:ind w:left="224" w:right="0"/>
        <w:jc w:val="left"/>
      </w:pPr>
      <w:r>
        <w:rPr/>
        <w:t>√适用</w:t>
        <w:tab/>
        <w:t>□不适用</w:t>
      </w:r>
    </w:p>
    <w:p>
      <w:pPr>
        <w:pStyle w:val="BodyText"/>
        <w:spacing w:line="240" w:lineRule="auto"/>
        <w:ind w:left="224" w:right="0" w:firstLine="420"/>
        <w:jc w:val="left"/>
      </w:pPr>
      <w:r>
        <w:rPr/>
        <w:t>截至报告期末，恒融投资有公司股份 </w:t>
      </w:r>
      <w:r>
        <w:rPr>
          <w:rFonts w:ascii="宋体" w:hAnsi="宋体" w:cs="宋体" w:eastAsia="宋体" w:hint="default"/>
        </w:rPr>
        <w:t>130,000,000 </w:t>
      </w:r>
      <w:r>
        <w:rPr/>
        <w:t>股，持股比例为</w:t>
      </w:r>
      <w:r>
        <w:rPr>
          <w:spacing w:val="-67"/>
        </w:rPr>
        <w:t> </w:t>
      </w:r>
      <w:r>
        <w:rPr>
          <w:rFonts w:ascii="宋体" w:hAnsi="宋体" w:cs="宋体" w:eastAsia="宋体" w:hint="default"/>
        </w:rPr>
        <w:t>46.43%</w:t>
      </w:r>
      <w:r>
        <w:rPr/>
        <w:t>。公司董事长江浩然、董事江斐然通过恒融投资间接持有公司股份情况</w:t>
      </w:r>
      <w:r>
        <w:rPr>
          <w:w w:val="100"/>
        </w:rPr>
        <w:t> </w:t>
      </w:r>
      <w:r>
        <w:rPr/>
        <w:t>如下：</w:t>
      </w:r>
    </w:p>
    <w:p>
      <w:pPr>
        <w:spacing w:line="240" w:lineRule="auto" w:before="4"/>
        <w:rPr>
          <w:rFonts w:ascii="宋体" w:hAnsi="宋体" w:cs="宋体" w:eastAsia="宋体" w:hint="default"/>
          <w:sz w:val="2"/>
          <w:szCs w:val="2"/>
        </w:rPr>
      </w:pPr>
    </w:p>
    <w:tbl>
      <w:tblPr>
        <w:tblW w:w="0" w:type="auto"/>
        <w:jc w:val="left"/>
        <w:tblInd w:w="1273" w:type="dxa"/>
        <w:tblLayout w:type="fixed"/>
        <w:tblCellMar>
          <w:top w:w="0" w:type="dxa"/>
          <w:left w:w="0" w:type="dxa"/>
          <w:bottom w:w="0" w:type="dxa"/>
          <w:right w:w="0" w:type="dxa"/>
        </w:tblCellMar>
        <w:tblLook w:val="01E0"/>
      </w:tblPr>
      <w:tblGrid>
        <w:gridCol w:w="670"/>
        <w:gridCol w:w="1294"/>
        <w:gridCol w:w="1724"/>
        <w:gridCol w:w="2410"/>
        <w:gridCol w:w="2977"/>
        <w:gridCol w:w="2693"/>
      </w:tblGrid>
      <w:tr>
        <w:trPr>
          <w:trHeight w:val="548"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7"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21"/>
                <w:szCs w:val="21"/>
              </w:rPr>
            </w:pPr>
            <w:r>
              <w:rPr>
                <w:rFonts w:ascii="宋体" w:hAnsi="宋体" w:cs="宋体" w:eastAsia="宋体" w:hint="default"/>
                <w:sz w:val="21"/>
                <w:szCs w:val="21"/>
              </w:rPr>
              <w:t>持有恒融投资股权比例</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 w:right="0"/>
              <w:jc w:val="center"/>
              <w:rPr>
                <w:rFonts w:ascii="宋体" w:hAnsi="宋体" w:cs="宋体" w:eastAsia="宋体" w:hint="default"/>
                <w:sz w:val="21"/>
                <w:szCs w:val="21"/>
              </w:rPr>
            </w:pPr>
            <w:r>
              <w:rPr>
                <w:rFonts w:ascii="宋体" w:hAnsi="宋体" w:cs="宋体" w:eastAsia="宋体" w:hint="default"/>
                <w:sz w:val="21"/>
                <w:szCs w:val="21"/>
              </w:rPr>
              <w:t>年末间接持有公司股份（股）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87" w:right="0"/>
              <w:jc w:val="left"/>
              <w:rPr>
                <w:rFonts w:ascii="宋体" w:hAnsi="宋体" w:cs="宋体" w:eastAsia="宋体" w:hint="default"/>
                <w:sz w:val="21"/>
                <w:szCs w:val="21"/>
              </w:rPr>
            </w:pPr>
            <w:r>
              <w:rPr>
                <w:rFonts w:ascii="宋体" w:hAnsi="宋体" w:cs="宋体" w:eastAsia="宋体" w:hint="default"/>
                <w:sz w:val="21"/>
                <w:szCs w:val="21"/>
              </w:rPr>
              <w:t>年度内股份增减变动情况</w:t>
            </w:r>
          </w:p>
        </w:tc>
      </w:tr>
      <w:tr>
        <w:trPr>
          <w:trHeight w:val="281"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1</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江浩然</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80%</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104,000,000</w:t>
            </w:r>
          </w:p>
        </w:tc>
        <w:tc>
          <w:tcPr>
            <w:tcW w:w="2693" w:type="dxa"/>
            <w:vMerge w:val="restart"/>
            <w:tcBorders>
              <w:top w:val="single" w:sz="4" w:space="0" w:color="000000"/>
              <w:left w:val="single" w:sz="4" w:space="0" w:color="000000"/>
              <w:right w:val="single" w:sz="4" w:space="0" w:color="000000"/>
            </w:tcBorders>
          </w:tcPr>
          <w:p>
            <w:pPr>
              <w:pStyle w:val="TableParagraph"/>
              <w:spacing w:line="245" w:lineRule="exact"/>
              <w:ind w:left="7" w:right="0"/>
              <w:jc w:val="center"/>
              <w:rPr>
                <w:rFonts w:ascii="宋体" w:hAnsi="宋体" w:cs="宋体" w:eastAsia="宋体" w:hint="default"/>
                <w:sz w:val="21"/>
                <w:szCs w:val="21"/>
              </w:rPr>
            </w:pPr>
            <w:r>
              <w:rPr>
                <w:rFonts w:ascii="宋体" w:hAnsi="宋体" w:cs="宋体" w:eastAsia="宋体" w:hint="default"/>
                <w:spacing w:val="-5"/>
                <w:sz w:val="21"/>
                <w:szCs w:val="21"/>
              </w:rPr>
              <w:t>报告期内，未发生股份变动</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情况</w:t>
            </w:r>
          </w:p>
        </w:tc>
      </w:tr>
      <w:tr>
        <w:trPr>
          <w:trHeight w:val="283"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w w:val="100"/>
                <w:sz w:val="21"/>
              </w:rPr>
              <w:t>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江斐然</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20%</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26,000,000</w:t>
            </w:r>
          </w:p>
        </w:tc>
        <w:tc>
          <w:tcPr>
            <w:tcW w:w="2693" w:type="dxa"/>
            <w:vMerge/>
            <w:tcBorders>
              <w:left w:val="single" w:sz="4" w:space="0" w:color="000000"/>
              <w:bottom w:val="single" w:sz="4" w:space="0" w:color="000000"/>
              <w:right w:val="single" w:sz="4" w:space="0" w:color="000000"/>
            </w:tcBorders>
          </w:tcPr>
          <w:p>
            <w:pPr/>
          </w:p>
        </w:tc>
      </w:tr>
    </w:tbl>
    <w:p>
      <w:pPr>
        <w:pStyle w:val="BodyText"/>
        <w:spacing w:line="240" w:lineRule="exact"/>
        <w:ind w:left="644" w:right="0"/>
        <w:jc w:val="left"/>
      </w:pPr>
      <w:r>
        <w:rPr/>
        <w:t>截至报告期末，颐润投资有公司股份</w:t>
      </w:r>
      <w:r>
        <w:rPr>
          <w:spacing w:val="-56"/>
        </w:rPr>
        <w:t> </w:t>
      </w:r>
      <w:r>
        <w:rPr>
          <w:rFonts w:ascii="宋体" w:hAnsi="宋体" w:cs="宋体" w:eastAsia="宋体" w:hint="default"/>
        </w:rPr>
        <w:t>3,950,000</w:t>
      </w:r>
      <w:r>
        <w:rPr>
          <w:rFonts w:ascii="宋体" w:hAnsi="宋体" w:cs="宋体" w:eastAsia="宋体" w:hint="default"/>
          <w:spacing w:val="-56"/>
        </w:rPr>
        <w:t> </w:t>
      </w:r>
      <w:r>
        <w:rPr/>
        <w:t>股，持股比例为</w:t>
      </w:r>
      <w:r>
        <w:rPr>
          <w:spacing w:val="-56"/>
        </w:rPr>
        <w:t> </w:t>
      </w:r>
      <w:r>
        <w:rPr>
          <w:rFonts w:ascii="宋体" w:hAnsi="宋体" w:cs="宋体" w:eastAsia="宋体" w:hint="default"/>
        </w:rPr>
        <w:t>1.41%</w:t>
      </w:r>
      <w:r>
        <w:rPr/>
        <w:t>。公司董事江斐然、财务负责人温健、监事梁晓刚通过颐润投资间接持有公</w:t>
      </w:r>
    </w:p>
    <w:p>
      <w:pPr>
        <w:pStyle w:val="BodyText"/>
        <w:spacing w:line="274" w:lineRule="exact"/>
        <w:ind w:left="224" w:right="0"/>
        <w:jc w:val="left"/>
      </w:pPr>
      <w:r>
        <w:rPr/>
        <w:t>司股份情况如下：</w:t>
      </w:r>
    </w:p>
    <w:p>
      <w:pPr>
        <w:spacing w:line="240" w:lineRule="auto" w:before="4"/>
        <w:rPr>
          <w:rFonts w:ascii="宋体" w:hAnsi="宋体" w:cs="宋体" w:eastAsia="宋体" w:hint="default"/>
          <w:sz w:val="2"/>
          <w:szCs w:val="2"/>
        </w:rPr>
      </w:pPr>
    </w:p>
    <w:tbl>
      <w:tblPr>
        <w:tblW w:w="0" w:type="auto"/>
        <w:jc w:val="left"/>
        <w:tblInd w:w="1273" w:type="dxa"/>
        <w:tblLayout w:type="fixed"/>
        <w:tblCellMar>
          <w:top w:w="0" w:type="dxa"/>
          <w:left w:w="0" w:type="dxa"/>
          <w:bottom w:w="0" w:type="dxa"/>
          <w:right w:w="0" w:type="dxa"/>
        </w:tblCellMar>
        <w:tblLook w:val="01E0"/>
      </w:tblPr>
      <w:tblGrid>
        <w:gridCol w:w="670"/>
        <w:gridCol w:w="1294"/>
        <w:gridCol w:w="1724"/>
        <w:gridCol w:w="2410"/>
        <w:gridCol w:w="2977"/>
        <w:gridCol w:w="2693"/>
      </w:tblGrid>
      <w:tr>
        <w:trPr>
          <w:trHeight w:val="547"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7"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21"/>
                <w:szCs w:val="21"/>
              </w:rPr>
            </w:pPr>
            <w:r>
              <w:rPr>
                <w:rFonts w:ascii="宋体" w:hAnsi="宋体" w:cs="宋体" w:eastAsia="宋体" w:hint="default"/>
                <w:sz w:val="21"/>
                <w:szCs w:val="21"/>
              </w:rPr>
              <w:t>持有颐润投资股权比例</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 w:right="0"/>
              <w:jc w:val="center"/>
              <w:rPr>
                <w:rFonts w:ascii="宋体" w:hAnsi="宋体" w:cs="宋体" w:eastAsia="宋体" w:hint="default"/>
                <w:sz w:val="21"/>
                <w:szCs w:val="21"/>
              </w:rPr>
            </w:pPr>
            <w:r>
              <w:rPr>
                <w:rFonts w:ascii="宋体" w:hAnsi="宋体" w:cs="宋体" w:eastAsia="宋体" w:hint="default"/>
                <w:sz w:val="21"/>
                <w:szCs w:val="21"/>
              </w:rPr>
              <w:t>年末间接持有公司股份（股）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87" w:right="0"/>
              <w:jc w:val="left"/>
              <w:rPr>
                <w:rFonts w:ascii="宋体" w:hAnsi="宋体" w:cs="宋体" w:eastAsia="宋体" w:hint="default"/>
                <w:sz w:val="21"/>
                <w:szCs w:val="21"/>
              </w:rPr>
            </w:pPr>
            <w:r>
              <w:rPr>
                <w:rFonts w:ascii="宋体" w:hAnsi="宋体" w:cs="宋体" w:eastAsia="宋体" w:hint="default"/>
                <w:sz w:val="21"/>
                <w:szCs w:val="21"/>
              </w:rPr>
              <w:t>年度内股份增减变动情况</w:t>
            </w:r>
          </w:p>
        </w:tc>
      </w:tr>
      <w:tr>
        <w:trPr>
          <w:trHeight w:val="281"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1</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江斐然</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7.59%</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300,000</w:t>
            </w:r>
          </w:p>
        </w:tc>
        <w:tc>
          <w:tcPr>
            <w:tcW w:w="2693" w:type="dxa"/>
            <w:vMerge w:val="restart"/>
            <w:tcBorders>
              <w:top w:val="single" w:sz="4" w:space="0" w:color="000000"/>
              <w:left w:val="single" w:sz="4" w:space="0" w:color="000000"/>
              <w:right w:val="single" w:sz="4" w:space="0" w:color="000000"/>
            </w:tcBorders>
          </w:tcPr>
          <w:p>
            <w:pPr>
              <w:pStyle w:val="TableParagraph"/>
              <w:spacing w:line="272" w:lineRule="exact" w:before="140"/>
              <w:ind w:left="1132" w:right="96" w:hanging="1028"/>
              <w:jc w:val="left"/>
              <w:rPr>
                <w:rFonts w:ascii="宋体" w:hAnsi="宋体" w:cs="宋体" w:eastAsia="宋体" w:hint="default"/>
                <w:sz w:val="21"/>
                <w:szCs w:val="21"/>
              </w:rPr>
            </w:pPr>
            <w:r>
              <w:rPr>
                <w:rFonts w:ascii="宋体" w:hAnsi="宋体" w:cs="宋体" w:eastAsia="宋体" w:hint="default"/>
                <w:spacing w:val="-5"/>
                <w:sz w:val="21"/>
                <w:szCs w:val="21"/>
              </w:rPr>
              <w:t>报告期内，未发生股份变动</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情况</w:t>
            </w:r>
          </w:p>
        </w:tc>
      </w:tr>
      <w:tr>
        <w:trPr>
          <w:trHeight w:val="284"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w w:val="100"/>
                <w:sz w:val="21"/>
              </w:rPr>
              <w:t>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温健</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财务负责人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sz w:val="21"/>
              </w:rPr>
              <w:t>5.06%</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sz w:val="21"/>
              </w:rPr>
              <w:t>200,000</w:t>
            </w:r>
          </w:p>
        </w:tc>
        <w:tc>
          <w:tcPr>
            <w:tcW w:w="2693" w:type="dxa"/>
            <w:vMerge/>
            <w:tcBorders>
              <w:left w:val="single" w:sz="4" w:space="0" w:color="000000"/>
              <w:right w:val="single" w:sz="4" w:space="0" w:color="000000"/>
            </w:tcBorders>
          </w:tcPr>
          <w:p>
            <w:pPr/>
          </w:p>
        </w:tc>
      </w:tr>
      <w:tr>
        <w:trPr>
          <w:trHeight w:val="283"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梁晓刚</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5.06%</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200,000</w:t>
            </w:r>
          </w:p>
        </w:tc>
        <w:tc>
          <w:tcPr>
            <w:tcW w:w="2693" w:type="dxa"/>
            <w:vMerge/>
            <w:tcBorders>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before="36"/>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Heading2"/>
        <w:spacing w:line="290" w:lineRule="auto" w:before="29"/>
        <w:ind w:left="224" w:right="7897"/>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spacing w:val="-103"/>
        </w:rPr>
        <w:t> </w:t>
      </w:r>
      <w:r>
        <w:rPr>
          <w:rFonts w:ascii="宋体" w:hAnsi="宋体" w:cs="宋体" w:eastAsia="宋体" w:hint="default"/>
          <w:b w:val="0"/>
          <w:bCs w:val="0"/>
          <w:spacing w:val="-103"/>
        </w:rPr>
      </w:r>
      <w:r>
        <w:rPr>
          <w:spacing w:val="-1"/>
        </w:rPr>
        <w:t>二、现任及报告期内离任董事、监事和高级管理人员的任职情况</w:t>
      </w:r>
      <w:r>
        <w:rPr>
          <w:spacing w:val="-80"/>
        </w:rPr>
        <w:t> </w:t>
      </w:r>
      <w:r>
        <w:rPr>
          <w:spacing w:val="-80"/>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54" w:lineRule="exact"/>
        <w:ind w:left="224"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5"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7"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江浩然</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恒融投资集团有限公司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董事长、经理</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吴龙云</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恒融投资集团有限公司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300" w:right="12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江斐然</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恒融投资集团有限公司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秦威</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恒融投资集团有限公司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287"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before="36"/>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29"/>
        <w:ind w:left="224"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1"/>
      </w:tblGrid>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3"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0"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江浩然</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天津渤海女子小额贷款股份有限公司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江斐然</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天津西奥电梯工程有限公司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江斐然</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天津恒银物业管理有限公司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梁晓刚</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天津颐润投资管理有限公司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谭小青</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信永中和会计师事务所（特殊普通合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合伙人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1999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谭小青</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信永中和（北京）国际投资管理有限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谭小青</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北京信永方略管理咨询有限责任公司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谭小青</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信永中和（北京）税务师事务所有限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谭小青</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上海那恒新材料有限公司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高立里</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建投华科投资股份有限公司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刘昊嘉</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中信证券股份有限公司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总监</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邬丁</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中企资运投资顾问（北京）有限公司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邬丁</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北京大成律师事务所</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高级合伙人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邬丁</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资云网络科技（北京）有限公司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执行董事兼经理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在其他单位任职情况的说明</w:t>
            </w:r>
          </w:p>
        </w:tc>
        <w:tc>
          <w:tcPr>
            <w:tcW w:w="11272"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2"/>
        <w:spacing w:line="240" w:lineRule="auto" w:before="36"/>
        <w:ind w:left="224" w:right="0"/>
        <w:jc w:val="left"/>
        <w:rPr>
          <w:b w:val="0"/>
          <w:bCs w:val="0"/>
        </w:rPr>
      </w:pPr>
      <w:r>
        <w:rPr/>
        <w:t>三、董事、监事、高级管理人员报酬情况</w:t>
      </w:r>
      <w:r>
        <w:rPr>
          <w:b w:val="0"/>
          <w:bCs w:val="0"/>
        </w:rPr>
      </w:r>
    </w:p>
    <w:p>
      <w:pPr>
        <w:pStyle w:val="BodyText"/>
        <w:spacing w:line="240" w:lineRule="auto" w:before="56"/>
        <w:ind w:left="224" w:right="0"/>
        <w:jc w:val="left"/>
      </w:pPr>
      <w:r>
        <w:rPr/>
        <w:t>√适用 □不适用</w:t>
      </w:r>
    </w:p>
    <w:p>
      <w:pPr>
        <w:spacing w:after="0" w:line="240" w:lineRule="auto"/>
        <w:jc w:val="left"/>
        <w:sectPr>
          <w:pgSz w:w="16840" w:h="11910" w:orient="landscape"/>
          <w:pgMar w:header="880" w:footer="1195" w:top="1120" w:bottom="1380" w:left="1300" w:right="12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4362"/>
        <w:gridCol w:w="9729"/>
      </w:tblGrid>
      <w:tr>
        <w:trPr>
          <w:trHeight w:val="826"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根据《公司法》、《公司章程》等相关规定，关于董事薪酬的议案经公司薪酬与考核委员会、董事会、</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股东大会审议批准；关于监事薪酬的议案经公司监事会、股东大会审议批准；高级管理人员薪酬的议案</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经公司薪酬与考核委员会、董事会审议批准。</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在公司任职的董事未在公司领薪，兼任公司董事职务的高管及兼任公司监事职务的员工不以董事、监事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职务领取报，其薪酬依据公司盈利水平及其工作职责履行情况并结合行业平均水平综合确定。</w:t>
            </w:r>
          </w:p>
        </w:tc>
      </w:tr>
      <w:tr>
        <w:trPr>
          <w:trHeight w:val="1099"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兼任公司董事职务的高管及兼任公司监事职务的员工，其薪酬依据公司盈利水平及其工作职责履行情况</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并结合行业平均水平综合确定。公司向独立董事发放津贴，津贴标准为每人每月人民币 </w:t>
            </w:r>
            <w:r>
              <w:rPr>
                <w:rFonts w:ascii="宋体" w:hAnsi="宋体" w:cs="宋体" w:eastAsia="宋体" w:hint="default"/>
                <w:sz w:val="21"/>
                <w:szCs w:val="21"/>
              </w:rPr>
              <w:t>5,000</w:t>
            </w:r>
            <w:r>
              <w:rPr>
                <w:rFonts w:ascii="宋体" w:hAnsi="宋体" w:cs="宋体" w:eastAsia="宋体" w:hint="default"/>
                <w:spacing w:val="-47"/>
                <w:sz w:val="21"/>
                <w:szCs w:val="21"/>
              </w:rPr>
              <w:t> </w:t>
            </w:r>
            <w:r>
              <w:rPr>
                <w:rFonts w:ascii="宋体" w:hAnsi="宋体" w:cs="宋体" w:eastAsia="宋体" w:hint="default"/>
                <w:spacing w:val="-3"/>
                <w:sz w:val="21"/>
                <w:szCs w:val="21"/>
              </w:rPr>
              <w:t>元，按季</w:t>
            </w:r>
            <w:r>
              <w:rPr>
                <w:rFonts w:ascii="宋体" w:hAnsi="宋体" w:cs="宋体" w:eastAsia="宋体" w:hint="default"/>
                <w:spacing w:val="-3"/>
                <w:w w:val="100"/>
                <w:sz w:val="21"/>
                <w:szCs w:val="21"/>
              </w:rPr>
              <w:t> </w:t>
            </w:r>
            <w:r>
              <w:rPr>
                <w:rFonts w:ascii="宋体" w:hAnsi="宋体" w:cs="宋体" w:eastAsia="宋体" w:hint="default"/>
                <w:sz w:val="21"/>
                <w:szCs w:val="21"/>
              </w:rPr>
              <w:t>度发放（独立董事高立里因其工作原因，不在本公司领薪）。独立董事参加会议发生的差旅费，办公费</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等履职费用由公司承担。</w:t>
            </w:r>
          </w:p>
        </w:tc>
      </w:tr>
      <w:tr>
        <w:trPr>
          <w:trHeight w:val="557"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451.29</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before="36"/>
        <w:ind w:left="224" w:right="0"/>
        <w:jc w:val="left"/>
        <w:rPr>
          <w:b w:val="0"/>
          <w:bCs w:val="0"/>
        </w:rPr>
      </w:pPr>
      <w:r>
        <w:rPr/>
        <w:t>四、公司董事、监事、高级管理人员变动情况</w:t>
      </w:r>
      <w:r>
        <w:rPr>
          <w:b w:val="0"/>
          <w:bCs w:val="0"/>
        </w:rPr>
      </w:r>
    </w:p>
    <w:p>
      <w:pPr>
        <w:pStyle w:val="BodyText"/>
        <w:spacing w:line="240" w:lineRule="auto" w:before="56"/>
        <w:ind w:left="224"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邓莉</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原职工代表监事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因个人原因离任</w:t>
            </w:r>
          </w:p>
        </w:tc>
      </w:tr>
      <w:tr>
        <w:trPr>
          <w:trHeight w:val="28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武延宾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职工代表监事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年第一次职工代表大会选举</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before="36"/>
        <w:ind w:left="224" w:right="0"/>
        <w:jc w:val="left"/>
        <w:rPr>
          <w:b w:val="0"/>
          <w:bCs w:val="0"/>
        </w:rPr>
      </w:pPr>
      <w:r>
        <w:rPr/>
        <w:t>五、近三年受证券监管机构处罚的情况说明</w:t>
      </w:r>
      <w:r>
        <w:rPr>
          <w:b w:val="0"/>
          <w:bCs w:val="0"/>
        </w:rPr>
      </w:r>
    </w:p>
    <w:p>
      <w:pPr>
        <w:pStyle w:val="BodyText"/>
        <w:spacing w:line="240" w:lineRule="auto" w:before="56"/>
        <w:ind w:left="224" w:right="0"/>
        <w:jc w:val="left"/>
      </w:pPr>
      <w:r>
        <w:rPr/>
        <w:t>□适用 √不适用</w:t>
      </w:r>
    </w:p>
    <w:p>
      <w:pPr>
        <w:spacing w:after="0" w:line="240" w:lineRule="auto"/>
        <w:jc w:val="left"/>
        <w:sectPr>
          <w:pgSz w:w="16840" w:h="11910" w:orient="landscape"/>
          <w:pgMar w:header="880" w:footer="1195" w:top="1120" w:bottom="1380" w:left="1300" w:right="1220"/>
        </w:sectPr>
      </w:pPr>
    </w:p>
    <w:p>
      <w:pPr>
        <w:spacing w:line="240" w:lineRule="auto" w:before="0"/>
        <w:rPr>
          <w:rFonts w:ascii="宋体" w:hAnsi="宋体" w:cs="宋体" w:eastAsia="宋体" w:hint="default"/>
          <w:sz w:val="20"/>
          <w:szCs w:val="20"/>
        </w:rPr>
      </w:pPr>
    </w:p>
    <w:p>
      <w:pPr>
        <w:pStyle w:val="Heading2"/>
        <w:spacing w:line="240" w:lineRule="auto" w:before="170"/>
        <w:ind w:right="3084"/>
        <w:jc w:val="left"/>
        <w:rPr>
          <w:b w:val="0"/>
          <w:bCs w:val="0"/>
        </w:rPr>
      </w:pPr>
      <w:r>
        <w:rPr/>
        <w:t>六、母公司和主要子公司的员工情况</w:t>
      </w:r>
      <w:r>
        <w:rPr>
          <w:b w:val="0"/>
          <w:bCs w:val="0"/>
        </w:rPr>
      </w:r>
    </w:p>
    <w:p>
      <w:pPr>
        <w:pStyle w:val="Heading2"/>
        <w:spacing w:line="240" w:lineRule="auto" w:before="58"/>
        <w:ind w:right="3084"/>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2,454</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2,454</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专业构成类别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133</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764</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119</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服务人员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1,290</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2,454</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教育程度类别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硕士以上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50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762</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1,310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专科以下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332</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2,454</w:t>
            </w:r>
          </w:p>
        </w:tc>
      </w:tr>
    </w:tbl>
    <w:p>
      <w:pPr>
        <w:spacing w:line="240" w:lineRule="auto" w:before="12"/>
        <w:rPr>
          <w:rFonts w:ascii="宋体" w:hAnsi="宋体" w:cs="宋体" w:eastAsia="宋体" w:hint="default"/>
          <w:b/>
          <w:bCs/>
          <w:sz w:val="19"/>
          <w:szCs w:val="19"/>
        </w:rPr>
      </w:pPr>
    </w:p>
    <w:p>
      <w:pPr>
        <w:pStyle w:val="Heading2"/>
        <w:spacing w:line="240" w:lineRule="auto" w:before="36"/>
        <w:ind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spacing w:line="272" w:lineRule="exact" w:before="59"/>
        <w:ind w:left="638" w:right="227" w:hanging="420"/>
        <w:jc w:val="left"/>
      </w:pPr>
      <w:r>
        <w:rPr/>
        <w:t>√适用</w:t>
      </w:r>
      <w:r>
        <w:rPr>
          <w:spacing w:val="-2"/>
        </w:rPr>
        <w:t> </w:t>
      </w:r>
      <w:r>
        <w:rPr/>
        <w:t>□不适用</w:t>
      </w:r>
      <w:r>
        <w:rPr>
          <w:w w:val="100"/>
        </w:rPr>
        <w:t> </w:t>
      </w:r>
      <w:r>
        <w:rPr>
          <w:spacing w:val="-2"/>
        </w:rPr>
        <w:t>为适应企业发展需要，充分发挥薪酬的激励作用，以公平、竞争、激励、经济、合法的原则</w:t>
      </w:r>
    </w:p>
    <w:p>
      <w:pPr>
        <w:pStyle w:val="BodyText"/>
        <w:spacing w:line="355" w:lineRule="auto" w:before="110"/>
        <w:ind w:left="218" w:right="237"/>
        <w:jc w:val="both"/>
      </w:pPr>
      <w:r>
        <w:rPr>
          <w:spacing w:val="-2"/>
        </w:rPr>
        <w:t>制定薪酬政策。根据岗位价值、个人能力、工作绩效结合市场薪酬水平和公司的支付能力提供较</w:t>
      </w:r>
      <w:r>
        <w:rPr>
          <w:spacing w:val="-25"/>
        </w:rPr>
        <w:t> </w:t>
      </w:r>
      <w:r>
        <w:rPr>
          <w:spacing w:val="-25"/>
        </w:rPr>
      </w:r>
      <w:r>
        <w:rPr>
          <w:spacing w:val="-2"/>
        </w:rPr>
        <w:t>具竞争力的薪酬水平。同时，配合各版块的业务特点和激励需要构建相对科学的考核体系，建立</w:t>
      </w:r>
      <w:r>
        <w:rPr>
          <w:spacing w:val="-25"/>
        </w:rPr>
        <w:t> </w:t>
      </w:r>
      <w:r>
        <w:rPr>
          <w:spacing w:val="-25"/>
        </w:rPr>
      </w:r>
      <w:r>
        <w:rPr>
          <w:spacing w:val="-2"/>
        </w:rPr>
        <w:t>考核与工资、奖金、调薪、晋升及培训挂钩的机制，为骨干员工和优秀人才提供中长期的激励政</w:t>
      </w:r>
      <w:r>
        <w:rPr>
          <w:spacing w:val="-25"/>
        </w:rPr>
        <w:t> </w:t>
      </w:r>
      <w:r>
        <w:rPr>
          <w:spacing w:val="-25"/>
        </w:rPr>
      </w:r>
      <w:r>
        <w:rPr/>
        <w:t>策，最大限度地发挥和调动员工的积极性和主动性。</w:t>
      </w:r>
    </w:p>
    <w:p>
      <w:pPr>
        <w:spacing w:line="240" w:lineRule="auto" w:before="0"/>
        <w:rPr>
          <w:rFonts w:ascii="宋体" w:hAnsi="宋体" w:cs="宋体" w:eastAsia="宋体" w:hint="default"/>
          <w:sz w:val="28"/>
          <w:szCs w:val="28"/>
        </w:rPr>
      </w:pPr>
    </w:p>
    <w:p>
      <w:pPr>
        <w:pStyle w:val="Heading2"/>
        <w:spacing w:line="240" w:lineRule="auto"/>
        <w:ind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spacing w:line="240" w:lineRule="auto" w:before="29"/>
        <w:ind w:left="638" w:right="227" w:hanging="420"/>
        <w:jc w:val="left"/>
      </w:pPr>
      <w:r>
        <w:rPr/>
        <w:t>√适用</w:t>
      </w:r>
      <w:r>
        <w:rPr>
          <w:spacing w:val="-2"/>
        </w:rPr>
        <w:t> </w:t>
      </w:r>
      <w:r>
        <w:rPr/>
        <w:t>□不适用</w:t>
      </w:r>
      <w:r>
        <w:rPr>
          <w:w w:val="100"/>
        </w:rPr>
        <w:t> </w:t>
      </w:r>
      <w:r>
        <w:rPr>
          <w:spacing w:val="-2"/>
        </w:rPr>
        <w:t>为了使公司内部员工的业务素质和技能满足公司发展战略和人力资源发展的需要，公司对员</w:t>
      </w:r>
    </w:p>
    <w:p>
      <w:pPr>
        <w:pStyle w:val="BodyText"/>
        <w:spacing w:line="357" w:lineRule="auto" w:before="133"/>
        <w:ind w:left="218" w:right="227"/>
        <w:jc w:val="both"/>
      </w:pPr>
      <w:r>
        <w:rPr>
          <w:spacing w:val="-1"/>
        </w:rPr>
        <w:t>工应进行有计划、有系统的培训，以达到公司与员工共同发展的目的。公司建立了以支持发展战</w:t>
      </w:r>
      <w:r>
        <w:rPr>
          <w:spacing w:val="-55"/>
        </w:rPr>
        <w:t> </w:t>
      </w:r>
      <w:r>
        <w:rPr>
          <w:spacing w:val="-55"/>
        </w:rPr>
      </w:r>
      <w:r>
        <w:rPr>
          <w:spacing w:val="-1"/>
        </w:rPr>
        <w:t>略为目标，以公司持续稳定发展为基础，以解决业务需求问题为出发点的实战型培训体系，利用</w:t>
      </w:r>
      <w:r>
        <w:rPr>
          <w:spacing w:val="-55"/>
        </w:rPr>
        <w:t> </w:t>
      </w:r>
      <w:r>
        <w:rPr>
          <w:spacing w:val="-55"/>
        </w:rPr>
      </w:r>
      <w:r>
        <w:rPr>
          <w:spacing w:val="-1"/>
        </w:rPr>
        <w:t>内部培训与外部培训相结合，管理类培训与专业知识、技能类培训相结合。从培训资源、政策等</w:t>
      </w:r>
      <w:r>
        <w:rPr>
          <w:spacing w:val="-55"/>
        </w:rPr>
        <w:t> </w:t>
      </w:r>
      <w:r>
        <w:rPr>
          <w:spacing w:val="-55"/>
        </w:rPr>
      </w:r>
      <w:r>
        <w:rPr>
          <w:spacing w:val="-3"/>
        </w:rPr>
        <w:t>方面覆盖公司各业务系统，为帮助员工成长、支持公司战略完成贡献最大的力量。</w:t>
      </w:r>
      <w:r>
        <w:rPr>
          <w:rFonts w:ascii="宋体" w:hAnsi="宋体" w:cs="宋体" w:eastAsia="宋体" w:hint="default"/>
          <w:spacing w:val="-3"/>
        </w:rPr>
        <w:t>2017 </w:t>
      </w:r>
      <w:r>
        <w:rPr/>
        <w:t>年公司共</w:t>
      </w:r>
      <w:r>
        <w:rPr>
          <w:spacing w:val="-85"/>
        </w:rPr>
        <w:t> </w:t>
      </w:r>
      <w:r>
        <w:rPr>
          <w:spacing w:val="-85"/>
        </w:rPr>
      </w:r>
      <w:r>
        <w:rPr/>
        <w:t>培训</w:t>
      </w:r>
      <w:r>
        <w:rPr>
          <w:spacing w:val="-45"/>
        </w:rPr>
        <w:t> </w:t>
      </w:r>
      <w:r>
        <w:rPr>
          <w:rFonts w:ascii="宋体" w:hAnsi="宋体" w:cs="宋体" w:eastAsia="宋体" w:hint="default"/>
        </w:rPr>
        <w:t>180</w:t>
      </w:r>
      <w:r>
        <w:rPr>
          <w:rFonts w:ascii="宋体" w:hAnsi="宋体" w:cs="宋体" w:eastAsia="宋体" w:hint="default"/>
          <w:spacing w:val="-45"/>
        </w:rPr>
        <w:t> </w:t>
      </w:r>
      <w:r>
        <w:rPr>
          <w:spacing w:val="-5"/>
        </w:rPr>
        <w:t>场次，培训课时</w:t>
      </w:r>
      <w:r>
        <w:rPr>
          <w:spacing w:val="-44"/>
        </w:rPr>
        <w:t> </w:t>
      </w:r>
      <w:r>
        <w:rPr>
          <w:rFonts w:ascii="宋体" w:hAnsi="宋体" w:cs="宋体" w:eastAsia="宋体" w:hint="default"/>
        </w:rPr>
        <w:t>600</w:t>
      </w:r>
      <w:r>
        <w:rPr>
          <w:rFonts w:ascii="宋体" w:hAnsi="宋体" w:cs="宋体" w:eastAsia="宋体" w:hint="default"/>
          <w:spacing w:val="-45"/>
        </w:rPr>
        <w:t> </w:t>
      </w:r>
      <w:r>
        <w:rPr>
          <w:spacing w:val="-5"/>
        </w:rPr>
        <w:t>余学时，合计培训</w:t>
      </w:r>
      <w:r>
        <w:rPr>
          <w:spacing w:val="-47"/>
        </w:rPr>
        <w:t> </w:t>
      </w:r>
      <w:r>
        <w:rPr>
          <w:rFonts w:ascii="宋体" w:hAnsi="宋体" w:cs="宋体" w:eastAsia="宋体" w:hint="default"/>
        </w:rPr>
        <w:t>1700</w:t>
      </w:r>
      <w:r>
        <w:rPr>
          <w:rFonts w:ascii="宋体" w:hAnsi="宋体" w:cs="宋体" w:eastAsia="宋体" w:hint="default"/>
          <w:spacing w:val="-47"/>
        </w:rPr>
        <w:t> </w:t>
      </w:r>
      <w:r>
        <w:rPr>
          <w:spacing w:val="-4"/>
        </w:rPr>
        <w:t>人次，大大提高公司员工的综合素质，为企</w:t>
      </w:r>
      <w:r>
        <w:rPr>
          <w:spacing w:val="-102"/>
        </w:rPr>
        <w:t> </w:t>
      </w:r>
      <w:r>
        <w:rPr>
          <w:spacing w:val="-102"/>
        </w:rPr>
      </w:r>
      <w:r>
        <w:rPr/>
        <w:t>业的发展进一步提升竞争力。</w:t>
      </w:r>
    </w:p>
    <w:p>
      <w:pPr>
        <w:spacing w:after="0" w:line="357" w:lineRule="auto"/>
        <w:jc w:val="both"/>
        <w:sectPr>
          <w:headerReference w:type="default" r:id="rId34"/>
          <w:footerReference w:type="default" r:id="rId35"/>
          <w:pgSz w:w="11910" w:h="16840"/>
          <w:pgMar w:header="877" w:footer="1195" w:top="1100" w:bottom="1380" w:left="1580" w:right="1040"/>
          <w:pgNumType w:start="5"/>
        </w:sectPr>
      </w:pPr>
    </w:p>
    <w:p>
      <w:pPr>
        <w:spacing w:line="240" w:lineRule="auto" w:before="9"/>
        <w:rPr>
          <w:rFonts w:ascii="宋体" w:hAnsi="宋体" w:cs="宋体" w:eastAsia="宋体" w:hint="default"/>
          <w:sz w:val="25"/>
          <w:szCs w:val="25"/>
        </w:rPr>
      </w:pPr>
    </w:p>
    <w:p>
      <w:pPr>
        <w:pStyle w:val="Heading2"/>
        <w:spacing w:line="240" w:lineRule="auto" w:before="36"/>
        <w:ind w:left="138" w:right="98"/>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spacing w:line="290" w:lineRule="auto" w:before="32"/>
        <w:ind w:left="138" w:right="745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七、其他</w:t>
      </w:r>
      <w:r>
        <w:rPr>
          <w:rFonts w:ascii="宋体" w:hAnsi="宋体" w:cs="宋体" w:eastAsia="宋体" w:hint="default"/>
          <w:sz w:val="21"/>
          <w:szCs w:val="21"/>
        </w:rPr>
      </w:r>
    </w:p>
    <w:p>
      <w:pPr>
        <w:pStyle w:val="BodyText"/>
        <w:spacing w:line="240" w:lineRule="auto" w:before="14"/>
        <w:ind w:right="98"/>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Heading1"/>
        <w:tabs>
          <w:tab w:pos="1259" w:val="left" w:leader="none"/>
        </w:tabs>
        <w:spacing w:line="240" w:lineRule="auto" w:before="14"/>
        <w:ind w:right="75"/>
        <w:jc w:val="center"/>
        <w:rPr>
          <w:b w:val="0"/>
          <w:bCs w:val="0"/>
        </w:rPr>
      </w:pPr>
      <w:bookmarkStart w:name="_TOC_250003"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pStyle w:val="Heading2"/>
        <w:spacing w:line="240" w:lineRule="auto"/>
        <w:ind w:left="138" w:right="0"/>
        <w:jc w:val="both"/>
        <w:rPr>
          <w:b w:val="0"/>
          <w:bCs w:val="0"/>
        </w:rPr>
      </w:pPr>
      <w:r>
        <w:rPr/>
        <w:t>一、公司治理相关情况说明</w:t>
      </w:r>
      <w:r>
        <w:rPr>
          <w:b w:val="0"/>
          <w:bCs w:val="0"/>
        </w:rPr>
      </w:r>
    </w:p>
    <w:p>
      <w:pPr>
        <w:pStyle w:val="BodyText"/>
        <w:spacing w:line="272" w:lineRule="exact" w:before="86"/>
        <w:ind w:left="558" w:right="98" w:hanging="420"/>
        <w:jc w:val="left"/>
      </w:pPr>
      <w:r>
        <w:rPr/>
        <w:t>√适用</w:t>
      </w:r>
      <w:r>
        <w:rPr>
          <w:spacing w:val="-2"/>
        </w:rPr>
        <w:t> </w:t>
      </w:r>
      <w:r>
        <w:rPr/>
        <w:t>□不适用</w:t>
      </w:r>
      <w:r>
        <w:rPr>
          <w:w w:val="100"/>
        </w:rPr>
        <w:t> </w:t>
      </w:r>
      <w:r>
        <w:rPr>
          <w:spacing w:val="-7"/>
          <w:w w:val="100"/>
        </w:rPr>
        <w:t>报告期内，公司严格按照《公司法》、《证券法》和中国证监会的相关法律法规和规范性文件</w:t>
      </w:r>
    </w:p>
    <w:p>
      <w:pPr>
        <w:pStyle w:val="BodyText"/>
        <w:spacing w:line="357" w:lineRule="auto" w:before="109"/>
        <w:ind w:right="208"/>
        <w:jc w:val="both"/>
      </w:pPr>
      <w:r>
        <w:rPr>
          <w:spacing w:val="-1"/>
        </w:rPr>
        <w:t>要求，不断完善公司法人治理结构，积极推进内部控制规范建设工作，认真履行信息披露义务，</w:t>
      </w:r>
      <w:r>
        <w:rPr>
          <w:spacing w:val="-55"/>
        </w:rPr>
        <w:t> </w:t>
      </w:r>
      <w:r>
        <w:rPr>
          <w:spacing w:val="-55"/>
        </w:rPr>
      </w:r>
      <w:r>
        <w:rPr>
          <w:spacing w:val="-1"/>
        </w:rPr>
        <w:t>加强投资者关系管理，提升了公司规范运作水平。目前，公司的法人治理结构较为健全，运转良</w:t>
      </w:r>
      <w:r>
        <w:rPr>
          <w:spacing w:val="-55"/>
        </w:rPr>
        <w:t> </w:t>
      </w:r>
      <w:r>
        <w:rPr>
          <w:spacing w:val="-55"/>
        </w:rPr>
      </w:r>
      <w:r>
        <w:rPr>
          <w:spacing w:val="-1"/>
        </w:rPr>
        <w:t>好，与中国证监会有关上市公司冶理结构的规范性文件要求无较大差异。报告期内公司具体治理</w:t>
      </w:r>
      <w:r>
        <w:rPr>
          <w:spacing w:val="-55"/>
        </w:rPr>
        <w:t> </w:t>
      </w:r>
      <w:r>
        <w:rPr>
          <w:spacing w:val="-55"/>
        </w:rPr>
      </w:r>
      <w:r>
        <w:rPr/>
        <w:t>情况如下：</w:t>
      </w:r>
    </w:p>
    <w:p>
      <w:pPr>
        <w:pStyle w:val="BodyText"/>
        <w:spacing w:line="240" w:lineRule="auto" w:before="30"/>
        <w:ind w:left="558" w:right="98"/>
        <w:jc w:val="left"/>
      </w:pPr>
      <w:r>
        <w:rPr/>
        <w:t>（一）制度建设</w:t>
      </w:r>
    </w:p>
    <w:p>
      <w:pPr>
        <w:pStyle w:val="BodyText"/>
        <w:spacing w:line="240" w:lineRule="auto" w:before="133"/>
        <w:ind w:left="558" w:right="98"/>
        <w:jc w:val="left"/>
      </w:pPr>
      <w:r>
        <w:rPr/>
        <w:t>鉴于公司已于</w:t>
      </w:r>
      <w:r>
        <w:rPr>
          <w:spacing w:val="-50"/>
        </w:rPr>
        <w:t> </w:t>
      </w:r>
      <w:r>
        <w:rPr>
          <w:rFonts w:ascii="宋体" w:hAnsi="宋体" w:cs="宋体" w:eastAsia="宋体" w:hint="default"/>
        </w:rPr>
        <w:t>2017</w:t>
      </w:r>
      <w:r>
        <w:rPr>
          <w:rFonts w:ascii="宋体" w:hAnsi="宋体" w:cs="宋体" w:eastAsia="宋体" w:hint="default"/>
          <w:spacing w:val="-52"/>
        </w:rPr>
        <w:t> </w:t>
      </w:r>
      <w:r>
        <w:rPr/>
        <w:t>年</w:t>
      </w:r>
      <w:r>
        <w:rPr>
          <w:spacing w:val="-53"/>
        </w:rPr>
        <w:t> </w:t>
      </w:r>
      <w:r>
        <w:rPr>
          <w:rFonts w:ascii="宋体" w:hAnsi="宋体" w:cs="宋体" w:eastAsia="宋体" w:hint="default"/>
        </w:rPr>
        <w:t>9</w:t>
      </w:r>
      <w:r>
        <w:rPr>
          <w:rFonts w:ascii="宋体" w:hAnsi="宋体" w:cs="宋体" w:eastAsia="宋体" w:hint="default"/>
          <w:spacing w:val="-53"/>
        </w:rPr>
        <w:t> </w:t>
      </w:r>
      <w:r>
        <w:rPr/>
        <w:t>月</w:t>
      </w:r>
      <w:r>
        <w:rPr>
          <w:spacing w:val="-50"/>
        </w:rPr>
        <w:t> </w:t>
      </w:r>
      <w:r>
        <w:rPr>
          <w:rFonts w:ascii="宋体" w:hAnsi="宋体" w:cs="宋体" w:eastAsia="宋体" w:hint="default"/>
        </w:rPr>
        <w:t>20</w:t>
      </w:r>
      <w:r>
        <w:rPr>
          <w:rFonts w:ascii="宋体" w:hAnsi="宋体" w:cs="宋体" w:eastAsia="宋体" w:hint="default"/>
          <w:spacing w:val="-53"/>
        </w:rPr>
        <w:t> </w:t>
      </w:r>
      <w:r>
        <w:rPr/>
        <w:t>在上海证券交易所挂牌上市，为了进一步规范公司行为，根据</w:t>
      </w:r>
    </w:p>
    <w:p>
      <w:pPr>
        <w:pStyle w:val="BodyText"/>
        <w:spacing w:line="357" w:lineRule="auto" w:before="135"/>
        <w:ind w:right="102"/>
        <w:jc w:val="both"/>
      </w:pPr>
      <w:r>
        <w:rPr>
          <w:w w:val="100"/>
        </w:rPr>
        <w:t>《公司</w:t>
      </w:r>
      <w:r>
        <w:rPr>
          <w:spacing w:val="-3"/>
          <w:w w:val="100"/>
        </w:rPr>
        <w:t>法</w:t>
      </w:r>
      <w:r>
        <w:rPr>
          <w:spacing w:val="-106"/>
          <w:w w:val="100"/>
        </w:rPr>
        <w:t>》、</w:t>
      </w:r>
      <w:r>
        <w:rPr>
          <w:w w:val="100"/>
        </w:rPr>
        <w:t>《</w:t>
      </w:r>
      <w:r>
        <w:rPr>
          <w:spacing w:val="-3"/>
          <w:w w:val="100"/>
        </w:rPr>
        <w:t>证</w:t>
      </w:r>
      <w:r>
        <w:rPr>
          <w:w w:val="100"/>
        </w:rPr>
        <w:t>券法</w:t>
      </w:r>
      <w:r>
        <w:rPr>
          <w:spacing w:val="-3"/>
          <w:w w:val="100"/>
        </w:rPr>
        <w:t>》及</w:t>
      </w:r>
      <w:r>
        <w:rPr>
          <w:w w:val="100"/>
        </w:rPr>
        <w:t>其他有</w:t>
      </w:r>
      <w:r>
        <w:rPr>
          <w:spacing w:val="-3"/>
          <w:w w:val="100"/>
        </w:rPr>
        <w:t>关</w:t>
      </w:r>
      <w:r>
        <w:rPr>
          <w:w w:val="100"/>
        </w:rPr>
        <w:t>法</w:t>
      </w:r>
      <w:r>
        <w:rPr>
          <w:spacing w:val="-3"/>
          <w:w w:val="100"/>
        </w:rPr>
        <w:t>律</w:t>
      </w:r>
      <w:r>
        <w:rPr>
          <w:w w:val="100"/>
        </w:rPr>
        <w:t>、法</w:t>
      </w:r>
      <w:r>
        <w:rPr>
          <w:spacing w:val="-3"/>
          <w:w w:val="100"/>
        </w:rPr>
        <w:t>规</w:t>
      </w:r>
      <w:r>
        <w:rPr>
          <w:w w:val="100"/>
        </w:rPr>
        <w:t>、</w:t>
      </w:r>
      <w:r>
        <w:rPr>
          <w:spacing w:val="-3"/>
          <w:w w:val="100"/>
        </w:rPr>
        <w:t>规</w:t>
      </w:r>
      <w:r>
        <w:rPr>
          <w:w w:val="100"/>
        </w:rPr>
        <w:t>范性文</w:t>
      </w:r>
      <w:r>
        <w:rPr>
          <w:spacing w:val="-3"/>
          <w:w w:val="100"/>
        </w:rPr>
        <w:t>件</w:t>
      </w:r>
      <w:r>
        <w:rPr>
          <w:w w:val="100"/>
        </w:rPr>
        <w:t>，</w:t>
      </w:r>
      <w:r>
        <w:rPr>
          <w:spacing w:val="-3"/>
          <w:w w:val="100"/>
        </w:rPr>
        <w:t>结</w:t>
      </w:r>
      <w:r>
        <w:rPr>
          <w:w w:val="100"/>
        </w:rPr>
        <w:t>合公</w:t>
      </w:r>
      <w:r>
        <w:rPr>
          <w:spacing w:val="-3"/>
          <w:w w:val="100"/>
        </w:rPr>
        <w:t>司</w:t>
      </w:r>
      <w:r>
        <w:rPr>
          <w:w w:val="100"/>
        </w:rPr>
        <w:t>的</w:t>
      </w:r>
      <w:r>
        <w:rPr>
          <w:spacing w:val="-3"/>
          <w:w w:val="100"/>
        </w:rPr>
        <w:t>实</w:t>
      </w:r>
      <w:r>
        <w:rPr>
          <w:w w:val="100"/>
        </w:rPr>
        <w:t>际情况</w:t>
      </w:r>
      <w:r>
        <w:rPr>
          <w:spacing w:val="-3"/>
          <w:w w:val="100"/>
        </w:rPr>
        <w:t>，</w:t>
      </w:r>
      <w:r>
        <w:rPr>
          <w:w w:val="100"/>
        </w:rPr>
        <w:t>公</w:t>
      </w:r>
      <w:r>
        <w:rPr>
          <w:spacing w:val="-3"/>
          <w:w w:val="100"/>
        </w:rPr>
        <w:t>司</w:t>
      </w:r>
      <w:r>
        <w:rPr>
          <w:w w:val="100"/>
        </w:rPr>
        <w:t>制定和</w:t>
      </w:r>
      <w:r>
        <w:rPr>
          <w:w w:val="100"/>
        </w:rPr>
        <w:t> 完善了</w:t>
      </w:r>
      <w:r>
        <w:rPr>
          <w:spacing w:val="-3"/>
          <w:w w:val="100"/>
        </w:rPr>
        <w:t>《</w:t>
      </w:r>
      <w:r>
        <w:rPr>
          <w:w w:val="100"/>
        </w:rPr>
        <w:t>公</w:t>
      </w:r>
      <w:r>
        <w:rPr>
          <w:spacing w:val="-3"/>
          <w:w w:val="100"/>
        </w:rPr>
        <w:t>司</w:t>
      </w:r>
      <w:r>
        <w:rPr>
          <w:w w:val="100"/>
        </w:rPr>
        <w:t>章程</w:t>
      </w:r>
      <w:r>
        <w:rPr>
          <w:spacing w:val="-106"/>
          <w:w w:val="100"/>
        </w:rPr>
        <w:t>》</w:t>
      </w:r>
      <w:r>
        <w:rPr>
          <w:spacing w:val="-108"/>
          <w:w w:val="100"/>
        </w:rPr>
        <w:t>、</w:t>
      </w:r>
      <w:r>
        <w:rPr>
          <w:w w:val="100"/>
        </w:rPr>
        <w:t>《</w:t>
      </w:r>
      <w:r>
        <w:rPr>
          <w:spacing w:val="-3"/>
          <w:w w:val="100"/>
        </w:rPr>
        <w:t>股</w:t>
      </w:r>
      <w:r>
        <w:rPr>
          <w:w w:val="100"/>
        </w:rPr>
        <w:t>东大会</w:t>
      </w:r>
      <w:r>
        <w:rPr>
          <w:spacing w:val="-3"/>
          <w:w w:val="100"/>
        </w:rPr>
        <w:t>议</w:t>
      </w:r>
      <w:r>
        <w:rPr>
          <w:w w:val="100"/>
        </w:rPr>
        <w:t>事</w:t>
      </w:r>
      <w:r>
        <w:rPr>
          <w:spacing w:val="-3"/>
          <w:w w:val="100"/>
        </w:rPr>
        <w:t>规</w:t>
      </w:r>
      <w:r>
        <w:rPr>
          <w:w w:val="100"/>
        </w:rPr>
        <w:t>则</w:t>
      </w:r>
      <w:r>
        <w:rPr>
          <w:spacing w:val="-106"/>
          <w:w w:val="100"/>
        </w:rPr>
        <w:t>》、</w:t>
      </w:r>
      <w:r>
        <w:rPr>
          <w:spacing w:val="-3"/>
          <w:w w:val="100"/>
        </w:rPr>
        <w:t>《</w:t>
      </w:r>
      <w:r>
        <w:rPr>
          <w:w w:val="100"/>
        </w:rPr>
        <w:t>董</w:t>
      </w:r>
      <w:r>
        <w:rPr>
          <w:spacing w:val="-3"/>
          <w:w w:val="100"/>
        </w:rPr>
        <w:t>事</w:t>
      </w:r>
      <w:r>
        <w:rPr>
          <w:w w:val="100"/>
        </w:rPr>
        <w:t>会议事</w:t>
      </w:r>
      <w:r>
        <w:rPr>
          <w:spacing w:val="-3"/>
          <w:w w:val="100"/>
        </w:rPr>
        <w:t>规</w:t>
      </w:r>
      <w:r>
        <w:rPr>
          <w:w w:val="100"/>
        </w:rPr>
        <w:t>则</w:t>
      </w:r>
      <w:r>
        <w:rPr>
          <w:spacing w:val="-106"/>
          <w:w w:val="100"/>
        </w:rPr>
        <w:t>》、</w:t>
      </w:r>
      <w:r>
        <w:rPr>
          <w:spacing w:val="-3"/>
          <w:w w:val="100"/>
        </w:rPr>
        <w:t>《</w:t>
      </w:r>
      <w:r>
        <w:rPr>
          <w:w w:val="100"/>
        </w:rPr>
        <w:t>监</w:t>
      </w:r>
      <w:r>
        <w:rPr>
          <w:spacing w:val="-3"/>
          <w:w w:val="100"/>
        </w:rPr>
        <w:t>事</w:t>
      </w:r>
      <w:r>
        <w:rPr>
          <w:w w:val="100"/>
        </w:rPr>
        <w:t>会</w:t>
      </w:r>
      <w:r>
        <w:rPr>
          <w:spacing w:val="-3"/>
          <w:w w:val="100"/>
        </w:rPr>
        <w:t>议</w:t>
      </w:r>
      <w:r>
        <w:rPr>
          <w:w w:val="100"/>
        </w:rPr>
        <w:t>事规则</w:t>
      </w:r>
      <w:r>
        <w:rPr>
          <w:spacing w:val="-106"/>
          <w:w w:val="100"/>
        </w:rPr>
        <w:t>》</w:t>
      </w:r>
      <w:r>
        <w:rPr>
          <w:spacing w:val="-108"/>
          <w:w w:val="100"/>
        </w:rPr>
        <w:t>、</w:t>
      </w:r>
      <w:r>
        <w:rPr>
          <w:w w:val="100"/>
        </w:rPr>
        <w:t>《独</w:t>
      </w:r>
      <w:r>
        <w:rPr>
          <w:spacing w:val="-3"/>
          <w:w w:val="100"/>
        </w:rPr>
        <w:t>立</w:t>
      </w:r>
      <w:r>
        <w:rPr>
          <w:w w:val="100"/>
        </w:rPr>
        <w:t>董事</w:t>
      </w:r>
      <w:r>
        <w:rPr>
          <w:w w:val="100"/>
        </w:rPr>
        <w:t> 工作制</w:t>
      </w:r>
      <w:r>
        <w:rPr>
          <w:spacing w:val="-3"/>
          <w:w w:val="100"/>
        </w:rPr>
        <w:t>度</w:t>
      </w:r>
      <w:r>
        <w:rPr>
          <w:spacing w:val="-106"/>
          <w:w w:val="100"/>
        </w:rPr>
        <w:t>》、</w:t>
      </w:r>
      <w:r>
        <w:rPr>
          <w:w w:val="100"/>
        </w:rPr>
        <w:t>《</w:t>
      </w:r>
      <w:r>
        <w:rPr>
          <w:spacing w:val="-3"/>
          <w:w w:val="100"/>
        </w:rPr>
        <w:t>董</w:t>
      </w:r>
      <w:r>
        <w:rPr>
          <w:w w:val="100"/>
        </w:rPr>
        <w:t>事</w:t>
      </w:r>
      <w:r>
        <w:rPr>
          <w:spacing w:val="-3"/>
          <w:w w:val="100"/>
        </w:rPr>
        <w:t>会</w:t>
      </w:r>
      <w:r>
        <w:rPr>
          <w:w w:val="100"/>
        </w:rPr>
        <w:t>各</w:t>
      </w:r>
      <w:r>
        <w:rPr>
          <w:spacing w:val="-3"/>
          <w:w w:val="100"/>
        </w:rPr>
        <w:t>专</w:t>
      </w:r>
      <w:r>
        <w:rPr>
          <w:w w:val="100"/>
        </w:rPr>
        <w:t>门委员</w:t>
      </w:r>
      <w:r>
        <w:rPr>
          <w:spacing w:val="-3"/>
          <w:w w:val="100"/>
        </w:rPr>
        <w:t>会</w:t>
      </w:r>
      <w:r>
        <w:rPr>
          <w:w w:val="100"/>
        </w:rPr>
        <w:t>工</w:t>
      </w:r>
      <w:r>
        <w:rPr>
          <w:spacing w:val="-3"/>
          <w:w w:val="100"/>
        </w:rPr>
        <w:t>作</w:t>
      </w:r>
      <w:r>
        <w:rPr>
          <w:w w:val="100"/>
        </w:rPr>
        <w:t>细则</w:t>
      </w:r>
      <w:r>
        <w:rPr>
          <w:spacing w:val="-106"/>
          <w:w w:val="100"/>
        </w:rPr>
        <w:t>》</w:t>
      </w:r>
      <w:r>
        <w:rPr>
          <w:spacing w:val="-108"/>
          <w:w w:val="100"/>
        </w:rPr>
        <w:t>、</w:t>
      </w:r>
      <w:r>
        <w:rPr>
          <w:w w:val="100"/>
        </w:rPr>
        <w:t>《</w:t>
      </w:r>
      <w:r>
        <w:rPr>
          <w:spacing w:val="-3"/>
          <w:w w:val="100"/>
        </w:rPr>
        <w:t>总</w:t>
      </w:r>
      <w:r>
        <w:rPr>
          <w:w w:val="100"/>
        </w:rPr>
        <w:t>裁工作</w:t>
      </w:r>
      <w:r>
        <w:rPr>
          <w:spacing w:val="-3"/>
          <w:w w:val="100"/>
        </w:rPr>
        <w:t>细</w:t>
      </w:r>
      <w:r>
        <w:rPr>
          <w:w w:val="100"/>
        </w:rPr>
        <w:t>则</w:t>
      </w:r>
      <w:r>
        <w:rPr>
          <w:spacing w:val="-106"/>
          <w:w w:val="100"/>
        </w:rPr>
        <w:t>》、</w:t>
      </w:r>
      <w:r>
        <w:rPr>
          <w:spacing w:val="-3"/>
          <w:w w:val="100"/>
        </w:rPr>
        <w:t>《</w:t>
      </w:r>
      <w:r>
        <w:rPr>
          <w:w w:val="100"/>
        </w:rPr>
        <w:t>董</w:t>
      </w:r>
      <w:r>
        <w:rPr>
          <w:spacing w:val="-3"/>
          <w:w w:val="100"/>
        </w:rPr>
        <w:t>事</w:t>
      </w:r>
      <w:r>
        <w:rPr>
          <w:w w:val="100"/>
        </w:rPr>
        <w:t>会</w:t>
      </w:r>
      <w:r>
        <w:rPr>
          <w:spacing w:val="-3"/>
          <w:w w:val="100"/>
        </w:rPr>
        <w:t>秘</w:t>
      </w:r>
      <w:r>
        <w:rPr>
          <w:w w:val="100"/>
        </w:rPr>
        <w:t>书工作</w:t>
      </w:r>
      <w:r>
        <w:rPr>
          <w:spacing w:val="-3"/>
          <w:w w:val="100"/>
        </w:rPr>
        <w:t>细</w:t>
      </w:r>
      <w:r>
        <w:rPr>
          <w:w w:val="100"/>
        </w:rPr>
        <w:t>则</w:t>
      </w:r>
      <w:r>
        <w:rPr>
          <w:spacing w:val="-106"/>
          <w:w w:val="100"/>
        </w:rPr>
        <w:t>》、</w:t>
      </w:r>
      <w:r>
        <w:rPr>
          <w:spacing w:val="-3"/>
          <w:w w:val="100"/>
        </w:rPr>
        <w:t>《</w:t>
      </w:r>
      <w:r>
        <w:rPr>
          <w:w w:val="100"/>
        </w:rPr>
        <w:t>内部</w:t>
      </w:r>
      <w:r>
        <w:rPr>
          <w:w w:val="100"/>
        </w:rPr>
        <w:t> 审计</w:t>
      </w:r>
      <w:r>
        <w:rPr>
          <w:spacing w:val="-3"/>
          <w:w w:val="100"/>
        </w:rPr>
        <w:t>制</w:t>
      </w:r>
      <w:r>
        <w:rPr>
          <w:w w:val="100"/>
        </w:rPr>
        <w:t>度</w:t>
      </w:r>
      <w:r>
        <w:rPr>
          <w:spacing w:val="-106"/>
          <w:w w:val="100"/>
        </w:rPr>
        <w:t>》</w:t>
      </w:r>
      <w:r>
        <w:rPr>
          <w:spacing w:val="-173"/>
          <w:w w:val="100"/>
        </w:rPr>
        <w:t>、</w:t>
      </w:r>
      <w:r>
        <w:rPr>
          <w:spacing w:val="-3"/>
          <w:w w:val="100"/>
        </w:rPr>
        <w:t>《</w:t>
      </w:r>
      <w:r>
        <w:rPr>
          <w:w w:val="100"/>
        </w:rPr>
        <w:t>融</w:t>
      </w:r>
      <w:r>
        <w:rPr>
          <w:spacing w:val="-3"/>
          <w:w w:val="100"/>
        </w:rPr>
        <w:t>资</w:t>
      </w:r>
      <w:r>
        <w:rPr>
          <w:w w:val="100"/>
        </w:rPr>
        <w:t>与</w:t>
      </w:r>
      <w:r>
        <w:rPr>
          <w:spacing w:val="-3"/>
          <w:w w:val="100"/>
        </w:rPr>
        <w:t>对</w:t>
      </w:r>
      <w:r>
        <w:rPr>
          <w:w w:val="100"/>
        </w:rPr>
        <w:t>外</w:t>
      </w:r>
      <w:r>
        <w:rPr>
          <w:spacing w:val="-3"/>
          <w:w w:val="100"/>
        </w:rPr>
        <w:t>担</w:t>
      </w:r>
      <w:r>
        <w:rPr>
          <w:w w:val="100"/>
        </w:rPr>
        <w:t>保管</w:t>
      </w:r>
      <w:r>
        <w:rPr>
          <w:spacing w:val="-3"/>
          <w:w w:val="100"/>
        </w:rPr>
        <w:t>理</w:t>
      </w:r>
      <w:r>
        <w:rPr>
          <w:w w:val="100"/>
        </w:rPr>
        <w:t>制</w:t>
      </w:r>
      <w:r>
        <w:rPr>
          <w:spacing w:val="-3"/>
          <w:w w:val="100"/>
        </w:rPr>
        <w:t>度</w:t>
      </w:r>
      <w:r>
        <w:rPr>
          <w:spacing w:val="-106"/>
          <w:w w:val="100"/>
        </w:rPr>
        <w:t>》</w:t>
      </w:r>
      <w:r>
        <w:rPr>
          <w:spacing w:val="-173"/>
          <w:w w:val="100"/>
        </w:rPr>
        <w:t>、</w:t>
      </w:r>
      <w:r>
        <w:rPr>
          <w:w w:val="100"/>
        </w:rPr>
        <w:t>《</w:t>
      </w:r>
      <w:r>
        <w:rPr>
          <w:spacing w:val="-3"/>
          <w:w w:val="100"/>
        </w:rPr>
        <w:t>关</w:t>
      </w:r>
      <w:r>
        <w:rPr>
          <w:w w:val="100"/>
        </w:rPr>
        <w:t>联</w:t>
      </w:r>
      <w:r>
        <w:rPr>
          <w:spacing w:val="-3"/>
          <w:w w:val="100"/>
        </w:rPr>
        <w:t>交</w:t>
      </w:r>
      <w:r>
        <w:rPr>
          <w:w w:val="100"/>
        </w:rPr>
        <w:t>易</w:t>
      </w:r>
      <w:r>
        <w:rPr>
          <w:spacing w:val="-3"/>
          <w:w w:val="100"/>
        </w:rPr>
        <w:t>管</w:t>
      </w:r>
      <w:r>
        <w:rPr>
          <w:w w:val="100"/>
        </w:rPr>
        <w:t>理制</w:t>
      </w:r>
      <w:r>
        <w:rPr>
          <w:spacing w:val="-3"/>
          <w:w w:val="100"/>
        </w:rPr>
        <w:t>度</w:t>
      </w:r>
      <w:r>
        <w:rPr>
          <w:spacing w:val="-106"/>
          <w:w w:val="100"/>
        </w:rPr>
        <w:t>》</w:t>
      </w:r>
      <w:r>
        <w:rPr>
          <w:spacing w:val="-173"/>
          <w:w w:val="100"/>
        </w:rPr>
        <w:t>、</w:t>
      </w:r>
      <w:r>
        <w:rPr>
          <w:w w:val="100"/>
        </w:rPr>
        <w:t>《</w:t>
      </w:r>
      <w:r>
        <w:rPr>
          <w:spacing w:val="-3"/>
          <w:w w:val="100"/>
        </w:rPr>
        <w:t>重</w:t>
      </w:r>
      <w:r>
        <w:rPr>
          <w:w w:val="100"/>
        </w:rPr>
        <w:t>大</w:t>
      </w:r>
      <w:r>
        <w:rPr>
          <w:spacing w:val="-3"/>
          <w:w w:val="100"/>
        </w:rPr>
        <w:t>经</w:t>
      </w:r>
      <w:r>
        <w:rPr>
          <w:w w:val="100"/>
        </w:rPr>
        <w:t>营</w:t>
      </w:r>
      <w:r>
        <w:rPr>
          <w:spacing w:val="-3"/>
          <w:w w:val="100"/>
        </w:rPr>
        <w:t>与</w:t>
      </w:r>
      <w:r>
        <w:rPr>
          <w:w w:val="100"/>
        </w:rPr>
        <w:t>投</w:t>
      </w:r>
      <w:r>
        <w:rPr>
          <w:spacing w:val="-3"/>
          <w:w w:val="100"/>
        </w:rPr>
        <w:t>资</w:t>
      </w:r>
      <w:r>
        <w:rPr>
          <w:w w:val="100"/>
        </w:rPr>
        <w:t>决策</w:t>
      </w:r>
      <w:r>
        <w:rPr>
          <w:spacing w:val="-3"/>
          <w:w w:val="100"/>
        </w:rPr>
        <w:t>管</w:t>
      </w:r>
      <w:r>
        <w:rPr>
          <w:w w:val="100"/>
        </w:rPr>
        <w:t>理</w:t>
      </w:r>
      <w:r>
        <w:rPr>
          <w:spacing w:val="-3"/>
          <w:w w:val="100"/>
        </w:rPr>
        <w:t>制</w:t>
      </w:r>
      <w:r>
        <w:rPr>
          <w:w w:val="100"/>
        </w:rPr>
        <w:t>度</w:t>
      </w:r>
      <w:r>
        <w:rPr>
          <w:spacing w:val="-108"/>
          <w:w w:val="100"/>
        </w:rPr>
        <w:t>》</w:t>
      </w:r>
      <w:r>
        <w:rPr>
          <w:w w:val="100"/>
        </w:rPr>
        <w:t>、</w:t>
      </w:r>
    </w:p>
    <w:p>
      <w:pPr>
        <w:pStyle w:val="BodyText"/>
        <w:spacing w:line="355" w:lineRule="auto" w:before="32"/>
        <w:ind w:right="207"/>
        <w:jc w:val="both"/>
      </w:pPr>
      <w:r>
        <w:rPr>
          <w:w w:val="100"/>
        </w:rPr>
        <w:t>《募</w:t>
      </w:r>
      <w:r>
        <w:rPr>
          <w:spacing w:val="-3"/>
          <w:w w:val="100"/>
        </w:rPr>
        <w:t>集</w:t>
      </w:r>
      <w:r>
        <w:rPr>
          <w:w w:val="100"/>
        </w:rPr>
        <w:t>资</w:t>
      </w:r>
      <w:r>
        <w:rPr>
          <w:spacing w:val="-3"/>
          <w:w w:val="100"/>
        </w:rPr>
        <w:t>金</w:t>
      </w:r>
      <w:r>
        <w:rPr>
          <w:w w:val="100"/>
        </w:rPr>
        <w:t>管</w:t>
      </w:r>
      <w:r>
        <w:rPr>
          <w:spacing w:val="-3"/>
          <w:w w:val="100"/>
        </w:rPr>
        <w:t>理</w:t>
      </w:r>
      <w:r>
        <w:rPr>
          <w:w w:val="100"/>
        </w:rPr>
        <w:t>制</w:t>
      </w:r>
      <w:r>
        <w:rPr>
          <w:spacing w:val="-3"/>
          <w:w w:val="100"/>
        </w:rPr>
        <w:t>度</w:t>
      </w:r>
      <w:r>
        <w:rPr>
          <w:spacing w:val="-106"/>
          <w:w w:val="100"/>
        </w:rPr>
        <w:t>》</w:t>
      </w:r>
      <w:r>
        <w:rPr>
          <w:spacing w:val="-173"/>
          <w:w w:val="100"/>
        </w:rPr>
        <w:t>、</w:t>
      </w:r>
      <w:r>
        <w:rPr>
          <w:w w:val="100"/>
        </w:rPr>
        <w:t>《</w:t>
      </w:r>
      <w:r>
        <w:rPr>
          <w:spacing w:val="-3"/>
          <w:w w:val="100"/>
        </w:rPr>
        <w:t>信</w:t>
      </w:r>
      <w:r>
        <w:rPr>
          <w:w w:val="100"/>
        </w:rPr>
        <w:t>息披</w:t>
      </w:r>
      <w:r>
        <w:rPr>
          <w:spacing w:val="-3"/>
          <w:w w:val="100"/>
        </w:rPr>
        <w:t>露</w:t>
      </w:r>
      <w:r>
        <w:rPr>
          <w:w w:val="100"/>
        </w:rPr>
        <w:t>管</w:t>
      </w:r>
      <w:r>
        <w:rPr>
          <w:spacing w:val="-3"/>
          <w:w w:val="100"/>
        </w:rPr>
        <w:t>理</w:t>
      </w:r>
      <w:r>
        <w:rPr>
          <w:w w:val="100"/>
        </w:rPr>
        <w:t>制</w:t>
      </w:r>
      <w:r>
        <w:rPr>
          <w:spacing w:val="-3"/>
          <w:w w:val="100"/>
        </w:rPr>
        <w:t>度</w:t>
      </w:r>
      <w:r>
        <w:rPr>
          <w:spacing w:val="-106"/>
          <w:w w:val="100"/>
        </w:rPr>
        <w:t>》</w:t>
      </w:r>
      <w:r>
        <w:rPr>
          <w:spacing w:val="-173"/>
          <w:w w:val="100"/>
        </w:rPr>
        <w:t>、</w:t>
      </w:r>
      <w:r>
        <w:rPr>
          <w:w w:val="100"/>
        </w:rPr>
        <w:t>《</w:t>
      </w:r>
      <w:r>
        <w:rPr>
          <w:spacing w:val="-3"/>
          <w:w w:val="100"/>
        </w:rPr>
        <w:t>信</w:t>
      </w:r>
      <w:r>
        <w:rPr>
          <w:w w:val="100"/>
        </w:rPr>
        <w:t>息</w:t>
      </w:r>
      <w:r>
        <w:rPr>
          <w:spacing w:val="-3"/>
          <w:w w:val="100"/>
        </w:rPr>
        <w:t>披</w:t>
      </w:r>
      <w:r>
        <w:rPr>
          <w:w w:val="100"/>
        </w:rPr>
        <w:t>露暂</w:t>
      </w:r>
      <w:r>
        <w:rPr>
          <w:spacing w:val="-3"/>
          <w:w w:val="100"/>
        </w:rPr>
        <w:t>缓</w:t>
      </w:r>
      <w:r>
        <w:rPr>
          <w:w w:val="100"/>
        </w:rPr>
        <w:t>与</w:t>
      </w:r>
      <w:r>
        <w:rPr>
          <w:spacing w:val="-3"/>
          <w:w w:val="100"/>
        </w:rPr>
        <w:t>豁</w:t>
      </w:r>
      <w:r>
        <w:rPr>
          <w:w w:val="100"/>
        </w:rPr>
        <w:t>免</w:t>
      </w:r>
      <w:r>
        <w:rPr>
          <w:spacing w:val="-3"/>
          <w:w w:val="100"/>
        </w:rPr>
        <w:t>业</w:t>
      </w:r>
      <w:r>
        <w:rPr>
          <w:w w:val="100"/>
        </w:rPr>
        <w:t>务</w:t>
      </w:r>
      <w:r>
        <w:rPr>
          <w:spacing w:val="-3"/>
          <w:w w:val="100"/>
        </w:rPr>
        <w:t>内</w:t>
      </w:r>
      <w:r>
        <w:rPr>
          <w:w w:val="100"/>
        </w:rPr>
        <w:t>部</w:t>
      </w:r>
      <w:r>
        <w:rPr>
          <w:spacing w:val="-3"/>
          <w:w w:val="100"/>
        </w:rPr>
        <w:t>管</w:t>
      </w:r>
      <w:r>
        <w:rPr>
          <w:w w:val="100"/>
        </w:rPr>
        <w:t>理制</w:t>
      </w:r>
      <w:r>
        <w:rPr>
          <w:spacing w:val="-3"/>
          <w:w w:val="100"/>
        </w:rPr>
        <w:t>度</w:t>
      </w:r>
      <w:r>
        <w:rPr>
          <w:spacing w:val="-106"/>
          <w:w w:val="100"/>
        </w:rPr>
        <w:t>》</w:t>
      </w:r>
      <w:r>
        <w:rPr>
          <w:spacing w:val="-173"/>
          <w:w w:val="100"/>
        </w:rPr>
        <w:t>、</w:t>
      </w:r>
      <w:r>
        <w:rPr>
          <w:w w:val="100"/>
        </w:rPr>
        <w:t>《</w:t>
      </w:r>
      <w:r>
        <w:rPr>
          <w:spacing w:val="-3"/>
          <w:w w:val="100"/>
        </w:rPr>
        <w:t>董事</w:t>
      </w:r>
      <w:r>
        <w:rPr>
          <w:w w:val="100"/>
        </w:rPr>
        <w:t>、</w:t>
      </w:r>
      <w:r>
        <w:rPr>
          <w:w w:val="100"/>
        </w:rPr>
        <w:t> 监事</w:t>
      </w:r>
      <w:r>
        <w:rPr>
          <w:spacing w:val="-3"/>
          <w:w w:val="100"/>
        </w:rPr>
        <w:t>和</w:t>
      </w:r>
      <w:r>
        <w:rPr>
          <w:w w:val="100"/>
        </w:rPr>
        <w:t>高</w:t>
      </w:r>
      <w:r>
        <w:rPr>
          <w:spacing w:val="-3"/>
          <w:w w:val="100"/>
        </w:rPr>
        <w:t>级</w:t>
      </w:r>
      <w:r>
        <w:rPr>
          <w:w w:val="100"/>
        </w:rPr>
        <w:t>管</w:t>
      </w:r>
      <w:r>
        <w:rPr>
          <w:spacing w:val="-3"/>
          <w:w w:val="100"/>
        </w:rPr>
        <w:t>理</w:t>
      </w:r>
      <w:r>
        <w:rPr>
          <w:w w:val="100"/>
        </w:rPr>
        <w:t>人</w:t>
      </w:r>
      <w:r>
        <w:rPr>
          <w:spacing w:val="-3"/>
          <w:w w:val="100"/>
        </w:rPr>
        <w:t>员</w:t>
      </w:r>
      <w:r>
        <w:rPr>
          <w:w w:val="100"/>
        </w:rPr>
        <w:t>所</w:t>
      </w:r>
      <w:r>
        <w:rPr>
          <w:spacing w:val="-3"/>
          <w:w w:val="100"/>
        </w:rPr>
        <w:t>持</w:t>
      </w:r>
      <w:r>
        <w:rPr>
          <w:w w:val="100"/>
        </w:rPr>
        <w:t>本公</w:t>
      </w:r>
      <w:r>
        <w:rPr>
          <w:spacing w:val="-3"/>
          <w:w w:val="100"/>
        </w:rPr>
        <w:t>司</w:t>
      </w:r>
      <w:r>
        <w:rPr>
          <w:w w:val="100"/>
        </w:rPr>
        <w:t>股</w:t>
      </w:r>
      <w:r>
        <w:rPr>
          <w:spacing w:val="-3"/>
          <w:w w:val="100"/>
        </w:rPr>
        <w:t>份</w:t>
      </w:r>
      <w:r>
        <w:rPr>
          <w:w w:val="100"/>
        </w:rPr>
        <w:t>及</w:t>
      </w:r>
      <w:r>
        <w:rPr>
          <w:spacing w:val="-3"/>
          <w:w w:val="100"/>
        </w:rPr>
        <w:t>其</w:t>
      </w:r>
      <w:r>
        <w:rPr>
          <w:w w:val="100"/>
        </w:rPr>
        <w:t>变</w:t>
      </w:r>
      <w:r>
        <w:rPr>
          <w:spacing w:val="-3"/>
          <w:w w:val="100"/>
        </w:rPr>
        <w:t>动</w:t>
      </w:r>
      <w:r>
        <w:rPr>
          <w:w w:val="100"/>
        </w:rPr>
        <w:t>管</w:t>
      </w:r>
      <w:r>
        <w:rPr>
          <w:spacing w:val="-3"/>
          <w:w w:val="100"/>
        </w:rPr>
        <w:t>理</w:t>
      </w:r>
      <w:r>
        <w:rPr>
          <w:w w:val="100"/>
        </w:rPr>
        <w:t>规则</w:t>
      </w:r>
      <w:r>
        <w:rPr>
          <w:spacing w:val="-106"/>
          <w:w w:val="100"/>
        </w:rPr>
        <w:t>》</w:t>
      </w:r>
      <w:r>
        <w:rPr>
          <w:spacing w:val="-207"/>
          <w:w w:val="100"/>
        </w:rPr>
        <w:t>、</w:t>
      </w:r>
      <w:r>
        <w:rPr>
          <w:spacing w:val="-3"/>
          <w:w w:val="100"/>
        </w:rPr>
        <w:t>《</w:t>
      </w:r>
      <w:r>
        <w:rPr>
          <w:w w:val="100"/>
        </w:rPr>
        <w:t>控股</w:t>
      </w:r>
      <w:r>
        <w:rPr>
          <w:spacing w:val="-3"/>
          <w:w w:val="100"/>
        </w:rPr>
        <w:t>股</w:t>
      </w:r>
      <w:r>
        <w:rPr>
          <w:w w:val="100"/>
        </w:rPr>
        <w:t>东</w:t>
      </w:r>
      <w:r>
        <w:rPr>
          <w:spacing w:val="-3"/>
          <w:w w:val="100"/>
        </w:rPr>
        <w:t>和</w:t>
      </w:r>
      <w:r>
        <w:rPr>
          <w:w w:val="100"/>
        </w:rPr>
        <w:t>实</w:t>
      </w:r>
      <w:r>
        <w:rPr>
          <w:spacing w:val="-3"/>
          <w:w w:val="100"/>
        </w:rPr>
        <w:t>际控</w:t>
      </w:r>
      <w:r>
        <w:rPr>
          <w:w w:val="100"/>
        </w:rPr>
        <w:t>制人</w:t>
      </w:r>
      <w:r>
        <w:rPr>
          <w:spacing w:val="-3"/>
          <w:w w:val="100"/>
        </w:rPr>
        <w:t>行</w:t>
      </w:r>
      <w:r>
        <w:rPr>
          <w:w w:val="100"/>
        </w:rPr>
        <w:t>为</w:t>
      </w:r>
      <w:r>
        <w:rPr>
          <w:spacing w:val="-3"/>
          <w:w w:val="100"/>
        </w:rPr>
        <w:t>规</w:t>
      </w:r>
      <w:r>
        <w:rPr>
          <w:w w:val="100"/>
        </w:rPr>
        <w:t>范</w:t>
      </w:r>
      <w:r>
        <w:rPr>
          <w:spacing w:val="-106"/>
          <w:w w:val="100"/>
        </w:rPr>
        <w:t>》</w:t>
      </w:r>
      <w:r>
        <w:rPr>
          <w:spacing w:val="-207"/>
          <w:w w:val="100"/>
        </w:rPr>
        <w:t>、</w:t>
      </w:r>
      <w:r>
        <w:rPr>
          <w:spacing w:val="-3"/>
          <w:w w:val="100"/>
        </w:rPr>
        <w:t>《</w:t>
      </w:r>
      <w:r>
        <w:rPr>
          <w:w w:val="100"/>
        </w:rPr>
        <w:t>防</w:t>
      </w:r>
      <w:r>
        <w:rPr>
          <w:w w:val="100"/>
        </w:rPr>
        <w:t> 范控</w:t>
      </w:r>
      <w:r>
        <w:rPr>
          <w:spacing w:val="-3"/>
          <w:w w:val="100"/>
        </w:rPr>
        <w:t>股</w:t>
      </w:r>
      <w:r>
        <w:rPr>
          <w:w w:val="100"/>
        </w:rPr>
        <w:t>股</w:t>
      </w:r>
      <w:r>
        <w:rPr>
          <w:spacing w:val="-3"/>
          <w:w w:val="100"/>
        </w:rPr>
        <w:t>东</w:t>
      </w:r>
      <w:r>
        <w:rPr>
          <w:w w:val="100"/>
        </w:rPr>
        <w:t>及</w:t>
      </w:r>
      <w:r>
        <w:rPr>
          <w:spacing w:val="-3"/>
          <w:w w:val="100"/>
        </w:rPr>
        <w:t>其</w:t>
      </w:r>
      <w:r>
        <w:rPr>
          <w:w w:val="100"/>
        </w:rPr>
        <w:t>他</w:t>
      </w:r>
      <w:r>
        <w:rPr>
          <w:spacing w:val="-3"/>
          <w:w w:val="100"/>
        </w:rPr>
        <w:t>关</w:t>
      </w:r>
      <w:r>
        <w:rPr>
          <w:w w:val="100"/>
        </w:rPr>
        <w:t>联</w:t>
      </w:r>
      <w:r>
        <w:rPr>
          <w:spacing w:val="-3"/>
          <w:w w:val="100"/>
        </w:rPr>
        <w:t>方</w:t>
      </w:r>
      <w:r>
        <w:rPr>
          <w:w w:val="100"/>
        </w:rPr>
        <w:t>资金</w:t>
      </w:r>
      <w:r>
        <w:rPr>
          <w:spacing w:val="-3"/>
          <w:w w:val="100"/>
        </w:rPr>
        <w:t>占</w:t>
      </w:r>
      <w:r>
        <w:rPr>
          <w:w w:val="100"/>
        </w:rPr>
        <w:t>用</w:t>
      </w:r>
      <w:r>
        <w:rPr>
          <w:spacing w:val="-3"/>
          <w:w w:val="100"/>
        </w:rPr>
        <w:t>制</w:t>
      </w:r>
      <w:r>
        <w:rPr>
          <w:w w:val="100"/>
        </w:rPr>
        <w:t>度</w:t>
      </w:r>
      <w:r>
        <w:rPr>
          <w:spacing w:val="-106"/>
          <w:w w:val="100"/>
        </w:rPr>
        <w:t>》</w:t>
      </w:r>
      <w:r>
        <w:rPr>
          <w:spacing w:val="-108"/>
          <w:w w:val="100"/>
        </w:rPr>
        <w:t>、</w:t>
      </w:r>
      <w:r>
        <w:rPr>
          <w:w w:val="100"/>
        </w:rPr>
        <w:t>《</w:t>
      </w:r>
      <w:r>
        <w:rPr>
          <w:spacing w:val="-3"/>
          <w:w w:val="100"/>
        </w:rPr>
        <w:t>内</w:t>
      </w:r>
      <w:r>
        <w:rPr>
          <w:w w:val="100"/>
        </w:rPr>
        <w:t>幕</w:t>
      </w:r>
      <w:r>
        <w:rPr>
          <w:spacing w:val="-3"/>
          <w:w w:val="100"/>
        </w:rPr>
        <w:t>信</w:t>
      </w:r>
      <w:r>
        <w:rPr>
          <w:w w:val="100"/>
        </w:rPr>
        <w:t>息知</w:t>
      </w:r>
      <w:r>
        <w:rPr>
          <w:spacing w:val="-3"/>
          <w:w w:val="100"/>
        </w:rPr>
        <w:t>情</w:t>
      </w:r>
      <w:r>
        <w:rPr>
          <w:w w:val="100"/>
        </w:rPr>
        <w:t>人</w:t>
      </w:r>
      <w:r>
        <w:rPr>
          <w:spacing w:val="-3"/>
          <w:w w:val="100"/>
        </w:rPr>
        <w:t>登</w:t>
      </w:r>
      <w:r>
        <w:rPr>
          <w:w w:val="100"/>
        </w:rPr>
        <w:t>记</w:t>
      </w:r>
      <w:r>
        <w:rPr>
          <w:spacing w:val="-3"/>
          <w:w w:val="100"/>
        </w:rPr>
        <w:t>管</w:t>
      </w:r>
      <w:r>
        <w:rPr>
          <w:w w:val="100"/>
        </w:rPr>
        <w:t>理</w:t>
      </w:r>
      <w:r>
        <w:rPr>
          <w:spacing w:val="-3"/>
          <w:w w:val="100"/>
        </w:rPr>
        <w:t>制</w:t>
      </w:r>
      <w:r>
        <w:rPr>
          <w:w w:val="100"/>
        </w:rPr>
        <w:t>度</w:t>
      </w:r>
      <w:r>
        <w:rPr>
          <w:spacing w:val="-3"/>
          <w:w w:val="100"/>
        </w:rPr>
        <w:t>》</w:t>
      </w:r>
      <w:r>
        <w:rPr>
          <w:w w:val="100"/>
        </w:rPr>
        <w:t>等制</w:t>
      </w:r>
      <w:r>
        <w:rPr>
          <w:spacing w:val="-3"/>
          <w:w w:val="100"/>
        </w:rPr>
        <w:t>度</w:t>
      </w:r>
      <w:r>
        <w:rPr>
          <w:w w:val="100"/>
        </w:rPr>
        <w:t>。</w:t>
      </w:r>
    </w:p>
    <w:p>
      <w:pPr>
        <w:pStyle w:val="BodyText"/>
        <w:spacing w:line="355" w:lineRule="auto" w:before="32"/>
        <w:ind w:left="558" w:right="98"/>
        <w:jc w:val="left"/>
      </w:pPr>
      <w:r>
        <w:rPr/>
        <w:t>（二）实际控制人和上市公司的关系</w:t>
      </w:r>
      <w:r>
        <w:rPr>
          <w:w w:val="100"/>
        </w:rPr>
        <w:t> </w:t>
      </w:r>
      <w:r>
        <w:rPr>
          <w:spacing w:val="-2"/>
        </w:rPr>
        <w:t>控股股东与公司在资产、业务、机构、财务、人员等方面严格分开，公司控股股东严格规范</w:t>
      </w:r>
    </w:p>
    <w:p>
      <w:pPr>
        <w:pStyle w:val="BodyText"/>
        <w:spacing w:line="357" w:lineRule="auto" w:before="34"/>
        <w:ind w:right="207"/>
        <w:jc w:val="both"/>
      </w:pPr>
      <w:r>
        <w:rPr>
          <w:spacing w:val="-1"/>
        </w:rPr>
        <w:t>行为，通过股东大会行使出资人的权利，没有超越股东大会授权直接或间接干预公司的决策和经</w:t>
      </w:r>
      <w:r>
        <w:rPr>
          <w:spacing w:val="-55"/>
        </w:rPr>
        <w:t> </w:t>
      </w:r>
      <w:r>
        <w:rPr>
          <w:spacing w:val="-55"/>
        </w:rPr>
      </w:r>
      <w:r>
        <w:rPr>
          <w:spacing w:val="-1"/>
        </w:rPr>
        <w:t>营活动，不存在非经营性占用公司资金的情况。公司董事会、监事会和内部机构均独立运作。控</w:t>
      </w:r>
      <w:r>
        <w:rPr>
          <w:spacing w:val="-55"/>
        </w:rPr>
        <w:t> </w:t>
      </w:r>
      <w:r>
        <w:rPr>
          <w:spacing w:val="-55"/>
        </w:rPr>
      </w:r>
      <w:r>
        <w:rPr>
          <w:spacing w:val="-1"/>
        </w:rPr>
        <w:t>股股东认真履行股东义务，行为合法，不存在侵占公司资产、损害公司和股东，特别是中小股东</w:t>
      </w:r>
      <w:r>
        <w:rPr>
          <w:spacing w:val="-56"/>
        </w:rPr>
        <w:t> </w:t>
      </w:r>
      <w:r>
        <w:rPr>
          <w:spacing w:val="-56"/>
        </w:rPr>
      </w:r>
      <w:r>
        <w:rPr/>
        <w:t>利益的情况，公司关联交易公平、规范，关联交易信息披露及时、充分。</w:t>
      </w:r>
    </w:p>
    <w:p>
      <w:pPr>
        <w:pStyle w:val="BodyText"/>
        <w:spacing w:line="357" w:lineRule="auto" w:before="30"/>
        <w:ind w:left="558" w:right="98"/>
        <w:jc w:val="left"/>
      </w:pPr>
      <w:r>
        <w:rPr/>
        <w:t>（三）股东和股东大会</w:t>
      </w:r>
      <w:r>
        <w:rPr>
          <w:w w:val="100"/>
        </w:rPr>
        <w:t> </w:t>
      </w:r>
      <w:r>
        <w:rPr>
          <w:spacing w:val="-7"/>
          <w:w w:val="100"/>
        </w:rPr>
        <w:t>公司严格按照《公司法》等法律法规和《公司章程》、《股东大会议事规则》的规定和要求</w:t>
      </w:r>
    </w:p>
    <w:p>
      <w:pPr>
        <w:pStyle w:val="BodyText"/>
        <w:spacing w:line="355" w:lineRule="auto" w:before="30"/>
        <w:ind w:right="208"/>
        <w:jc w:val="both"/>
      </w:pPr>
      <w:r>
        <w:rPr>
          <w:spacing w:val="-1"/>
        </w:rPr>
        <w:t>召集、召开股东大会，保证股东在股东大会上有效行使表决权。公司通过网站、投资者热线等，</w:t>
      </w:r>
      <w:r>
        <w:rPr>
          <w:spacing w:val="-55"/>
        </w:rPr>
        <w:t> </w:t>
      </w:r>
      <w:r>
        <w:rPr>
          <w:spacing w:val="-55"/>
        </w:rPr>
      </w:r>
      <w:r>
        <w:rPr>
          <w:spacing w:val="-1"/>
        </w:rPr>
        <w:t>保持与股东有效的沟通渠道；公司认真接待股东来访和来电咨询，保证所有股东对公司重大事项</w:t>
      </w:r>
      <w:r>
        <w:rPr>
          <w:spacing w:val="-55"/>
        </w:rPr>
        <w:t> </w:t>
      </w:r>
      <w:r>
        <w:rPr>
          <w:spacing w:val="-55"/>
        </w:rPr>
      </w:r>
      <w:r>
        <w:rPr/>
        <w:t>都有知情权，确保所有股东特别是中小股东的合法权益。</w:t>
      </w:r>
    </w:p>
    <w:p>
      <w:pPr>
        <w:pStyle w:val="BodyText"/>
        <w:spacing w:line="240" w:lineRule="auto" w:before="35"/>
        <w:ind w:left="558" w:right="98"/>
        <w:jc w:val="left"/>
      </w:pPr>
      <w:r>
        <w:rPr/>
        <w:t>（四）董事会和董事</w:t>
      </w:r>
    </w:p>
    <w:p>
      <w:pPr>
        <w:spacing w:after="0" w:line="240" w:lineRule="auto"/>
        <w:jc w:val="left"/>
        <w:sectPr>
          <w:pgSz w:w="11910" w:h="16840"/>
          <w:pgMar w:header="877" w:footer="1195" w:top="1100" w:bottom="1380" w:left="1660" w:right="1060"/>
        </w:sectPr>
      </w:pPr>
    </w:p>
    <w:p>
      <w:pPr>
        <w:spacing w:line="240" w:lineRule="auto" w:before="9"/>
        <w:rPr>
          <w:rFonts w:ascii="宋体" w:hAnsi="宋体" w:cs="宋体" w:eastAsia="宋体" w:hint="default"/>
          <w:sz w:val="25"/>
          <w:szCs w:val="25"/>
        </w:rPr>
      </w:pPr>
    </w:p>
    <w:p>
      <w:pPr>
        <w:pStyle w:val="BodyText"/>
        <w:spacing w:line="357" w:lineRule="auto" w:before="36"/>
        <w:ind w:left="218" w:right="228" w:firstLine="419"/>
        <w:jc w:val="both"/>
      </w:pPr>
      <w:r>
        <w:rPr/>
        <w:t>公司董事会由</w:t>
      </w:r>
      <w:r>
        <w:rPr>
          <w:spacing w:val="-51"/>
        </w:rPr>
        <w:t> </w:t>
      </w:r>
      <w:r>
        <w:rPr>
          <w:rFonts w:ascii="宋体" w:hAnsi="宋体" w:cs="宋体" w:eastAsia="宋体" w:hint="default"/>
        </w:rPr>
        <w:t>7</w:t>
      </w:r>
      <w:r>
        <w:rPr>
          <w:rFonts w:ascii="宋体" w:hAnsi="宋体" w:cs="宋体" w:eastAsia="宋体" w:hint="default"/>
          <w:spacing w:val="-51"/>
        </w:rPr>
        <w:t> </w:t>
      </w:r>
      <w:r>
        <w:rPr/>
        <w:t>名董事组成，其中</w:t>
      </w:r>
      <w:r>
        <w:rPr>
          <w:spacing w:val="-51"/>
        </w:rPr>
        <w:t> </w:t>
      </w:r>
      <w:r>
        <w:rPr>
          <w:rFonts w:ascii="宋体" w:hAnsi="宋体" w:cs="宋体" w:eastAsia="宋体" w:hint="default"/>
        </w:rPr>
        <w:t>3</w:t>
      </w:r>
      <w:r>
        <w:rPr>
          <w:rFonts w:ascii="宋体" w:hAnsi="宋体" w:cs="宋体" w:eastAsia="宋体" w:hint="default"/>
          <w:spacing w:val="-51"/>
        </w:rPr>
        <w:t> </w:t>
      </w:r>
      <w:r>
        <w:rPr/>
        <w:t>名为独立董事，构成符合法律、法规的要求，董事会下</w:t>
      </w:r>
      <w:r>
        <w:rPr>
          <w:w w:val="100"/>
        </w:rPr>
        <w:t> </w:t>
      </w:r>
      <w:r>
        <w:rPr>
          <w:spacing w:val="-1"/>
        </w:rPr>
        <w:t>设战略委员会、提名委员会、审计委员会、薪酬与考核委员会四个专门委员会，专门委员会成员</w:t>
      </w:r>
      <w:r>
        <w:rPr>
          <w:spacing w:val="-55"/>
        </w:rPr>
        <w:t> </w:t>
      </w:r>
      <w:r>
        <w:rPr>
          <w:spacing w:val="-55"/>
        </w:rPr>
      </w:r>
      <w:r>
        <w:rPr>
          <w:spacing w:val="-1"/>
        </w:rPr>
        <w:t>全部由董事组成。董事会和各专门委员会均有相应的议事规则，董事会和各专门委员会均能按照</w:t>
      </w:r>
      <w:r>
        <w:rPr>
          <w:spacing w:val="-55"/>
        </w:rPr>
        <w:t> </w:t>
      </w:r>
      <w:r>
        <w:rPr>
          <w:spacing w:val="-55"/>
        </w:rPr>
      </w:r>
      <w:r>
        <w:rPr>
          <w:spacing w:val="-1"/>
        </w:rPr>
        <w:t>相关制度履行职能，充分发挥专业优势，加强了董事会决策的科学性，促进了公司的健康发展。</w:t>
      </w:r>
      <w:r>
        <w:rPr>
          <w:spacing w:val="-55"/>
        </w:rPr>
        <w:t> </w:t>
      </w:r>
      <w:r>
        <w:rPr>
          <w:spacing w:val="-55"/>
        </w:rPr>
      </w:r>
      <w:r>
        <w:rPr>
          <w:spacing w:val="-1"/>
        </w:rPr>
        <w:t>公司董事严格遵守承诺，勤勉地履行职责，以认真的态度出席董事会和股东大会，注重维护公司</w:t>
      </w:r>
      <w:r>
        <w:rPr>
          <w:spacing w:val="-55"/>
        </w:rPr>
        <w:t> </w:t>
      </w:r>
      <w:r>
        <w:rPr>
          <w:spacing w:val="-55"/>
        </w:rPr>
      </w:r>
      <w:r>
        <w:rPr/>
        <w:t>和股东的权益。</w:t>
      </w:r>
    </w:p>
    <w:p>
      <w:pPr>
        <w:pStyle w:val="BodyText"/>
        <w:spacing w:line="355" w:lineRule="auto" w:before="32"/>
        <w:ind w:left="638" w:right="227"/>
        <w:jc w:val="left"/>
      </w:pPr>
      <w:r>
        <w:rPr/>
        <w:t>（五）监事会和监事</w:t>
      </w:r>
      <w:r>
        <w:rPr>
          <w:w w:val="100"/>
        </w:rPr>
        <w:t> </w:t>
      </w:r>
      <w:r>
        <w:rPr>
          <w:spacing w:val="-7"/>
        </w:rPr>
        <w:t>公司监事会的人数和构成符合有关法律、法规的要求。监事会的召集、召开程序符合公司《监</w:t>
      </w:r>
    </w:p>
    <w:p>
      <w:pPr>
        <w:pStyle w:val="BodyText"/>
        <w:spacing w:line="357" w:lineRule="auto" w:before="33"/>
        <w:ind w:left="218" w:right="228"/>
        <w:jc w:val="both"/>
      </w:pPr>
      <w:r>
        <w:rPr>
          <w:spacing w:val="-1"/>
        </w:rPr>
        <w:t>事会议事规则》的规定。各位监事能够本着对股东负责的态度，认真履行其职责，对公司经营情</w:t>
      </w:r>
      <w:r>
        <w:rPr>
          <w:spacing w:val="-55"/>
        </w:rPr>
        <w:t> </w:t>
      </w:r>
      <w:r>
        <w:rPr>
          <w:spacing w:val="-55"/>
        </w:rPr>
      </w:r>
      <w:r>
        <w:rPr>
          <w:spacing w:val="-1"/>
        </w:rPr>
        <w:t>况、募集资金使用情况、关联交易及公司董事、高级管理人员履行职责的合法合规性进行监督，</w:t>
      </w:r>
      <w:r>
        <w:rPr>
          <w:spacing w:val="-55"/>
        </w:rPr>
        <w:t> </w:t>
      </w:r>
      <w:r>
        <w:rPr>
          <w:spacing w:val="-55"/>
        </w:rPr>
      </w:r>
      <w:r>
        <w:rPr/>
        <w:t>维护公司及股东的权益。</w:t>
      </w:r>
    </w:p>
    <w:p>
      <w:pPr>
        <w:pStyle w:val="BodyText"/>
        <w:spacing w:line="355" w:lineRule="auto" w:before="30"/>
        <w:ind w:left="638" w:right="227"/>
        <w:jc w:val="left"/>
      </w:pPr>
      <w:r>
        <w:rPr/>
        <w:t>（六）信息披露与透明度</w:t>
      </w:r>
      <w:r>
        <w:rPr>
          <w:w w:val="100"/>
        </w:rPr>
        <w:t> </w:t>
      </w:r>
      <w:r>
        <w:rPr>
          <w:spacing w:val="-7"/>
          <w:w w:val="100"/>
        </w:rPr>
        <w:t>公司制定了《信息披露管理制度》和《信息披露暂缓与豁免业务内部管理制度》，严格按照国</w:t>
      </w:r>
    </w:p>
    <w:p>
      <w:pPr>
        <w:pStyle w:val="BodyText"/>
        <w:spacing w:line="357" w:lineRule="auto" w:before="32"/>
        <w:ind w:left="218" w:right="228"/>
        <w:jc w:val="both"/>
      </w:pPr>
      <w:r>
        <w:rPr>
          <w:spacing w:val="-6"/>
          <w:w w:val="100"/>
        </w:rPr>
        <w:t>家有关法律、法规、规章、上海证券交易所业务规则以及《公司章程》、《信息披露管理制度》的</w:t>
      </w:r>
      <w:r>
        <w:rPr>
          <w:spacing w:val="-101"/>
          <w:w w:val="100"/>
        </w:rPr>
        <w:t> </w:t>
      </w:r>
      <w:r>
        <w:rPr>
          <w:spacing w:val="-101"/>
          <w:w w:val="100"/>
        </w:rPr>
      </w:r>
      <w:r>
        <w:rPr>
          <w:spacing w:val="-1"/>
        </w:rPr>
        <w:t>规定，明确信息披露责任人，保证公司信息披露的真实、准确、及时、完整，做好信息披露前的</w:t>
      </w:r>
      <w:r>
        <w:rPr>
          <w:spacing w:val="-54"/>
        </w:rPr>
        <w:t> </w:t>
      </w:r>
      <w:r>
        <w:rPr>
          <w:spacing w:val="-54"/>
        </w:rPr>
      </w:r>
      <w:r>
        <w:rPr>
          <w:spacing w:val="-15"/>
          <w:w w:val="100"/>
        </w:rPr>
        <w:t>保密工作，公平、公正的对待所有股东，并在《中国证券报》、《上海证券报》、《证券时报》、《证</w:t>
      </w:r>
      <w:r>
        <w:rPr>
          <w:w w:val="100"/>
        </w:rPr>
        <w:t> </w:t>
      </w:r>
      <w:r>
        <w:rPr/>
        <w:t>券日报》等指定媒体上进行公开披露。</w:t>
      </w:r>
    </w:p>
    <w:p>
      <w:pPr>
        <w:pStyle w:val="BodyText"/>
        <w:spacing w:line="355" w:lineRule="auto" w:before="30"/>
        <w:ind w:left="638" w:right="227"/>
        <w:jc w:val="left"/>
      </w:pPr>
      <w:r>
        <w:rPr/>
        <w:t>（七）投资者关系管理</w:t>
      </w:r>
      <w:r>
        <w:rPr>
          <w:w w:val="100"/>
        </w:rPr>
        <w:t> </w:t>
      </w:r>
      <w:r>
        <w:rPr>
          <w:spacing w:val="-2"/>
        </w:rPr>
        <w:t>公司注重与投资者的沟通与互动，设有专人负责与普通投资者的沟通、联系等，包括接听电</w:t>
      </w:r>
    </w:p>
    <w:p>
      <w:pPr>
        <w:pStyle w:val="BodyText"/>
        <w:spacing w:line="357" w:lineRule="auto" w:before="32"/>
        <w:ind w:left="218" w:right="228"/>
        <w:jc w:val="both"/>
      </w:pPr>
      <w:r>
        <w:rPr/>
        <w:t>话、回复上证</w:t>
      </w:r>
      <w:r>
        <w:rPr>
          <w:spacing w:val="-50"/>
        </w:rPr>
        <w:t> </w:t>
      </w:r>
      <w:r>
        <w:rPr>
          <w:rFonts w:ascii="宋体" w:hAnsi="宋体" w:cs="宋体" w:eastAsia="宋体" w:hint="default"/>
        </w:rPr>
        <w:t>E</w:t>
      </w:r>
      <w:r>
        <w:rPr>
          <w:rFonts w:ascii="宋体" w:hAnsi="宋体" w:cs="宋体" w:eastAsia="宋体" w:hint="default"/>
          <w:spacing w:val="-50"/>
        </w:rPr>
        <w:t> </w:t>
      </w:r>
      <w:r>
        <w:rPr/>
        <w:t>互动平台的投资者提问、专门邮箱等，通过多种方式回答了投资者关于公司生产</w:t>
      </w:r>
      <w:r>
        <w:rPr>
          <w:w w:val="100"/>
        </w:rPr>
        <w:t> </w:t>
      </w:r>
      <w:r>
        <w:rPr>
          <w:spacing w:val="-6"/>
        </w:rPr>
        <w:t>经营、企业发展、公司治理、重大事项等情况的问询和了解，并认真听取了投资者的意见和建议，</w:t>
      </w:r>
      <w:r>
        <w:rPr>
          <w:spacing w:val="-53"/>
        </w:rPr>
        <w:t> </w:t>
      </w:r>
      <w:r>
        <w:rPr>
          <w:spacing w:val="-53"/>
        </w:rPr>
      </w:r>
      <w:r>
        <w:rPr/>
        <w:t>加强与利益相关者的沟通和交流，建立了良好的投资者关系。</w:t>
      </w:r>
    </w:p>
    <w:p>
      <w:pPr>
        <w:pStyle w:val="BodyText"/>
        <w:spacing w:line="357" w:lineRule="auto" w:before="30"/>
        <w:ind w:left="218" w:right="228" w:firstLine="419"/>
        <w:jc w:val="both"/>
      </w:pPr>
      <w:r>
        <w:rPr>
          <w:spacing w:val="-7"/>
          <w:w w:val="100"/>
        </w:rPr>
        <w:t>报告期内，公司严格按照《公司法》、《证券法》和中国证监会的相关法律法规和规范性文件</w:t>
      </w:r>
      <w:r>
        <w:rPr>
          <w:w w:val="100"/>
        </w:rPr>
        <w:t> </w:t>
      </w:r>
      <w:r>
        <w:rPr>
          <w:spacing w:val="-1"/>
        </w:rPr>
        <w:t>要求，不断完善公司法人治理结构，积极推进内部控制规范建设工作，认真履行信息披露义务，</w:t>
      </w:r>
      <w:r>
        <w:rPr>
          <w:spacing w:val="-55"/>
        </w:rPr>
        <w:t> </w:t>
      </w:r>
      <w:r>
        <w:rPr>
          <w:spacing w:val="-55"/>
        </w:rPr>
      </w:r>
      <w:r>
        <w:rPr>
          <w:spacing w:val="-1"/>
        </w:rPr>
        <w:t>加强投资者关系管理，提升了公司规范运作水平。目前，公司的法人治理结构较为健全，运转良</w:t>
      </w:r>
      <w:r>
        <w:rPr>
          <w:spacing w:val="-55"/>
        </w:rPr>
        <w:t> </w:t>
      </w:r>
      <w:r>
        <w:rPr>
          <w:spacing w:val="-55"/>
        </w:rPr>
      </w:r>
      <w:r>
        <w:rPr/>
        <w:t>好，与中国证监会有关上市公司冶理结构的规范性文件要求无较大差异。</w:t>
      </w:r>
    </w:p>
    <w:p>
      <w:pPr>
        <w:spacing w:line="240" w:lineRule="auto" w:before="0"/>
        <w:rPr>
          <w:rFonts w:ascii="宋体" w:hAnsi="宋体" w:cs="宋体" w:eastAsia="宋体" w:hint="default"/>
          <w:sz w:val="20"/>
          <w:szCs w:val="20"/>
        </w:rPr>
      </w:pPr>
    </w:p>
    <w:p>
      <w:pPr>
        <w:pStyle w:val="BodyText"/>
        <w:spacing w:line="240" w:lineRule="auto" w:before="176"/>
        <w:ind w:left="218" w:right="0"/>
        <w:jc w:val="both"/>
      </w:pPr>
      <w:r>
        <w:rPr/>
        <w:t>公司治理与中国证监会相关规定的要求是否存在重大差异；如有重大差异，应当说明原因</w:t>
      </w:r>
    </w:p>
    <w:p>
      <w:pPr>
        <w:spacing w:line="528" w:lineRule="auto" w:before="133"/>
        <w:ind w:left="218" w:right="6940" w:firstLine="0"/>
        <w:jc w:val="left"/>
        <w:rPr>
          <w:rFonts w:ascii="宋体" w:hAnsi="宋体" w:cs="宋体" w:eastAsia="宋体" w:hint="default"/>
          <w:sz w:val="21"/>
          <w:szCs w:val="21"/>
        </w:rPr>
      </w:pPr>
      <w:r>
        <w:rPr/>
        <w:pict>
          <v:shape style="position:absolute;margin-left:84.264pt;margin-top:55.273632pt;width:453.2pt;height:42.4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12"/>
                    <w:gridCol w:w="2165"/>
                    <w:gridCol w:w="2408"/>
                    <w:gridCol w:w="2165"/>
                  </w:tblGrid>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决议刊登的指定网站的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2" w:right="0"/>
                          <w:jc w:val="left"/>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28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年年度股东大会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二、股东大会情况简介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7"/>
          <w:szCs w:val="27"/>
        </w:rPr>
      </w:pPr>
    </w:p>
    <w:p>
      <w:pPr>
        <w:pStyle w:val="BodyText"/>
        <w:spacing w:line="240" w:lineRule="auto" w:before="36"/>
        <w:ind w:left="218" w:right="3084"/>
        <w:jc w:val="left"/>
      </w:pPr>
      <w:r>
        <w:rPr/>
        <w:t>股东大会情况说明</w:t>
      </w:r>
    </w:p>
    <w:p>
      <w:pPr>
        <w:spacing w:after="0" w:line="240" w:lineRule="auto"/>
        <w:jc w:val="left"/>
        <w:sectPr>
          <w:footerReference w:type="default" r:id="rId36"/>
          <w:pgSz w:w="11910" w:h="16840"/>
          <w:pgMar w:footer="1195" w:header="877" w:top="1100" w:bottom="1380" w:left="1580" w:right="1040"/>
        </w:sectPr>
      </w:pPr>
    </w:p>
    <w:p>
      <w:pPr>
        <w:spacing w:line="240" w:lineRule="auto" w:before="9"/>
        <w:rPr>
          <w:rFonts w:ascii="宋体" w:hAnsi="宋体" w:cs="宋体" w:eastAsia="宋体" w:hint="default"/>
          <w:sz w:val="25"/>
          <w:szCs w:val="25"/>
        </w:rPr>
      </w:pPr>
    </w:p>
    <w:p>
      <w:pPr>
        <w:pStyle w:val="BodyText"/>
        <w:spacing w:line="274" w:lineRule="exact" w:before="36"/>
        <w:ind w:left="218" w:right="3084"/>
        <w:jc w:val="left"/>
      </w:pPr>
      <w:r>
        <w:rPr/>
        <w:t>√适用</w:t>
      </w:r>
      <w:r>
        <w:rPr>
          <w:spacing w:val="-1"/>
        </w:rPr>
        <w:t> </w:t>
      </w:r>
      <w:r>
        <w:rPr/>
        <w:t>□不适用</w:t>
      </w:r>
    </w:p>
    <w:p>
      <w:pPr>
        <w:pStyle w:val="BodyText"/>
        <w:spacing w:line="355" w:lineRule="auto"/>
        <w:ind w:left="218" w:right="0" w:firstLine="419"/>
        <w:jc w:val="left"/>
      </w:pPr>
      <w:r>
        <w:rPr>
          <w:rFonts w:ascii="宋体" w:hAnsi="宋体" w:cs="宋体" w:eastAsia="宋体" w:hint="default"/>
        </w:rPr>
        <w:t>2016</w:t>
      </w:r>
      <w:r>
        <w:rPr>
          <w:rFonts w:ascii="宋体" w:hAnsi="宋体" w:cs="宋体" w:eastAsia="宋体" w:hint="default"/>
          <w:spacing w:val="-51"/>
        </w:rPr>
        <w:t> </w:t>
      </w:r>
      <w:r>
        <w:rPr/>
        <w:t>年年度股东大会于</w:t>
      </w:r>
      <w:r>
        <w:rPr>
          <w:spacing w:val="-48"/>
        </w:rPr>
        <w:t> </w:t>
      </w:r>
      <w:r>
        <w:rPr>
          <w:rFonts w:ascii="宋体" w:hAnsi="宋体" w:cs="宋体" w:eastAsia="宋体" w:hint="default"/>
        </w:rPr>
        <w:t>2017</w:t>
      </w:r>
      <w:r>
        <w:rPr>
          <w:rFonts w:ascii="宋体" w:hAnsi="宋体" w:cs="宋体" w:eastAsia="宋体" w:hint="default"/>
          <w:spacing w:val="-49"/>
        </w:rPr>
        <w:t> </w:t>
      </w:r>
      <w:r>
        <w:rPr/>
        <w:t>年</w:t>
      </w:r>
      <w:r>
        <w:rPr>
          <w:spacing w:val="-51"/>
        </w:rPr>
        <w:t> </w:t>
      </w:r>
      <w:r>
        <w:rPr>
          <w:rFonts w:ascii="宋体" w:hAnsi="宋体" w:cs="宋体" w:eastAsia="宋体" w:hint="default"/>
        </w:rPr>
        <w:t>5</w:t>
      </w:r>
      <w:r>
        <w:rPr>
          <w:rFonts w:ascii="宋体" w:hAnsi="宋体" w:cs="宋体" w:eastAsia="宋体" w:hint="default"/>
          <w:spacing w:val="-49"/>
        </w:rPr>
        <w:t> </w:t>
      </w:r>
      <w:r>
        <w:rPr/>
        <w:t>月</w:t>
      </w:r>
      <w:r>
        <w:rPr>
          <w:spacing w:val="-49"/>
        </w:rPr>
        <w:t> </w:t>
      </w:r>
      <w:r>
        <w:rPr>
          <w:rFonts w:ascii="宋体" w:hAnsi="宋体" w:cs="宋体" w:eastAsia="宋体" w:hint="default"/>
        </w:rPr>
        <w:t>25</w:t>
      </w:r>
      <w:r>
        <w:rPr>
          <w:rFonts w:ascii="宋体" w:hAnsi="宋体" w:cs="宋体" w:eastAsia="宋体" w:hint="default"/>
          <w:spacing w:val="-49"/>
        </w:rPr>
        <w:t> </w:t>
      </w:r>
      <w:r>
        <w:rPr>
          <w:spacing w:val="-4"/>
        </w:rPr>
        <w:t>日召开，由于当时公司处于</w:t>
      </w:r>
      <w:r>
        <w:rPr>
          <w:spacing w:val="-49"/>
        </w:rPr>
        <w:t> </w:t>
      </w:r>
      <w:r>
        <w:rPr>
          <w:rFonts w:ascii="宋体" w:hAnsi="宋体" w:cs="宋体" w:eastAsia="宋体" w:hint="default"/>
        </w:rPr>
        <w:t>IPO</w:t>
      </w:r>
      <w:r>
        <w:rPr>
          <w:rFonts w:ascii="宋体" w:hAnsi="宋体" w:cs="宋体" w:eastAsia="宋体" w:hint="default"/>
          <w:spacing w:val="-49"/>
        </w:rPr>
        <w:t> </w:t>
      </w:r>
      <w:r>
        <w:rPr>
          <w:spacing w:val="-4"/>
        </w:rPr>
        <w:t>申报阶段，尚未上市</w:t>
      </w:r>
      <w:r>
        <w:rPr>
          <w:w w:val="100"/>
        </w:rPr>
        <w:t> </w:t>
      </w:r>
      <w:r>
        <w:rPr/>
        <w:t>发行股票，故未将该次股东大会决议等内容未被刊登于指定网站进行信息披露。</w:t>
      </w:r>
    </w:p>
    <w:p>
      <w:pPr>
        <w:spacing w:line="240" w:lineRule="auto" w:before="13"/>
        <w:rPr>
          <w:rFonts w:ascii="宋体" w:hAnsi="宋体" w:cs="宋体" w:eastAsia="宋体" w:hint="default"/>
          <w:sz w:val="27"/>
          <w:szCs w:val="27"/>
        </w:rPr>
      </w:pPr>
    </w:p>
    <w:p>
      <w:pPr>
        <w:pStyle w:val="Heading2"/>
        <w:spacing w:line="240" w:lineRule="auto"/>
        <w:ind w:right="3084"/>
        <w:jc w:val="left"/>
        <w:rPr>
          <w:b w:val="0"/>
          <w:bCs w:val="0"/>
        </w:rPr>
      </w:pPr>
      <w:r>
        <w:rPr/>
        <w:t>三、董事履行职责情况</w:t>
      </w:r>
      <w:r>
        <w:rPr>
          <w:b w:val="0"/>
          <w:bCs w:val="0"/>
        </w:rPr>
      </w:r>
    </w:p>
    <w:p>
      <w:pPr>
        <w:pStyle w:val="Heading2"/>
        <w:spacing w:line="240" w:lineRule="auto" w:before="56"/>
        <w:ind w:right="3084"/>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1"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03" w:right="0"/>
              <w:jc w:val="left"/>
              <w:rPr>
                <w:rFonts w:ascii="宋体" w:hAnsi="宋体" w:cs="宋体" w:eastAsia="宋体" w:hint="default"/>
                <w:sz w:val="21"/>
                <w:szCs w:val="21"/>
              </w:rPr>
            </w:pPr>
            <w:r>
              <w:rPr>
                <w:rFonts w:ascii="宋体" w:hAnsi="宋体" w:cs="宋体" w:eastAsia="宋体" w:hint="default"/>
                <w:sz w:val="21"/>
                <w:szCs w:val="21"/>
              </w:rPr>
              <w:t>参加股东</w:t>
            </w:r>
          </w:p>
          <w:p>
            <w:pPr>
              <w:pStyle w:val="TableParagraph"/>
              <w:spacing w:line="274" w:lineRule="exact"/>
              <w:ind w:left="203" w:right="0"/>
              <w:jc w:val="left"/>
              <w:rPr>
                <w:rFonts w:ascii="宋体" w:hAnsi="宋体" w:cs="宋体" w:eastAsia="宋体" w:hint="default"/>
                <w:sz w:val="21"/>
                <w:szCs w:val="21"/>
              </w:rPr>
            </w:pPr>
            <w:r>
              <w:rPr>
                <w:rFonts w:ascii="宋体" w:hAnsi="宋体" w:cs="宋体" w:eastAsia="宋体" w:hint="default"/>
                <w:sz w:val="21"/>
                <w:szCs w:val="21"/>
              </w:rPr>
              <w:t>大会情况</w:t>
            </w:r>
          </w:p>
        </w:tc>
      </w:tr>
      <w:tr>
        <w:trPr>
          <w:trHeight w:val="826"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40" w:lineRule="auto"/>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40" w:lineRule="auto"/>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40" w:lineRule="auto"/>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江浩然</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吴龙云</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江斐然</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刘昊嘉</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谭小青</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高立里</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邬丁</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bl>
    <w:p>
      <w:pPr>
        <w:spacing w:line="240" w:lineRule="auto" w:before="5"/>
        <w:rPr>
          <w:rFonts w:ascii="宋体" w:hAnsi="宋体" w:cs="宋体" w:eastAsia="宋体" w:hint="default"/>
          <w:b/>
          <w:bCs/>
          <w:sz w:val="15"/>
          <w:szCs w:val="15"/>
        </w:rPr>
      </w:pPr>
    </w:p>
    <w:p>
      <w:pPr>
        <w:pStyle w:val="BodyText"/>
        <w:spacing w:line="274" w:lineRule="exact" w:before="36"/>
        <w:ind w:left="218" w:right="3084"/>
        <w:jc w:val="left"/>
      </w:pPr>
      <w:r>
        <w:rPr/>
        <w:t>连续两次未亲自出席董事会会议的说明</w:t>
      </w:r>
    </w:p>
    <w:p>
      <w:pPr>
        <w:pStyle w:val="BodyText"/>
        <w:spacing w:line="274" w:lineRule="exact"/>
        <w:ind w:left="218" w:right="3084"/>
        <w:jc w:val="left"/>
      </w:pPr>
      <w:r>
        <w:rPr/>
        <w:t>□适用</w:t>
      </w:r>
      <w:r>
        <w:rPr>
          <w:spacing w:val="-1"/>
        </w:rPr>
        <w:t> </w:t>
      </w:r>
      <w:r>
        <w:rPr/>
        <w:t>√不适用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8</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8</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0</w:t>
            </w:r>
          </w:p>
        </w:tc>
      </w:tr>
    </w:tbl>
    <w:p>
      <w:pPr>
        <w:spacing w:line="240" w:lineRule="auto" w:before="12"/>
        <w:rPr>
          <w:rFonts w:ascii="宋体" w:hAnsi="宋体" w:cs="宋体" w:eastAsia="宋体" w:hint="default"/>
          <w:sz w:val="19"/>
          <w:szCs w:val="19"/>
        </w:rPr>
      </w:pPr>
    </w:p>
    <w:p>
      <w:pPr>
        <w:pStyle w:val="Heading2"/>
        <w:spacing w:line="240" w:lineRule="auto" w:before="36"/>
        <w:ind w:right="3084"/>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32"/>
        <w:ind w:left="218" w:right="3084"/>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2"/>
        <w:spacing w:line="240" w:lineRule="auto"/>
        <w:ind w:right="3084"/>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spacing w:line="240" w:lineRule="auto" w:before="29"/>
        <w:ind w:left="218" w:right="308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642" w:right="0" w:hanging="425"/>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spacing w:line="240" w:lineRule="auto" w:before="56"/>
        <w:ind w:left="218" w:right="308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3084"/>
        <w:jc w:val="left"/>
        <w:rPr>
          <w:b w:val="0"/>
          <w:bCs w:val="0"/>
        </w:rPr>
      </w:pPr>
      <w:r>
        <w:rPr/>
        <w:t>五、监事会发现公司存在风险的说明</w:t>
      </w:r>
      <w:r>
        <w:rPr>
          <w:b w:val="0"/>
          <w:bCs w:val="0"/>
        </w:rPr>
      </w:r>
    </w:p>
    <w:p>
      <w:pPr>
        <w:pStyle w:val="BodyText"/>
        <w:spacing w:line="240" w:lineRule="auto" w:before="58"/>
        <w:ind w:left="218" w:right="3084"/>
        <w:jc w:val="left"/>
      </w:pPr>
      <w:r>
        <w:rPr/>
        <w:t>□适用</w:t>
      </w:r>
      <w:r>
        <w:rPr>
          <w:spacing w:val="-1"/>
        </w:rPr>
        <w:t> </w:t>
      </w:r>
      <w:r>
        <w:rPr/>
        <w:t>√不适用</w:t>
      </w:r>
    </w:p>
    <w:p>
      <w:pPr>
        <w:spacing w:line="240" w:lineRule="auto" w:before="4"/>
        <w:rPr>
          <w:rFonts w:ascii="宋体" w:hAnsi="宋体" w:cs="宋体" w:eastAsia="宋体" w:hint="default"/>
          <w:sz w:val="27"/>
          <w:szCs w:val="27"/>
        </w:rPr>
      </w:pPr>
    </w:p>
    <w:p>
      <w:pPr>
        <w:pStyle w:val="Heading2"/>
        <w:spacing w:line="272" w:lineRule="exact"/>
        <w:ind w:left="642" w:right="227"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spacing w:line="240" w:lineRule="auto" w:before="34"/>
        <w:ind w:left="218" w:right="3084"/>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40" w:lineRule="auto"/>
        <w:ind w:left="218" w:right="227"/>
        <w:jc w:val="left"/>
      </w:pPr>
      <w:r>
        <w:rPr/>
        <w:t>存在同业竞争的，公司相应的解决措施、工作进度及后续工作计划。</w:t>
      </w:r>
    </w:p>
    <w:p>
      <w:pPr>
        <w:spacing w:after="0" w:line="240" w:lineRule="auto"/>
        <w:jc w:val="left"/>
        <w:sectPr>
          <w:footerReference w:type="default" r:id="rId37"/>
          <w:pgSz w:w="11910" w:h="16840"/>
          <w:pgMar w:footer="1195" w:header="877" w:top="1100" w:bottom="1380" w:left="1580" w:right="1040"/>
          <w:pgNumType w:start="62"/>
        </w:sectPr>
      </w:pPr>
    </w:p>
    <w:p>
      <w:pPr>
        <w:spacing w:line="240" w:lineRule="auto" w:before="9"/>
        <w:rPr>
          <w:rFonts w:ascii="宋体" w:hAnsi="宋体" w:cs="宋体" w:eastAsia="宋体" w:hint="default"/>
          <w:sz w:val="25"/>
          <w:szCs w:val="25"/>
        </w:rPr>
      </w:pPr>
    </w:p>
    <w:p>
      <w:pPr>
        <w:pStyle w:val="BodyText"/>
        <w:spacing w:line="240" w:lineRule="auto" w:before="36"/>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t>七、报告期内对高级管理人员的考评机制，以及激励机制的建立、实施情况</w:t>
      </w:r>
      <w:r>
        <w:rPr>
          <w:b w:val="0"/>
          <w:bCs w:val="0"/>
        </w:rPr>
      </w:r>
    </w:p>
    <w:p>
      <w:pPr>
        <w:pStyle w:val="BodyText"/>
        <w:spacing w:line="272" w:lineRule="exact" w:before="86"/>
        <w:ind w:left="558" w:right="0" w:hanging="420"/>
        <w:jc w:val="left"/>
      </w:pPr>
      <w:r>
        <w:rPr/>
        <w:t>√适用</w:t>
      </w:r>
      <w:r>
        <w:rPr>
          <w:spacing w:val="-2"/>
        </w:rPr>
        <w:t> </w:t>
      </w:r>
      <w:r>
        <w:rPr/>
        <w:t>□不适用</w:t>
      </w:r>
      <w:r>
        <w:rPr>
          <w:w w:val="100"/>
        </w:rPr>
        <w:t> </w:t>
      </w:r>
      <w:r>
        <w:rPr>
          <w:spacing w:val="-2"/>
        </w:rPr>
        <w:t>公司建立健全了高级管理人员绩效考评体系、薪酬制度以及《年度目标责任状》、《公司年</w:t>
      </w:r>
    </w:p>
    <w:p>
      <w:pPr>
        <w:pStyle w:val="BodyText"/>
        <w:spacing w:line="355" w:lineRule="auto" w:before="110"/>
        <w:ind w:right="137"/>
        <w:jc w:val="both"/>
      </w:pPr>
      <w:r>
        <w:rPr>
          <w:spacing w:val="-2"/>
        </w:rPr>
        <w:t>度考核办法》。公司高级管理人员的工作绩效与其收入直接挂钩，每年年初，公司与高管层分别</w:t>
      </w:r>
      <w:r>
        <w:rPr>
          <w:spacing w:val="-25"/>
        </w:rPr>
        <w:t> </w:t>
      </w:r>
      <w:r>
        <w:rPr>
          <w:spacing w:val="-25"/>
        </w:rPr>
      </w:r>
      <w:r>
        <w:rPr>
          <w:spacing w:val="-2"/>
        </w:rPr>
        <w:t>签订年度目标责任状，落实有关考核指标及相关事项。在年度结束后，由董事会薪酬与考核委员</w:t>
      </w:r>
      <w:r>
        <w:rPr>
          <w:spacing w:val="-25"/>
        </w:rPr>
        <w:t> </w:t>
      </w:r>
      <w:r>
        <w:rPr>
          <w:spacing w:val="-25"/>
        </w:rPr>
      </w:r>
      <w:r>
        <w:rPr>
          <w:spacing w:val="-2"/>
        </w:rPr>
        <w:t>会负责按量化考核指标，对高管年度责任目标完成情况进行考评，制定薪酬方案报公司董事会审</w:t>
      </w:r>
      <w:r>
        <w:rPr>
          <w:spacing w:val="-26"/>
        </w:rPr>
        <w:t> </w:t>
      </w:r>
      <w:r>
        <w:rPr>
          <w:spacing w:val="-26"/>
        </w:rPr>
      </w:r>
      <w:r>
        <w:rPr/>
        <w:t>批。</w:t>
      </w:r>
    </w:p>
    <w:p>
      <w:pPr>
        <w:spacing w:line="240" w:lineRule="auto" w:before="0"/>
        <w:rPr>
          <w:rFonts w:ascii="宋体" w:hAnsi="宋体" w:cs="宋体" w:eastAsia="宋体" w:hint="default"/>
          <w:sz w:val="28"/>
          <w:szCs w:val="28"/>
        </w:rPr>
      </w:pPr>
    </w:p>
    <w:p>
      <w:pPr>
        <w:pStyle w:val="Heading2"/>
        <w:spacing w:line="240" w:lineRule="auto"/>
        <w:ind w:left="138" w:right="0"/>
        <w:jc w:val="both"/>
        <w:rPr>
          <w:b w:val="0"/>
          <w:bCs w:val="0"/>
        </w:rPr>
      </w:pPr>
      <w:r>
        <w:rPr/>
        <w:t>八、是否披露内部控制自我评价报告</w:t>
      </w:r>
      <w:r>
        <w:rPr>
          <w:b w:val="0"/>
          <w:bCs w:val="0"/>
        </w:rPr>
      </w:r>
    </w:p>
    <w:p>
      <w:pPr>
        <w:pStyle w:val="BodyText"/>
        <w:spacing w:line="240" w:lineRule="auto" w:before="56"/>
        <w:ind w:right="0"/>
        <w:jc w:val="both"/>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right="0"/>
        <w:jc w:val="both"/>
      </w:pPr>
      <w:r>
        <w:rPr/>
        <w:t>报告期内部控制存在重大缺陷情况的说明</w:t>
      </w:r>
    </w:p>
    <w:p>
      <w:pPr>
        <w:pStyle w:val="BodyText"/>
        <w:spacing w:line="274" w:lineRule="exact"/>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t>九、内部控制审计报告的相关情况说明</w:t>
      </w:r>
      <w:r>
        <w:rPr>
          <w:b w:val="0"/>
          <w:bCs w:val="0"/>
        </w:rPr>
      </w:r>
    </w:p>
    <w:p>
      <w:pPr>
        <w:pStyle w:val="BodyText"/>
        <w:spacing w:line="240" w:lineRule="auto" w:before="56"/>
        <w:ind w:right="5169"/>
        <w:jc w:val="left"/>
      </w:pPr>
      <w:r>
        <w:rPr/>
        <w:t>□适用</w:t>
      </w:r>
      <w:r>
        <w:rPr>
          <w:spacing w:val="-2"/>
        </w:rPr>
        <w:t> </w:t>
      </w:r>
      <w:r>
        <w:rPr/>
        <w:t>√不适用</w:t>
      </w:r>
      <w:r>
        <w:rPr>
          <w:w w:val="100"/>
        </w:rPr>
        <w:t> </w:t>
      </w:r>
      <w:r>
        <w:rPr>
          <w:spacing w:val="-2"/>
        </w:rPr>
        <w:t>是否披露内部控制审计报告：否</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t>十、其他</w:t>
      </w:r>
      <w:r>
        <w:rPr>
          <w:b w:val="0"/>
          <w:bCs w:val="0"/>
        </w:rPr>
      </w:r>
    </w:p>
    <w:p>
      <w:pPr>
        <w:pStyle w:val="BodyText"/>
        <w:spacing w:line="240" w:lineRule="auto" w:before="56"/>
        <w:ind w:right="0"/>
        <w:jc w:val="both"/>
      </w:pPr>
      <w:r>
        <w:rPr/>
        <w:t>□适用</w:t>
      </w:r>
      <w:r>
        <w:rPr>
          <w:spacing w:val="-1"/>
        </w:rPr>
        <w:t> </w:t>
      </w:r>
      <w:r>
        <w:rPr/>
        <w:t>√不适用</w:t>
      </w:r>
    </w:p>
    <w:p>
      <w:pPr>
        <w:spacing w:line="240" w:lineRule="auto" w:before="1"/>
        <w:rPr>
          <w:rFonts w:ascii="宋体" w:hAnsi="宋体" w:cs="宋体" w:eastAsia="宋体" w:hint="default"/>
          <w:sz w:val="24"/>
          <w:szCs w:val="24"/>
        </w:rPr>
      </w:pPr>
    </w:p>
    <w:p>
      <w:pPr>
        <w:pStyle w:val="Heading1"/>
        <w:tabs>
          <w:tab w:pos="4060" w:val="left" w:leader="none"/>
        </w:tabs>
        <w:spacing w:line="240" w:lineRule="auto"/>
        <w:ind w:left="2800" w:right="0"/>
        <w:jc w:val="left"/>
        <w:rPr>
          <w:b w:val="0"/>
          <w:bCs w:val="0"/>
        </w:rPr>
      </w:pPr>
      <w:bookmarkStart w:name="_TOC_250002" w:id="10"/>
      <w:r>
        <w:rPr>
          <w:w w:val="95"/>
        </w:rPr>
        <w:t>第十节</w:t>
        <w:tab/>
      </w:r>
      <w:r>
        <w:rPr/>
        <w:t>公司债券相关情况</w:t>
      </w:r>
      <w:bookmarkEnd w:id="10"/>
      <w:r>
        <w:rPr>
          <w:b w:val="0"/>
          <w:bCs w:val="0"/>
        </w:rPr>
      </w:r>
    </w:p>
    <w:p>
      <w:pPr>
        <w:spacing w:line="240" w:lineRule="auto" w:before="4"/>
        <w:rPr>
          <w:rFonts w:ascii="黑体" w:hAnsi="黑体" w:cs="黑体" w:eastAsia="黑体" w:hint="default"/>
          <w:b/>
          <w:bCs/>
          <w:sz w:val="19"/>
          <w:szCs w:val="19"/>
        </w:rPr>
      </w:pPr>
    </w:p>
    <w:p>
      <w:pPr>
        <w:pStyle w:val="BodyText"/>
        <w:spacing w:line="240" w:lineRule="auto"/>
        <w:ind w:right="0"/>
        <w:jc w:val="both"/>
      </w:pPr>
      <w:r>
        <w:rPr/>
        <w:t>□适用</w:t>
      </w:r>
      <w:r>
        <w:rPr>
          <w:spacing w:val="-1"/>
        </w:rPr>
        <w:t> </w:t>
      </w:r>
      <w:r>
        <w:rPr/>
        <w:t>√不适用</w:t>
      </w:r>
    </w:p>
    <w:p>
      <w:pPr>
        <w:spacing w:after="0" w:line="240" w:lineRule="auto"/>
        <w:jc w:val="both"/>
        <w:sectPr>
          <w:pgSz w:w="11910" w:h="16840"/>
          <w:pgMar w:header="877" w:footer="1195" w:top="110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1"/>
        <w:spacing w:line="240" w:lineRule="auto" w:before="14"/>
        <w:ind w:left="965" w:right="963"/>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4"/>
        <w:rPr>
          <w:rFonts w:ascii="宋体" w:hAnsi="宋体" w:cs="宋体" w:eastAsia="宋体" w:hint="default"/>
          <w:b/>
          <w:bCs/>
          <w:sz w:val="19"/>
          <w:szCs w:val="19"/>
        </w:rPr>
      </w:pPr>
    </w:p>
    <w:p>
      <w:pPr>
        <w:pStyle w:val="Heading2"/>
        <w:spacing w:line="240" w:lineRule="auto"/>
        <w:ind w:left="138" w:right="0"/>
        <w:jc w:val="left"/>
        <w:rPr>
          <w:b w:val="0"/>
          <w:bCs w:val="0"/>
        </w:rPr>
      </w:pPr>
      <w:r>
        <w:rPr/>
        <w:t>一、审计报告</w:t>
      </w:r>
      <w:r>
        <w:rPr>
          <w:b w:val="0"/>
          <w:bCs w:val="0"/>
        </w:rPr>
      </w:r>
    </w:p>
    <w:p>
      <w:pPr>
        <w:pStyle w:val="BodyText"/>
        <w:spacing w:line="273" w:lineRule="exact" w:before="58"/>
        <w:ind w:right="0"/>
        <w:jc w:val="left"/>
      </w:pPr>
      <w:r>
        <w:rPr/>
        <w:t>√适用</w:t>
      </w:r>
      <w:r>
        <w:rPr>
          <w:spacing w:val="-1"/>
        </w:rPr>
        <w:t> </w:t>
      </w:r>
      <w:r>
        <w:rPr/>
        <w:t>□不适用</w:t>
      </w:r>
    </w:p>
    <w:p>
      <w:pPr>
        <w:pStyle w:val="BodyText"/>
        <w:spacing w:line="273" w:lineRule="exact"/>
        <w:ind w:right="0"/>
        <w:jc w:val="left"/>
        <w:rPr>
          <w:rFonts w:ascii="黑体" w:hAnsi="黑体" w:cs="黑体" w:eastAsia="黑体" w:hint="default"/>
        </w:rPr>
      </w:pPr>
      <w:r>
        <w:rPr>
          <w:rFonts w:ascii="黑体" w:hAnsi="黑体" w:cs="黑体" w:eastAsia="黑体" w:hint="default"/>
        </w:rPr>
        <w:t>天健审〔</w:t>
      </w:r>
      <w:r>
        <w:rPr>
          <w:rFonts w:ascii="黑体" w:hAnsi="黑体" w:cs="黑体" w:eastAsia="黑体" w:hint="default"/>
        </w:rPr>
        <w:t>2018</w:t>
      </w:r>
      <w:r>
        <w:rPr>
          <w:rFonts w:ascii="黑体" w:hAnsi="黑体" w:cs="黑体" w:eastAsia="黑体" w:hint="default"/>
        </w:rPr>
        <w:t>〕</w:t>
      </w:r>
      <w:r>
        <w:rPr>
          <w:rFonts w:ascii="黑体" w:hAnsi="黑体" w:cs="黑体" w:eastAsia="黑体" w:hint="default"/>
        </w:rPr>
        <w:t>7-152</w:t>
      </w:r>
      <w:r>
        <w:rPr>
          <w:rFonts w:ascii="黑体" w:hAnsi="黑体" w:cs="黑体" w:eastAsia="黑体" w:hint="default"/>
          <w:spacing w:val="-54"/>
        </w:rPr>
        <w:t> </w:t>
      </w:r>
      <w:r>
        <w:rPr>
          <w:rFonts w:ascii="黑体" w:hAnsi="黑体" w:cs="黑体" w:eastAsia="黑体" w:hint="default"/>
        </w:rPr>
        <w:t>号</w:t>
      </w:r>
    </w:p>
    <w:p>
      <w:pPr>
        <w:pStyle w:val="BodyText"/>
        <w:spacing w:line="240" w:lineRule="auto" w:before="135"/>
        <w:ind w:right="0"/>
        <w:jc w:val="left"/>
      </w:pPr>
      <w:r>
        <w:rPr/>
        <w:t>恒银金融科技股份有限公司全体股东：</w:t>
      </w:r>
    </w:p>
    <w:p>
      <w:pPr>
        <w:pStyle w:val="Heading2"/>
        <w:spacing w:line="240" w:lineRule="auto" w:before="133"/>
        <w:ind w:left="560" w:right="0"/>
        <w:jc w:val="left"/>
        <w:rPr>
          <w:rFonts w:ascii="黑体" w:hAnsi="黑体" w:cs="黑体" w:eastAsia="黑体" w:hint="default"/>
          <w:b w:val="0"/>
          <w:bCs w:val="0"/>
        </w:rPr>
      </w:pPr>
      <w:r>
        <w:rPr>
          <w:rFonts w:ascii="黑体" w:hAnsi="黑体" w:cs="黑体" w:eastAsia="黑体" w:hint="default"/>
        </w:rPr>
        <w:t>一、审计意见</w:t>
      </w:r>
      <w:r>
        <w:rPr>
          <w:rFonts w:ascii="黑体" w:hAnsi="黑体" w:cs="黑体" w:eastAsia="黑体" w:hint="default"/>
          <w:b w:val="0"/>
          <w:bCs w:val="0"/>
        </w:rPr>
      </w:r>
    </w:p>
    <w:p>
      <w:pPr>
        <w:pStyle w:val="BodyText"/>
        <w:spacing w:line="240" w:lineRule="auto" w:before="133"/>
        <w:ind w:left="558" w:right="0"/>
        <w:jc w:val="left"/>
      </w:pPr>
      <w:r>
        <w:rPr/>
        <w:t>我们审计了恒银金融科技股份有限公司（以下简称恒银金融公司）财务报表，包括</w:t>
      </w:r>
      <w:r>
        <w:rPr>
          <w:spacing w:val="-55"/>
        </w:rPr>
        <w:t> </w:t>
      </w:r>
      <w:r>
        <w:rPr>
          <w:rFonts w:ascii="宋体" w:hAnsi="宋体" w:cs="宋体" w:eastAsia="宋体" w:hint="default"/>
        </w:rPr>
        <w:t>2017</w:t>
      </w:r>
      <w:r>
        <w:rPr>
          <w:rFonts w:ascii="宋体" w:hAnsi="宋体" w:cs="宋体" w:eastAsia="宋体" w:hint="default"/>
          <w:spacing w:val="-55"/>
        </w:rPr>
        <w:t> </w:t>
      </w:r>
      <w:r>
        <w:rPr/>
        <w:t>年</w:t>
      </w:r>
    </w:p>
    <w:p>
      <w:pPr>
        <w:pStyle w:val="BodyText"/>
        <w:spacing w:line="355" w:lineRule="auto" w:before="133"/>
        <w:ind w:right="138"/>
        <w:jc w:val="left"/>
      </w:pP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日的资产负债表，</w:t>
      </w:r>
      <w:r>
        <w:rPr>
          <w:rFonts w:ascii="宋体" w:hAnsi="宋体" w:cs="宋体" w:eastAsia="宋体" w:hint="default"/>
        </w:rPr>
        <w:t>2017</w:t>
      </w:r>
      <w:r>
        <w:rPr>
          <w:rFonts w:ascii="宋体" w:hAnsi="宋体" w:cs="宋体" w:eastAsia="宋体" w:hint="default"/>
          <w:spacing w:val="-55"/>
        </w:rPr>
        <w:t> </w:t>
      </w:r>
      <w:r>
        <w:rPr/>
        <w:t>年度的利润表、现金流量表、所有者权益变动表，以及相关财务</w:t>
      </w:r>
      <w:r>
        <w:rPr>
          <w:w w:val="100"/>
        </w:rPr>
        <w:t> </w:t>
      </w:r>
      <w:r>
        <w:rPr/>
        <w:t>报表附注。</w:t>
      </w:r>
    </w:p>
    <w:p>
      <w:pPr>
        <w:pStyle w:val="BodyText"/>
        <w:spacing w:line="355" w:lineRule="auto" w:before="34"/>
        <w:ind w:right="137" w:firstLine="419"/>
        <w:jc w:val="both"/>
      </w:pPr>
      <w:r>
        <w:rPr>
          <w:spacing w:val="-2"/>
        </w:rPr>
        <w:t>我们认为，后附的财务报表在所有重大方面按照企业会计准则的规定编制，公允反映了恒银</w:t>
      </w:r>
      <w:r>
        <w:rPr>
          <w:w w:val="100"/>
        </w:rPr>
        <w:t> </w:t>
      </w:r>
      <w:r>
        <w:rPr/>
        <w:t>金融公司</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6"/>
        </w:rPr>
        <w:t> </w:t>
      </w:r>
      <w:r>
        <w:rPr/>
        <w:t>日的财务状况以及</w:t>
      </w:r>
      <w:r>
        <w:rPr>
          <w:spacing w:val="-54"/>
        </w:rPr>
        <w:t> </w:t>
      </w:r>
      <w:r>
        <w:rPr>
          <w:rFonts w:ascii="宋体" w:hAnsi="宋体" w:cs="宋体" w:eastAsia="宋体" w:hint="default"/>
        </w:rPr>
        <w:t>2017</w:t>
      </w:r>
      <w:r>
        <w:rPr>
          <w:rFonts w:ascii="宋体" w:hAnsi="宋体" w:cs="宋体" w:eastAsia="宋体" w:hint="default"/>
          <w:spacing w:val="-56"/>
        </w:rPr>
        <w:t> </w:t>
      </w:r>
      <w:r>
        <w:rPr/>
        <w:t>年度的经营成果和现金流量。</w:t>
      </w:r>
    </w:p>
    <w:p>
      <w:pPr>
        <w:spacing w:line="240" w:lineRule="auto" w:before="0"/>
        <w:rPr>
          <w:rFonts w:ascii="宋体" w:hAnsi="宋体" w:cs="宋体" w:eastAsia="宋体" w:hint="default"/>
          <w:sz w:val="20"/>
          <w:szCs w:val="20"/>
        </w:rPr>
      </w:pPr>
    </w:p>
    <w:p>
      <w:pPr>
        <w:pStyle w:val="Heading2"/>
        <w:spacing w:line="240" w:lineRule="auto" w:before="178"/>
        <w:ind w:left="560" w:right="0"/>
        <w:jc w:val="left"/>
        <w:rPr>
          <w:rFonts w:ascii="黑体" w:hAnsi="黑体" w:cs="黑体" w:eastAsia="黑体" w:hint="default"/>
          <w:b w:val="0"/>
          <w:bCs w:val="0"/>
        </w:rPr>
      </w:pPr>
      <w:r>
        <w:rPr>
          <w:rFonts w:ascii="黑体" w:hAnsi="黑体" w:cs="黑体" w:eastAsia="黑体" w:hint="default"/>
        </w:rPr>
        <w:t>二、形成审计意见的基础</w:t>
      </w:r>
      <w:r>
        <w:rPr>
          <w:rFonts w:ascii="黑体" w:hAnsi="黑体" w:cs="黑体" w:eastAsia="黑体" w:hint="default"/>
          <w:b w:val="0"/>
          <w:bCs w:val="0"/>
        </w:rPr>
      </w:r>
    </w:p>
    <w:p>
      <w:pPr>
        <w:pStyle w:val="BodyText"/>
        <w:spacing w:line="357" w:lineRule="auto" w:before="133"/>
        <w:ind w:right="137" w:firstLine="419"/>
        <w:jc w:val="both"/>
      </w:pPr>
      <w:r>
        <w:rPr>
          <w:spacing w:val="-2"/>
        </w:rPr>
        <w:t>我们按照中国注册会计师审计准则的规定执行了审计工作。审计报告的“注册会计师对财务</w:t>
      </w:r>
      <w:r>
        <w:rPr>
          <w:w w:val="100"/>
        </w:rPr>
        <w:t> </w:t>
      </w:r>
      <w:r>
        <w:rPr>
          <w:spacing w:val="-2"/>
        </w:rPr>
        <w:t>报表审计的责任”部分进一步阐述了我们在这些准则下的责任。按照中国注册会计师职业道德守</w:t>
      </w:r>
      <w:r>
        <w:rPr>
          <w:spacing w:val="-25"/>
        </w:rPr>
        <w:t> </w:t>
      </w:r>
      <w:r>
        <w:rPr>
          <w:spacing w:val="-25"/>
        </w:rPr>
      </w:r>
      <w:r>
        <w:rPr>
          <w:spacing w:val="-2"/>
        </w:rPr>
        <w:t>则，我们独立于恒银金融公司，并履行了职业道德方面的其他责任。我们相信，我们获取的审计</w:t>
      </w:r>
      <w:r>
        <w:rPr>
          <w:spacing w:val="-25"/>
        </w:rPr>
        <w:t> </w:t>
      </w:r>
      <w:r>
        <w:rPr>
          <w:spacing w:val="-25"/>
        </w:rPr>
      </w:r>
      <w:r>
        <w:rPr/>
        <w:t>证据是充分、适当的，为发表审计意见提供了基础。</w:t>
      </w:r>
    </w:p>
    <w:p>
      <w:pPr>
        <w:spacing w:line="240" w:lineRule="auto" w:before="0"/>
        <w:rPr>
          <w:rFonts w:ascii="宋体" w:hAnsi="宋体" w:cs="宋体" w:eastAsia="宋体" w:hint="default"/>
          <w:sz w:val="20"/>
          <w:szCs w:val="20"/>
        </w:rPr>
      </w:pPr>
    </w:p>
    <w:p>
      <w:pPr>
        <w:pStyle w:val="Heading2"/>
        <w:spacing w:line="240" w:lineRule="auto" w:before="179"/>
        <w:ind w:left="560" w:right="0"/>
        <w:jc w:val="left"/>
        <w:rPr>
          <w:rFonts w:ascii="黑体" w:hAnsi="黑体" w:cs="黑体" w:eastAsia="黑体" w:hint="default"/>
          <w:b w:val="0"/>
          <w:bCs w:val="0"/>
        </w:rPr>
      </w:pPr>
      <w:r>
        <w:rPr>
          <w:rFonts w:ascii="黑体" w:hAnsi="黑体" w:cs="黑体" w:eastAsia="黑体" w:hint="default"/>
        </w:rPr>
        <w:t>三、关键审计事项</w:t>
      </w:r>
      <w:r>
        <w:rPr>
          <w:rFonts w:ascii="黑体" w:hAnsi="黑体" w:cs="黑体" w:eastAsia="黑体" w:hint="default"/>
          <w:b w:val="0"/>
          <w:bCs w:val="0"/>
        </w:rPr>
      </w:r>
    </w:p>
    <w:p>
      <w:pPr>
        <w:pStyle w:val="BodyText"/>
        <w:spacing w:line="355" w:lineRule="auto" w:before="133"/>
        <w:ind w:right="137" w:firstLine="419"/>
        <w:jc w:val="both"/>
      </w:pPr>
      <w:r>
        <w:rPr>
          <w:spacing w:val="-2"/>
        </w:rPr>
        <w:t>关键审计事项是我们根据职业判断，认为对本期财务报表审计最为重要的事项。这些事项的</w:t>
      </w:r>
      <w:r>
        <w:rPr>
          <w:w w:val="100"/>
        </w:rPr>
        <w:t> </w:t>
      </w:r>
      <w:r>
        <w:rPr/>
        <w:t>应对以对财务报表整体进行审计并形成审计意见为背景，我们不对这些事项单独发表意见。</w:t>
      </w:r>
    </w:p>
    <w:p>
      <w:pPr>
        <w:pStyle w:val="BodyText"/>
        <w:spacing w:line="355" w:lineRule="auto" w:before="32"/>
        <w:ind w:left="558" w:right="6965"/>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8"/>
        </w:rPr>
        <w:t> </w:t>
      </w:r>
      <w:r>
        <w:rPr/>
        <w:t>收入确认</w:t>
      </w:r>
      <w:r>
        <w:rPr>
          <w:w w:val="100"/>
        </w:rPr>
        <w:t> </w:t>
      </w:r>
      <w:r>
        <w:rPr>
          <w:rFonts w:ascii="宋体" w:hAnsi="宋体" w:cs="宋体" w:eastAsia="宋体" w:hint="default"/>
        </w:rPr>
        <w:t>1.</w:t>
      </w:r>
      <w:r>
        <w:rPr>
          <w:rFonts w:ascii="宋体" w:hAnsi="宋体" w:cs="宋体" w:eastAsia="宋体" w:hint="default"/>
          <w:spacing w:val="-1"/>
        </w:rPr>
        <w:t> </w:t>
      </w:r>
      <w:r>
        <w:rPr/>
        <w:t>关键审计事项</w:t>
      </w:r>
    </w:p>
    <w:p>
      <w:pPr>
        <w:pStyle w:val="BodyText"/>
        <w:spacing w:line="355" w:lineRule="auto" w:before="35"/>
        <w:ind w:right="127" w:firstLine="419"/>
        <w:jc w:val="both"/>
      </w:pPr>
      <w:r>
        <w:rPr>
          <w:spacing w:val="-10"/>
          <w:w w:val="100"/>
        </w:rPr>
        <w:t>参见财务报表附注五</w:t>
      </w:r>
      <w:r>
        <w:rPr>
          <w:rFonts w:ascii="宋体" w:hAnsi="宋体" w:cs="宋体" w:eastAsia="宋体" w:hint="default"/>
          <w:spacing w:val="-10"/>
          <w:w w:val="100"/>
        </w:rPr>
        <w:t>(</w:t>
      </w:r>
      <w:r>
        <w:rPr>
          <w:spacing w:val="-10"/>
          <w:w w:val="100"/>
        </w:rPr>
        <w:t>二</w:t>
      </w:r>
      <w:r>
        <w:rPr>
          <w:rFonts w:ascii="宋体" w:hAnsi="宋体" w:cs="宋体" w:eastAsia="宋体" w:hint="default"/>
          <w:spacing w:val="-10"/>
          <w:w w:val="100"/>
        </w:rPr>
        <w:t>)1</w:t>
      </w:r>
      <w:r>
        <w:rPr>
          <w:spacing w:val="-10"/>
          <w:w w:val="100"/>
        </w:rPr>
        <w:t>、附注十四，恒银金融公司</w:t>
      </w:r>
      <w:r>
        <w:rPr>
          <w:spacing w:val="-74"/>
          <w:w w:val="100"/>
        </w:rPr>
        <w:t> </w:t>
      </w:r>
      <w:r>
        <w:rPr>
          <w:rFonts w:ascii="宋体" w:hAnsi="宋体" w:cs="宋体" w:eastAsia="宋体" w:hint="default"/>
          <w:spacing w:val="-1"/>
          <w:w w:val="100"/>
        </w:rPr>
        <w:t>2017</w:t>
      </w:r>
      <w:r>
        <w:rPr>
          <w:rFonts w:ascii="宋体" w:hAnsi="宋体" w:cs="宋体" w:eastAsia="宋体" w:hint="default"/>
          <w:spacing w:val="-74"/>
          <w:w w:val="100"/>
        </w:rPr>
        <w:t> </w:t>
      </w:r>
      <w:r>
        <w:rPr>
          <w:spacing w:val="-2"/>
          <w:w w:val="100"/>
        </w:rPr>
        <w:t>年度营业收入为</w:t>
      </w:r>
      <w:r>
        <w:rPr>
          <w:spacing w:val="-73"/>
          <w:w w:val="100"/>
        </w:rPr>
        <w:t> </w:t>
      </w:r>
      <w:r>
        <w:rPr>
          <w:rFonts w:ascii="宋体" w:hAnsi="宋体" w:cs="宋体" w:eastAsia="宋体" w:hint="default"/>
          <w:spacing w:val="-1"/>
          <w:w w:val="100"/>
        </w:rPr>
        <w:t>148,415.53</w:t>
      </w:r>
      <w:r>
        <w:rPr>
          <w:rFonts w:ascii="宋体" w:hAnsi="宋体" w:cs="宋体" w:eastAsia="宋体" w:hint="default"/>
          <w:spacing w:val="-74"/>
          <w:w w:val="100"/>
        </w:rPr>
        <w:t> </w:t>
      </w:r>
      <w:r>
        <w:rPr>
          <w:spacing w:val="-1"/>
          <w:w w:val="100"/>
        </w:rPr>
        <w:t>万元，</w:t>
      </w:r>
      <w:r>
        <w:rPr>
          <w:w w:val="100"/>
        </w:rPr>
        <w:t> </w:t>
      </w:r>
      <w:r>
        <w:rPr>
          <w:spacing w:val="-3"/>
        </w:rPr>
        <w:t>其中，设备销售收入</w:t>
      </w:r>
      <w:r>
        <w:rPr>
          <w:spacing w:val="-42"/>
        </w:rPr>
        <w:t> </w:t>
      </w:r>
      <w:r>
        <w:rPr>
          <w:rFonts w:ascii="宋体" w:hAnsi="宋体" w:cs="宋体" w:eastAsia="宋体" w:hint="default"/>
        </w:rPr>
        <w:t>126,854.02</w:t>
      </w:r>
      <w:r>
        <w:rPr>
          <w:rFonts w:ascii="宋体" w:hAnsi="宋体" w:cs="宋体" w:eastAsia="宋体" w:hint="default"/>
          <w:spacing w:val="-41"/>
        </w:rPr>
        <w:t> </w:t>
      </w:r>
      <w:r>
        <w:rPr>
          <w:spacing w:val="-4"/>
        </w:rPr>
        <w:t>万元，占比</w:t>
      </w:r>
      <w:r>
        <w:rPr>
          <w:spacing w:val="-45"/>
        </w:rPr>
        <w:t> </w:t>
      </w:r>
      <w:r>
        <w:rPr>
          <w:rFonts w:ascii="宋体" w:hAnsi="宋体" w:cs="宋体" w:eastAsia="宋体" w:hint="default"/>
        </w:rPr>
        <w:t>85.47%</w:t>
      </w:r>
      <w:r>
        <w:rPr/>
        <w:t>。</w:t>
      </w:r>
      <w:r>
        <w:rPr>
          <w:spacing w:val="12"/>
        </w:rPr>
        <w:t> </w:t>
      </w:r>
      <w:r>
        <w:rPr>
          <w:spacing w:val="-3"/>
        </w:rPr>
        <w:t>公司的收入主要来源于设备销售收入，公</w:t>
      </w:r>
      <w:r>
        <w:rPr>
          <w:spacing w:val="-100"/>
        </w:rPr>
        <w:t> </w:t>
      </w:r>
      <w:r>
        <w:rPr>
          <w:spacing w:val="-100"/>
        </w:rPr>
      </w:r>
      <w:r>
        <w:rPr>
          <w:spacing w:val="-2"/>
        </w:rPr>
        <w:t>司在将产品交付给客户，按合同要求安装调试完毕并开通，经客户验收后确认收入。营业收入确</w:t>
      </w:r>
      <w:r>
        <w:rPr>
          <w:spacing w:val="-25"/>
        </w:rPr>
        <w:t> </w:t>
      </w:r>
      <w:r>
        <w:rPr>
          <w:spacing w:val="-25"/>
        </w:rPr>
      </w:r>
      <w:r>
        <w:rPr>
          <w:spacing w:val="-2"/>
        </w:rPr>
        <w:t>认是否恰当对公司经营成果产生很大影响。，因此我们将设备销售收入的真实性和截止性识别为</w:t>
      </w:r>
      <w:r>
        <w:rPr>
          <w:spacing w:val="-25"/>
        </w:rPr>
        <w:t> </w:t>
      </w:r>
      <w:r>
        <w:rPr>
          <w:spacing w:val="-25"/>
        </w:rPr>
      </w:r>
      <w:r>
        <w:rPr/>
        <w:t>关键审计事项。</w:t>
      </w:r>
    </w:p>
    <w:p>
      <w:pPr>
        <w:pStyle w:val="BodyText"/>
        <w:spacing w:line="240" w:lineRule="auto" w:before="34"/>
        <w:ind w:left="558" w:right="0"/>
        <w:jc w:val="left"/>
      </w:pPr>
      <w:r>
        <w:rPr>
          <w:rFonts w:ascii="宋体" w:hAnsi="宋体" w:cs="宋体" w:eastAsia="宋体" w:hint="default"/>
        </w:rPr>
        <w:t>2.</w:t>
      </w:r>
      <w:r>
        <w:rPr>
          <w:rFonts w:ascii="宋体" w:hAnsi="宋体" w:cs="宋体" w:eastAsia="宋体" w:hint="default"/>
          <w:spacing w:val="-1"/>
        </w:rPr>
        <w:t> </w:t>
      </w:r>
      <w:r>
        <w:rPr/>
        <w:t>审计中的应对</w:t>
      </w:r>
    </w:p>
    <w:p>
      <w:pPr>
        <w:pStyle w:val="BodyText"/>
        <w:spacing w:line="240" w:lineRule="auto" w:before="133"/>
        <w:ind w:left="558" w:right="0"/>
        <w:jc w:val="left"/>
      </w:pPr>
      <w:r>
        <w:rPr>
          <w:rFonts w:ascii="宋体" w:hAnsi="宋体" w:cs="宋体" w:eastAsia="宋体" w:hint="default"/>
        </w:rPr>
        <w:t>(1)</w:t>
      </w:r>
      <w:r>
        <w:rPr>
          <w:rFonts w:ascii="宋体" w:hAnsi="宋体" w:cs="宋体" w:eastAsia="宋体" w:hint="default"/>
          <w:spacing w:val="-4"/>
        </w:rPr>
        <w:t> </w:t>
      </w:r>
      <w:r>
        <w:rPr/>
        <w:t>了解、评估公司设备销售收入相关的内部控制的设计，并测试关键控制执行的有效性；</w:t>
      </w:r>
    </w:p>
    <w:p>
      <w:pPr>
        <w:pStyle w:val="BodyText"/>
        <w:spacing w:line="240" w:lineRule="auto" w:before="133"/>
        <w:ind w:left="558" w:right="0"/>
        <w:jc w:val="left"/>
      </w:pPr>
      <w:r>
        <w:rPr>
          <w:rFonts w:ascii="宋体" w:hAnsi="宋体" w:cs="宋体" w:eastAsia="宋体" w:hint="default"/>
        </w:rPr>
        <w:t>(2)</w:t>
      </w:r>
      <w:r>
        <w:rPr>
          <w:rFonts w:ascii="宋体" w:hAnsi="宋体" w:cs="宋体" w:eastAsia="宋体" w:hint="default"/>
          <w:spacing w:val="-2"/>
        </w:rPr>
        <w:t> </w:t>
      </w:r>
      <w:r>
        <w:rPr/>
        <w:t>对主要客户进行函证；</w:t>
      </w:r>
    </w:p>
    <w:p>
      <w:pPr>
        <w:pStyle w:val="BodyText"/>
        <w:spacing w:line="357" w:lineRule="auto" w:before="133"/>
        <w:ind w:right="137" w:firstLine="419"/>
        <w:jc w:val="both"/>
      </w:pPr>
      <w:r>
        <w:rPr>
          <w:rFonts w:ascii="宋体" w:hAnsi="宋体" w:cs="宋体" w:eastAsia="宋体" w:hint="default"/>
        </w:rPr>
        <w:t>(3)</w:t>
      </w:r>
      <w:r>
        <w:rPr>
          <w:rFonts w:ascii="宋体" w:hAnsi="宋体" w:cs="宋体" w:eastAsia="宋体" w:hint="default"/>
          <w:spacing w:val="-3"/>
        </w:rPr>
        <w:t> </w:t>
      </w:r>
      <w:r>
        <w:rPr/>
        <w:t>采取抽样方式，检查设备销售合同、销售发票、出库单、到货签收单、开通签收单、银</w:t>
      </w:r>
      <w:r>
        <w:rPr>
          <w:w w:val="100"/>
        </w:rPr>
        <w:t> </w:t>
      </w:r>
      <w:r>
        <w:rPr/>
        <w:t>行付款凭证；</w:t>
      </w:r>
    </w:p>
    <w:p>
      <w:pPr>
        <w:spacing w:after="0" w:line="357" w:lineRule="auto"/>
        <w:jc w:val="both"/>
        <w:sectPr>
          <w:pgSz w:w="11910" w:h="16840"/>
          <w:pgMar w:header="877" w:footer="1195" w:top="1100" w:bottom="1380" w:left="1660" w:right="1140"/>
        </w:sectPr>
      </w:pPr>
    </w:p>
    <w:p>
      <w:pPr>
        <w:spacing w:line="240" w:lineRule="auto" w:before="9"/>
        <w:rPr>
          <w:rFonts w:ascii="宋体" w:hAnsi="宋体" w:cs="宋体" w:eastAsia="宋体" w:hint="default"/>
          <w:sz w:val="25"/>
          <w:szCs w:val="25"/>
        </w:rPr>
      </w:pPr>
    </w:p>
    <w:p>
      <w:pPr>
        <w:pStyle w:val="BodyText"/>
        <w:spacing w:line="357" w:lineRule="auto" w:before="36"/>
        <w:ind w:right="132" w:firstLine="419"/>
        <w:jc w:val="left"/>
      </w:pPr>
      <w:r>
        <w:rPr>
          <w:rFonts w:ascii="宋体" w:hAnsi="宋体" w:cs="宋体" w:eastAsia="宋体" w:hint="default"/>
        </w:rPr>
        <w:t>(4)</w:t>
      </w:r>
      <w:r>
        <w:rPr>
          <w:rFonts w:ascii="宋体" w:hAnsi="宋体" w:cs="宋体" w:eastAsia="宋体" w:hint="default"/>
          <w:spacing w:val="-3"/>
        </w:rPr>
        <w:t> </w:t>
      </w:r>
      <w:r>
        <w:rPr/>
        <w:t>对资产负债表日前后确认的设备销售收入，核对出库单、到货签收单、开通签收单、银</w:t>
      </w:r>
      <w:r>
        <w:rPr>
          <w:w w:val="100"/>
        </w:rPr>
        <w:t> </w:t>
      </w:r>
      <w:r>
        <w:rPr/>
        <w:t>行付款凭证。</w:t>
      </w:r>
    </w:p>
    <w:p>
      <w:pPr>
        <w:spacing w:line="240" w:lineRule="auto" w:before="0"/>
        <w:rPr>
          <w:rFonts w:ascii="宋体" w:hAnsi="宋体" w:cs="宋体" w:eastAsia="宋体" w:hint="default"/>
          <w:sz w:val="20"/>
          <w:szCs w:val="20"/>
        </w:rPr>
      </w:pPr>
    </w:p>
    <w:p>
      <w:pPr>
        <w:pStyle w:val="BodyText"/>
        <w:spacing w:line="355" w:lineRule="auto" w:before="176"/>
        <w:ind w:left="558" w:right="6742"/>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存货跌价准备</w:t>
      </w:r>
      <w:r>
        <w:rPr>
          <w:w w:val="100"/>
        </w:rPr>
        <w:t> </w:t>
      </w:r>
      <w:r>
        <w:rPr>
          <w:rFonts w:ascii="宋体" w:hAnsi="宋体" w:cs="宋体" w:eastAsia="宋体" w:hint="default"/>
        </w:rPr>
        <w:t>1.</w:t>
      </w:r>
      <w:r>
        <w:rPr>
          <w:rFonts w:ascii="宋体" w:hAnsi="宋体" w:cs="宋体" w:eastAsia="宋体" w:hint="default"/>
          <w:spacing w:val="-1"/>
        </w:rPr>
        <w:t> </w:t>
      </w:r>
      <w:r>
        <w:rPr/>
        <w:t>关键审计事项</w:t>
      </w:r>
    </w:p>
    <w:p>
      <w:pPr>
        <w:pStyle w:val="BodyText"/>
        <w:spacing w:line="240" w:lineRule="auto" w:before="32"/>
        <w:ind w:left="558" w:right="0"/>
        <w:jc w:val="left"/>
        <w:rPr>
          <w:rFonts w:ascii="宋体" w:hAnsi="宋体" w:cs="宋体" w:eastAsia="宋体" w:hint="default"/>
        </w:rPr>
      </w:pPr>
      <w:r>
        <w:rPr>
          <w:spacing w:val="-6"/>
        </w:rPr>
        <w:t>参见财务报表附注五</w:t>
      </w:r>
      <w:r>
        <w:rPr>
          <w:rFonts w:ascii="宋体" w:hAnsi="宋体" w:cs="宋体" w:eastAsia="宋体" w:hint="default"/>
          <w:spacing w:val="-6"/>
        </w:rPr>
        <w:t>(</w:t>
      </w:r>
      <w:r>
        <w:rPr>
          <w:spacing w:val="-6"/>
        </w:rPr>
        <w:t>一</w:t>
      </w:r>
      <w:r>
        <w:rPr>
          <w:rFonts w:ascii="宋体" w:hAnsi="宋体" w:cs="宋体" w:eastAsia="宋体" w:hint="default"/>
          <w:spacing w:val="-6"/>
        </w:rPr>
        <w:t>)5</w:t>
      </w:r>
      <w:r>
        <w:rPr>
          <w:spacing w:val="-6"/>
        </w:rPr>
        <w:t>，截至</w:t>
      </w:r>
      <w:r>
        <w:rPr>
          <w:spacing w:val="-47"/>
        </w:rPr>
        <w:t> </w:t>
      </w:r>
      <w:r>
        <w:rPr>
          <w:rFonts w:ascii="宋体" w:hAnsi="宋体" w:cs="宋体" w:eastAsia="宋体" w:hint="default"/>
        </w:rPr>
        <w:t>2017</w:t>
      </w:r>
      <w:r>
        <w:rPr>
          <w:rFonts w:ascii="宋体" w:hAnsi="宋体" w:cs="宋体" w:eastAsia="宋体" w:hint="default"/>
          <w:spacing w:val="-47"/>
        </w:rPr>
        <w:t> </w:t>
      </w:r>
      <w:r>
        <w:rPr/>
        <w:t>年</w:t>
      </w:r>
      <w:r>
        <w:rPr>
          <w:spacing w:val="-49"/>
        </w:rPr>
        <w:t> </w:t>
      </w:r>
      <w:r>
        <w:rPr>
          <w:rFonts w:ascii="宋体" w:hAnsi="宋体" w:cs="宋体" w:eastAsia="宋体" w:hint="default"/>
        </w:rPr>
        <w:t>12</w:t>
      </w:r>
      <w:r>
        <w:rPr>
          <w:rFonts w:ascii="宋体" w:hAnsi="宋体" w:cs="宋体" w:eastAsia="宋体" w:hint="default"/>
          <w:spacing w:val="-49"/>
        </w:rPr>
        <w:t> </w:t>
      </w:r>
      <w:r>
        <w:rPr/>
        <w:t>月</w:t>
      </w:r>
      <w:r>
        <w:rPr>
          <w:spacing w:val="-46"/>
        </w:rPr>
        <w:t> </w:t>
      </w:r>
      <w:r>
        <w:rPr>
          <w:rFonts w:ascii="宋体" w:hAnsi="宋体" w:cs="宋体" w:eastAsia="宋体" w:hint="default"/>
        </w:rPr>
        <w:t>31</w:t>
      </w:r>
      <w:r>
        <w:rPr>
          <w:rFonts w:ascii="宋体" w:hAnsi="宋体" w:cs="宋体" w:eastAsia="宋体" w:hint="default"/>
          <w:spacing w:val="-49"/>
        </w:rPr>
        <w:t> </w:t>
      </w:r>
      <w:r>
        <w:rPr>
          <w:spacing w:val="-7"/>
        </w:rPr>
        <w:t>日，恒银金融公司存货账面余额</w:t>
      </w:r>
      <w:r>
        <w:rPr>
          <w:spacing w:val="-47"/>
        </w:rPr>
        <w:t> </w:t>
      </w:r>
      <w:r>
        <w:rPr>
          <w:rFonts w:ascii="宋体" w:hAnsi="宋体" w:cs="宋体" w:eastAsia="宋体" w:hint="default"/>
        </w:rPr>
        <w:t>58,732.21</w:t>
      </w:r>
    </w:p>
    <w:p>
      <w:pPr>
        <w:pStyle w:val="BodyText"/>
        <w:spacing w:line="357" w:lineRule="auto" w:before="135"/>
        <w:ind w:right="128"/>
        <w:jc w:val="both"/>
      </w:pPr>
      <w:r>
        <w:rPr>
          <w:spacing w:val="-4"/>
        </w:rPr>
        <w:t>万元，存货跌价准备余额为</w:t>
      </w:r>
      <w:r>
        <w:rPr>
          <w:spacing w:val="-31"/>
        </w:rPr>
        <w:t> </w:t>
      </w:r>
      <w:r>
        <w:rPr>
          <w:rFonts w:ascii="宋体" w:hAnsi="宋体" w:cs="宋体" w:eastAsia="宋体" w:hint="default"/>
        </w:rPr>
        <w:t>2,214.54</w:t>
      </w:r>
      <w:r>
        <w:rPr>
          <w:rFonts w:ascii="宋体" w:hAnsi="宋体" w:cs="宋体" w:eastAsia="宋体" w:hint="default"/>
          <w:spacing w:val="-32"/>
        </w:rPr>
        <w:t> </w:t>
      </w:r>
      <w:r>
        <w:rPr>
          <w:spacing w:val="-4"/>
        </w:rPr>
        <w:t>万元。存货按成本和可变现净值孰低计量。可变现净值按所</w:t>
      </w:r>
      <w:r>
        <w:rPr>
          <w:spacing w:val="-97"/>
        </w:rPr>
        <w:t> </w:t>
      </w:r>
      <w:r>
        <w:rPr>
          <w:spacing w:val="-97"/>
        </w:rPr>
      </w:r>
      <w:r>
        <w:rPr>
          <w:spacing w:val="-2"/>
        </w:rPr>
        <w:t>生产的产成品的预计售价减去至完工时估计将要发生的成本、估计的销售费用和相关税费后的金</w:t>
      </w:r>
      <w:r>
        <w:rPr>
          <w:spacing w:val="-25"/>
        </w:rPr>
        <w:t> </w:t>
      </w:r>
      <w:r>
        <w:rPr>
          <w:spacing w:val="-25"/>
        </w:rPr>
      </w:r>
      <w:r>
        <w:rPr>
          <w:spacing w:val="-2"/>
        </w:rPr>
        <w:t>额确定。在计提存货跌价准备时需要测算可变现净值，可变现净值需要管理层作出重大判断，我</w:t>
      </w:r>
      <w:r>
        <w:rPr>
          <w:spacing w:val="-25"/>
        </w:rPr>
        <w:t> </w:t>
      </w:r>
      <w:r>
        <w:rPr>
          <w:spacing w:val="-25"/>
        </w:rPr>
      </w:r>
      <w:r>
        <w:rPr/>
        <w:t>们将存货跌价准备作为关键审计事项。</w:t>
      </w:r>
    </w:p>
    <w:p>
      <w:pPr>
        <w:pStyle w:val="BodyText"/>
        <w:spacing w:line="240" w:lineRule="auto" w:before="32"/>
        <w:ind w:left="558" w:right="0"/>
        <w:jc w:val="left"/>
      </w:pPr>
      <w:r>
        <w:rPr>
          <w:rFonts w:ascii="宋体" w:hAnsi="宋体" w:cs="宋体" w:eastAsia="宋体" w:hint="default"/>
        </w:rPr>
        <w:t>2.</w:t>
      </w:r>
      <w:r>
        <w:rPr>
          <w:rFonts w:ascii="宋体" w:hAnsi="宋体" w:cs="宋体" w:eastAsia="宋体" w:hint="default"/>
          <w:spacing w:val="-1"/>
        </w:rPr>
        <w:t> </w:t>
      </w:r>
      <w:r>
        <w:rPr/>
        <w:t>审计中的应对</w:t>
      </w:r>
    </w:p>
    <w:p>
      <w:pPr>
        <w:pStyle w:val="BodyText"/>
        <w:spacing w:line="240" w:lineRule="auto" w:before="133"/>
        <w:ind w:left="558" w:right="0"/>
        <w:jc w:val="left"/>
      </w:pPr>
      <w:r>
        <w:rPr>
          <w:rFonts w:ascii="宋体" w:hAnsi="宋体" w:cs="宋体" w:eastAsia="宋体" w:hint="default"/>
          <w:w w:val="100"/>
        </w:rPr>
        <w:t>(1)</w:t>
      </w:r>
      <w:r>
        <w:rPr>
          <w:rFonts w:ascii="宋体" w:hAnsi="宋体" w:cs="宋体" w:eastAsia="宋体" w:hint="default"/>
        </w:rPr>
        <w:t> </w:t>
      </w:r>
      <w:r>
        <w:rPr>
          <w:spacing w:val="-3"/>
          <w:w w:val="100"/>
        </w:rPr>
        <w:t>了解</w:t>
      </w:r>
      <w:r>
        <w:rPr>
          <w:spacing w:val="-99"/>
          <w:w w:val="100"/>
        </w:rPr>
        <w:t>、</w:t>
      </w:r>
      <w:r>
        <w:rPr>
          <w:w w:val="100"/>
        </w:rPr>
        <w:t>评</w:t>
      </w:r>
      <w:r>
        <w:rPr>
          <w:spacing w:val="-3"/>
          <w:w w:val="100"/>
        </w:rPr>
        <w:t>估</w:t>
      </w:r>
      <w:r>
        <w:rPr>
          <w:w w:val="100"/>
        </w:rPr>
        <w:t>与</w:t>
      </w:r>
      <w:r>
        <w:rPr>
          <w:spacing w:val="-3"/>
          <w:w w:val="100"/>
        </w:rPr>
        <w:t>存</w:t>
      </w:r>
      <w:r>
        <w:rPr>
          <w:w w:val="100"/>
        </w:rPr>
        <w:t>货</w:t>
      </w:r>
      <w:r>
        <w:rPr>
          <w:spacing w:val="-3"/>
          <w:w w:val="100"/>
        </w:rPr>
        <w:t>跌价</w:t>
      </w:r>
      <w:r>
        <w:rPr>
          <w:w w:val="100"/>
        </w:rPr>
        <w:t>准备</w:t>
      </w:r>
      <w:r>
        <w:rPr>
          <w:spacing w:val="-3"/>
          <w:w w:val="100"/>
        </w:rPr>
        <w:t>计</w:t>
      </w:r>
      <w:r>
        <w:rPr>
          <w:w w:val="100"/>
        </w:rPr>
        <w:t>提</w:t>
      </w:r>
      <w:r>
        <w:rPr>
          <w:spacing w:val="-3"/>
          <w:w w:val="100"/>
        </w:rPr>
        <w:t>相</w:t>
      </w:r>
      <w:r>
        <w:rPr>
          <w:w w:val="100"/>
        </w:rPr>
        <w:t>关</w:t>
      </w:r>
      <w:r>
        <w:rPr>
          <w:spacing w:val="-3"/>
          <w:w w:val="100"/>
        </w:rPr>
        <w:t>的</w:t>
      </w:r>
      <w:r>
        <w:rPr>
          <w:w w:val="100"/>
        </w:rPr>
        <w:t>内</w:t>
      </w:r>
      <w:r>
        <w:rPr>
          <w:spacing w:val="-3"/>
          <w:w w:val="100"/>
        </w:rPr>
        <w:t>部</w:t>
      </w:r>
      <w:r>
        <w:rPr>
          <w:w w:val="100"/>
        </w:rPr>
        <w:t>控</w:t>
      </w:r>
      <w:r>
        <w:rPr>
          <w:spacing w:val="-3"/>
          <w:w w:val="100"/>
        </w:rPr>
        <w:t>制</w:t>
      </w:r>
      <w:r>
        <w:rPr>
          <w:w w:val="100"/>
        </w:rPr>
        <w:t>的设</w:t>
      </w:r>
      <w:r>
        <w:rPr>
          <w:spacing w:val="-3"/>
          <w:w w:val="100"/>
        </w:rPr>
        <w:t>计</w:t>
      </w:r>
      <w:r>
        <w:rPr>
          <w:spacing w:val="-101"/>
          <w:w w:val="100"/>
        </w:rPr>
        <w:t>，</w:t>
      </w:r>
      <w:r>
        <w:rPr>
          <w:w w:val="100"/>
        </w:rPr>
        <w:t>并测</w:t>
      </w:r>
      <w:r>
        <w:rPr>
          <w:spacing w:val="-3"/>
          <w:w w:val="100"/>
        </w:rPr>
        <w:t>试</w:t>
      </w:r>
      <w:r>
        <w:rPr>
          <w:w w:val="100"/>
        </w:rPr>
        <w:t>关</w:t>
      </w:r>
      <w:r>
        <w:rPr>
          <w:spacing w:val="-3"/>
          <w:w w:val="100"/>
        </w:rPr>
        <w:t>键</w:t>
      </w:r>
      <w:r>
        <w:rPr>
          <w:w w:val="100"/>
        </w:rPr>
        <w:t>控</w:t>
      </w:r>
      <w:r>
        <w:rPr>
          <w:spacing w:val="-3"/>
          <w:w w:val="100"/>
        </w:rPr>
        <w:t>制执</w:t>
      </w:r>
      <w:r>
        <w:rPr>
          <w:w w:val="100"/>
        </w:rPr>
        <w:t>行的</w:t>
      </w:r>
      <w:r>
        <w:rPr>
          <w:spacing w:val="-3"/>
          <w:w w:val="100"/>
        </w:rPr>
        <w:t>有效性</w:t>
      </w:r>
      <w:r>
        <w:rPr>
          <w:w w:val="100"/>
        </w:rPr>
        <w:t>；</w:t>
      </w:r>
    </w:p>
    <w:p>
      <w:pPr>
        <w:pStyle w:val="BodyText"/>
        <w:spacing w:line="240" w:lineRule="auto" w:before="133"/>
        <w:ind w:left="558" w:right="0"/>
        <w:jc w:val="left"/>
      </w:pPr>
      <w:r>
        <w:rPr>
          <w:rFonts w:ascii="宋体" w:hAnsi="宋体" w:cs="宋体" w:eastAsia="宋体" w:hint="default"/>
        </w:rPr>
        <w:t>(2)</w:t>
      </w:r>
      <w:r>
        <w:rPr>
          <w:rFonts w:ascii="宋体" w:hAnsi="宋体" w:cs="宋体" w:eastAsia="宋体" w:hint="default"/>
          <w:spacing w:val="1"/>
        </w:rPr>
        <w:t> </w:t>
      </w:r>
      <w:r>
        <w:rPr/>
        <w:t>对期末存货实施监盘程序；</w:t>
      </w:r>
    </w:p>
    <w:p>
      <w:pPr>
        <w:pStyle w:val="BodyText"/>
        <w:spacing w:line="355" w:lineRule="auto" w:before="133"/>
        <w:ind w:right="132" w:firstLine="419"/>
        <w:jc w:val="left"/>
      </w:pPr>
      <w:r>
        <w:rPr>
          <w:rFonts w:ascii="宋体" w:hAnsi="宋体" w:cs="宋体" w:eastAsia="宋体" w:hint="default"/>
        </w:rPr>
        <w:t>(3)</w:t>
      </w:r>
      <w:r>
        <w:rPr>
          <w:rFonts w:ascii="宋体" w:hAnsi="宋体" w:cs="宋体" w:eastAsia="宋体" w:hint="default"/>
          <w:spacing w:val="-3"/>
        </w:rPr>
        <w:t> </w:t>
      </w:r>
      <w:r>
        <w:rPr/>
        <w:t>获取存货跌价准备计算表，分析产品未来售价估计、至完工仍需发生成本估计、销售费</w:t>
      </w:r>
      <w:r>
        <w:rPr>
          <w:w w:val="100"/>
        </w:rPr>
        <w:t> </w:t>
      </w:r>
      <w:r>
        <w:rPr/>
        <w:t>用以及相关税费的估计的依据。</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2"/>
        <w:spacing w:line="240" w:lineRule="auto"/>
        <w:ind w:left="560" w:right="0"/>
        <w:jc w:val="left"/>
        <w:rPr>
          <w:rFonts w:ascii="黑体" w:hAnsi="黑体" w:cs="黑体" w:eastAsia="黑体" w:hint="default"/>
          <w:b w:val="0"/>
          <w:bCs w:val="0"/>
        </w:rPr>
      </w:pPr>
      <w:r>
        <w:rPr>
          <w:rFonts w:ascii="黑体" w:hAnsi="黑体" w:cs="黑体" w:eastAsia="黑体" w:hint="default"/>
        </w:rPr>
        <w:t>四、其他信息</w:t>
      </w:r>
      <w:r>
        <w:rPr>
          <w:rFonts w:ascii="黑体" w:hAnsi="黑体" w:cs="黑体" w:eastAsia="黑体" w:hint="default"/>
          <w:b w:val="0"/>
          <w:bCs w:val="0"/>
        </w:rPr>
      </w:r>
    </w:p>
    <w:p>
      <w:pPr>
        <w:pStyle w:val="BodyText"/>
        <w:spacing w:line="355" w:lineRule="auto" w:before="133"/>
        <w:ind w:right="0" w:firstLine="419"/>
        <w:jc w:val="left"/>
      </w:pPr>
      <w:r>
        <w:rPr>
          <w:spacing w:val="-2"/>
        </w:rPr>
        <w:t>管理层对其他信息负责。其他信息包括年度报告中涵盖的信息，但不包括财务报表和我们的</w:t>
      </w:r>
      <w:r>
        <w:rPr>
          <w:w w:val="100"/>
        </w:rPr>
        <w:t> </w:t>
      </w:r>
      <w:r>
        <w:rPr/>
        <w:t>审计报告。</w:t>
      </w:r>
    </w:p>
    <w:p>
      <w:pPr>
        <w:pStyle w:val="BodyText"/>
        <w:spacing w:line="357" w:lineRule="auto" w:before="32"/>
        <w:ind w:right="0" w:firstLine="419"/>
        <w:jc w:val="left"/>
      </w:pPr>
      <w:r>
        <w:rPr>
          <w:spacing w:val="-2"/>
        </w:rPr>
        <w:t>我们对财务报表发表的审计意见不涵盖其他信息，我们也不对其他信息发表任何形式的鉴证</w:t>
      </w:r>
      <w:r>
        <w:rPr>
          <w:w w:val="100"/>
        </w:rPr>
        <w:t> </w:t>
      </w:r>
      <w:r>
        <w:rPr/>
        <w:t>结论。</w:t>
      </w:r>
    </w:p>
    <w:p>
      <w:pPr>
        <w:pStyle w:val="BodyText"/>
        <w:spacing w:line="355" w:lineRule="auto" w:before="30"/>
        <w:ind w:right="0" w:firstLine="419"/>
        <w:jc w:val="left"/>
      </w:pPr>
      <w:r>
        <w:rPr>
          <w:spacing w:val="-2"/>
        </w:rPr>
        <w:t>结合我们对财务报表的审计，我们的责任是阅读其他信息，在此过程中，考虑其他信息是否</w:t>
      </w:r>
      <w:r>
        <w:rPr>
          <w:w w:val="100"/>
        </w:rPr>
        <w:t> </w:t>
      </w:r>
      <w:r>
        <w:rPr/>
        <w:t>与财务报表或我们在审计过程中了解到的情况存在重大不一致或者似乎存在重大错报。</w:t>
      </w:r>
    </w:p>
    <w:p>
      <w:pPr>
        <w:pStyle w:val="BodyText"/>
        <w:spacing w:line="360" w:lineRule="auto" w:before="32"/>
        <w:ind w:right="0" w:firstLine="419"/>
        <w:jc w:val="left"/>
      </w:pPr>
      <w:r>
        <w:rPr>
          <w:spacing w:val="-2"/>
        </w:rPr>
        <w:t>基于我们已执行的工作，如果我们确定其他信息存在重大错报，我们应当报告该事实。在这</w:t>
      </w:r>
      <w:r>
        <w:rPr>
          <w:w w:val="100"/>
        </w:rPr>
        <w:t> </w:t>
      </w:r>
      <w:r>
        <w:rPr/>
        <w:t>方面，我们无任何事项需要报告。</w:t>
      </w:r>
    </w:p>
    <w:p>
      <w:pPr>
        <w:spacing w:line="240" w:lineRule="auto" w:before="0"/>
        <w:rPr>
          <w:rFonts w:ascii="宋体" w:hAnsi="宋体" w:cs="宋体" w:eastAsia="宋体" w:hint="default"/>
          <w:sz w:val="20"/>
          <w:szCs w:val="20"/>
        </w:rPr>
      </w:pPr>
    </w:p>
    <w:p>
      <w:pPr>
        <w:pStyle w:val="Heading2"/>
        <w:spacing w:line="240" w:lineRule="auto" w:before="174"/>
        <w:ind w:left="560" w:right="0"/>
        <w:jc w:val="left"/>
        <w:rPr>
          <w:rFonts w:ascii="黑体" w:hAnsi="黑体" w:cs="黑体" w:eastAsia="黑体" w:hint="default"/>
          <w:b w:val="0"/>
          <w:bCs w:val="0"/>
        </w:rPr>
      </w:pPr>
      <w:r>
        <w:rPr>
          <w:rFonts w:ascii="黑体" w:hAnsi="黑体" w:cs="黑体" w:eastAsia="黑体" w:hint="default"/>
        </w:rPr>
        <w:t>五、管理层和治理层对财务报表的责任</w:t>
      </w:r>
      <w:r>
        <w:rPr>
          <w:rFonts w:ascii="黑体" w:hAnsi="黑体" w:cs="黑体" w:eastAsia="黑体" w:hint="default"/>
          <w:b w:val="0"/>
          <w:bCs w:val="0"/>
        </w:rPr>
      </w:r>
    </w:p>
    <w:p>
      <w:pPr>
        <w:pStyle w:val="BodyText"/>
        <w:spacing w:line="355" w:lineRule="auto" w:before="133"/>
        <w:ind w:right="0" w:firstLine="419"/>
        <w:jc w:val="left"/>
      </w:pPr>
      <w:r>
        <w:rPr>
          <w:spacing w:val="-2"/>
        </w:rPr>
        <w:t>管理层负责按照企业会计准则的规定编制财务报表，使其实现公允反映，并设计、执行和维</w:t>
      </w:r>
      <w:r>
        <w:rPr>
          <w:w w:val="100"/>
        </w:rPr>
        <w:t> </w:t>
      </w:r>
      <w:r>
        <w:rPr/>
        <w:t>护必要的内部控制，以使财务报表不存在由于舞弊或错误导致的重大错报。</w:t>
      </w:r>
    </w:p>
    <w:p>
      <w:pPr>
        <w:pStyle w:val="BodyText"/>
        <w:spacing w:line="355" w:lineRule="auto" w:before="34"/>
        <w:ind w:right="0" w:firstLine="419"/>
        <w:jc w:val="left"/>
      </w:pPr>
      <w:r>
        <w:rPr>
          <w:spacing w:val="-2"/>
        </w:rPr>
        <w:t>在编制财务报表时，管理层负责评估恒银金融公司的持续经营能力，披露与持续经营相关的</w:t>
      </w:r>
      <w:r>
        <w:rPr>
          <w:w w:val="100"/>
        </w:rPr>
        <w:t> </w:t>
      </w:r>
      <w:r>
        <w:rPr>
          <w:spacing w:val="-2"/>
        </w:rPr>
        <w:t>事项（如适用），并运用持续经营假设，除非计划进行清算、终止运营或别无其他现实的选择。</w:t>
      </w:r>
    </w:p>
    <w:p>
      <w:pPr>
        <w:pStyle w:val="BodyText"/>
        <w:spacing w:line="240" w:lineRule="auto" w:before="32"/>
        <w:ind w:left="558" w:right="0"/>
        <w:jc w:val="left"/>
      </w:pPr>
      <w:r>
        <w:rPr/>
        <w:t>恒银金融公司治理层（以下简称治理层）负责监督恒银金融公司的财务报告过程。</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2"/>
        <w:spacing w:line="240" w:lineRule="auto"/>
        <w:ind w:left="560" w:right="0"/>
        <w:jc w:val="left"/>
        <w:rPr>
          <w:rFonts w:ascii="黑体" w:hAnsi="黑体" w:cs="黑体" w:eastAsia="黑体" w:hint="default"/>
          <w:b w:val="0"/>
          <w:bCs w:val="0"/>
        </w:rPr>
      </w:pPr>
      <w:r>
        <w:rPr>
          <w:rFonts w:ascii="黑体" w:hAnsi="黑体" w:cs="黑体" w:eastAsia="黑体" w:hint="default"/>
        </w:rPr>
        <w:t>六、注册会计师对财务报表审计的责任</w:t>
      </w:r>
      <w:r>
        <w:rPr>
          <w:rFonts w:ascii="黑体" w:hAnsi="黑体" w:cs="黑体" w:eastAsia="黑体" w:hint="default"/>
          <w:b w:val="0"/>
          <w:bCs w:val="0"/>
        </w:rPr>
      </w:r>
    </w:p>
    <w:p>
      <w:pPr>
        <w:spacing w:after="0" w:line="240" w:lineRule="auto"/>
        <w:jc w:val="left"/>
        <w:rPr>
          <w:rFonts w:ascii="黑体" w:hAnsi="黑体" w:cs="黑体" w:eastAsia="黑体" w:hint="default"/>
        </w:rPr>
        <w:sectPr>
          <w:pgSz w:w="11910" w:h="16840"/>
          <w:pgMar w:header="877" w:footer="1195" w:top="1100" w:bottom="1380" w:left="1660" w:right="1140"/>
        </w:sectPr>
      </w:pPr>
    </w:p>
    <w:p>
      <w:pPr>
        <w:spacing w:line="240" w:lineRule="auto" w:before="9"/>
        <w:rPr>
          <w:rFonts w:ascii="黑体" w:hAnsi="黑体" w:cs="黑体" w:eastAsia="黑体" w:hint="default"/>
          <w:b/>
          <w:bCs/>
          <w:sz w:val="25"/>
          <w:szCs w:val="25"/>
        </w:rPr>
      </w:pPr>
    </w:p>
    <w:p>
      <w:pPr>
        <w:pStyle w:val="BodyText"/>
        <w:spacing w:line="357" w:lineRule="auto" w:before="36"/>
        <w:ind w:right="137" w:firstLine="419"/>
        <w:jc w:val="both"/>
      </w:pPr>
      <w:r>
        <w:rPr>
          <w:spacing w:val="-2"/>
        </w:rPr>
        <w:t>我们的目标是对财务报表整体是否不存在由于舞弊或错误导致的重大错报获取合理保证，并</w:t>
      </w:r>
      <w:r>
        <w:rPr>
          <w:w w:val="100"/>
        </w:rPr>
        <w:t> </w:t>
      </w:r>
      <w:r>
        <w:rPr>
          <w:spacing w:val="-2"/>
        </w:rPr>
        <w:t>出具包含审计意见的审计报告。合理保证是高水平的保证，但并不能保证按照审计准则执行的审</w:t>
      </w:r>
      <w:r>
        <w:rPr>
          <w:spacing w:val="-25"/>
        </w:rPr>
        <w:t> </w:t>
      </w:r>
      <w:r>
        <w:rPr>
          <w:spacing w:val="-25"/>
        </w:rPr>
      </w:r>
      <w:r>
        <w:rPr>
          <w:spacing w:val="-2"/>
        </w:rPr>
        <w:t>计在某一重大错报存在时总能发现。错报可能由于舞弊或错误导致，如果合理预期错报单独或汇</w:t>
      </w:r>
      <w:r>
        <w:rPr>
          <w:spacing w:val="-25"/>
        </w:rPr>
        <w:t> </w:t>
      </w:r>
      <w:r>
        <w:rPr>
          <w:spacing w:val="-25"/>
        </w:rPr>
      </w:r>
      <w:r>
        <w:rPr/>
        <w:t>总起来可能影响财务报表使用者依据财务报表作出的经济决策，则通常认为错报是重大的。</w:t>
      </w:r>
    </w:p>
    <w:p>
      <w:pPr>
        <w:pStyle w:val="BodyText"/>
        <w:spacing w:line="355" w:lineRule="auto" w:before="30"/>
        <w:ind w:right="137" w:firstLine="419"/>
        <w:jc w:val="both"/>
      </w:pPr>
      <w:r>
        <w:rPr>
          <w:spacing w:val="-2"/>
        </w:rPr>
        <w:t>在按照审计准则执行审计工作的过程中，我们运用职业判断，并保持职业怀疑。同时，我们</w:t>
      </w:r>
      <w:r>
        <w:rPr>
          <w:w w:val="100"/>
        </w:rPr>
        <w:t> </w:t>
      </w:r>
      <w:r>
        <w:rPr/>
        <w:t>也执行以下工作：</w:t>
      </w:r>
    </w:p>
    <w:p>
      <w:pPr>
        <w:pStyle w:val="BodyText"/>
        <w:spacing w:line="357" w:lineRule="auto" w:before="34"/>
        <w:ind w:right="128" w:firstLine="419"/>
        <w:jc w:val="both"/>
      </w:pPr>
      <w:r>
        <w:rPr>
          <w:rFonts w:ascii="宋体" w:hAnsi="宋体" w:cs="宋体" w:eastAsia="宋体" w:hint="default"/>
          <w:w w:val="100"/>
        </w:rPr>
        <w:t>(</w:t>
      </w:r>
      <w:r>
        <w:rPr>
          <w:w w:val="100"/>
        </w:rPr>
        <w:t>一</w:t>
      </w:r>
      <w:r>
        <w:rPr>
          <w:rFonts w:ascii="宋体" w:hAnsi="宋体" w:cs="宋体" w:eastAsia="宋体" w:hint="default"/>
          <w:w w:val="100"/>
        </w:rPr>
        <w:t>)</w:t>
      </w:r>
      <w:r>
        <w:rPr>
          <w:rFonts w:ascii="宋体" w:hAnsi="宋体" w:cs="宋体" w:eastAsia="宋体" w:hint="default"/>
          <w:spacing w:val="3"/>
          <w:w w:val="100"/>
        </w:rPr>
        <w:t> </w:t>
      </w:r>
      <w:r>
        <w:rPr>
          <w:spacing w:val="-4"/>
          <w:w w:val="100"/>
        </w:rPr>
        <w:t>识别和评估由于舞弊或错误导致的财务报表重大错报风险，设计和实施审计程序以应对</w:t>
      </w:r>
      <w:r>
        <w:rPr>
          <w:w w:val="100"/>
        </w:rPr>
        <w:t> </w:t>
      </w:r>
      <w:r>
        <w:rPr>
          <w:spacing w:val="-2"/>
        </w:rPr>
        <w:t>这些风险，并获取充分、适当的审计证据，作为发表审计意见的基础。由于舞弊可能涉及串通、</w:t>
      </w:r>
      <w:r>
        <w:rPr>
          <w:spacing w:val="-25"/>
        </w:rPr>
        <w:t> </w:t>
      </w:r>
      <w:r>
        <w:rPr>
          <w:spacing w:val="-25"/>
        </w:rPr>
      </w:r>
      <w:r>
        <w:rPr>
          <w:spacing w:val="-2"/>
        </w:rPr>
        <w:t>伪造、故意遗漏、虚假陈述或凌驾于内部控制之上，未能发现由于舞弊导致的重大错报的风险高</w:t>
      </w:r>
      <w:r>
        <w:rPr>
          <w:spacing w:val="-25"/>
        </w:rPr>
        <w:t> </w:t>
      </w:r>
      <w:r>
        <w:rPr>
          <w:spacing w:val="-25"/>
        </w:rPr>
      </w:r>
      <w:r>
        <w:rPr/>
        <w:t>于未能发现由于错误导致的重大错报的风险。</w:t>
      </w:r>
    </w:p>
    <w:p>
      <w:pPr>
        <w:pStyle w:val="BodyText"/>
        <w:spacing w:line="355" w:lineRule="auto" w:before="32"/>
        <w:ind w:right="130" w:firstLine="419"/>
        <w:jc w:val="both"/>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43"/>
        </w:rPr>
        <w:t> </w:t>
      </w:r>
      <w:r>
        <w:rPr>
          <w:spacing w:val="-4"/>
        </w:rPr>
        <w:t>了解与审计相关的内部控制，以设计恰当的审计程序，但目的并非对内部控制的有效性</w:t>
      </w:r>
      <w:r>
        <w:rPr>
          <w:w w:val="100"/>
        </w:rPr>
        <w:t> </w:t>
      </w:r>
      <w:r>
        <w:rPr/>
        <w:t>发表意见。</w:t>
      </w:r>
    </w:p>
    <w:p>
      <w:pPr>
        <w:pStyle w:val="BodyText"/>
        <w:spacing w:line="240" w:lineRule="auto" w:before="32"/>
        <w:ind w:left="558" w:right="0"/>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7"/>
        </w:rPr>
        <w:t> </w:t>
      </w:r>
      <w:r>
        <w:rPr/>
        <w:t>评价管理层选用会计政策的恰当性和作出会计估计及相关披露的合理性。</w:t>
      </w:r>
    </w:p>
    <w:p>
      <w:pPr>
        <w:pStyle w:val="BodyText"/>
        <w:spacing w:line="357" w:lineRule="auto" w:before="133"/>
        <w:ind w:right="128" w:firstLine="419"/>
        <w:jc w:val="both"/>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43"/>
        </w:rPr>
        <w:t> </w:t>
      </w:r>
      <w:r>
        <w:rPr>
          <w:spacing w:val="-4"/>
        </w:rPr>
        <w:t>对管理层使用持续经营假设的恰当性得出结论。同时，根据获取的审计证据，就可能导</w:t>
      </w:r>
      <w:r>
        <w:rPr>
          <w:w w:val="100"/>
        </w:rPr>
        <w:t> </w:t>
      </w:r>
      <w:r>
        <w:rPr>
          <w:spacing w:val="-2"/>
        </w:rPr>
        <w:t>致对恒银金融公司持续经营能力产生重大疑虑的事项或情况是否存在重大不确定性得出结论。如</w:t>
      </w:r>
      <w:r>
        <w:rPr>
          <w:spacing w:val="-25"/>
        </w:rPr>
        <w:t> </w:t>
      </w:r>
      <w:r>
        <w:rPr>
          <w:spacing w:val="-25"/>
        </w:rPr>
      </w:r>
      <w:r>
        <w:rPr>
          <w:spacing w:val="-2"/>
        </w:rPr>
        <w:t>果我们得出结论认为存在重大不确定性，审计准则要求我们在审计报告中提请报表使用者注意财</w:t>
      </w:r>
      <w:r>
        <w:rPr>
          <w:spacing w:val="-25"/>
        </w:rPr>
        <w:t> </w:t>
      </w:r>
      <w:r>
        <w:rPr>
          <w:spacing w:val="-25"/>
        </w:rPr>
      </w:r>
      <w:r>
        <w:rPr>
          <w:spacing w:val="-2"/>
        </w:rPr>
        <w:t>务报表中的相关披露；如果披露不充分，我们应当发表非无保留意见。我们的结论基于截至审计</w:t>
      </w:r>
      <w:r>
        <w:rPr>
          <w:spacing w:val="-25"/>
        </w:rPr>
        <w:t> </w:t>
      </w:r>
      <w:r>
        <w:rPr>
          <w:spacing w:val="-25"/>
        </w:rPr>
      </w:r>
      <w:r>
        <w:rPr/>
        <w:t>报告日可获得的信息。然而，未来的事项或情况可能导致恒银金融公司不能持续经营。</w:t>
      </w:r>
    </w:p>
    <w:p>
      <w:pPr>
        <w:pStyle w:val="BodyText"/>
        <w:spacing w:line="355" w:lineRule="auto" w:before="30"/>
        <w:ind w:right="131" w:firstLine="419"/>
        <w:jc w:val="both"/>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40"/>
        </w:rPr>
        <w:t> </w:t>
      </w:r>
      <w:r>
        <w:rPr>
          <w:spacing w:val="-4"/>
        </w:rPr>
        <w:t>评价财务报表的总体列报、结构和内容（包括披露），并评价财务报表是否公允反映相</w:t>
      </w:r>
      <w:r>
        <w:rPr>
          <w:w w:val="100"/>
        </w:rPr>
        <w:t> </w:t>
      </w:r>
      <w:r>
        <w:rPr/>
        <w:t>关交易和事项。</w:t>
      </w:r>
    </w:p>
    <w:p>
      <w:pPr>
        <w:pStyle w:val="BodyText"/>
        <w:spacing w:line="355" w:lineRule="auto" w:before="34"/>
        <w:ind w:right="137" w:firstLine="419"/>
        <w:jc w:val="both"/>
      </w:pPr>
      <w:r>
        <w:rPr>
          <w:spacing w:val="-2"/>
        </w:rPr>
        <w:t>我们与治理层就计划的审计范围、时间安排和重大审计发现等事项进行沟通，包括沟通我们</w:t>
      </w:r>
      <w:r>
        <w:rPr>
          <w:w w:val="100"/>
        </w:rPr>
        <w:t> </w:t>
      </w:r>
      <w:r>
        <w:rPr/>
        <w:t>在审计中识别出的值得关注的内部控制缺陷。</w:t>
      </w:r>
    </w:p>
    <w:p>
      <w:pPr>
        <w:pStyle w:val="BodyText"/>
        <w:spacing w:line="355" w:lineRule="auto" w:before="32"/>
        <w:ind w:right="137" w:firstLine="419"/>
        <w:jc w:val="both"/>
      </w:pPr>
      <w:r>
        <w:rPr>
          <w:spacing w:val="-2"/>
        </w:rPr>
        <w:t>我们还就已遵守与独立性相关的职业道德要求向治理层提供声明，并与治理层沟通可能被合</w:t>
      </w:r>
      <w:r>
        <w:rPr>
          <w:w w:val="100"/>
        </w:rPr>
        <w:t> </w:t>
      </w:r>
      <w:r>
        <w:rPr/>
        <w:t>理认为影响我们独立性的所有关系和其他事项，以及相关的防范措施（如适用）。</w:t>
      </w:r>
    </w:p>
    <w:p>
      <w:pPr>
        <w:pStyle w:val="BodyText"/>
        <w:spacing w:line="355" w:lineRule="auto" w:before="35"/>
        <w:ind w:right="137" w:firstLine="419"/>
        <w:jc w:val="both"/>
      </w:pPr>
      <w:r>
        <w:rPr>
          <w:spacing w:val="-2"/>
        </w:rPr>
        <w:t>从与治理层沟通过的事项中，我们确定哪些事项对本期财务报表审计最为重要，因而构成关</w:t>
      </w:r>
      <w:r>
        <w:rPr>
          <w:w w:val="100"/>
        </w:rPr>
        <w:t> </w:t>
      </w:r>
      <w:r>
        <w:rPr>
          <w:spacing w:val="-2"/>
        </w:rPr>
        <w:t>键审计事项。我们在审计报告中描述这些事项，除非法律法规禁止公开披露这些事项，或在极少</w:t>
      </w:r>
      <w:r>
        <w:rPr>
          <w:spacing w:val="-25"/>
        </w:rPr>
        <w:t> </w:t>
      </w:r>
      <w:r>
        <w:rPr>
          <w:spacing w:val="-25"/>
        </w:rPr>
      </w:r>
      <w:r>
        <w:rPr>
          <w:spacing w:val="-2"/>
        </w:rPr>
        <w:t>数情形下，如果合理预期在审计报告中沟通某事项造成的负面后果超过在公众利益方面产生的益</w:t>
      </w:r>
      <w:r>
        <w:rPr>
          <w:spacing w:val="-25"/>
        </w:rPr>
        <w:t> </w:t>
      </w:r>
      <w:r>
        <w:rPr>
          <w:spacing w:val="-25"/>
        </w:rPr>
      </w:r>
      <w:r>
        <w:rPr/>
        <w:t>处，我们确定不应在审计报告中沟通该事项。</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tabs>
          <w:tab w:pos="4338" w:val="left" w:leader="none"/>
        </w:tabs>
        <w:spacing w:line="240" w:lineRule="auto"/>
        <w:ind w:right="0"/>
        <w:jc w:val="left"/>
      </w:pPr>
      <w:r>
        <w:rPr>
          <w:spacing w:val="-2"/>
        </w:rPr>
        <w:t>天健会计师事务所（特殊普通合伙）</w:t>
        <w:tab/>
        <w:t>中国注册会计师：李雯宇</w:t>
      </w:r>
    </w:p>
    <w:p>
      <w:pPr>
        <w:pStyle w:val="BodyText"/>
        <w:spacing w:line="240" w:lineRule="auto" w:before="133"/>
        <w:ind w:left="2007" w:right="963"/>
        <w:jc w:val="center"/>
      </w:pPr>
      <w:r>
        <w:rPr/>
        <w:t>（项目合伙人）</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tabs>
          <w:tab w:pos="4338" w:val="left" w:leader="none"/>
        </w:tabs>
        <w:spacing w:line="357" w:lineRule="auto"/>
        <w:ind w:left="4338" w:right="2451" w:hanging="2941"/>
        <w:jc w:val="left"/>
      </w:pPr>
      <w:r>
        <w:rPr>
          <w:spacing w:val="-1"/>
        </w:rPr>
        <w:t>中国·杭州</w:t>
        <w:tab/>
      </w:r>
      <w:r>
        <w:rPr>
          <w:spacing w:val="-2"/>
        </w:rPr>
        <w:t>中国注册会计师：李灵辉</w:t>
      </w:r>
      <w:r>
        <w:rPr>
          <w:spacing w:val="-82"/>
        </w:rPr>
        <w:t> </w:t>
      </w:r>
      <w:r>
        <w:rPr>
          <w:spacing w:val="-82"/>
        </w:rPr>
      </w:r>
      <w:r>
        <w:rPr/>
        <w:t>二〇一八年四月十六日</w:t>
      </w:r>
    </w:p>
    <w:p>
      <w:pPr>
        <w:spacing w:after="0" w:line="357" w:lineRule="auto"/>
        <w:jc w:val="left"/>
        <w:sectPr>
          <w:pgSz w:w="11910" w:h="16840"/>
          <w:pgMar w:header="877" w:footer="1195" w:top="1100" w:bottom="1380" w:left="1660" w:right="114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1040"/>
        </w:sectPr>
      </w:pPr>
    </w:p>
    <w:p>
      <w:pPr>
        <w:pStyle w:val="Heading2"/>
        <w:spacing w:line="240" w:lineRule="auto" w:before="36"/>
        <w:ind w:right="-16"/>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72" w:lineRule="exact" w:before="135"/>
        <w:ind w:left="218" w:right="3767" w:firstLine="338"/>
        <w:jc w:val="left"/>
        <w:rPr>
          <w:rFonts w:ascii="宋体" w:hAnsi="宋体" w:cs="宋体" w:eastAsia="宋体" w:hint="default"/>
          <w:sz w:val="21"/>
          <w:szCs w:val="21"/>
        </w:rPr>
      </w:pPr>
      <w:r>
        <w:rPr>
          <w:rFonts w:ascii="宋体" w:hAnsi="宋体" w:cs="宋体" w:eastAsia="宋体" w:hint="default"/>
          <w:b/>
          <w:bCs/>
          <w:sz w:val="21"/>
          <w:szCs w:val="21"/>
        </w:rPr>
        <w:t>资产负债表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after="0" w:line="272" w:lineRule="exact"/>
        <w:jc w:val="left"/>
        <w:rPr>
          <w:rFonts w:ascii="宋体" w:hAnsi="宋体" w:cs="宋体" w:eastAsia="宋体" w:hint="default"/>
          <w:sz w:val="21"/>
          <w:szCs w:val="21"/>
        </w:rPr>
        <w:sectPr>
          <w:type w:val="continuous"/>
          <w:pgSz w:w="11910" w:h="16840"/>
          <w:pgMar w:top="1120" w:bottom="1380" w:left="1580" w:right="1040"/>
          <w:cols w:num="2" w:equalWidth="0">
            <w:col w:w="1488" w:space="2062"/>
            <w:col w:w="5740"/>
          </w:cols>
        </w:sectPr>
      </w:pPr>
    </w:p>
    <w:p>
      <w:pPr>
        <w:pStyle w:val="BodyText"/>
        <w:spacing w:line="247" w:lineRule="exact"/>
        <w:ind w:left="218" w:right="3084"/>
        <w:jc w:val="left"/>
      </w:pPr>
      <w:r>
        <w:rPr/>
        <w:t>编制单位</w:t>
      </w:r>
      <w:r>
        <w:rPr>
          <w:rFonts w:ascii="宋体" w:hAnsi="宋体" w:cs="宋体" w:eastAsia="宋体" w:hint="default"/>
        </w:rPr>
        <w:t>:</w:t>
      </w:r>
      <w:r>
        <w:rPr>
          <w:rFonts w:ascii="宋体" w:hAnsi="宋体" w:cs="宋体" w:eastAsia="宋体" w:hint="default"/>
          <w:spacing w:val="-2"/>
        </w:rPr>
        <w:t> </w:t>
      </w:r>
      <w:r>
        <w:rPr/>
        <w:t>恒银金融科技股份有限公司</w:t>
      </w:r>
    </w:p>
    <w:p>
      <w:pPr>
        <w:pStyle w:val="BodyText"/>
        <w:tabs>
          <w:tab w:pos="946" w:val="left" w:leader="none"/>
        </w:tabs>
        <w:spacing w:line="273" w:lineRule="exact"/>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65"/>
        <w:gridCol w:w="960"/>
        <w:gridCol w:w="2196"/>
        <w:gridCol w:w="2228"/>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6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4"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456,292,564.12</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440,882,701.92</w:t>
            </w:r>
          </w:p>
        </w:tc>
      </w:tr>
      <w:tr>
        <w:trPr>
          <w:trHeight w:val="55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519,126,254.93</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442,453,907.94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10,251,877.73</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33,030,649.06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18,076,843.00</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17,444,626.36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565,176,754.82</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707,726,211.81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537,810,486.11</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1,132,075.48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2,106,734,780.71</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1,642,670,172.57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163,126,123.35</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167,682,153.66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217,403.77</w:t>
            </w: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21,326,509.50</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19,758,912.96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2,215,671.93</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848,511.01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39,092,593.58</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21,997,857.24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225,978,302.13</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210,287,434.87</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2,332,713,082.84</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1,852,957,607.44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312"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272,500,000.00</w:t>
            </w:r>
          </w:p>
        </w:tc>
      </w:tr>
      <w:tr>
        <w:trPr>
          <w:trHeight w:val="56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114,848,303.72</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237,111,874.46</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65"/>
        <w:gridCol w:w="960"/>
        <w:gridCol w:w="2196"/>
        <w:gridCol w:w="2228"/>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174,351,931.56</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194,981,847.49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179,129,552.14</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212,307,613.58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20,906,095.74</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19,685,441.92</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27,530,654.78</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46,504,828.33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411,556.61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4,799,387.02</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6,965,836.50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521,565,924.96</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990,468,998.89</w:t>
            </w: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219,880,372.40</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119,893,066.71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8,269,572.23</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9,949,456.51</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228,149,944.63</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129,842,523.22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749,715,869.59</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1,120,311,522.11</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280,000,000.00</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210,000,000.00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982,905,846.82</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351,767,178.32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228"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32,009,136.64</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17,087,890.70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288,082,229.79</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153,791,016.31</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1,582,997,213.25</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732,646,085.33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6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2,332,713,082.84</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1,852,957,607.44</w:t>
            </w:r>
          </w:p>
        </w:tc>
      </w:tr>
    </w:tbl>
    <w:p>
      <w:pPr>
        <w:spacing w:line="240" w:lineRule="auto" w:before="7"/>
        <w:rPr>
          <w:rFonts w:ascii="宋体" w:hAnsi="宋体" w:cs="宋体" w:eastAsia="宋体" w:hint="default"/>
          <w:sz w:val="15"/>
          <w:szCs w:val="15"/>
        </w:rPr>
      </w:pPr>
    </w:p>
    <w:p>
      <w:pPr>
        <w:pStyle w:val="BodyText"/>
        <w:tabs>
          <w:tab w:pos="3158" w:val="left" w:leader="none"/>
          <w:tab w:pos="6730" w:val="left" w:leader="none"/>
        </w:tabs>
        <w:spacing w:line="240" w:lineRule="auto" w:before="36"/>
        <w:ind w:left="218" w:right="227"/>
        <w:jc w:val="left"/>
      </w:pPr>
      <w:r>
        <w:rPr>
          <w:spacing w:val="-1"/>
        </w:rPr>
        <w:t>法定代表人：江浩然</w:t>
        <w:tab/>
      </w:r>
      <w:r>
        <w:rPr>
          <w:spacing w:val="-2"/>
        </w:rPr>
        <w:t>主管会计工作负责人：温健</w:t>
        <w:tab/>
        <w:t>会计机构负责人：云泽杨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95" w:top="1100" w:bottom="1380" w:left="1580" w:right="1040"/>
        </w:sectPr>
      </w:pPr>
    </w:p>
    <w:p>
      <w:pPr>
        <w:pStyle w:val="Heading2"/>
        <w:spacing w:line="274" w:lineRule="exact" w:before="36"/>
        <w:ind w:left="0" w:right="444"/>
        <w:jc w:val="right"/>
        <w:rPr>
          <w:b w:val="0"/>
          <w:bCs w:val="0"/>
        </w:rPr>
      </w:pPr>
      <w:r>
        <w:rPr/>
        <w:t>利润表</w:t>
      </w:r>
      <w:r>
        <w:rPr>
          <w:b w:val="0"/>
          <w:bCs w:val="0"/>
        </w:rPr>
      </w:r>
    </w:p>
    <w:p>
      <w:pPr>
        <w:pStyle w:val="BodyText"/>
        <w:spacing w:line="274" w:lineRule="exact"/>
        <w:ind w:left="0" w:right="0"/>
        <w:jc w:val="right"/>
      </w:pPr>
      <w:r>
        <w:rPr>
          <w:rFonts w:ascii="宋体" w:hAnsi="宋体" w:cs="宋体" w:eastAsia="宋体" w:hint="default"/>
        </w:rPr>
        <w:t>2017</w:t>
      </w:r>
      <w:r>
        <w:rPr>
          <w:rFonts w:ascii="宋体" w:hAnsi="宋体" w:cs="宋体" w:eastAsia="宋体" w:hint="default"/>
          <w:spacing w:val="-54"/>
        </w:rPr>
        <w:t> </w:t>
      </w:r>
      <w:r>
        <w:rPr/>
        <w:t>年</w:t>
      </w:r>
      <w:r>
        <w:rPr>
          <w:spacing w:val="-51"/>
        </w:rPr>
        <w:t> </w:t>
      </w:r>
      <w:r>
        <w:rPr>
          <w:rFonts w:ascii="宋体" w:hAnsi="宋体" w:cs="宋体" w:eastAsia="宋体" w:hint="default"/>
        </w:rPr>
        <w:t>1</w:t>
      </w:r>
      <w:r>
        <w:rPr/>
        <w:t>—</w:t>
      </w:r>
      <w:r>
        <w:rPr>
          <w:rFonts w:ascii="宋体" w:hAnsi="宋体" w:cs="宋体" w:eastAsia="宋体" w:hint="default"/>
        </w:rPr>
        <w:t>12</w:t>
      </w:r>
      <w:r>
        <w:rPr>
          <w:rFonts w:ascii="宋体" w:hAnsi="宋体" w:cs="宋体" w:eastAsia="宋体" w:hint="default"/>
          <w:spacing w:val="-54"/>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55" w:val="left" w:leader="none"/>
        </w:tabs>
        <w:spacing w:line="240" w:lineRule="auto"/>
        <w:ind w:left="1409"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660"/>
        <w:gridCol w:w="1418"/>
        <w:gridCol w:w="2693"/>
        <w:gridCol w:w="2278"/>
      </w:tblGrid>
      <w:tr>
        <w:trPr>
          <w:trHeight w:val="286"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31"/>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418"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1,484,155,291.00</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1,168,731,972.09</w:t>
            </w:r>
          </w:p>
        </w:tc>
      </w:tr>
      <w:tr>
        <w:trPr>
          <w:trHeight w:val="288"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87"/>
              <w:jc w:val="right"/>
              <w:rPr>
                <w:rFonts w:ascii="宋体" w:hAnsi="宋体" w:cs="宋体" w:eastAsia="宋体" w:hint="default"/>
                <w:sz w:val="21"/>
                <w:szCs w:val="21"/>
              </w:rPr>
            </w:pPr>
            <w:r>
              <w:rPr>
                <w:rFonts w:ascii="宋体" w:hAnsi="宋体" w:cs="宋体" w:eastAsia="宋体" w:hint="default"/>
                <w:spacing w:val="-1"/>
                <w:sz w:val="21"/>
                <w:szCs w:val="21"/>
              </w:rPr>
              <w:t>减：营业成本</w:t>
            </w:r>
          </w:p>
        </w:tc>
        <w:tc>
          <w:tcPr>
            <w:tcW w:w="1418"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978,291,188.90</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730,069,313.59</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660"/>
        <w:gridCol w:w="1418"/>
        <w:gridCol w:w="2693"/>
        <w:gridCol w:w="2278"/>
      </w:tblGrid>
      <w:tr>
        <w:trPr>
          <w:trHeight w:val="288"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418"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7,108,516.97</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3"/>
              <w:jc w:val="right"/>
              <w:rPr>
                <w:rFonts w:ascii="宋体" w:hAnsi="宋体" w:cs="宋体" w:eastAsia="宋体" w:hint="default"/>
                <w:sz w:val="21"/>
                <w:szCs w:val="21"/>
              </w:rPr>
            </w:pPr>
            <w:r>
              <w:rPr>
                <w:rFonts w:ascii="宋体"/>
                <w:spacing w:val="-1"/>
                <w:sz w:val="21"/>
              </w:rPr>
              <w:t>9,728,730.20</w:t>
            </w:r>
          </w:p>
        </w:tc>
      </w:tr>
      <w:tr>
        <w:trPr>
          <w:trHeight w:val="288"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418"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232,459,942.40</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194,424,805.74</w:t>
            </w:r>
          </w:p>
        </w:tc>
      </w:tr>
      <w:tr>
        <w:trPr>
          <w:trHeight w:val="288"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418"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124,781,189.01</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103,087,517.52</w:t>
            </w:r>
          </w:p>
        </w:tc>
      </w:tr>
      <w:tr>
        <w:trPr>
          <w:trHeight w:val="286"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418"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spacing w:val="-1"/>
                <w:sz w:val="20"/>
              </w:rPr>
              <w:t>4,728,473.59</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17,767,772.10</w:t>
            </w:r>
          </w:p>
        </w:tc>
      </w:tr>
      <w:tr>
        <w:trPr>
          <w:trHeight w:val="288"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418"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16,426,700.94</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9,823,372.62</w:t>
            </w:r>
          </w:p>
        </w:tc>
      </w:tr>
      <w:tr>
        <w:trPr>
          <w:trHeight w:val="559"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2" w:right="0"/>
              <w:jc w:val="left"/>
              <w:rPr>
                <w:rFonts w:ascii="宋体" w:hAnsi="宋体" w:cs="宋体" w:eastAsia="宋体" w:hint="default"/>
                <w:sz w:val="21"/>
                <w:szCs w:val="21"/>
              </w:rPr>
            </w:pPr>
            <w:r>
              <w:rPr>
                <w:rFonts w:ascii="宋体" w:hAnsi="宋体" w:cs="宋体" w:eastAsia="宋体" w:hint="default"/>
                <w:sz w:val="21"/>
                <w:szCs w:val="21"/>
              </w:rPr>
              <w:t>加：公允价值变动收益</w:t>
            </w:r>
          </w:p>
          <w:p>
            <w:pPr>
              <w:pStyle w:val="TableParagraph"/>
              <w:spacing w:line="274" w:lineRule="exact"/>
              <w:ind w:left="83" w:right="0"/>
              <w:jc w:val="left"/>
              <w:rPr>
                <w:rFonts w:ascii="宋体" w:hAnsi="宋体" w:cs="宋体" w:eastAsia="宋体" w:hint="default"/>
                <w:sz w:val="21"/>
                <w:szCs w:val="21"/>
              </w:rPr>
            </w:pPr>
            <w:r>
              <w:rPr>
                <w:rFonts w:ascii="宋体" w:hAnsi="宋体" w:cs="宋体" w:eastAsia="宋体" w:hint="default"/>
                <w:sz w:val="21"/>
                <w:szCs w:val="21"/>
              </w:rPr>
              <w:t>（损失以“－”号填列）</w:t>
            </w:r>
          </w:p>
        </w:tc>
        <w:tc>
          <w:tcPr>
            <w:tcW w:w="1418"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418"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9"/>
              <w:jc w:val="right"/>
              <w:rPr>
                <w:rFonts w:ascii="宋体" w:hAnsi="宋体" w:cs="宋体" w:eastAsia="宋体" w:hint="default"/>
                <w:sz w:val="20"/>
                <w:szCs w:val="20"/>
              </w:rPr>
            </w:pPr>
            <w:r>
              <w:rPr>
                <w:rFonts w:ascii="宋体"/>
                <w:spacing w:val="-1"/>
                <w:sz w:val="20"/>
              </w:rPr>
              <w:t>1,524,492.15</w:t>
            </w:r>
          </w:p>
        </w:tc>
        <w:tc>
          <w:tcPr>
            <w:tcW w:w="2278"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pacing w:val="-10"/>
                <w:sz w:val="21"/>
                <w:szCs w:val="21"/>
              </w:rPr>
              <w:t>其中：对联营企业和</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合营企业的投资收益</w:t>
            </w:r>
          </w:p>
        </w:tc>
        <w:tc>
          <w:tcPr>
            <w:tcW w:w="1418"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pacing w:val="-10"/>
                <w:sz w:val="21"/>
                <w:szCs w:val="21"/>
              </w:rPr>
              <w:t>资产处置收益（损失</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以“－”号填列）</w:t>
            </w:r>
          </w:p>
        </w:tc>
        <w:tc>
          <w:tcPr>
            <w:tcW w:w="1418"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418"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44,965,137.26</w:t>
            </w:r>
            <w:r>
              <w:rPr>
                <w:rFonts w:ascii="宋体"/>
                <w:sz w:val="20"/>
              </w:rPr>
            </w:r>
          </w:p>
        </w:tc>
        <w:tc>
          <w:tcPr>
            <w:tcW w:w="227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81" w:right="-8"/>
              <w:jc w:val="left"/>
              <w:rPr>
                <w:rFonts w:ascii="宋体" w:hAnsi="宋体" w:cs="宋体" w:eastAsia="宋体" w:hint="default"/>
                <w:sz w:val="21"/>
                <w:szCs w:val="21"/>
              </w:rPr>
            </w:pPr>
            <w:r>
              <w:rPr>
                <w:rFonts w:ascii="宋体" w:hAnsi="宋体" w:cs="宋体" w:eastAsia="宋体" w:hint="default"/>
                <w:spacing w:val="-14"/>
                <w:sz w:val="21"/>
                <w:szCs w:val="21"/>
              </w:rPr>
              <w:t>二、营业利润（亏损以“－”</w:t>
            </w:r>
          </w:p>
          <w:p>
            <w:pPr>
              <w:pStyle w:val="TableParagraph"/>
              <w:spacing w:line="273" w:lineRule="exact"/>
              <w:ind w:left="81"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418"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166,848,908.60</w:t>
            </w:r>
            <w:r>
              <w:rPr>
                <w:rFonts w:ascii="宋体"/>
                <w:sz w:val="20"/>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103,830,460.32</w:t>
            </w:r>
          </w:p>
        </w:tc>
      </w:tr>
      <w:tr>
        <w:trPr>
          <w:trHeight w:val="288"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418"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spacing w:val="-1"/>
                <w:sz w:val="20"/>
              </w:rPr>
              <w:t>3,701,970.24</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62,721,393.88</w:t>
            </w:r>
          </w:p>
        </w:tc>
      </w:tr>
      <w:tr>
        <w:trPr>
          <w:trHeight w:val="286"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418"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80,194.00</w:t>
            </w:r>
          </w:p>
        </w:tc>
        <w:tc>
          <w:tcPr>
            <w:tcW w:w="227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pacing w:val="-7"/>
                <w:sz w:val="21"/>
                <w:szCs w:val="21"/>
              </w:rPr>
              <w:t>三、利润总额（亏损总额以</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418"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170,470,684.84</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166,551,854.20</w:t>
            </w:r>
          </w:p>
        </w:tc>
      </w:tr>
      <w:tr>
        <w:trPr>
          <w:trHeight w:val="288"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92"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418"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21,258,225.42</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22,644,386.62</w:t>
            </w:r>
          </w:p>
        </w:tc>
      </w:tr>
      <w:tr>
        <w:trPr>
          <w:trHeight w:val="559"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8"/>
              <w:jc w:val="left"/>
              <w:rPr>
                <w:rFonts w:ascii="宋体" w:hAnsi="宋体" w:cs="宋体" w:eastAsia="宋体" w:hint="default"/>
                <w:sz w:val="21"/>
                <w:szCs w:val="21"/>
              </w:rPr>
            </w:pPr>
            <w:r>
              <w:rPr>
                <w:rFonts w:ascii="宋体" w:hAnsi="宋体" w:cs="宋体" w:eastAsia="宋体" w:hint="default"/>
                <w:spacing w:val="-14"/>
                <w:sz w:val="21"/>
                <w:szCs w:val="21"/>
              </w:rPr>
              <w:t>四、净利润（净亏损以“－”</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418"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149,212,459.42</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143,907,467.58</w:t>
            </w:r>
          </w:p>
        </w:tc>
      </w:tr>
      <w:tr>
        <w:trPr>
          <w:trHeight w:val="562"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pacing w:val="-8"/>
                <w:sz w:val="21"/>
                <w:szCs w:val="21"/>
              </w:rPr>
              <w:t>(</w:t>
            </w:r>
            <w:r>
              <w:rPr>
                <w:rFonts w:ascii="宋体" w:hAnsi="宋体" w:cs="宋体" w:eastAsia="宋体" w:hint="default"/>
                <w:spacing w:val="-8"/>
                <w:sz w:val="21"/>
                <w:szCs w:val="21"/>
              </w:rPr>
              <w:t>一</w:t>
            </w:r>
            <w:r>
              <w:rPr>
                <w:rFonts w:ascii="宋体" w:hAnsi="宋体" w:cs="宋体" w:eastAsia="宋体" w:hint="default"/>
                <w:spacing w:val="-8"/>
                <w:sz w:val="21"/>
                <w:szCs w:val="21"/>
              </w:rPr>
              <w:t>)</w:t>
            </w:r>
            <w:r>
              <w:rPr>
                <w:rFonts w:ascii="宋体" w:hAnsi="宋体" w:cs="宋体" w:eastAsia="宋体" w:hint="default"/>
                <w:spacing w:val="-8"/>
                <w:sz w:val="21"/>
                <w:szCs w:val="21"/>
              </w:rPr>
              <w:t>持续经营净利润（净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亏损以“－”号填列）</w:t>
            </w:r>
          </w:p>
        </w:tc>
        <w:tc>
          <w:tcPr>
            <w:tcW w:w="1418"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149,212,459.42</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3"/>
              <w:jc w:val="right"/>
              <w:rPr>
                <w:rFonts w:ascii="宋体" w:hAnsi="宋体" w:cs="宋体" w:eastAsia="宋体" w:hint="default"/>
                <w:sz w:val="21"/>
                <w:szCs w:val="21"/>
              </w:rPr>
            </w:pPr>
            <w:r>
              <w:rPr>
                <w:rFonts w:ascii="宋体"/>
                <w:spacing w:val="-1"/>
                <w:sz w:val="21"/>
              </w:rPr>
              <w:t>143,907,467.58</w:t>
            </w:r>
          </w:p>
        </w:tc>
      </w:tr>
      <w:tr>
        <w:trPr>
          <w:trHeight w:val="559"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81" w:right="0"/>
              <w:jc w:val="center"/>
              <w:rPr>
                <w:rFonts w:ascii="宋体" w:hAnsi="宋体" w:cs="宋体" w:eastAsia="宋体" w:hint="default"/>
                <w:sz w:val="21"/>
                <w:szCs w:val="21"/>
              </w:rPr>
            </w:pPr>
            <w:r>
              <w:rPr>
                <w:rFonts w:ascii="宋体" w:hAnsi="宋体" w:cs="宋体" w:eastAsia="宋体" w:hint="default"/>
                <w:sz w:val="21"/>
                <w:szCs w:val="21"/>
              </w:rPr>
              <w:t>（二）终止经营净利润</w:t>
            </w:r>
          </w:p>
          <w:p>
            <w:pPr>
              <w:pStyle w:val="TableParagraph"/>
              <w:spacing w:line="273" w:lineRule="exact"/>
              <w:ind w:left="79" w:right="0"/>
              <w:jc w:val="center"/>
              <w:rPr>
                <w:rFonts w:ascii="宋体" w:hAnsi="宋体" w:cs="宋体" w:eastAsia="宋体" w:hint="default"/>
                <w:sz w:val="21"/>
                <w:szCs w:val="21"/>
              </w:rPr>
            </w:pPr>
            <w:r>
              <w:rPr>
                <w:rFonts w:ascii="宋体" w:hAnsi="宋体" w:cs="宋体" w:eastAsia="宋体" w:hint="default"/>
                <w:sz w:val="21"/>
                <w:szCs w:val="21"/>
              </w:rPr>
              <w:t>（净亏损以“－”号填列）</w:t>
            </w:r>
          </w:p>
        </w:tc>
        <w:tc>
          <w:tcPr>
            <w:tcW w:w="1418"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0" w:right="0"/>
              <w:jc w:val="left"/>
              <w:rPr>
                <w:rFonts w:ascii="宋体" w:hAnsi="宋体" w:cs="宋体" w:eastAsia="宋体" w:hint="default"/>
                <w:sz w:val="21"/>
                <w:szCs w:val="21"/>
              </w:rPr>
            </w:pPr>
            <w:r>
              <w:rPr>
                <w:rFonts w:ascii="宋体" w:hAnsi="宋体" w:cs="宋体" w:eastAsia="宋体" w:hint="default"/>
                <w:spacing w:val="-5"/>
                <w:sz w:val="21"/>
                <w:szCs w:val="21"/>
              </w:rPr>
              <w:t>五、其他综合收益的税后净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418"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9"/>
                <w:sz w:val="21"/>
                <w:szCs w:val="21"/>
              </w:rPr>
              <w:t>（一）以后不能重分类进</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损益的其他综合收益</w:t>
            </w:r>
          </w:p>
        </w:tc>
        <w:tc>
          <w:tcPr>
            <w:tcW w:w="1418"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firstLine="419"/>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w:t>
            </w:r>
          </w:p>
          <w:p>
            <w:pPr>
              <w:pStyle w:val="TableParagraph"/>
              <w:spacing w:line="272" w:lineRule="exact" w:before="27"/>
              <w:ind w:left="81" w:right="248"/>
              <w:jc w:val="left"/>
              <w:rPr>
                <w:rFonts w:ascii="宋体" w:hAnsi="宋体" w:cs="宋体" w:eastAsia="宋体" w:hint="default"/>
                <w:sz w:val="21"/>
                <w:szCs w:val="21"/>
              </w:rPr>
            </w:pPr>
            <w:r>
              <w:rPr>
                <w:rFonts w:ascii="宋体" w:hAnsi="宋体" w:cs="宋体" w:eastAsia="宋体" w:hint="default"/>
                <w:sz w:val="21"/>
                <w:szCs w:val="21"/>
              </w:rPr>
              <w:t>计划净负债或净资产的变</w:t>
            </w:r>
            <w:r>
              <w:rPr>
                <w:rFonts w:ascii="宋体" w:hAnsi="宋体" w:cs="宋体" w:eastAsia="宋体" w:hint="default"/>
                <w:w w:val="100"/>
                <w:sz w:val="21"/>
                <w:szCs w:val="21"/>
              </w:rPr>
              <w:t> </w:t>
            </w:r>
            <w:r>
              <w:rPr>
                <w:rFonts w:ascii="宋体" w:hAnsi="宋体" w:cs="宋体" w:eastAsia="宋体" w:hint="default"/>
                <w:sz w:val="21"/>
                <w:szCs w:val="21"/>
              </w:rPr>
              <w:t>动</w:t>
            </w:r>
          </w:p>
        </w:tc>
        <w:tc>
          <w:tcPr>
            <w:tcW w:w="1418"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r>
      <w:tr>
        <w:trPr>
          <w:trHeight w:val="1105"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firstLine="419"/>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w:t>
            </w:r>
          </w:p>
          <w:p>
            <w:pPr>
              <w:pStyle w:val="TableParagraph"/>
              <w:spacing w:line="237" w:lineRule="auto" w:before="2"/>
              <w:ind w:left="81" w:right="247"/>
              <w:jc w:val="both"/>
              <w:rPr>
                <w:rFonts w:ascii="宋体" w:hAnsi="宋体" w:cs="宋体" w:eastAsia="宋体" w:hint="default"/>
                <w:sz w:val="21"/>
                <w:szCs w:val="21"/>
              </w:rPr>
            </w:pPr>
            <w:r>
              <w:rPr>
                <w:rFonts w:ascii="宋体" w:hAnsi="宋体" w:cs="宋体" w:eastAsia="宋体" w:hint="default"/>
                <w:sz w:val="21"/>
                <w:szCs w:val="21"/>
              </w:rPr>
              <w:t>单位不能重分类进损益的</w:t>
            </w:r>
            <w:r>
              <w:rPr>
                <w:rFonts w:ascii="宋体" w:hAnsi="宋体" w:cs="宋体" w:eastAsia="宋体" w:hint="default"/>
                <w:w w:val="100"/>
                <w:sz w:val="21"/>
                <w:szCs w:val="21"/>
              </w:rPr>
              <w:t> </w:t>
            </w:r>
            <w:r>
              <w:rPr>
                <w:rFonts w:ascii="宋体" w:hAnsi="宋体" w:cs="宋体" w:eastAsia="宋体" w:hint="default"/>
                <w:sz w:val="21"/>
                <w:szCs w:val="21"/>
              </w:rPr>
              <w:t>其他综合收益中享有的份</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418"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9"/>
                <w:sz w:val="21"/>
                <w:szCs w:val="21"/>
              </w:rPr>
              <w:t>（二）以后将重分类进损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益的其他综合收益</w:t>
            </w:r>
          </w:p>
        </w:tc>
        <w:tc>
          <w:tcPr>
            <w:tcW w:w="1418"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firstLine="419"/>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w:t>
            </w:r>
          </w:p>
          <w:p>
            <w:pPr>
              <w:pStyle w:val="TableParagraph"/>
              <w:spacing w:line="237" w:lineRule="auto" w:before="2"/>
              <w:ind w:left="81" w:right="247"/>
              <w:jc w:val="both"/>
              <w:rPr>
                <w:rFonts w:ascii="宋体" w:hAnsi="宋体" w:cs="宋体" w:eastAsia="宋体" w:hint="default"/>
                <w:sz w:val="21"/>
                <w:szCs w:val="21"/>
              </w:rPr>
            </w:pPr>
            <w:r>
              <w:rPr>
                <w:rFonts w:ascii="宋体" w:hAnsi="宋体" w:cs="宋体" w:eastAsia="宋体" w:hint="default"/>
                <w:sz w:val="21"/>
                <w:szCs w:val="21"/>
              </w:rPr>
              <w:t>单位以后将重分类进损益</w:t>
            </w:r>
            <w:r>
              <w:rPr>
                <w:rFonts w:ascii="宋体" w:hAnsi="宋体" w:cs="宋体" w:eastAsia="宋体" w:hint="default"/>
                <w:w w:val="100"/>
                <w:sz w:val="21"/>
                <w:szCs w:val="21"/>
              </w:rPr>
              <w:t> </w:t>
            </w:r>
            <w:r>
              <w:rPr>
                <w:rFonts w:ascii="宋体" w:hAnsi="宋体" w:cs="宋体" w:eastAsia="宋体" w:hint="default"/>
                <w:sz w:val="21"/>
                <w:szCs w:val="21"/>
              </w:rPr>
              <w:t>的其他综合收益中享有的</w:t>
            </w:r>
            <w:r>
              <w:rPr>
                <w:rFonts w:ascii="宋体" w:hAnsi="宋体" w:cs="宋体" w:eastAsia="宋体" w:hint="default"/>
                <w:w w:val="100"/>
                <w:sz w:val="21"/>
                <w:szCs w:val="21"/>
              </w:rPr>
              <w:t> </w:t>
            </w:r>
            <w:r>
              <w:rPr>
                <w:rFonts w:ascii="宋体" w:hAnsi="宋体" w:cs="宋体" w:eastAsia="宋体" w:hint="default"/>
                <w:sz w:val="21"/>
                <w:szCs w:val="21"/>
              </w:rPr>
              <w:t>份额</w:t>
            </w:r>
          </w:p>
        </w:tc>
        <w:tc>
          <w:tcPr>
            <w:tcW w:w="1418"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w:t>
            </w:r>
          </w:p>
          <w:p>
            <w:pPr>
              <w:pStyle w:val="TableParagraph"/>
              <w:spacing w:line="273" w:lineRule="exact"/>
              <w:ind w:left="81" w:right="0"/>
              <w:jc w:val="left"/>
              <w:rPr>
                <w:rFonts w:ascii="宋体" w:hAnsi="宋体" w:cs="宋体" w:eastAsia="宋体" w:hint="default"/>
                <w:sz w:val="21"/>
                <w:szCs w:val="21"/>
              </w:rPr>
            </w:pPr>
            <w:r>
              <w:rPr>
                <w:rFonts w:ascii="宋体" w:hAnsi="宋体" w:cs="宋体" w:eastAsia="宋体" w:hint="default"/>
                <w:sz w:val="21"/>
                <w:szCs w:val="21"/>
              </w:rPr>
              <w:t>公允价值变动损益</w:t>
            </w:r>
          </w:p>
        </w:tc>
        <w:tc>
          <w:tcPr>
            <w:tcW w:w="1418"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81" w:right="0" w:firstLine="419"/>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w:t>
            </w:r>
          </w:p>
          <w:p>
            <w:pPr>
              <w:pStyle w:val="TableParagraph"/>
              <w:spacing w:line="240" w:lineRule="auto"/>
              <w:ind w:left="81" w:right="247"/>
              <w:jc w:val="left"/>
              <w:rPr>
                <w:rFonts w:ascii="宋体" w:hAnsi="宋体" w:cs="宋体" w:eastAsia="宋体" w:hint="default"/>
                <w:sz w:val="21"/>
                <w:szCs w:val="21"/>
              </w:rPr>
            </w:pPr>
            <w:r>
              <w:rPr>
                <w:rFonts w:ascii="宋体" w:hAnsi="宋体" w:cs="宋体" w:eastAsia="宋体" w:hint="default"/>
                <w:sz w:val="21"/>
                <w:szCs w:val="21"/>
              </w:rPr>
              <w:t>分类为可供出售金融资产</w:t>
            </w:r>
            <w:r>
              <w:rPr>
                <w:rFonts w:ascii="宋体" w:hAnsi="宋体" w:cs="宋体" w:eastAsia="宋体" w:hint="default"/>
                <w:w w:val="100"/>
                <w:sz w:val="21"/>
                <w:szCs w:val="21"/>
              </w:rPr>
              <w:t> </w:t>
            </w:r>
            <w:r>
              <w:rPr>
                <w:rFonts w:ascii="宋体" w:hAnsi="宋体" w:cs="宋体" w:eastAsia="宋体" w:hint="default"/>
                <w:sz w:val="21"/>
                <w:szCs w:val="21"/>
              </w:rPr>
              <w:t>损益</w:t>
            </w:r>
          </w:p>
        </w:tc>
        <w:tc>
          <w:tcPr>
            <w:tcW w:w="1418"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660"/>
        <w:gridCol w:w="1418"/>
        <w:gridCol w:w="2693"/>
        <w:gridCol w:w="2278"/>
      </w:tblGrid>
      <w:tr>
        <w:trPr>
          <w:trHeight w:val="562"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0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w:t>
            </w:r>
          </w:p>
          <w:p>
            <w:pPr>
              <w:pStyle w:val="TableParagraph"/>
              <w:spacing w:line="273" w:lineRule="exact"/>
              <w:ind w:left="81" w:right="0"/>
              <w:jc w:val="left"/>
              <w:rPr>
                <w:rFonts w:ascii="宋体" w:hAnsi="宋体" w:cs="宋体" w:eastAsia="宋体" w:hint="default"/>
                <w:sz w:val="21"/>
                <w:szCs w:val="21"/>
              </w:rPr>
            </w:pPr>
            <w:r>
              <w:rPr>
                <w:rFonts w:ascii="宋体" w:hAnsi="宋体" w:cs="宋体" w:eastAsia="宋体" w:hint="default"/>
                <w:sz w:val="21"/>
                <w:szCs w:val="21"/>
              </w:rPr>
              <w:t>的有效部分</w:t>
            </w:r>
          </w:p>
        </w:tc>
        <w:tc>
          <w:tcPr>
            <w:tcW w:w="1418"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0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w:t>
            </w:r>
          </w:p>
          <w:p>
            <w:pPr>
              <w:pStyle w:val="TableParagraph"/>
              <w:spacing w:line="273" w:lineRule="exact"/>
              <w:ind w:left="81"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1418"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1418"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1418"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06" w:right="0"/>
              <w:jc w:val="left"/>
              <w:rPr>
                <w:rFonts w:ascii="宋体" w:hAnsi="宋体" w:cs="宋体" w:eastAsia="宋体" w:hint="default"/>
                <w:sz w:val="21"/>
                <w:szCs w:val="21"/>
              </w:rPr>
            </w:pPr>
            <w:r>
              <w:rPr>
                <w:rFonts w:ascii="宋体"/>
                <w:sz w:val="21"/>
              </w:rPr>
              <w:t>149,212,459.42</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94" w:right="0"/>
              <w:jc w:val="left"/>
              <w:rPr>
                <w:rFonts w:ascii="宋体" w:hAnsi="宋体" w:cs="宋体" w:eastAsia="宋体" w:hint="default"/>
                <w:sz w:val="21"/>
                <w:szCs w:val="21"/>
              </w:rPr>
            </w:pPr>
            <w:r>
              <w:rPr>
                <w:rFonts w:ascii="宋体"/>
                <w:sz w:val="21"/>
              </w:rPr>
              <w:t>143,907,467.58</w:t>
            </w:r>
          </w:p>
        </w:tc>
      </w:tr>
      <w:tr>
        <w:trPr>
          <w:trHeight w:val="288"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0"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1418"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8"/>
                <w:sz w:val="21"/>
                <w:szCs w:val="21"/>
              </w:rPr>
              <w:t>（一）基本每股收益</w:t>
            </w:r>
            <w:r>
              <w:rPr>
                <w:rFonts w:ascii="宋体" w:hAnsi="宋体" w:cs="宋体" w:eastAsia="宋体" w:hint="default"/>
                <w:spacing w:val="-8"/>
                <w:sz w:val="21"/>
                <w:szCs w:val="21"/>
              </w:rPr>
              <w:t>(</w:t>
            </w:r>
            <w:r>
              <w:rPr>
                <w:rFonts w:ascii="宋体" w:hAnsi="宋体" w:cs="宋体" w:eastAsia="宋体" w:hint="default"/>
                <w:spacing w:val="-8"/>
                <w:sz w:val="21"/>
                <w:szCs w:val="21"/>
              </w:rPr>
              <w:t>元</w:t>
            </w:r>
            <w:r>
              <w:rPr>
                <w:rFonts w:ascii="宋体" w:hAnsi="宋体" w:cs="宋体" w:eastAsia="宋体" w:hint="default"/>
                <w:spacing w:val="-8"/>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w:t>
            </w:r>
          </w:p>
        </w:tc>
        <w:tc>
          <w:tcPr>
            <w:tcW w:w="1418"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8"/>
                <w:sz w:val="21"/>
                <w:szCs w:val="21"/>
              </w:rPr>
              <w:t>（二）稀释每股收益</w:t>
            </w:r>
            <w:r>
              <w:rPr>
                <w:rFonts w:ascii="宋体" w:hAnsi="宋体" w:cs="宋体" w:eastAsia="宋体" w:hint="default"/>
                <w:spacing w:val="-8"/>
                <w:sz w:val="21"/>
                <w:szCs w:val="21"/>
              </w:rPr>
              <w:t>(</w:t>
            </w:r>
            <w:r>
              <w:rPr>
                <w:rFonts w:ascii="宋体" w:hAnsi="宋体" w:cs="宋体" w:eastAsia="宋体" w:hint="default"/>
                <w:spacing w:val="-8"/>
                <w:sz w:val="21"/>
                <w:szCs w:val="21"/>
              </w:rPr>
              <w:t>元</w:t>
            </w:r>
            <w:r>
              <w:rPr>
                <w:rFonts w:ascii="宋体" w:hAnsi="宋体" w:cs="宋体" w:eastAsia="宋体" w:hint="default"/>
                <w:spacing w:val="-8"/>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w:t>
            </w:r>
          </w:p>
        </w:tc>
        <w:tc>
          <w:tcPr>
            <w:tcW w:w="1418"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Times New Roman" w:hAnsi="Times New Roman" w:cs="Times New Roman" w:eastAsia="Times New Roman" w:hint="default"/>
          <w:sz w:val="17"/>
          <w:szCs w:val="17"/>
        </w:rPr>
      </w:pPr>
    </w:p>
    <w:p>
      <w:pPr>
        <w:pStyle w:val="BodyText"/>
        <w:tabs>
          <w:tab w:pos="3158" w:val="left" w:leader="none"/>
          <w:tab w:pos="6833" w:val="left" w:leader="none"/>
        </w:tabs>
        <w:spacing w:line="240" w:lineRule="auto" w:before="36"/>
        <w:ind w:left="218" w:right="0"/>
        <w:jc w:val="left"/>
      </w:pPr>
      <w:r>
        <w:rPr>
          <w:spacing w:val="-1"/>
        </w:rPr>
        <w:t>法定代表人：江浩然</w:t>
        <w:tab/>
      </w:r>
      <w:r>
        <w:rPr>
          <w:spacing w:val="-2"/>
        </w:rPr>
        <w:t>主管会计工作负责人：温健</w:t>
        <w:tab/>
        <w:t>会计机构负责人：云泽杨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38"/>
          <w:pgSz w:w="11910" w:h="16840"/>
          <w:pgMar w:footer="1195" w:header="877" w:top="1100" w:bottom="1380" w:left="1580" w:right="1040"/>
        </w:sectPr>
      </w:pPr>
    </w:p>
    <w:p>
      <w:pPr>
        <w:spacing w:line="272" w:lineRule="exact" w:before="64"/>
        <w:ind w:left="3873" w:right="-16" w:firstLine="232"/>
        <w:jc w:val="left"/>
        <w:rPr>
          <w:rFonts w:ascii="宋体" w:hAnsi="宋体" w:cs="宋体" w:eastAsia="宋体" w:hint="default"/>
          <w:sz w:val="21"/>
          <w:szCs w:val="21"/>
        </w:rPr>
      </w:pPr>
      <w:r>
        <w:rPr>
          <w:rFonts w:ascii="宋体" w:hAnsi="宋体" w:cs="宋体" w:eastAsia="宋体" w:hint="default"/>
          <w:b/>
          <w:bCs/>
          <w:sz w:val="21"/>
          <w:szCs w:val="21"/>
        </w:rPr>
        <w:t>现金流量表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55" w:val="left" w:leader="none"/>
        </w:tabs>
        <w:spacing w:line="240" w:lineRule="auto"/>
        <w:ind w:left="1409"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1028"/>
        <w:gridCol w:w="2170"/>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028" w:type="dxa"/>
            <w:tcBorders>
              <w:top w:val="single" w:sz="6" w:space="0" w:color="000000"/>
              <w:left w:val="single" w:sz="6" w:space="0" w:color="000000"/>
              <w:bottom w:val="single" w:sz="6" w:space="0" w:color="000000"/>
              <w:right w:val="single" w:sz="6" w:space="0" w:color="000000"/>
            </w:tcBorders>
          </w:tcPr>
          <w:p>
            <w:pPr/>
          </w:p>
        </w:tc>
        <w:tc>
          <w:tcPr>
            <w:tcW w:w="2170"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028" w:type="dxa"/>
            <w:tcBorders>
              <w:top w:val="single" w:sz="6" w:space="0" w:color="000000"/>
              <w:left w:val="single" w:sz="6" w:space="0" w:color="000000"/>
              <w:bottom w:val="single" w:sz="6" w:space="0" w:color="000000"/>
              <w:right w:val="single" w:sz="6" w:space="0" w:color="000000"/>
            </w:tcBorders>
          </w:tcPr>
          <w:p>
            <w:pP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1,531,733,909.00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1,354,090,495.81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28" w:type="dxa"/>
            <w:tcBorders>
              <w:top w:val="single" w:sz="6" w:space="0" w:color="000000"/>
              <w:left w:val="single" w:sz="6" w:space="0" w:color="000000"/>
              <w:bottom w:val="single" w:sz="6" w:space="0" w:color="000000"/>
              <w:right w:val="single" w:sz="6" w:space="0" w:color="000000"/>
            </w:tcBorders>
          </w:tcPr>
          <w:p>
            <w:pP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42,964,619.12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48,060,250.35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028" w:type="dxa"/>
            <w:tcBorders>
              <w:top w:val="single" w:sz="6" w:space="0" w:color="000000"/>
              <w:left w:val="single" w:sz="6" w:space="0" w:color="000000"/>
              <w:bottom w:val="single" w:sz="6" w:space="0" w:color="000000"/>
              <w:right w:val="single" w:sz="6" w:space="0" w:color="000000"/>
            </w:tcBorders>
          </w:tcPr>
          <w:p>
            <w:pP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423,811,092.35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405,431,491.59</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028" w:type="dxa"/>
            <w:tcBorders>
              <w:top w:val="single" w:sz="6" w:space="0" w:color="000000"/>
              <w:left w:val="single" w:sz="6" w:space="0" w:color="000000"/>
              <w:bottom w:val="single" w:sz="6" w:space="0" w:color="000000"/>
              <w:right w:val="single" w:sz="6" w:space="0" w:color="000000"/>
            </w:tcBorders>
          </w:tcPr>
          <w:p>
            <w:pP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1,998,509,620.47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1,807,582,237.75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028" w:type="dxa"/>
            <w:tcBorders>
              <w:top w:val="single" w:sz="6" w:space="0" w:color="000000"/>
              <w:left w:val="single" w:sz="6" w:space="0" w:color="000000"/>
              <w:bottom w:val="single" w:sz="6" w:space="0" w:color="000000"/>
              <w:right w:val="single" w:sz="6" w:space="0" w:color="000000"/>
            </w:tcBorders>
          </w:tcPr>
          <w:p>
            <w:pP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1,028,693,425.84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866,534,601.40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1028" w:type="dxa"/>
            <w:tcBorders>
              <w:top w:val="single" w:sz="6" w:space="0" w:color="000000"/>
              <w:left w:val="single" w:sz="6" w:space="0" w:color="000000"/>
              <w:bottom w:val="single" w:sz="6" w:space="0" w:color="000000"/>
              <w:right w:val="single" w:sz="6" w:space="0" w:color="000000"/>
            </w:tcBorders>
          </w:tcPr>
          <w:p>
            <w:pP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213,939,054.56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177,807,261.78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28" w:type="dxa"/>
            <w:tcBorders>
              <w:top w:val="single" w:sz="6" w:space="0" w:color="000000"/>
              <w:left w:val="single" w:sz="6" w:space="0" w:color="000000"/>
              <w:bottom w:val="single" w:sz="6" w:space="0" w:color="000000"/>
              <w:right w:val="single" w:sz="6" w:space="0" w:color="000000"/>
            </w:tcBorders>
          </w:tcPr>
          <w:p>
            <w:pP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99,495,099.73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109,073,937.23</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028" w:type="dxa"/>
            <w:tcBorders>
              <w:top w:val="single" w:sz="6" w:space="0" w:color="000000"/>
              <w:left w:val="single" w:sz="6" w:space="0" w:color="000000"/>
              <w:bottom w:val="single" w:sz="6" w:space="0" w:color="000000"/>
              <w:right w:val="single" w:sz="6" w:space="0" w:color="000000"/>
            </w:tcBorders>
          </w:tcPr>
          <w:p>
            <w:pP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441,720,891.27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558,785,155.45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028" w:type="dxa"/>
            <w:tcBorders>
              <w:top w:val="single" w:sz="6" w:space="0" w:color="000000"/>
              <w:left w:val="single" w:sz="6" w:space="0" w:color="000000"/>
              <w:bottom w:val="single" w:sz="6" w:space="0" w:color="000000"/>
              <w:right w:val="single" w:sz="6" w:space="0" w:color="000000"/>
            </w:tcBorders>
          </w:tcPr>
          <w:p>
            <w:pP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1,783,848,471.40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1,712,200,955.86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r>
          </w:p>
        </w:tc>
        <w:tc>
          <w:tcPr>
            <w:tcW w:w="1028" w:type="dxa"/>
            <w:tcBorders>
              <w:top w:val="single" w:sz="6" w:space="0" w:color="000000"/>
              <w:left w:val="single" w:sz="6" w:space="0" w:color="000000"/>
              <w:bottom w:val="single" w:sz="6" w:space="0" w:color="000000"/>
              <w:right w:val="single" w:sz="6" w:space="0" w:color="000000"/>
            </w:tcBorders>
          </w:tcPr>
          <w:p>
            <w:pP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214,661,149.07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95,381,281.89</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028" w:type="dxa"/>
            <w:tcBorders>
              <w:top w:val="single" w:sz="6" w:space="0" w:color="000000"/>
              <w:left w:val="single" w:sz="6" w:space="0" w:color="000000"/>
              <w:bottom w:val="single" w:sz="6" w:space="0" w:color="000000"/>
              <w:right w:val="single" w:sz="6" w:space="0" w:color="000000"/>
            </w:tcBorders>
          </w:tcPr>
          <w:p>
            <w:pPr/>
          </w:p>
        </w:tc>
        <w:tc>
          <w:tcPr>
            <w:tcW w:w="2170"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28" w:type="dxa"/>
            <w:tcBorders>
              <w:top w:val="single" w:sz="6" w:space="0" w:color="000000"/>
              <w:left w:val="single" w:sz="6" w:space="0" w:color="000000"/>
              <w:bottom w:val="single" w:sz="6" w:space="0" w:color="000000"/>
              <w:right w:val="single" w:sz="6" w:space="0" w:color="000000"/>
            </w:tcBorders>
          </w:tcPr>
          <w:p>
            <w:pP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549,690,000.00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028" w:type="dxa"/>
            <w:tcBorders>
              <w:top w:val="single" w:sz="6" w:space="0" w:color="000000"/>
              <w:left w:val="single" w:sz="6" w:space="0" w:color="000000"/>
              <w:bottom w:val="single" w:sz="6" w:space="0" w:color="000000"/>
              <w:right w:val="single" w:sz="6" w:space="0" w:color="000000"/>
            </w:tcBorders>
          </w:tcPr>
          <w:p>
            <w:pP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1,539,897.61</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1028" w:type="dxa"/>
            <w:tcBorders>
              <w:top w:val="single" w:sz="6" w:space="0" w:color="000000"/>
              <w:left w:val="single" w:sz="6" w:space="0" w:color="000000"/>
              <w:bottom w:val="single" w:sz="6" w:space="0" w:color="000000"/>
              <w:right w:val="single" w:sz="6" w:space="0" w:color="000000"/>
            </w:tcBorders>
          </w:tcPr>
          <w:p>
            <w:pPr/>
          </w:p>
        </w:tc>
        <w:tc>
          <w:tcPr>
            <w:tcW w:w="2170"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1028" w:type="dxa"/>
            <w:tcBorders>
              <w:top w:val="single" w:sz="6" w:space="0" w:color="000000"/>
              <w:left w:val="single" w:sz="6" w:space="0" w:color="000000"/>
              <w:bottom w:val="single" w:sz="6" w:space="0" w:color="000000"/>
              <w:right w:val="single" w:sz="6" w:space="0" w:color="000000"/>
            </w:tcBorders>
          </w:tcPr>
          <w:p>
            <w:pPr/>
          </w:p>
        </w:tc>
        <w:tc>
          <w:tcPr>
            <w:tcW w:w="2170"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1028" w:type="dxa"/>
            <w:tcBorders>
              <w:top w:val="single" w:sz="6" w:space="0" w:color="000000"/>
              <w:left w:val="single" w:sz="6" w:space="0" w:color="000000"/>
              <w:bottom w:val="single" w:sz="6" w:space="0" w:color="000000"/>
              <w:right w:val="single" w:sz="6" w:space="0" w:color="000000"/>
            </w:tcBorders>
          </w:tcPr>
          <w:p>
            <w:pPr/>
          </w:p>
        </w:tc>
        <w:tc>
          <w:tcPr>
            <w:tcW w:w="2170"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028" w:type="dxa"/>
            <w:tcBorders>
              <w:top w:val="single" w:sz="6" w:space="0" w:color="000000"/>
              <w:left w:val="single" w:sz="6" w:space="0" w:color="000000"/>
              <w:bottom w:val="single" w:sz="6" w:space="0" w:color="000000"/>
              <w:right w:val="single" w:sz="6" w:space="0" w:color="000000"/>
            </w:tcBorders>
          </w:tcPr>
          <w:p>
            <w:pP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551,229,897.61</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1028" w:type="dxa"/>
            <w:tcBorders>
              <w:top w:val="single" w:sz="6" w:space="0" w:color="000000"/>
              <w:left w:val="single" w:sz="6" w:space="0" w:color="000000"/>
              <w:bottom w:val="single" w:sz="6" w:space="0" w:color="000000"/>
              <w:right w:val="single" w:sz="6" w:space="0" w:color="000000"/>
            </w:tcBorders>
          </w:tcPr>
          <w:p>
            <w:pP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4,246,251.00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1,904,925.82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28" w:type="dxa"/>
            <w:tcBorders>
              <w:top w:val="single" w:sz="6" w:space="0" w:color="000000"/>
              <w:left w:val="single" w:sz="6" w:space="0" w:color="000000"/>
              <w:bottom w:val="single" w:sz="6" w:space="0" w:color="000000"/>
              <w:right w:val="single" w:sz="6" w:space="0" w:color="000000"/>
            </w:tcBorders>
          </w:tcPr>
          <w:p>
            <w:pP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1,087,500,000.00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1028" w:type="dxa"/>
            <w:tcBorders>
              <w:top w:val="single" w:sz="6" w:space="0" w:color="000000"/>
              <w:left w:val="single" w:sz="6" w:space="0" w:color="000000"/>
              <w:bottom w:val="single" w:sz="6" w:space="0" w:color="000000"/>
              <w:right w:val="single" w:sz="6" w:space="0" w:color="000000"/>
            </w:tcBorders>
          </w:tcPr>
          <w:p>
            <w:pPr/>
          </w:p>
        </w:tc>
        <w:tc>
          <w:tcPr>
            <w:tcW w:w="2170"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1028" w:type="dxa"/>
            <w:tcBorders>
              <w:top w:val="single" w:sz="6" w:space="0" w:color="000000"/>
              <w:left w:val="single" w:sz="6" w:space="0" w:color="000000"/>
              <w:bottom w:val="single" w:sz="6" w:space="0" w:color="000000"/>
              <w:right w:val="single" w:sz="6" w:space="0" w:color="000000"/>
            </w:tcBorders>
          </w:tcPr>
          <w:p>
            <w:pPr/>
          </w:p>
        </w:tc>
        <w:tc>
          <w:tcPr>
            <w:tcW w:w="2170"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028" w:type="dxa"/>
            <w:tcBorders>
              <w:top w:val="single" w:sz="6" w:space="0" w:color="000000"/>
              <w:left w:val="single" w:sz="6" w:space="0" w:color="000000"/>
              <w:bottom w:val="single" w:sz="6" w:space="0" w:color="000000"/>
              <w:right w:val="single" w:sz="6" w:space="0" w:color="000000"/>
            </w:tcBorders>
          </w:tcPr>
          <w:p>
            <w:pP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1,091,746,251.00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1,904,925.82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1028" w:type="dxa"/>
            <w:tcBorders>
              <w:top w:val="single" w:sz="6" w:space="0" w:color="000000"/>
              <w:left w:val="single" w:sz="6" w:space="0" w:color="000000"/>
              <w:bottom w:val="single" w:sz="6" w:space="0" w:color="000000"/>
              <w:right w:val="single" w:sz="6" w:space="0" w:color="000000"/>
            </w:tcBorders>
          </w:tcPr>
          <w:p>
            <w:pP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-540,516,353.39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-1,904,925.82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028" w:type="dxa"/>
            <w:tcBorders>
              <w:top w:val="single" w:sz="6" w:space="0" w:color="000000"/>
              <w:left w:val="single" w:sz="6" w:space="0" w:color="000000"/>
              <w:bottom w:val="single" w:sz="6" w:space="0" w:color="000000"/>
              <w:right w:val="single" w:sz="6" w:space="0" w:color="000000"/>
            </w:tcBorders>
          </w:tcPr>
          <w:p>
            <w:pPr/>
          </w:p>
        </w:tc>
        <w:tc>
          <w:tcPr>
            <w:tcW w:w="2170"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1"/>
        <w:gridCol w:w="1028"/>
        <w:gridCol w:w="2170"/>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28" w:type="dxa"/>
            <w:tcBorders>
              <w:top w:val="single" w:sz="6" w:space="0" w:color="000000"/>
              <w:left w:val="single" w:sz="6" w:space="0" w:color="000000"/>
              <w:bottom w:val="single" w:sz="6" w:space="0" w:color="000000"/>
              <w:right w:val="single" w:sz="6" w:space="0" w:color="000000"/>
            </w:tcBorders>
          </w:tcPr>
          <w:p>
            <w:pP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713,500,000.00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28" w:type="dxa"/>
            <w:tcBorders>
              <w:top w:val="single" w:sz="6" w:space="0" w:color="000000"/>
              <w:left w:val="single" w:sz="6" w:space="0" w:color="000000"/>
              <w:bottom w:val="single" w:sz="6" w:space="0" w:color="000000"/>
              <w:right w:val="single" w:sz="6" w:space="0" w:color="000000"/>
            </w:tcBorders>
          </w:tcPr>
          <w:p>
            <w:pP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40,697,805.67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352,440,000.00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28" w:type="dxa"/>
            <w:tcBorders>
              <w:top w:val="single" w:sz="6" w:space="0" w:color="000000"/>
              <w:left w:val="single" w:sz="6" w:space="0" w:color="000000"/>
              <w:bottom w:val="single" w:sz="6" w:space="0" w:color="000000"/>
              <w:right w:val="single" w:sz="6" w:space="0" w:color="000000"/>
            </w:tcBorders>
          </w:tcPr>
          <w:p>
            <w:pPr/>
          </w:p>
        </w:tc>
        <w:tc>
          <w:tcPr>
            <w:tcW w:w="2170"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1028" w:type="dxa"/>
            <w:tcBorders>
              <w:top w:val="single" w:sz="6" w:space="0" w:color="000000"/>
              <w:left w:val="single" w:sz="6" w:space="0" w:color="000000"/>
              <w:bottom w:val="single" w:sz="6" w:space="0" w:color="000000"/>
              <w:right w:val="single" w:sz="6" w:space="0" w:color="000000"/>
            </w:tcBorders>
          </w:tcPr>
          <w:p>
            <w:pPr/>
          </w:p>
        </w:tc>
        <w:tc>
          <w:tcPr>
            <w:tcW w:w="2170"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028" w:type="dxa"/>
            <w:tcBorders>
              <w:top w:val="single" w:sz="6" w:space="0" w:color="000000"/>
              <w:left w:val="single" w:sz="6" w:space="0" w:color="000000"/>
              <w:bottom w:val="single" w:sz="6" w:space="0" w:color="000000"/>
              <w:right w:val="single" w:sz="6" w:space="0" w:color="000000"/>
            </w:tcBorders>
          </w:tcPr>
          <w:p>
            <w:pP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754,197,805.67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352,440,000.00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28" w:type="dxa"/>
            <w:tcBorders>
              <w:top w:val="single" w:sz="6" w:space="0" w:color="000000"/>
              <w:left w:val="single" w:sz="6" w:space="0" w:color="000000"/>
              <w:bottom w:val="single" w:sz="6" w:space="0" w:color="000000"/>
              <w:right w:val="single" w:sz="6" w:space="0" w:color="000000"/>
            </w:tcBorders>
          </w:tcPr>
          <w:p>
            <w:pP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313,197,805.67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290,940,000.00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28" w:type="dxa"/>
            <w:tcBorders>
              <w:top w:val="single" w:sz="6" w:space="0" w:color="000000"/>
              <w:left w:val="single" w:sz="6" w:space="0" w:color="000000"/>
              <w:bottom w:val="single" w:sz="6" w:space="0" w:color="000000"/>
              <w:right w:val="single" w:sz="6" w:space="0" w:color="000000"/>
            </w:tcBorders>
          </w:tcPr>
          <w:p>
            <w:pP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9,896,957.49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12,675,134.02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028" w:type="dxa"/>
            <w:tcBorders>
              <w:top w:val="single" w:sz="6" w:space="0" w:color="000000"/>
              <w:left w:val="single" w:sz="6" w:space="0" w:color="000000"/>
              <w:bottom w:val="single" w:sz="6" w:space="0" w:color="000000"/>
              <w:right w:val="single" w:sz="6" w:space="0" w:color="000000"/>
            </w:tcBorders>
          </w:tcPr>
          <w:p>
            <w:pP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14,221,944.70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1,200,000.00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028" w:type="dxa"/>
            <w:tcBorders>
              <w:top w:val="single" w:sz="6" w:space="0" w:color="000000"/>
              <w:left w:val="single" w:sz="6" w:space="0" w:color="000000"/>
              <w:bottom w:val="single" w:sz="6" w:space="0" w:color="000000"/>
              <w:right w:val="single" w:sz="6" w:space="0" w:color="000000"/>
            </w:tcBorders>
          </w:tcPr>
          <w:p>
            <w:pP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337,316,707.86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304,815,134.02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028" w:type="dxa"/>
            <w:tcBorders>
              <w:top w:val="single" w:sz="6" w:space="0" w:color="000000"/>
              <w:left w:val="single" w:sz="6" w:space="0" w:color="000000"/>
              <w:bottom w:val="single" w:sz="6" w:space="0" w:color="000000"/>
              <w:right w:val="single" w:sz="6" w:space="0" w:color="000000"/>
            </w:tcBorders>
          </w:tcPr>
          <w:p>
            <w:pP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416,881,097.81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47,624,865.98</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1028" w:type="dxa"/>
            <w:tcBorders>
              <w:top w:val="single" w:sz="6" w:space="0" w:color="000000"/>
              <w:left w:val="single" w:sz="6" w:space="0" w:color="000000"/>
              <w:bottom w:val="single" w:sz="6" w:space="0" w:color="000000"/>
              <w:right w:val="single" w:sz="6" w:space="0" w:color="000000"/>
            </w:tcBorders>
          </w:tcPr>
          <w:p>
            <w:pP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-2,064.79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104,168.49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028" w:type="dxa"/>
            <w:tcBorders>
              <w:top w:val="single" w:sz="6" w:space="0" w:color="000000"/>
              <w:left w:val="single" w:sz="6" w:space="0" w:color="000000"/>
              <w:bottom w:val="single" w:sz="6" w:space="0" w:color="000000"/>
              <w:right w:val="single" w:sz="6" w:space="0" w:color="000000"/>
            </w:tcBorders>
          </w:tcPr>
          <w:p>
            <w:pP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91,023,828.70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141,205,390.54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1028" w:type="dxa"/>
            <w:tcBorders>
              <w:top w:val="single" w:sz="6" w:space="0" w:color="000000"/>
              <w:left w:val="single" w:sz="6" w:space="0" w:color="000000"/>
              <w:bottom w:val="single" w:sz="6" w:space="0" w:color="000000"/>
              <w:right w:val="single" w:sz="6" w:space="0" w:color="000000"/>
            </w:tcBorders>
          </w:tcPr>
          <w:p>
            <w:pP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276,197,420.52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134,992,029.98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1028" w:type="dxa"/>
            <w:tcBorders>
              <w:top w:val="single" w:sz="6" w:space="0" w:color="000000"/>
              <w:left w:val="single" w:sz="6" w:space="0" w:color="000000"/>
              <w:bottom w:val="single" w:sz="6" w:space="0" w:color="000000"/>
              <w:right w:val="single" w:sz="6" w:space="0" w:color="000000"/>
            </w:tcBorders>
          </w:tcPr>
          <w:p>
            <w:pP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367,221,249.22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276,197,420.52</w:t>
            </w:r>
          </w:p>
        </w:tc>
      </w:tr>
    </w:tbl>
    <w:p>
      <w:pPr>
        <w:spacing w:line="240" w:lineRule="auto" w:before="5"/>
        <w:rPr>
          <w:rFonts w:ascii="宋体" w:hAnsi="宋体" w:cs="宋体" w:eastAsia="宋体" w:hint="default"/>
          <w:sz w:val="15"/>
          <w:szCs w:val="15"/>
        </w:rPr>
      </w:pPr>
    </w:p>
    <w:p>
      <w:pPr>
        <w:pStyle w:val="BodyText"/>
        <w:tabs>
          <w:tab w:pos="3264" w:val="left" w:leader="none"/>
          <w:tab w:pos="6835" w:val="left" w:leader="none"/>
        </w:tabs>
        <w:spacing w:line="240" w:lineRule="auto" w:before="36"/>
        <w:ind w:left="218" w:right="0"/>
        <w:jc w:val="left"/>
      </w:pPr>
      <w:r>
        <w:rPr>
          <w:spacing w:val="-1"/>
        </w:rPr>
        <w:t>法定代表人：江浩然</w:t>
        <w:tab/>
      </w:r>
      <w:r>
        <w:rPr>
          <w:spacing w:val="-2"/>
        </w:rPr>
        <w:t>主管会计工作负责人：温健</w:t>
        <w:tab/>
      </w:r>
      <w:r>
        <w:rPr>
          <w:spacing w:val="-1"/>
        </w:rPr>
        <w:t>会计机构负责人：云泽杨</w:t>
      </w:r>
    </w:p>
    <w:p>
      <w:pPr>
        <w:spacing w:after="0" w:line="240" w:lineRule="auto"/>
        <w:jc w:val="left"/>
        <w:sectPr>
          <w:footerReference w:type="default" r:id="rId39"/>
          <w:pgSz w:w="11910" w:h="16840"/>
          <w:pgMar w:footer="1195" w:header="877" w:top="1100" w:bottom="1380" w:left="1580" w:right="1040"/>
        </w:sectPr>
      </w:pPr>
    </w:p>
    <w:p>
      <w:pPr>
        <w:spacing w:line="272" w:lineRule="exact" w:before="145"/>
        <w:ind w:left="6308" w:right="-17" w:hanging="84"/>
        <w:jc w:val="left"/>
        <w:rPr>
          <w:rFonts w:ascii="宋体" w:hAnsi="宋体" w:cs="宋体" w:eastAsia="宋体" w:hint="default"/>
          <w:sz w:val="21"/>
          <w:szCs w:val="21"/>
        </w:rPr>
      </w:pPr>
      <w:r>
        <w:rPr>
          <w:rFonts w:ascii="宋体" w:hAnsi="宋体" w:cs="宋体" w:eastAsia="宋体" w:hint="default"/>
          <w:b/>
          <w:bCs/>
          <w:sz w:val="21"/>
          <w:szCs w:val="21"/>
        </w:rPr>
        <w:t>所有者权益变动表</w:t>
      </w:r>
      <w:r>
        <w:rPr>
          <w:rFonts w:ascii="宋体" w:hAnsi="宋体" w:cs="宋体" w:eastAsia="宋体" w:hint="default"/>
          <w:b/>
          <w:bCs/>
          <w:spacing w:val="-103"/>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4909" w:val="left" w:leader="none"/>
        </w:tabs>
        <w:spacing w:line="240" w:lineRule="auto" w:before="139"/>
        <w:ind w:left="3964"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headerReference w:type="default" r:id="rId40"/>
          <w:footerReference w:type="default" r:id="rId41"/>
          <w:pgSz w:w="16840" w:h="11910" w:orient="landscape"/>
          <w:pgMar w:header="882" w:footer="1195" w:top="1120" w:bottom="1380" w:left="1380" w:right="440"/>
          <w:pgNumType w:start="72"/>
          <w:cols w:num="2" w:equalWidth="0">
            <w:col w:w="7914" w:space="40"/>
            <w:col w:w="7066"/>
          </w:cols>
        </w:sectPr>
      </w:pPr>
    </w:p>
    <w:p>
      <w:pPr>
        <w:spacing w:line="240" w:lineRule="auto" w:before="4"/>
        <w:rPr>
          <w:rFonts w:ascii="宋体" w:hAnsi="宋体" w:cs="宋体" w:eastAsia="宋体" w:hint="default"/>
          <w:sz w:val="2"/>
          <w:szCs w:val="2"/>
        </w:rPr>
      </w:pPr>
    </w:p>
    <w:tbl>
      <w:tblPr>
        <w:tblW w:w="0" w:type="auto"/>
        <w:jc w:val="left"/>
        <w:tblInd w:w="139" w:type="dxa"/>
        <w:tblLayout w:type="fixed"/>
        <w:tblCellMar>
          <w:top w:w="0" w:type="dxa"/>
          <w:left w:w="0" w:type="dxa"/>
          <w:bottom w:w="0" w:type="dxa"/>
          <w:right w:w="0" w:type="dxa"/>
        </w:tblCellMar>
        <w:tblLook w:val="01E0"/>
      </w:tblPr>
      <w:tblGrid>
        <w:gridCol w:w="2396"/>
        <w:gridCol w:w="1575"/>
        <w:gridCol w:w="850"/>
        <w:gridCol w:w="780"/>
        <w:gridCol w:w="638"/>
        <w:gridCol w:w="1491"/>
        <w:gridCol w:w="778"/>
        <w:gridCol w:w="850"/>
        <w:gridCol w:w="711"/>
        <w:gridCol w:w="1416"/>
        <w:gridCol w:w="1560"/>
        <w:gridCol w:w="1702"/>
      </w:tblGrid>
      <w:tr>
        <w:trPr>
          <w:trHeight w:val="245" w:hRule="exact"/>
        </w:trPr>
        <w:tc>
          <w:tcPr>
            <w:tcW w:w="239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235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4" w:hRule="exact"/>
        </w:trPr>
        <w:tc>
          <w:tcPr>
            <w:tcW w:w="2396" w:type="dxa"/>
            <w:vMerge/>
            <w:tcBorders>
              <w:left w:val="single" w:sz="4" w:space="0" w:color="000000"/>
              <w:right w:val="single" w:sz="4" w:space="0" w:color="000000"/>
            </w:tcBorders>
          </w:tcPr>
          <w:p>
            <w:pPr/>
          </w:p>
        </w:tc>
        <w:tc>
          <w:tcPr>
            <w:tcW w:w="1575" w:type="dxa"/>
            <w:vMerge w:val="restart"/>
            <w:tcBorders>
              <w:top w:val="single" w:sz="4" w:space="0" w:color="000000"/>
              <w:left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8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91" w:type="dxa"/>
            <w:vMerge w:val="restart"/>
            <w:tcBorders>
              <w:top w:val="single" w:sz="4" w:space="0" w:color="000000"/>
              <w:left w:val="single" w:sz="4" w:space="0" w:color="000000"/>
              <w:right w:val="single" w:sz="4" w:space="0" w:color="000000"/>
            </w:tcBorders>
          </w:tcPr>
          <w:p>
            <w:pPr>
              <w:pStyle w:val="TableParagraph"/>
              <w:spacing w:line="240" w:lineRule="auto" w:before="161"/>
              <w:ind w:left="37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78" w:type="dxa"/>
            <w:vMerge w:val="restart"/>
            <w:tcBorders>
              <w:top w:val="single" w:sz="4" w:space="0" w:color="000000"/>
              <w:left w:val="single" w:sz="4" w:space="0" w:color="000000"/>
              <w:right w:val="single" w:sz="4" w:space="0" w:color="000000"/>
            </w:tcBorders>
          </w:tcPr>
          <w:p>
            <w:pPr>
              <w:pStyle w:val="TableParagraph"/>
              <w:spacing w:line="240" w:lineRule="auto" w:before="44"/>
              <w:ind w:left="203" w:right="113"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44"/>
              <w:ind w:left="151" w:right="14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before="44"/>
              <w:ind w:left="170" w:right="170"/>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61"/>
              <w:ind w:left="3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61"/>
              <w:ind w:left="32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61"/>
              <w:ind w:left="21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05" w:hRule="exact"/>
        </w:trPr>
        <w:tc>
          <w:tcPr>
            <w:tcW w:w="2396" w:type="dxa"/>
            <w:vMerge/>
            <w:tcBorders>
              <w:left w:val="single" w:sz="4" w:space="0" w:color="000000"/>
              <w:bottom w:val="single" w:sz="4" w:space="0" w:color="000000"/>
              <w:right w:val="single" w:sz="4" w:space="0" w:color="000000"/>
            </w:tcBorders>
          </w:tcPr>
          <w:p>
            <w:pPr/>
          </w:p>
        </w:tc>
        <w:tc>
          <w:tcPr>
            <w:tcW w:w="1575"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51"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1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3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1"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r>
      <w:tr>
        <w:trPr>
          <w:trHeight w:val="242"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210,000,000.00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 w:right="0"/>
              <w:jc w:val="center"/>
              <w:rPr>
                <w:rFonts w:ascii="宋体" w:hAnsi="宋体" w:cs="宋体" w:eastAsia="宋体" w:hint="default"/>
                <w:sz w:val="18"/>
                <w:szCs w:val="18"/>
              </w:rPr>
            </w:pPr>
            <w:r>
              <w:rPr>
                <w:rFonts w:ascii="宋体"/>
                <w:sz w:val="18"/>
              </w:rPr>
              <w:t>351,767,178.32</w:t>
            </w:r>
          </w:p>
        </w:tc>
        <w:tc>
          <w:tcPr>
            <w:tcW w:w="77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 w:right="0"/>
              <w:jc w:val="center"/>
              <w:rPr>
                <w:rFonts w:ascii="宋体" w:hAnsi="宋体" w:cs="宋体" w:eastAsia="宋体" w:hint="default"/>
                <w:sz w:val="18"/>
                <w:szCs w:val="18"/>
              </w:rPr>
            </w:pPr>
            <w:r>
              <w:rPr>
                <w:rFonts w:ascii="宋体"/>
                <w:sz w:val="18"/>
              </w:rPr>
              <w:t>17,087,890.70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153,791,016.31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732,646,085.33</w:t>
            </w:r>
          </w:p>
        </w:tc>
      </w:tr>
      <w:tr>
        <w:trPr>
          <w:trHeight w:val="242"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210,000,000.00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3" w:right="0"/>
              <w:jc w:val="center"/>
              <w:rPr>
                <w:rFonts w:ascii="宋体" w:hAnsi="宋体" w:cs="宋体" w:eastAsia="宋体" w:hint="default"/>
                <w:sz w:val="18"/>
                <w:szCs w:val="18"/>
              </w:rPr>
            </w:pPr>
            <w:r>
              <w:rPr>
                <w:rFonts w:ascii="宋体"/>
                <w:sz w:val="18"/>
              </w:rPr>
              <w:t>351,767,178.32</w:t>
            </w:r>
          </w:p>
        </w:tc>
        <w:tc>
          <w:tcPr>
            <w:tcW w:w="77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 w:right="0"/>
              <w:jc w:val="center"/>
              <w:rPr>
                <w:rFonts w:ascii="宋体" w:hAnsi="宋体" w:cs="宋体" w:eastAsia="宋体" w:hint="default"/>
                <w:sz w:val="18"/>
                <w:szCs w:val="18"/>
              </w:rPr>
            </w:pPr>
            <w:r>
              <w:rPr>
                <w:rFonts w:ascii="宋体"/>
                <w:sz w:val="18"/>
              </w:rPr>
              <w:t>17,087,890.70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153,791,016.31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732,646,085.33</w:t>
            </w:r>
          </w:p>
        </w:tc>
      </w:tr>
      <w:tr>
        <w:trPr>
          <w:trHeight w:val="47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70,000,000.00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 w:right="0"/>
              <w:jc w:val="center"/>
              <w:rPr>
                <w:rFonts w:ascii="宋体" w:hAnsi="宋体" w:cs="宋体" w:eastAsia="宋体" w:hint="default"/>
                <w:sz w:val="18"/>
                <w:szCs w:val="18"/>
              </w:rPr>
            </w:pPr>
            <w:r>
              <w:rPr>
                <w:rFonts w:ascii="宋体"/>
                <w:sz w:val="18"/>
              </w:rPr>
              <w:t>631,138,668.50</w:t>
            </w:r>
          </w:p>
        </w:tc>
        <w:tc>
          <w:tcPr>
            <w:tcW w:w="77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 w:right="0"/>
              <w:jc w:val="center"/>
              <w:rPr>
                <w:rFonts w:ascii="宋体" w:hAnsi="宋体" w:cs="宋体" w:eastAsia="宋体" w:hint="default"/>
                <w:sz w:val="18"/>
                <w:szCs w:val="18"/>
              </w:rPr>
            </w:pPr>
            <w:r>
              <w:rPr>
                <w:rFonts w:ascii="宋体"/>
                <w:sz w:val="18"/>
              </w:rPr>
              <w:t>14,921,245.94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134,291,213.48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850,351,127.92</w:t>
            </w:r>
          </w:p>
        </w:tc>
      </w:tr>
      <w:tr>
        <w:trPr>
          <w:trHeight w:val="24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149,212,459.42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149,212,459.42</w:t>
            </w:r>
          </w:p>
        </w:tc>
      </w:tr>
      <w:tr>
        <w:trPr>
          <w:trHeight w:val="478"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70,000,000.00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 w:right="0"/>
              <w:jc w:val="center"/>
              <w:rPr>
                <w:rFonts w:ascii="宋体" w:hAnsi="宋体" w:cs="宋体" w:eastAsia="宋体" w:hint="default"/>
                <w:sz w:val="18"/>
                <w:szCs w:val="18"/>
              </w:rPr>
            </w:pPr>
            <w:r>
              <w:rPr>
                <w:rFonts w:ascii="宋体"/>
                <w:sz w:val="18"/>
              </w:rPr>
              <w:t>631,138,668.50</w:t>
            </w:r>
          </w:p>
        </w:tc>
        <w:tc>
          <w:tcPr>
            <w:tcW w:w="77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701,138,668.50</w:t>
            </w:r>
          </w:p>
        </w:tc>
      </w:tr>
      <w:tr>
        <w:trPr>
          <w:trHeight w:val="242"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70,000,000.00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 w:right="0"/>
              <w:jc w:val="center"/>
              <w:rPr>
                <w:rFonts w:ascii="宋体" w:hAnsi="宋体" w:cs="宋体" w:eastAsia="宋体" w:hint="default"/>
                <w:sz w:val="18"/>
                <w:szCs w:val="18"/>
              </w:rPr>
            </w:pPr>
            <w:r>
              <w:rPr>
                <w:rFonts w:ascii="宋体"/>
                <w:sz w:val="18"/>
              </w:rPr>
              <w:t>631,138,668.50</w:t>
            </w:r>
          </w:p>
        </w:tc>
        <w:tc>
          <w:tcPr>
            <w:tcW w:w="77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701,138,668.50</w:t>
            </w:r>
          </w:p>
        </w:tc>
      </w:tr>
      <w:tr>
        <w:trPr>
          <w:trHeight w:val="478"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72"/>
                <w:sz w:val="18"/>
                <w:szCs w:val="18"/>
              </w:rPr>
              <w:t>．</w:t>
            </w:r>
            <w:r>
              <w:rPr>
                <w:rFonts w:ascii="宋体" w:hAnsi="宋体" w:cs="宋体" w:eastAsia="宋体" w:hint="default"/>
                <w:sz w:val="18"/>
                <w:szCs w:val="18"/>
              </w:rPr>
              <w:t>其他权益工具持有者投入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72"/>
                <w:sz w:val="18"/>
                <w:szCs w:val="18"/>
              </w:rPr>
              <w:t>．</w:t>
            </w:r>
            <w:r>
              <w:rPr>
                <w:rFonts w:ascii="宋体" w:hAnsi="宋体" w:cs="宋体" w:eastAsia="宋体" w:hint="default"/>
                <w:sz w:val="18"/>
                <w:szCs w:val="18"/>
              </w:rPr>
              <w:t>股份支付计入所有者权益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 w:right="0"/>
              <w:jc w:val="center"/>
              <w:rPr>
                <w:rFonts w:ascii="宋体" w:hAnsi="宋体" w:cs="宋体" w:eastAsia="宋体" w:hint="default"/>
                <w:sz w:val="18"/>
                <w:szCs w:val="18"/>
              </w:rPr>
            </w:pPr>
            <w:r>
              <w:rPr>
                <w:rFonts w:ascii="宋体"/>
                <w:sz w:val="18"/>
              </w:rPr>
              <w:t>14,921,245.94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-14,921,245.94</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 w:right="0"/>
              <w:jc w:val="center"/>
              <w:rPr>
                <w:rFonts w:ascii="宋体" w:hAnsi="宋体" w:cs="宋体" w:eastAsia="宋体" w:hint="default"/>
                <w:sz w:val="18"/>
                <w:szCs w:val="18"/>
              </w:rPr>
            </w:pPr>
            <w:r>
              <w:rPr>
                <w:rFonts w:ascii="宋体"/>
                <w:sz w:val="18"/>
              </w:rPr>
              <w:t>14,921,245.94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-14,921,245.94</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．对所有者（或股东）的分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．资本公积转增资本（或股</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．盈余公积转增资本（或股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80" w:right="440"/>
        </w:sectPr>
      </w:pPr>
    </w:p>
    <w:p>
      <w:pPr>
        <w:spacing w:line="240" w:lineRule="auto" w:before="2"/>
        <w:rPr>
          <w:rFonts w:ascii="Times New Roman" w:hAnsi="Times New Roman" w:cs="Times New Roman" w:eastAsia="Times New Roman" w:hint="default"/>
          <w:sz w:val="13"/>
          <w:szCs w:val="13"/>
        </w:rPr>
      </w:pPr>
    </w:p>
    <w:tbl>
      <w:tblPr>
        <w:tblW w:w="0" w:type="auto"/>
        <w:jc w:val="left"/>
        <w:tblInd w:w="139" w:type="dxa"/>
        <w:tblLayout w:type="fixed"/>
        <w:tblCellMar>
          <w:top w:w="0" w:type="dxa"/>
          <w:left w:w="0" w:type="dxa"/>
          <w:bottom w:w="0" w:type="dxa"/>
          <w:right w:w="0" w:type="dxa"/>
        </w:tblCellMar>
        <w:tblLook w:val="01E0"/>
      </w:tblPr>
      <w:tblGrid>
        <w:gridCol w:w="2396"/>
        <w:gridCol w:w="1575"/>
        <w:gridCol w:w="850"/>
        <w:gridCol w:w="780"/>
        <w:gridCol w:w="638"/>
        <w:gridCol w:w="1491"/>
        <w:gridCol w:w="778"/>
        <w:gridCol w:w="850"/>
        <w:gridCol w:w="711"/>
        <w:gridCol w:w="1416"/>
        <w:gridCol w:w="1560"/>
        <w:gridCol w:w="1702"/>
      </w:tblGrid>
      <w:tr>
        <w:trPr>
          <w:trHeight w:val="242"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1" w:right="0"/>
              <w:jc w:val="left"/>
              <w:rPr>
                <w:rFonts w:ascii="宋体" w:hAnsi="宋体" w:cs="宋体" w:eastAsia="宋体" w:hint="default"/>
                <w:sz w:val="18"/>
                <w:szCs w:val="18"/>
              </w:rPr>
            </w:pPr>
            <w:r>
              <w:rPr>
                <w:rFonts w:ascii="宋体"/>
                <w:sz w:val="18"/>
              </w:rPr>
              <w:t>280,000,000.00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sz w:val="18"/>
              </w:rPr>
              <w:t>982,905,846.82</w:t>
            </w:r>
          </w:p>
        </w:tc>
        <w:tc>
          <w:tcPr>
            <w:tcW w:w="77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2" w:right="0"/>
              <w:jc w:val="left"/>
              <w:rPr>
                <w:rFonts w:ascii="宋体" w:hAnsi="宋体" w:cs="宋体" w:eastAsia="宋体" w:hint="default"/>
                <w:sz w:val="18"/>
                <w:szCs w:val="18"/>
              </w:rPr>
            </w:pPr>
            <w:r>
              <w:rPr>
                <w:rFonts w:ascii="宋体"/>
                <w:sz w:val="18"/>
              </w:rPr>
              <w:t>32,009,136.64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9" w:right="0"/>
              <w:jc w:val="left"/>
              <w:rPr>
                <w:rFonts w:ascii="宋体" w:hAnsi="宋体" w:cs="宋体" w:eastAsia="宋体" w:hint="default"/>
                <w:sz w:val="18"/>
                <w:szCs w:val="18"/>
              </w:rPr>
            </w:pPr>
            <w:r>
              <w:rPr>
                <w:rFonts w:ascii="宋体"/>
                <w:sz w:val="18"/>
              </w:rPr>
              <w:t>288,082,229.79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9" w:right="0"/>
              <w:jc w:val="left"/>
              <w:rPr>
                <w:rFonts w:ascii="宋体" w:hAnsi="宋体" w:cs="宋体" w:eastAsia="宋体" w:hint="default"/>
                <w:sz w:val="18"/>
                <w:szCs w:val="18"/>
              </w:rPr>
            </w:pPr>
            <w:r>
              <w:rPr>
                <w:rFonts w:ascii="宋体"/>
                <w:sz w:val="18"/>
              </w:rPr>
              <w:t>1,582,997,213.25</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39" w:type="dxa"/>
        <w:tblLayout w:type="fixed"/>
        <w:tblCellMar>
          <w:top w:w="0" w:type="dxa"/>
          <w:left w:w="0" w:type="dxa"/>
          <w:bottom w:w="0" w:type="dxa"/>
          <w:right w:w="0" w:type="dxa"/>
        </w:tblCellMar>
        <w:tblLook w:val="01E0"/>
      </w:tblPr>
      <w:tblGrid>
        <w:gridCol w:w="2396"/>
        <w:gridCol w:w="1575"/>
        <w:gridCol w:w="850"/>
        <w:gridCol w:w="780"/>
        <w:gridCol w:w="638"/>
        <w:gridCol w:w="1491"/>
        <w:gridCol w:w="778"/>
        <w:gridCol w:w="850"/>
        <w:gridCol w:w="711"/>
        <w:gridCol w:w="1416"/>
        <w:gridCol w:w="1560"/>
        <w:gridCol w:w="1702"/>
      </w:tblGrid>
      <w:tr>
        <w:trPr>
          <w:trHeight w:val="242" w:hRule="exact"/>
        </w:trPr>
        <w:tc>
          <w:tcPr>
            <w:tcW w:w="239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235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4" w:hRule="exact"/>
        </w:trPr>
        <w:tc>
          <w:tcPr>
            <w:tcW w:w="2396" w:type="dxa"/>
            <w:vMerge/>
            <w:tcBorders>
              <w:left w:val="single" w:sz="4" w:space="0" w:color="000000"/>
              <w:right w:val="single" w:sz="4" w:space="0" w:color="000000"/>
            </w:tcBorders>
          </w:tcPr>
          <w:p>
            <w:pPr/>
          </w:p>
        </w:tc>
        <w:tc>
          <w:tcPr>
            <w:tcW w:w="1575" w:type="dxa"/>
            <w:vMerge w:val="restart"/>
            <w:tcBorders>
              <w:top w:val="single" w:sz="4" w:space="0" w:color="000000"/>
              <w:left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8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91" w:type="dxa"/>
            <w:vMerge w:val="restart"/>
            <w:tcBorders>
              <w:top w:val="single" w:sz="4" w:space="0" w:color="000000"/>
              <w:left w:val="single" w:sz="4" w:space="0" w:color="000000"/>
              <w:right w:val="single" w:sz="4" w:space="0" w:color="000000"/>
            </w:tcBorders>
          </w:tcPr>
          <w:p>
            <w:pPr>
              <w:pStyle w:val="TableParagraph"/>
              <w:spacing w:line="240" w:lineRule="auto" w:before="161"/>
              <w:ind w:left="37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78" w:type="dxa"/>
            <w:vMerge w:val="restart"/>
            <w:tcBorders>
              <w:top w:val="single" w:sz="4" w:space="0" w:color="000000"/>
              <w:left w:val="single" w:sz="4" w:space="0" w:color="000000"/>
              <w:right w:val="single" w:sz="4" w:space="0" w:color="000000"/>
            </w:tcBorders>
          </w:tcPr>
          <w:p>
            <w:pPr>
              <w:pStyle w:val="TableParagraph"/>
              <w:spacing w:line="232" w:lineRule="exact" w:before="71"/>
              <w:ind w:left="203" w:right="113"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850" w:type="dxa"/>
            <w:vMerge w:val="restart"/>
            <w:tcBorders>
              <w:top w:val="single" w:sz="4" w:space="0" w:color="000000"/>
              <w:left w:val="single" w:sz="4" w:space="0" w:color="000000"/>
              <w:right w:val="single" w:sz="4" w:space="0" w:color="000000"/>
            </w:tcBorders>
          </w:tcPr>
          <w:p>
            <w:pPr>
              <w:pStyle w:val="TableParagraph"/>
              <w:spacing w:line="232" w:lineRule="exact" w:before="71"/>
              <w:ind w:left="151" w:right="14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11" w:type="dxa"/>
            <w:vMerge w:val="restart"/>
            <w:tcBorders>
              <w:top w:val="single" w:sz="4" w:space="0" w:color="000000"/>
              <w:left w:val="single" w:sz="4" w:space="0" w:color="000000"/>
              <w:right w:val="single" w:sz="4" w:space="0" w:color="000000"/>
            </w:tcBorders>
          </w:tcPr>
          <w:p>
            <w:pPr>
              <w:pStyle w:val="TableParagraph"/>
              <w:spacing w:line="232" w:lineRule="exact" w:before="71"/>
              <w:ind w:left="170" w:right="170"/>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61"/>
              <w:ind w:left="3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61"/>
              <w:ind w:left="32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61"/>
              <w:ind w:left="21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05" w:hRule="exact"/>
        </w:trPr>
        <w:tc>
          <w:tcPr>
            <w:tcW w:w="2396" w:type="dxa"/>
            <w:vMerge/>
            <w:tcBorders>
              <w:left w:val="single" w:sz="4" w:space="0" w:color="000000"/>
              <w:bottom w:val="single" w:sz="4" w:space="0" w:color="000000"/>
              <w:right w:val="single" w:sz="4" w:space="0" w:color="000000"/>
            </w:tcBorders>
          </w:tcPr>
          <w:p>
            <w:pPr/>
          </w:p>
        </w:tc>
        <w:tc>
          <w:tcPr>
            <w:tcW w:w="1575"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51"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1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3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1"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r>
      <w:tr>
        <w:trPr>
          <w:trHeight w:val="24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210,000,000.00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3" w:right="0"/>
              <w:jc w:val="center"/>
              <w:rPr>
                <w:rFonts w:ascii="宋体" w:hAnsi="宋体" w:cs="宋体" w:eastAsia="宋体" w:hint="default"/>
                <w:sz w:val="18"/>
                <w:szCs w:val="18"/>
              </w:rPr>
            </w:pPr>
            <w:r>
              <w:rPr>
                <w:rFonts w:ascii="宋体"/>
                <w:sz w:val="18"/>
              </w:rPr>
              <w:t>351,767,178.32</w:t>
            </w:r>
          </w:p>
        </w:tc>
        <w:tc>
          <w:tcPr>
            <w:tcW w:w="77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0" w:right="0"/>
              <w:jc w:val="center"/>
              <w:rPr>
                <w:rFonts w:ascii="宋体" w:hAnsi="宋体" w:cs="宋体" w:eastAsia="宋体" w:hint="default"/>
                <w:sz w:val="18"/>
                <w:szCs w:val="18"/>
              </w:rPr>
            </w:pPr>
            <w:r>
              <w:rPr>
                <w:rFonts w:ascii="宋体"/>
                <w:sz w:val="18"/>
              </w:rPr>
              <w:t>2,697,143.94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24,274,295.49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588,738,617.75</w:t>
            </w:r>
          </w:p>
        </w:tc>
      </w:tr>
      <w:tr>
        <w:trPr>
          <w:trHeight w:val="24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210,000,000.00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 w:right="0"/>
              <w:jc w:val="center"/>
              <w:rPr>
                <w:rFonts w:ascii="宋体" w:hAnsi="宋体" w:cs="宋体" w:eastAsia="宋体" w:hint="default"/>
                <w:sz w:val="18"/>
                <w:szCs w:val="18"/>
              </w:rPr>
            </w:pPr>
            <w:r>
              <w:rPr>
                <w:rFonts w:ascii="宋体"/>
                <w:sz w:val="18"/>
              </w:rPr>
              <w:t>351,767,178.32</w:t>
            </w:r>
          </w:p>
        </w:tc>
        <w:tc>
          <w:tcPr>
            <w:tcW w:w="77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0" w:right="0"/>
              <w:jc w:val="center"/>
              <w:rPr>
                <w:rFonts w:ascii="宋体" w:hAnsi="宋体" w:cs="宋体" w:eastAsia="宋体" w:hint="default"/>
                <w:sz w:val="18"/>
                <w:szCs w:val="18"/>
              </w:rPr>
            </w:pPr>
            <w:r>
              <w:rPr>
                <w:rFonts w:ascii="宋体"/>
                <w:sz w:val="18"/>
              </w:rPr>
              <w:t>2,697,143.94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24,274,295.49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588,738,617.75</w:t>
            </w:r>
          </w:p>
        </w:tc>
      </w:tr>
      <w:tr>
        <w:trPr>
          <w:trHeight w:val="478"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 w:right="0"/>
              <w:jc w:val="center"/>
              <w:rPr>
                <w:rFonts w:ascii="宋体" w:hAnsi="宋体" w:cs="宋体" w:eastAsia="宋体" w:hint="default"/>
                <w:sz w:val="18"/>
                <w:szCs w:val="18"/>
              </w:rPr>
            </w:pPr>
            <w:r>
              <w:rPr>
                <w:rFonts w:ascii="宋体"/>
                <w:sz w:val="18"/>
              </w:rPr>
              <w:t>14,390,746.76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129,516,720.82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143,907,467.58</w:t>
            </w:r>
          </w:p>
        </w:tc>
      </w:tr>
      <w:tr>
        <w:trPr>
          <w:trHeight w:val="242"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143,907,467.58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143,907,467.58</w:t>
            </w:r>
          </w:p>
        </w:tc>
      </w:tr>
      <w:tr>
        <w:trPr>
          <w:trHeight w:val="478"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72"/>
                <w:sz w:val="18"/>
                <w:szCs w:val="18"/>
              </w:rPr>
              <w:t>．</w:t>
            </w:r>
            <w:r>
              <w:rPr>
                <w:rFonts w:ascii="宋体" w:hAnsi="宋体" w:cs="宋体" w:eastAsia="宋体" w:hint="default"/>
                <w:sz w:val="18"/>
                <w:szCs w:val="18"/>
              </w:rPr>
              <w:t>其他权益工具持有者投入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72"/>
                <w:sz w:val="18"/>
                <w:szCs w:val="18"/>
              </w:rPr>
              <w:t>．</w:t>
            </w:r>
            <w:r>
              <w:rPr>
                <w:rFonts w:ascii="宋体" w:hAnsi="宋体" w:cs="宋体" w:eastAsia="宋体" w:hint="default"/>
                <w:sz w:val="18"/>
                <w:szCs w:val="18"/>
              </w:rPr>
              <w:t>股份支付计入所有者权益</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 w:right="0"/>
              <w:jc w:val="center"/>
              <w:rPr>
                <w:rFonts w:ascii="宋体" w:hAnsi="宋体" w:cs="宋体" w:eastAsia="宋体" w:hint="default"/>
                <w:sz w:val="18"/>
                <w:szCs w:val="18"/>
              </w:rPr>
            </w:pPr>
            <w:r>
              <w:rPr>
                <w:rFonts w:ascii="宋体"/>
                <w:sz w:val="18"/>
              </w:rPr>
              <w:t>14,390,746.76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-14,390,746.76</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 w:right="0"/>
              <w:jc w:val="center"/>
              <w:rPr>
                <w:rFonts w:ascii="宋体" w:hAnsi="宋体" w:cs="宋体" w:eastAsia="宋体" w:hint="default"/>
                <w:sz w:val="18"/>
                <w:szCs w:val="18"/>
              </w:rPr>
            </w:pPr>
            <w:r>
              <w:rPr>
                <w:rFonts w:ascii="宋体"/>
                <w:sz w:val="18"/>
              </w:rPr>
              <w:t>14,390,746.76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-14,390,746.76</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．对所有者（或股东）的分</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．资本公积转增资本（或股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．盈余公积转增资本（或股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380" w:right="440"/>
        </w:sectPr>
      </w:pPr>
    </w:p>
    <w:p>
      <w:pPr>
        <w:spacing w:line="240" w:lineRule="auto" w:before="2"/>
        <w:rPr>
          <w:rFonts w:ascii="Times New Roman" w:hAnsi="Times New Roman" w:cs="Times New Roman" w:eastAsia="Times New Roman" w:hint="default"/>
          <w:sz w:val="13"/>
          <w:szCs w:val="13"/>
        </w:rPr>
      </w:pPr>
    </w:p>
    <w:tbl>
      <w:tblPr>
        <w:tblW w:w="0" w:type="auto"/>
        <w:jc w:val="left"/>
        <w:tblInd w:w="139" w:type="dxa"/>
        <w:tblLayout w:type="fixed"/>
        <w:tblCellMar>
          <w:top w:w="0" w:type="dxa"/>
          <w:left w:w="0" w:type="dxa"/>
          <w:bottom w:w="0" w:type="dxa"/>
          <w:right w:w="0" w:type="dxa"/>
        </w:tblCellMar>
        <w:tblLook w:val="01E0"/>
      </w:tblPr>
      <w:tblGrid>
        <w:gridCol w:w="2396"/>
        <w:gridCol w:w="1575"/>
        <w:gridCol w:w="850"/>
        <w:gridCol w:w="780"/>
        <w:gridCol w:w="638"/>
        <w:gridCol w:w="1491"/>
        <w:gridCol w:w="778"/>
        <w:gridCol w:w="850"/>
        <w:gridCol w:w="711"/>
        <w:gridCol w:w="1416"/>
        <w:gridCol w:w="1560"/>
        <w:gridCol w:w="1702"/>
      </w:tblGrid>
      <w:tr>
        <w:trPr>
          <w:trHeight w:val="242"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1" w:right="0"/>
              <w:jc w:val="left"/>
              <w:rPr>
                <w:rFonts w:ascii="宋体" w:hAnsi="宋体" w:cs="宋体" w:eastAsia="宋体" w:hint="default"/>
                <w:sz w:val="18"/>
                <w:szCs w:val="18"/>
              </w:rPr>
            </w:pPr>
            <w:r>
              <w:rPr>
                <w:rFonts w:ascii="宋体"/>
                <w:sz w:val="18"/>
              </w:rPr>
              <w:t>210,000,000.00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sz w:val="18"/>
              </w:rPr>
              <w:t>351,767,178.32</w:t>
            </w:r>
          </w:p>
        </w:tc>
        <w:tc>
          <w:tcPr>
            <w:tcW w:w="77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2" w:right="0"/>
              <w:jc w:val="left"/>
              <w:rPr>
                <w:rFonts w:ascii="宋体" w:hAnsi="宋体" w:cs="宋体" w:eastAsia="宋体" w:hint="default"/>
                <w:sz w:val="18"/>
                <w:szCs w:val="18"/>
              </w:rPr>
            </w:pPr>
            <w:r>
              <w:rPr>
                <w:rFonts w:ascii="宋体"/>
                <w:sz w:val="18"/>
              </w:rPr>
              <w:t>17,087,890.70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9" w:right="0"/>
              <w:jc w:val="left"/>
              <w:rPr>
                <w:rFonts w:ascii="宋体" w:hAnsi="宋体" w:cs="宋体" w:eastAsia="宋体" w:hint="default"/>
                <w:sz w:val="18"/>
                <w:szCs w:val="18"/>
              </w:rPr>
            </w:pPr>
            <w:r>
              <w:rPr>
                <w:rFonts w:ascii="宋体"/>
                <w:sz w:val="18"/>
              </w:rPr>
              <w:t>153,791,016.31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9" w:right="0"/>
              <w:jc w:val="left"/>
              <w:rPr>
                <w:rFonts w:ascii="宋体" w:hAnsi="宋体" w:cs="宋体" w:eastAsia="宋体" w:hint="default"/>
                <w:sz w:val="18"/>
                <w:szCs w:val="18"/>
              </w:rPr>
            </w:pPr>
            <w:r>
              <w:rPr>
                <w:rFonts w:ascii="宋体"/>
                <w:sz w:val="18"/>
              </w:rPr>
              <w:t>732,646,085.33</w:t>
            </w:r>
          </w:p>
        </w:tc>
      </w:tr>
    </w:tbl>
    <w:p>
      <w:pPr>
        <w:spacing w:line="240" w:lineRule="auto" w:before="5"/>
        <w:rPr>
          <w:rFonts w:ascii="Times New Roman" w:hAnsi="Times New Roman" w:cs="Times New Roman" w:eastAsia="Times New Roman" w:hint="default"/>
          <w:sz w:val="17"/>
          <w:szCs w:val="17"/>
        </w:rPr>
      </w:pPr>
    </w:p>
    <w:p>
      <w:pPr>
        <w:pStyle w:val="BodyText"/>
        <w:tabs>
          <w:tab w:pos="5499" w:val="left" w:leader="none"/>
          <w:tab w:pos="11485" w:val="left" w:leader="none"/>
        </w:tabs>
        <w:spacing w:line="240" w:lineRule="auto" w:before="36"/>
        <w:ind w:left="144" w:right="0"/>
        <w:jc w:val="left"/>
      </w:pPr>
      <w:r>
        <w:rPr>
          <w:spacing w:val="-1"/>
        </w:rPr>
        <w:t>法定代表人：江浩然</w:t>
        <w:tab/>
      </w:r>
      <w:r>
        <w:rPr>
          <w:spacing w:val="-2"/>
        </w:rPr>
        <w:t>主管会计工作负责人：温健</w:t>
        <w:tab/>
        <w:t>会计机构负责人：云泽杨</w:t>
      </w:r>
    </w:p>
    <w:p>
      <w:pPr>
        <w:spacing w:after="0" w:line="240" w:lineRule="auto"/>
        <w:jc w:val="left"/>
        <w:sectPr>
          <w:pgSz w:w="16840" w:h="11910" w:orient="landscape"/>
          <w:pgMar w:header="882" w:footer="1195" w:top="1120" w:bottom="1380" w:left="1380" w:right="440"/>
        </w:sectPr>
      </w:pPr>
    </w:p>
    <w:p>
      <w:pPr>
        <w:spacing w:line="240" w:lineRule="auto" w:before="9"/>
        <w:rPr>
          <w:rFonts w:ascii="宋体" w:hAnsi="宋体" w:cs="宋体" w:eastAsia="宋体" w:hint="default"/>
          <w:sz w:val="29"/>
          <w:szCs w:val="29"/>
        </w:rPr>
      </w:pPr>
    </w:p>
    <w:p>
      <w:pPr>
        <w:pStyle w:val="Heading2"/>
        <w:tabs>
          <w:tab w:pos="557" w:val="left" w:leader="none"/>
        </w:tabs>
        <w:spacing w:line="290" w:lineRule="auto" w:before="36"/>
        <w:ind w:left="138" w:right="7274"/>
        <w:jc w:val="left"/>
        <w:rPr>
          <w:b w:val="0"/>
          <w:bCs w:val="0"/>
        </w:rPr>
      </w:pPr>
      <w:r>
        <w:rPr/>
        <w:t>三、公司基本情况</w:t>
      </w:r>
      <w:r>
        <w:rPr>
          <w:spacing w:val="-101"/>
        </w:rPr>
        <w:t> </w:t>
      </w:r>
      <w:r>
        <w:rPr>
          <w:spacing w:val="-101"/>
        </w:rPr>
      </w:r>
      <w:r>
        <w:rPr>
          <w:rFonts w:ascii="宋体" w:hAnsi="宋体" w:cs="宋体" w:eastAsia="宋体" w:hint="default"/>
          <w:w w:val="95"/>
        </w:rPr>
        <w:t>1.</w:t>
        <w:tab/>
      </w:r>
      <w:r>
        <w:rPr/>
        <w:t>公司概况</w:t>
      </w:r>
      <w:r>
        <w:rPr>
          <w:b w:val="0"/>
          <w:bCs w:val="0"/>
        </w:rPr>
      </w:r>
    </w:p>
    <w:p>
      <w:pPr>
        <w:pStyle w:val="BodyText"/>
        <w:spacing w:line="240" w:lineRule="auto" w:before="12"/>
        <w:ind w:left="558" w:right="0" w:hanging="420"/>
        <w:jc w:val="left"/>
      </w:pPr>
      <w:r>
        <w:rPr/>
        <w:t>√适用</w:t>
      </w:r>
      <w:r>
        <w:rPr>
          <w:spacing w:val="-2"/>
        </w:rPr>
        <w:t> </w:t>
      </w:r>
      <w:r>
        <w:rPr/>
        <w:t>□不适用</w:t>
      </w:r>
      <w:r>
        <w:rPr>
          <w:w w:val="100"/>
        </w:rPr>
        <w:t> </w:t>
      </w:r>
      <w:r>
        <w:rPr>
          <w:spacing w:val="-2"/>
        </w:rPr>
        <w:t>恒银金融科技股份有限公司（以下简称公司或本公司）系经北京市工商行政管理局批准，由</w:t>
      </w:r>
    </w:p>
    <w:p>
      <w:pPr>
        <w:pStyle w:val="BodyText"/>
        <w:spacing w:line="240" w:lineRule="auto" w:before="133"/>
        <w:ind w:right="0"/>
        <w:jc w:val="left"/>
      </w:pPr>
      <w:r>
        <w:rPr/>
        <w:t>由江苏恒宝股份有限公司和江斐然共同出资组建，于</w:t>
      </w:r>
      <w:r>
        <w:rPr>
          <w:spacing w:val="-53"/>
        </w:rPr>
        <w:t> </w:t>
      </w:r>
      <w:r>
        <w:rPr>
          <w:rFonts w:ascii="宋体" w:hAnsi="宋体" w:cs="宋体" w:eastAsia="宋体" w:hint="default"/>
        </w:rPr>
        <w:t>2004</w:t>
      </w:r>
      <w:r>
        <w:rPr>
          <w:rFonts w:ascii="宋体" w:hAnsi="宋体" w:cs="宋体" w:eastAsia="宋体" w:hint="default"/>
          <w:spacing w:val="-53"/>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w:t>
      </w:r>
      <w:r>
        <w:rPr>
          <w:spacing w:val="-55"/>
        </w:rPr>
        <w:t> </w:t>
      </w:r>
      <w:r>
        <w:rPr>
          <w:rFonts w:ascii="宋体" w:hAnsi="宋体" w:cs="宋体" w:eastAsia="宋体" w:hint="default"/>
        </w:rPr>
        <w:t>12</w:t>
      </w:r>
      <w:r>
        <w:rPr>
          <w:rFonts w:ascii="宋体" w:hAnsi="宋体" w:cs="宋体" w:eastAsia="宋体" w:hint="default"/>
          <w:spacing w:val="-53"/>
        </w:rPr>
        <w:t> </w:t>
      </w:r>
      <w:r>
        <w:rPr/>
        <w:t>日在北京市工商行政管理局</w:t>
      </w:r>
    </w:p>
    <w:p>
      <w:pPr>
        <w:pStyle w:val="BodyText"/>
        <w:spacing w:line="240" w:lineRule="auto" w:before="133"/>
        <w:ind w:right="0"/>
        <w:jc w:val="left"/>
      </w:pPr>
      <w:r>
        <w:rPr/>
        <w:t>登记注册，取得注册号为</w:t>
      </w:r>
      <w:r>
        <w:rPr>
          <w:spacing w:val="-56"/>
        </w:rPr>
        <w:t> </w:t>
      </w:r>
      <w:r>
        <w:rPr>
          <w:rFonts w:ascii="宋体" w:hAnsi="宋体" w:cs="宋体" w:eastAsia="宋体" w:hint="default"/>
        </w:rPr>
        <w:t>1101081693564</w:t>
      </w:r>
      <w:r>
        <w:rPr>
          <w:rFonts w:ascii="宋体" w:hAnsi="宋体" w:cs="宋体" w:eastAsia="宋体" w:hint="default"/>
          <w:spacing w:val="-56"/>
        </w:rPr>
        <w:t> </w:t>
      </w:r>
      <w:r>
        <w:rPr/>
        <w:t>的企业法人营业执照。公司现持有统一社会信用代码为</w:t>
      </w:r>
    </w:p>
    <w:p>
      <w:pPr>
        <w:pStyle w:val="BodyText"/>
        <w:spacing w:line="240" w:lineRule="auto" w:before="133"/>
        <w:ind w:right="0"/>
        <w:jc w:val="left"/>
      </w:pPr>
      <w:r>
        <w:rPr>
          <w:rFonts w:ascii="宋体" w:hAnsi="宋体" w:cs="宋体" w:eastAsia="宋体" w:hint="default"/>
        </w:rPr>
        <w:t>91120118762158867F</w:t>
      </w:r>
      <w:r>
        <w:rPr>
          <w:rFonts w:ascii="宋体" w:hAnsi="宋体" w:cs="宋体" w:eastAsia="宋体" w:hint="default"/>
          <w:spacing w:val="-47"/>
        </w:rPr>
        <w:t> </w:t>
      </w:r>
      <w:r>
        <w:rPr>
          <w:spacing w:val="-3"/>
        </w:rPr>
        <w:t>的营业执照，注册资本</w:t>
      </w:r>
      <w:r>
        <w:rPr>
          <w:spacing w:val="-47"/>
        </w:rPr>
        <w:t> </w:t>
      </w:r>
      <w:r>
        <w:rPr>
          <w:rFonts w:ascii="宋体" w:hAnsi="宋体" w:cs="宋体" w:eastAsia="宋体" w:hint="default"/>
        </w:rPr>
        <w:t>28,000.00</w:t>
      </w:r>
      <w:r>
        <w:rPr>
          <w:rFonts w:ascii="宋体" w:hAnsi="宋体" w:cs="宋体" w:eastAsia="宋体" w:hint="default"/>
          <w:spacing w:val="-46"/>
        </w:rPr>
        <w:t> </w:t>
      </w:r>
      <w:r>
        <w:rPr>
          <w:spacing w:val="-4"/>
        </w:rPr>
        <w:t>万元，股份总数</w:t>
      </w:r>
      <w:r>
        <w:rPr>
          <w:spacing w:val="-47"/>
        </w:rPr>
        <w:t> </w:t>
      </w:r>
      <w:r>
        <w:rPr>
          <w:rFonts w:ascii="宋体" w:hAnsi="宋体" w:cs="宋体" w:eastAsia="宋体" w:hint="default"/>
        </w:rPr>
        <w:t>28,000.00</w:t>
      </w:r>
      <w:r>
        <w:rPr>
          <w:rFonts w:ascii="宋体" w:hAnsi="宋体" w:cs="宋体" w:eastAsia="宋体" w:hint="default"/>
          <w:spacing w:val="-46"/>
        </w:rPr>
        <w:t> </w:t>
      </w:r>
      <w:r>
        <w:rPr>
          <w:spacing w:val="-4"/>
        </w:rPr>
        <w:t>万股（每股面</w:t>
      </w:r>
    </w:p>
    <w:p>
      <w:pPr>
        <w:pStyle w:val="BodyText"/>
        <w:spacing w:line="240" w:lineRule="auto" w:before="135"/>
        <w:ind w:right="0"/>
        <w:jc w:val="left"/>
        <w:rPr>
          <w:rFonts w:ascii="宋体" w:hAnsi="宋体" w:cs="宋体" w:eastAsia="宋体" w:hint="default"/>
        </w:rPr>
      </w:pPr>
      <w:r>
        <w:rPr>
          <w:w w:val="100"/>
        </w:rPr>
        <w:t>值</w:t>
      </w:r>
      <w:r>
        <w:rPr>
          <w:spacing w:val="-65"/>
        </w:rPr>
        <w:t> </w:t>
      </w:r>
      <w:r>
        <w:rPr>
          <w:rFonts w:ascii="宋体" w:hAnsi="宋体" w:cs="宋体" w:eastAsia="宋体" w:hint="default"/>
          <w:w w:val="100"/>
        </w:rPr>
        <w:t>1</w:t>
      </w:r>
      <w:r>
        <w:rPr>
          <w:rFonts w:ascii="宋体" w:hAnsi="宋体" w:cs="宋体" w:eastAsia="宋体" w:hint="default"/>
          <w:spacing w:val="-65"/>
        </w:rPr>
        <w:t> </w:t>
      </w:r>
      <w:r>
        <w:rPr>
          <w:w w:val="100"/>
        </w:rPr>
        <w:t>元</w:t>
      </w:r>
      <w:r>
        <w:rPr>
          <w:spacing w:val="-108"/>
          <w:w w:val="100"/>
        </w:rPr>
        <w:t>）</w:t>
      </w:r>
      <w:r>
        <w:rPr>
          <w:spacing w:val="-106"/>
          <w:w w:val="100"/>
        </w:rPr>
        <w:t>。</w:t>
      </w:r>
      <w:r>
        <w:rPr>
          <w:spacing w:val="-3"/>
          <w:w w:val="100"/>
        </w:rPr>
        <w:t>其</w:t>
      </w:r>
      <w:r>
        <w:rPr>
          <w:w w:val="100"/>
        </w:rPr>
        <w:t>中</w:t>
      </w:r>
      <w:r>
        <w:rPr>
          <w:spacing w:val="-106"/>
          <w:w w:val="100"/>
        </w:rPr>
        <w:t>，</w:t>
      </w:r>
      <w:r>
        <w:rPr>
          <w:spacing w:val="-3"/>
          <w:w w:val="100"/>
        </w:rPr>
        <w:t>有</w:t>
      </w:r>
      <w:r>
        <w:rPr>
          <w:w w:val="100"/>
        </w:rPr>
        <w:t>限</w:t>
      </w:r>
      <w:r>
        <w:rPr>
          <w:spacing w:val="-3"/>
          <w:w w:val="100"/>
        </w:rPr>
        <w:t>售</w:t>
      </w:r>
      <w:r>
        <w:rPr>
          <w:w w:val="100"/>
        </w:rPr>
        <w:t>条</w:t>
      </w:r>
      <w:r>
        <w:rPr>
          <w:spacing w:val="-3"/>
          <w:w w:val="100"/>
        </w:rPr>
        <w:t>件</w:t>
      </w:r>
      <w:r>
        <w:rPr>
          <w:w w:val="100"/>
        </w:rPr>
        <w:t>的流</w:t>
      </w:r>
      <w:r>
        <w:rPr>
          <w:spacing w:val="-3"/>
          <w:w w:val="100"/>
        </w:rPr>
        <w:t>通</w:t>
      </w:r>
      <w:r>
        <w:rPr>
          <w:w w:val="100"/>
        </w:rPr>
        <w:t>股</w:t>
      </w:r>
      <w:r>
        <w:rPr>
          <w:spacing w:val="-3"/>
          <w:w w:val="100"/>
        </w:rPr>
        <w:t>份</w:t>
      </w:r>
      <w:r>
        <w:rPr>
          <w:spacing w:val="-106"/>
          <w:w w:val="100"/>
        </w:rPr>
        <w:t>：</w:t>
      </w:r>
      <w:r>
        <w:rPr>
          <w:rFonts w:ascii="宋体" w:hAnsi="宋体" w:cs="宋体" w:eastAsia="宋体" w:hint="default"/>
          <w:w w:val="100"/>
        </w:rPr>
        <w:t>A</w:t>
      </w:r>
      <w:r>
        <w:rPr>
          <w:rFonts w:ascii="宋体" w:hAnsi="宋体" w:cs="宋体" w:eastAsia="宋体" w:hint="default"/>
          <w:spacing w:val="-65"/>
        </w:rPr>
        <w:t> </w:t>
      </w:r>
      <w:r>
        <w:rPr>
          <w:w w:val="100"/>
        </w:rPr>
        <w:t>股</w:t>
      </w:r>
      <w:r>
        <w:rPr>
          <w:spacing w:val="-67"/>
        </w:rPr>
        <w:t> </w:t>
      </w:r>
      <w:r>
        <w:rPr>
          <w:rFonts w:ascii="宋体" w:hAnsi="宋体" w:cs="宋体" w:eastAsia="宋体" w:hint="default"/>
          <w:w w:val="100"/>
        </w:rPr>
        <w:t>21,</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64"/>
        </w:rPr>
        <w:t> </w:t>
      </w:r>
      <w:r>
        <w:rPr>
          <w:w w:val="100"/>
        </w:rPr>
        <w:t>万股</w:t>
      </w:r>
      <w:r>
        <w:rPr>
          <w:spacing w:val="-108"/>
          <w:w w:val="100"/>
        </w:rPr>
        <w:t>；</w:t>
      </w:r>
      <w:r>
        <w:rPr>
          <w:w w:val="100"/>
        </w:rPr>
        <w:t>无</w:t>
      </w:r>
      <w:r>
        <w:rPr>
          <w:spacing w:val="-3"/>
          <w:w w:val="100"/>
        </w:rPr>
        <w:t>限</w:t>
      </w:r>
      <w:r>
        <w:rPr>
          <w:w w:val="100"/>
        </w:rPr>
        <w:t>售</w:t>
      </w:r>
      <w:r>
        <w:rPr>
          <w:spacing w:val="-3"/>
          <w:w w:val="100"/>
        </w:rPr>
        <w:t>条</w:t>
      </w:r>
      <w:r>
        <w:rPr>
          <w:w w:val="100"/>
        </w:rPr>
        <w:t>件</w:t>
      </w:r>
      <w:r>
        <w:rPr>
          <w:spacing w:val="-3"/>
          <w:w w:val="100"/>
        </w:rPr>
        <w:t>的</w:t>
      </w:r>
      <w:r>
        <w:rPr>
          <w:w w:val="100"/>
        </w:rPr>
        <w:t>流</w:t>
      </w:r>
      <w:r>
        <w:rPr>
          <w:spacing w:val="-3"/>
          <w:w w:val="100"/>
        </w:rPr>
        <w:t>通</w:t>
      </w:r>
      <w:r>
        <w:rPr>
          <w:w w:val="100"/>
        </w:rPr>
        <w:t>股份</w:t>
      </w:r>
      <w:r>
        <w:rPr>
          <w:spacing w:val="-64"/>
        </w:rPr>
        <w:t> </w:t>
      </w:r>
      <w:r>
        <w:rPr>
          <w:rFonts w:ascii="宋体" w:hAnsi="宋体" w:cs="宋体" w:eastAsia="宋体" w:hint="default"/>
          <w:w w:val="100"/>
        </w:rPr>
        <w:t>A</w:t>
      </w:r>
      <w:r>
        <w:rPr>
          <w:rFonts w:ascii="宋体" w:hAnsi="宋体" w:cs="宋体" w:eastAsia="宋体" w:hint="default"/>
          <w:spacing w:val="-65"/>
        </w:rPr>
        <w:t> </w:t>
      </w:r>
      <w:r>
        <w:rPr>
          <w:w w:val="100"/>
        </w:rPr>
        <w:t>股</w:t>
      </w:r>
      <w:r>
        <w:rPr>
          <w:spacing w:val="-67"/>
        </w:rPr>
        <w:t> </w:t>
      </w:r>
      <w:r>
        <w:rPr>
          <w:rFonts w:ascii="宋体" w:hAnsi="宋体" w:cs="宋体" w:eastAsia="宋体" w:hint="default"/>
          <w:w w:val="100"/>
        </w:rPr>
        <w:t>7,0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3"/>
          <w:w w:val="100"/>
        </w:rPr>
        <w:t>0</w:t>
      </w:r>
      <w:r>
        <w:rPr>
          <w:rFonts w:ascii="宋体" w:hAnsi="宋体" w:cs="宋体" w:eastAsia="宋体" w:hint="default"/>
          <w:w w:val="100"/>
        </w:rPr>
        <w:t>0</w:t>
      </w:r>
    </w:p>
    <w:p>
      <w:pPr>
        <w:pStyle w:val="BodyText"/>
        <w:spacing w:line="357" w:lineRule="auto" w:before="133"/>
        <w:ind w:left="558" w:right="0" w:hanging="420"/>
        <w:jc w:val="left"/>
      </w:pPr>
      <w:r>
        <w:rPr/>
        <w:t>万股。公司股票已于</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spacing w:val="-53"/>
        </w:rPr>
        <w:t> </w:t>
      </w:r>
      <w:r>
        <w:rPr>
          <w:rFonts w:ascii="宋体" w:hAnsi="宋体" w:cs="宋体" w:eastAsia="宋体" w:hint="default"/>
        </w:rPr>
        <w:t>20</w:t>
      </w:r>
      <w:r>
        <w:rPr>
          <w:rFonts w:ascii="宋体" w:hAnsi="宋体" w:cs="宋体" w:eastAsia="宋体" w:hint="default"/>
          <w:spacing w:val="-55"/>
        </w:rPr>
        <w:t> </w:t>
      </w:r>
      <w:r>
        <w:rPr/>
        <w:t>日在上海证券交易所挂牌交易。</w:t>
      </w:r>
      <w:r>
        <w:rPr>
          <w:w w:val="100"/>
        </w:rPr>
        <w:t> </w:t>
      </w:r>
      <w:r>
        <w:rPr>
          <w:spacing w:val="-2"/>
        </w:rPr>
        <w:t>本公司属计算机、通信和其他电子设备制造行业。经营范围：金融机具设备、自动柜员机的</w:t>
      </w:r>
    </w:p>
    <w:p>
      <w:pPr>
        <w:pStyle w:val="BodyText"/>
        <w:spacing w:line="357" w:lineRule="auto" w:before="30"/>
        <w:ind w:right="128"/>
        <w:jc w:val="both"/>
      </w:pPr>
      <w:r>
        <w:rPr>
          <w:spacing w:val="-2"/>
        </w:rPr>
        <w:t>研发、生产、销售及租赁；金融机具设备、自动柜员机及其网络的运营和维护；金融自助设备监</w:t>
      </w:r>
      <w:r>
        <w:rPr>
          <w:spacing w:val="-25"/>
        </w:rPr>
        <w:t> </w:t>
      </w:r>
      <w:r>
        <w:rPr>
          <w:spacing w:val="-25"/>
        </w:rPr>
      </w:r>
      <w:r>
        <w:rPr>
          <w:spacing w:val="-7"/>
        </w:rPr>
        <w:t>控外包服务；公共安全技术防范工程设计、施工、维修；电子计算机系统集成、技术咨询及服务；</w:t>
      </w:r>
      <w:r>
        <w:rPr>
          <w:spacing w:val="-12"/>
        </w:rPr>
        <w:t> </w:t>
      </w:r>
      <w:r>
        <w:rPr>
          <w:spacing w:val="-12"/>
        </w:rPr>
      </w:r>
      <w:r>
        <w:rPr>
          <w:spacing w:val="-6"/>
        </w:rPr>
        <w:t>识别技术服务；货物进出口；自有房屋租赁；主要经营活动为金融自助设备的研发、生产和销售，</w:t>
      </w:r>
      <w:r>
        <w:rPr>
          <w:spacing w:val="-53"/>
        </w:rPr>
        <w:t> </w:t>
      </w:r>
      <w:r>
        <w:rPr>
          <w:spacing w:val="-53"/>
        </w:rPr>
      </w:r>
      <w:r>
        <w:rPr/>
        <w:t>产品主要有现金类自助设备、非现金类自助设备及服务。</w:t>
      </w:r>
    </w:p>
    <w:p>
      <w:pPr>
        <w:spacing w:line="240" w:lineRule="auto" w:before="11"/>
        <w:rPr>
          <w:rFonts w:ascii="宋体" w:hAnsi="宋体" w:cs="宋体" w:eastAsia="宋体" w:hint="default"/>
          <w:sz w:val="27"/>
          <w:szCs w:val="27"/>
        </w:rPr>
      </w:pPr>
    </w:p>
    <w:p>
      <w:pPr>
        <w:pStyle w:val="Heading2"/>
        <w:tabs>
          <w:tab w:pos="557" w:val="left" w:leader="none"/>
        </w:tabs>
        <w:spacing w:line="240" w:lineRule="auto"/>
        <w:ind w:left="138" w:right="0"/>
        <w:jc w:val="left"/>
        <w:rPr>
          <w:b w:val="0"/>
          <w:bCs w:val="0"/>
        </w:rPr>
      </w:pPr>
      <w:r>
        <w:rPr>
          <w:rFonts w:ascii="宋体" w:hAnsi="宋体" w:cs="宋体" w:eastAsia="宋体" w:hint="default"/>
          <w:w w:val="95"/>
        </w:rPr>
        <w:t>2.</w:t>
        <w:tab/>
      </w:r>
      <w:r>
        <w:rPr/>
        <w:t>合并财务报表范围</w:t>
      </w:r>
      <w:r>
        <w:rPr>
          <w:b w:val="0"/>
          <w:bCs w:val="0"/>
        </w:rPr>
      </w:r>
    </w:p>
    <w:p>
      <w:pPr>
        <w:pStyle w:val="BodyText"/>
        <w:spacing w:line="240" w:lineRule="auto" w:before="56"/>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562" w:val="left" w:leader="none"/>
        </w:tabs>
        <w:spacing w:line="290" w:lineRule="auto"/>
        <w:ind w:left="138" w:right="6640"/>
        <w:jc w:val="left"/>
        <w:rPr>
          <w:b w:val="0"/>
          <w:bCs w:val="0"/>
        </w:rPr>
      </w:pPr>
      <w:r>
        <w:rPr/>
        <w:t>四、财务报表的编制基础</w:t>
      </w:r>
      <w:r>
        <w:rPr>
          <w:spacing w:val="-100"/>
        </w:rPr>
        <w:t> </w:t>
      </w:r>
      <w:r>
        <w:rPr>
          <w:spacing w:val="-100"/>
        </w:rPr>
      </w:r>
      <w:r>
        <w:rPr>
          <w:rFonts w:ascii="宋体" w:hAnsi="宋体" w:cs="宋体" w:eastAsia="宋体" w:hint="default"/>
          <w:w w:val="95"/>
        </w:rPr>
        <w:t>1.</w:t>
        <w:tab/>
      </w:r>
      <w:r>
        <w:rPr/>
        <w:t>编制基础</w:t>
      </w:r>
      <w:r>
        <w:rPr>
          <w:b w:val="0"/>
          <w:bCs w:val="0"/>
        </w:rPr>
      </w:r>
    </w:p>
    <w:p>
      <w:pPr>
        <w:pStyle w:val="BodyText"/>
        <w:spacing w:line="240" w:lineRule="auto" w:before="12"/>
        <w:ind w:left="558" w:right="0"/>
        <w:jc w:val="left"/>
      </w:pPr>
      <w:r>
        <w:rPr/>
        <w:t>本公司财务报表以持续经营为编制基础。</w:t>
      </w:r>
    </w:p>
    <w:p>
      <w:pPr>
        <w:spacing w:line="240" w:lineRule="auto" w:before="3"/>
        <w:rPr>
          <w:rFonts w:ascii="宋体" w:hAnsi="宋体" w:cs="宋体" w:eastAsia="宋体" w:hint="default"/>
          <w:sz w:val="25"/>
          <w:szCs w:val="25"/>
        </w:rPr>
      </w:pPr>
    </w:p>
    <w:p>
      <w:pPr>
        <w:pStyle w:val="Heading2"/>
        <w:tabs>
          <w:tab w:pos="562" w:val="left" w:leader="none"/>
        </w:tabs>
        <w:spacing w:line="240" w:lineRule="auto"/>
        <w:ind w:left="138" w:right="0"/>
        <w:jc w:val="left"/>
        <w:rPr>
          <w:b w:val="0"/>
          <w:bCs w:val="0"/>
        </w:rPr>
      </w:pPr>
      <w:r>
        <w:rPr>
          <w:rFonts w:ascii="宋体" w:hAnsi="宋体" w:cs="宋体" w:eastAsia="宋体" w:hint="default"/>
          <w:w w:val="95"/>
        </w:rPr>
        <w:t>2.</w:t>
        <w:tab/>
      </w:r>
      <w:r>
        <w:rPr/>
        <w:t>持续经营</w:t>
      </w:r>
      <w:r>
        <w:rPr>
          <w:b w:val="0"/>
          <w:bCs w:val="0"/>
        </w:rPr>
      </w:r>
    </w:p>
    <w:p>
      <w:pPr>
        <w:pStyle w:val="BodyText"/>
        <w:spacing w:line="274" w:lineRule="exact" w:before="56"/>
        <w:ind w:right="0"/>
        <w:jc w:val="left"/>
      </w:pPr>
      <w:r>
        <w:rPr/>
        <w:t>√适用</w:t>
      </w:r>
      <w:r>
        <w:rPr>
          <w:spacing w:val="-1"/>
        </w:rPr>
        <w:t> </w:t>
      </w:r>
      <w:r>
        <w:rPr/>
        <w:t>□不适用</w:t>
      </w:r>
    </w:p>
    <w:p>
      <w:pPr>
        <w:pStyle w:val="BodyText"/>
        <w:spacing w:line="274" w:lineRule="exact"/>
        <w:ind w:left="558" w:right="0"/>
        <w:jc w:val="left"/>
      </w:pPr>
      <w:r>
        <w:rPr/>
        <w:t>本公司自本报告期末起</w:t>
      </w:r>
      <w:r>
        <w:rPr>
          <w:spacing w:val="-55"/>
        </w:rPr>
        <w:t> </w:t>
      </w:r>
      <w:r>
        <w:rPr>
          <w:rFonts w:ascii="宋体" w:hAnsi="宋体" w:cs="宋体" w:eastAsia="宋体" w:hint="default"/>
        </w:rPr>
        <w:t>12</w:t>
      </w:r>
      <w:r>
        <w:rPr>
          <w:rFonts w:ascii="宋体" w:hAnsi="宋体" w:cs="宋体" w:eastAsia="宋体" w:hint="default"/>
          <w:spacing w:val="-57"/>
        </w:rPr>
        <w:t> </w:t>
      </w:r>
      <w:r>
        <w:rPr/>
        <w:t>个月内具备持续经营能力，无影响持续经营能力的重大事项。</w:t>
      </w:r>
    </w:p>
    <w:p>
      <w:pPr>
        <w:spacing w:line="240" w:lineRule="auto" w:before="3"/>
        <w:rPr>
          <w:rFonts w:ascii="宋体" w:hAnsi="宋体" w:cs="宋体" w:eastAsia="宋体" w:hint="default"/>
          <w:sz w:val="25"/>
          <w:szCs w:val="25"/>
        </w:rPr>
      </w:pPr>
    </w:p>
    <w:p>
      <w:pPr>
        <w:spacing w:line="290" w:lineRule="auto" w:before="0"/>
        <w:ind w:left="138" w:right="3467"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具体会计政策和会计估计提示：</w:t>
      </w:r>
    </w:p>
    <w:p>
      <w:pPr>
        <w:pStyle w:val="BodyText"/>
        <w:spacing w:line="228" w:lineRule="exact"/>
        <w:ind w:right="0"/>
        <w:jc w:val="left"/>
      </w:pPr>
      <w:r>
        <w:rPr/>
        <w:t>√适用</w:t>
      </w:r>
      <w:r>
        <w:rPr>
          <w:spacing w:val="-1"/>
        </w:rPr>
        <w:t> </w:t>
      </w:r>
      <w:r>
        <w:rPr/>
        <w:t>□不适用</w:t>
      </w:r>
    </w:p>
    <w:p>
      <w:pPr>
        <w:pStyle w:val="BodyText"/>
        <w:spacing w:line="357" w:lineRule="auto"/>
        <w:ind w:right="0" w:firstLine="419"/>
        <w:jc w:val="left"/>
      </w:pPr>
      <w:r>
        <w:rPr>
          <w:spacing w:val="-2"/>
        </w:rPr>
        <w:t>本公司根据实际生产经营特点针对应收款项坏账准备计提、固定资产折旧、无形资产摊销、</w:t>
      </w:r>
      <w:r>
        <w:rPr>
          <w:w w:val="100"/>
        </w:rPr>
        <w:t> </w:t>
      </w:r>
      <w:r>
        <w:rPr/>
        <w:t>预计负债、收入确认等交易或事项制定了具体会计政策和会计估计。</w:t>
      </w:r>
    </w:p>
    <w:p>
      <w:pPr>
        <w:spacing w:line="240" w:lineRule="auto" w:before="8"/>
        <w:rPr>
          <w:rFonts w:ascii="宋体" w:hAnsi="宋体" w:cs="宋体" w:eastAsia="宋体" w:hint="default"/>
          <w:sz w:val="27"/>
          <w:szCs w:val="27"/>
        </w:rPr>
      </w:pPr>
    </w:p>
    <w:p>
      <w:pPr>
        <w:tabs>
          <w:tab w:pos="562" w:val="left" w:leader="none"/>
        </w:tabs>
        <w:spacing w:line="290" w:lineRule="auto" w:before="0"/>
        <w:ind w:left="558" w:right="138" w:hanging="420"/>
        <w:jc w:val="left"/>
        <w:rPr>
          <w:rFonts w:ascii="宋体" w:hAnsi="宋体" w:cs="宋体" w:eastAsia="宋体" w:hint="default"/>
          <w:sz w:val="21"/>
          <w:szCs w:val="21"/>
        </w:rPr>
      </w:pPr>
      <w:r>
        <w:rPr>
          <w:rFonts w:ascii="宋体" w:hAnsi="宋体" w:cs="宋体" w:eastAsia="宋体" w:hint="default"/>
          <w:b/>
          <w:bCs/>
          <w:w w:val="95"/>
          <w:sz w:val="21"/>
          <w:szCs w:val="21"/>
        </w:rPr>
        <w:t>1.</w:t>
        <w:tab/>
        <w:tab/>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本公司所编制的财务报表符合企业会计准则的要求，真实、完整地反映了公司的财务状况、</w:t>
      </w:r>
    </w:p>
    <w:p>
      <w:pPr>
        <w:pStyle w:val="BodyText"/>
        <w:spacing w:line="240" w:lineRule="auto" w:before="89"/>
        <w:ind w:right="0"/>
        <w:jc w:val="left"/>
      </w:pPr>
      <w:r>
        <w:rPr/>
        <w:t>经营成果和现金流量等有关信息。</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tabs>
          <w:tab w:pos="562" w:val="left" w:leader="none"/>
        </w:tabs>
        <w:spacing w:line="240" w:lineRule="auto"/>
        <w:ind w:left="138" w:right="0"/>
        <w:jc w:val="left"/>
        <w:rPr>
          <w:b w:val="0"/>
          <w:bCs w:val="0"/>
        </w:rPr>
      </w:pPr>
      <w:r>
        <w:rPr>
          <w:rFonts w:ascii="宋体" w:hAnsi="宋体" w:cs="宋体" w:eastAsia="宋体" w:hint="default"/>
          <w:w w:val="95"/>
        </w:rPr>
        <w:t>2.</w:t>
        <w:tab/>
      </w:r>
      <w:r>
        <w:rPr/>
        <w:t>会计期间</w:t>
      </w:r>
      <w:r>
        <w:rPr>
          <w:b w:val="0"/>
          <w:bCs w:val="0"/>
        </w:rPr>
      </w:r>
    </w:p>
    <w:p>
      <w:pPr>
        <w:pStyle w:val="BodyText"/>
        <w:spacing w:line="240" w:lineRule="auto" w:before="56"/>
        <w:ind w:left="558" w:right="0"/>
        <w:jc w:val="left"/>
      </w:pPr>
      <w:r>
        <w:rPr/>
        <w:t>会计年度自公历</w:t>
      </w:r>
      <w:r>
        <w:rPr>
          <w:spacing w:val="-53"/>
        </w:rPr>
        <w:t> </w:t>
      </w:r>
      <w:r>
        <w:rPr>
          <w:rFonts w:ascii="宋体" w:hAnsi="宋体" w:cs="宋体" w:eastAsia="宋体" w:hint="default"/>
        </w:rPr>
        <w:t>1</w:t>
      </w:r>
      <w:r>
        <w:rPr>
          <w:rFonts w:ascii="宋体" w:hAnsi="宋体" w:cs="宋体" w:eastAsia="宋体" w:hint="default"/>
          <w:spacing w:val="-54"/>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日止。</w:t>
      </w:r>
    </w:p>
    <w:p>
      <w:pPr>
        <w:spacing w:after="0" w:line="240" w:lineRule="auto"/>
        <w:jc w:val="left"/>
        <w:sectPr>
          <w:headerReference w:type="default" r:id="rId42"/>
          <w:footerReference w:type="default" r:id="rId43"/>
          <w:pgSz w:w="11910" w:h="16840"/>
          <w:pgMar w:header="882" w:footer="1195" w:top="1120" w:bottom="1380" w:left="1660" w:right="1140"/>
          <w:pgNumType w:start="75"/>
        </w:sectPr>
      </w:pPr>
    </w:p>
    <w:p>
      <w:pPr>
        <w:spacing w:line="240" w:lineRule="auto" w:before="1"/>
        <w:rPr>
          <w:rFonts w:ascii="宋体" w:hAnsi="宋体" w:cs="宋体" w:eastAsia="宋体" w:hint="default"/>
          <w:sz w:val="25"/>
          <w:szCs w:val="25"/>
        </w:rPr>
      </w:pPr>
    </w:p>
    <w:p>
      <w:pPr>
        <w:pStyle w:val="Heading2"/>
        <w:tabs>
          <w:tab w:pos="562" w:val="left" w:leader="none"/>
        </w:tabs>
        <w:spacing w:line="240" w:lineRule="auto" w:before="36"/>
        <w:ind w:left="138" w:right="0"/>
        <w:jc w:val="left"/>
        <w:rPr>
          <w:b w:val="0"/>
          <w:bCs w:val="0"/>
        </w:rPr>
      </w:pPr>
      <w:r>
        <w:rPr>
          <w:rFonts w:ascii="宋体" w:hAnsi="宋体" w:cs="宋体" w:eastAsia="宋体" w:hint="default"/>
          <w:w w:val="95"/>
        </w:rPr>
        <w:t>3.</w:t>
        <w:tab/>
      </w:r>
      <w:r>
        <w:rPr/>
        <w:t>营业周期</w:t>
      </w:r>
      <w:r>
        <w:rPr>
          <w:b w:val="0"/>
          <w:bCs w:val="0"/>
        </w:rPr>
      </w:r>
    </w:p>
    <w:p>
      <w:pPr>
        <w:pStyle w:val="BodyText"/>
        <w:spacing w:line="273" w:lineRule="exact" w:before="58"/>
        <w:ind w:right="0"/>
        <w:jc w:val="left"/>
      </w:pPr>
      <w:r>
        <w:rPr/>
        <w:t>√适用</w:t>
      </w:r>
      <w:r>
        <w:rPr>
          <w:spacing w:val="-1"/>
        </w:rPr>
        <w:t> </w:t>
      </w:r>
      <w:r>
        <w:rPr/>
        <w:t>□不适用</w:t>
      </w:r>
    </w:p>
    <w:p>
      <w:pPr>
        <w:pStyle w:val="BodyText"/>
        <w:spacing w:line="273" w:lineRule="exact"/>
        <w:ind w:left="560" w:right="0"/>
        <w:jc w:val="left"/>
      </w:pPr>
      <w:r>
        <w:rPr/>
        <w:t>公司经营业务的营业周期较短，以</w:t>
      </w:r>
      <w:r>
        <w:rPr>
          <w:spacing w:val="-57"/>
        </w:rPr>
        <w:t> </w:t>
      </w:r>
      <w:r>
        <w:rPr>
          <w:rFonts w:ascii="宋体" w:hAnsi="宋体" w:cs="宋体" w:eastAsia="宋体" w:hint="default"/>
        </w:rPr>
        <w:t>12</w:t>
      </w:r>
      <w:r>
        <w:rPr>
          <w:rFonts w:ascii="宋体" w:hAnsi="宋体" w:cs="宋体" w:eastAsia="宋体" w:hint="default"/>
          <w:spacing w:val="-57"/>
        </w:rPr>
        <w:t> </w:t>
      </w:r>
      <w:r>
        <w:rPr/>
        <w:t>个月作为资产和负债的流动性划分标准。</w:t>
      </w:r>
    </w:p>
    <w:p>
      <w:pPr>
        <w:spacing w:line="240" w:lineRule="auto" w:before="3"/>
        <w:rPr>
          <w:rFonts w:ascii="宋体" w:hAnsi="宋体" w:cs="宋体" w:eastAsia="宋体" w:hint="default"/>
          <w:sz w:val="25"/>
          <w:szCs w:val="25"/>
        </w:rPr>
      </w:pPr>
    </w:p>
    <w:p>
      <w:pPr>
        <w:tabs>
          <w:tab w:pos="562" w:val="left" w:leader="none"/>
        </w:tabs>
        <w:spacing w:line="290" w:lineRule="auto" w:before="0"/>
        <w:ind w:left="558" w:right="6023" w:hanging="420"/>
        <w:jc w:val="left"/>
        <w:rPr>
          <w:rFonts w:ascii="宋体" w:hAnsi="宋体" w:cs="宋体" w:eastAsia="宋体" w:hint="default"/>
          <w:sz w:val="21"/>
          <w:szCs w:val="21"/>
        </w:rPr>
      </w:pPr>
      <w:r>
        <w:rPr>
          <w:rFonts w:ascii="宋体" w:hAnsi="宋体" w:cs="宋体" w:eastAsia="宋体" w:hint="default"/>
          <w:b/>
          <w:bCs/>
          <w:w w:val="95"/>
          <w:sz w:val="21"/>
          <w:szCs w:val="21"/>
        </w:rPr>
        <w:t>4.</w:t>
        <w:tab/>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采用人民币为记账本位币。</w:t>
      </w:r>
    </w:p>
    <w:p>
      <w:pPr>
        <w:spacing w:line="240" w:lineRule="auto" w:before="0"/>
        <w:rPr>
          <w:rFonts w:ascii="宋体" w:hAnsi="宋体" w:cs="宋体" w:eastAsia="宋体" w:hint="default"/>
          <w:sz w:val="20"/>
          <w:szCs w:val="20"/>
        </w:rPr>
      </w:pPr>
    </w:p>
    <w:p>
      <w:pPr>
        <w:pStyle w:val="Heading2"/>
        <w:tabs>
          <w:tab w:pos="562" w:val="left" w:leader="none"/>
        </w:tabs>
        <w:spacing w:line="240" w:lineRule="auto" w:before="158"/>
        <w:ind w:left="138" w:right="0"/>
        <w:jc w:val="left"/>
        <w:rPr>
          <w:b w:val="0"/>
          <w:bCs w:val="0"/>
        </w:rPr>
      </w:pPr>
      <w:r>
        <w:rPr>
          <w:rFonts w:ascii="宋体" w:hAnsi="宋体" w:cs="宋体" w:eastAsia="宋体" w:hint="default"/>
          <w:w w:val="95"/>
        </w:rPr>
        <w:t>5.</w:t>
        <w:tab/>
      </w:r>
      <w:r>
        <w:rPr/>
        <w:t>同一控制下和非同一控制下企业合并的会计处理方法</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562" w:val="left" w:leader="none"/>
        </w:tabs>
        <w:spacing w:line="240" w:lineRule="auto"/>
        <w:ind w:left="138" w:right="0"/>
        <w:jc w:val="left"/>
        <w:rPr>
          <w:b w:val="0"/>
          <w:bCs w:val="0"/>
        </w:rPr>
      </w:pPr>
      <w:r>
        <w:rPr>
          <w:rFonts w:ascii="宋体" w:hAnsi="宋体" w:cs="宋体" w:eastAsia="宋体" w:hint="default"/>
          <w:w w:val="95"/>
        </w:rPr>
        <w:t>6.</w:t>
        <w:tab/>
      </w:r>
      <w:r>
        <w:rPr/>
        <w:t>合并财务报表的编制方法</w:t>
      </w:r>
      <w:r>
        <w:rPr>
          <w:b w:val="0"/>
          <w:bCs w:val="0"/>
        </w:rPr>
      </w:r>
    </w:p>
    <w:p>
      <w:pPr>
        <w:pStyle w:val="BodyText"/>
        <w:spacing w:line="240" w:lineRule="auto" w:before="56"/>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562" w:val="left" w:leader="none"/>
        </w:tabs>
        <w:spacing w:line="240" w:lineRule="auto"/>
        <w:ind w:left="138" w:right="0"/>
        <w:jc w:val="left"/>
        <w:rPr>
          <w:b w:val="0"/>
          <w:bCs w:val="0"/>
        </w:rPr>
      </w:pPr>
      <w:r>
        <w:rPr>
          <w:rFonts w:ascii="宋体" w:hAnsi="宋体" w:cs="宋体" w:eastAsia="宋体" w:hint="default"/>
          <w:w w:val="95"/>
        </w:rPr>
        <w:t>7.</w:t>
        <w:tab/>
      </w:r>
      <w:r>
        <w:rPr/>
        <w:t>合营安排分类及共同经营会计处理方法</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tabs>
          <w:tab w:pos="562" w:val="left" w:leader="none"/>
        </w:tabs>
        <w:spacing w:line="290" w:lineRule="auto" w:before="0"/>
        <w:ind w:left="558" w:right="138" w:hanging="420"/>
        <w:jc w:val="left"/>
        <w:rPr>
          <w:rFonts w:ascii="宋体" w:hAnsi="宋体" w:cs="宋体" w:eastAsia="宋体" w:hint="default"/>
          <w:sz w:val="21"/>
          <w:szCs w:val="21"/>
        </w:rPr>
      </w:pPr>
      <w:r>
        <w:rPr>
          <w:rFonts w:ascii="宋体" w:hAnsi="宋体" w:cs="宋体" w:eastAsia="宋体" w:hint="default"/>
          <w:b/>
          <w:bCs/>
          <w:w w:val="95"/>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列示于现金流量表中的现金是指库存现金以及可以随时用于支付的存款。现金等价物是指企</w:t>
      </w:r>
    </w:p>
    <w:p>
      <w:pPr>
        <w:pStyle w:val="BodyText"/>
        <w:spacing w:line="240" w:lineRule="auto" w:before="89"/>
        <w:ind w:right="0"/>
        <w:jc w:val="left"/>
      </w:pPr>
      <w:r>
        <w:rPr/>
        <w:t>业持有的期限短、流动性强、易于转换为已知金额现金、价值变动风险很小的投资。</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tabs>
          <w:tab w:pos="562" w:val="left" w:leader="none"/>
        </w:tabs>
        <w:spacing w:line="240" w:lineRule="auto"/>
        <w:ind w:left="138" w:right="0"/>
        <w:jc w:val="left"/>
        <w:rPr>
          <w:b w:val="0"/>
          <w:bCs w:val="0"/>
        </w:rPr>
      </w:pPr>
      <w:r>
        <w:rPr>
          <w:rFonts w:ascii="宋体" w:hAnsi="宋体" w:cs="宋体" w:eastAsia="宋体" w:hint="default"/>
          <w:w w:val="95"/>
        </w:rPr>
        <w:t>9.</w:t>
        <w:tab/>
      </w:r>
      <w:r>
        <w:rPr/>
        <w:t>外币业务和外币报表折算</w:t>
      </w:r>
      <w:r>
        <w:rPr>
          <w:b w:val="0"/>
          <w:bCs w:val="0"/>
        </w:rPr>
      </w:r>
    </w:p>
    <w:p>
      <w:pPr>
        <w:pStyle w:val="BodyText"/>
        <w:spacing w:line="272" w:lineRule="exact" w:before="86"/>
        <w:ind w:left="558" w:right="7274" w:hanging="420"/>
        <w:jc w:val="left"/>
      </w:pPr>
      <w:r>
        <w:rPr/>
        <w:t>√适用</w:t>
      </w:r>
      <w:r>
        <w:rPr>
          <w:spacing w:val="-2"/>
        </w:rPr>
        <w:t> </w:t>
      </w:r>
      <w:r>
        <w:rPr/>
        <w:t>□不适用</w:t>
      </w:r>
      <w:r>
        <w:rPr>
          <w:w w:val="100"/>
        </w:rPr>
        <w:t> </w:t>
      </w:r>
      <w:r>
        <w:rPr>
          <w:spacing w:val="-1"/>
        </w:rPr>
        <w:t>外币业务折算</w:t>
      </w:r>
    </w:p>
    <w:p>
      <w:pPr>
        <w:pStyle w:val="BodyText"/>
        <w:spacing w:line="357" w:lineRule="auto" w:before="108"/>
        <w:ind w:right="137" w:firstLine="419"/>
        <w:jc w:val="both"/>
      </w:pPr>
      <w:r>
        <w:rPr>
          <w:spacing w:val="-2"/>
        </w:rPr>
        <w:t>外币交易在初始确认时，采用交易发生日即期汇率的近似汇率折算为人民币金额。资产负债</w:t>
      </w:r>
      <w:r>
        <w:rPr>
          <w:w w:val="100"/>
        </w:rPr>
        <w:t> </w:t>
      </w:r>
      <w:r>
        <w:rPr>
          <w:spacing w:val="-2"/>
        </w:rPr>
        <w:t>表日，外币货币性项目采用资产负债表日即期汇率折算，因汇率不同而产生的汇兑差额，除与购</w:t>
      </w:r>
      <w:r>
        <w:rPr>
          <w:spacing w:val="-25"/>
        </w:rPr>
        <w:t> </w:t>
      </w:r>
      <w:r>
        <w:rPr>
          <w:spacing w:val="-25"/>
        </w:rPr>
      </w:r>
      <w:r>
        <w:rPr>
          <w:spacing w:val="-2"/>
        </w:rPr>
        <w:t>建符合资本化条件资产有关的外币专门借款本金及利息的汇兑差额外，计入当期损益；以历史成</w:t>
      </w:r>
      <w:r>
        <w:rPr>
          <w:spacing w:val="-25"/>
        </w:rPr>
        <w:t> </w:t>
      </w:r>
      <w:r>
        <w:rPr>
          <w:spacing w:val="-25"/>
        </w:rPr>
      </w:r>
      <w:r>
        <w:rPr>
          <w:spacing w:val="-2"/>
        </w:rPr>
        <w:t>本计量的外币非货币性项目仍采用交易发生日即期汇率的近似汇率折算，不改变其人民币金额；</w:t>
      </w:r>
      <w:r>
        <w:rPr>
          <w:spacing w:val="-25"/>
        </w:rPr>
        <w:t> </w:t>
      </w:r>
      <w:r>
        <w:rPr>
          <w:spacing w:val="-25"/>
        </w:rPr>
      </w:r>
      <w:r>
        <w:rPr>
          <w:spacing w:val="-2"/>
        </w:rPr>
        <w:t>以公允价值计量的外币非货币性项目，采用公允价值确定日的即期汇率折算，差额计入当期损益</w:t>
      </w:r>
      <w:r>
        <w:rPr>
          <w:spacing w:val="-25"/>
        </w:rPr>
        <w:t> </w:t>
      </w:r>
      <w:r>
        <w:rPr>
          <w:spacing w:val="-25"/>
        </w:rPr>
      </w:r>
      <w:r>
        <w:rPr/>
        <w:t>或其他综合收益。</w:t>
      </w:r>
    </w:p>
    <w:p>
      <w:pPr>
        <w:spacing w:line="240" w:lineRule="auto" w:before="11"/>
        <w:rPr>
          <w:rFonts w:ascii="宋体" w:hAnsi="宋体" w:cs="宋体" w:eastAsia="宋体" w:hint="default"/>
          <w:sz w:val="27"/>
          <w:szCs w:val="27"/>
        </w:rPr>
      </w:pPr>
    </w:p>
    <w:p>
      <w:pPr>
        <w:pStyle w:val="Heading2"/>
        <w:spacing w:line="240" w:lineRule="auto"/>
        <w:ind w:left="138" w:right="0"/>
        <w:jc w:val="left"/>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spacing w:line="273" w:lineRule="exact" w:before="58"/>
        <w:ind w:right="0"/>
        <w:jc w:val="left"/>
      </w:pPr>
      <w:r>
        <w:rPr/>
        <w:t>√适用</w:t>
      </w:r>
      <w:r>
        <w:rPr>
          <w:spacing w:val="-1"/>
        </w:rPr>
        <w:t> </w:t>
      </w:r>
      <w:r>
        <w:rPr/>
        <w:t>□不适用</w:t>
      </w:r>
    </w:p>
    <w:p>
      <w:pPr>
        <w:pStyle w:val="BodyText"/>
        <w:spacing w:line="355" w:lineRule="auto"/>
        <w:ind w:left="558" w:right="0"/>
        <w:jc w:val="left"/>
      </w:pPr>
      <w:r>
        <w:rPr>
          <w:rFonts w:ascii="宋体" w:hAnsi="宋体" w:cs="宋体" w:eastAsia="宋体" w:hint="default"/>
        </w:rPr>
        <w:t>1.</w:t>
      </w:r>
      <w:r>
        <w:rPr>
          <w:rFonts w:ascii="宋体" w:hAnsi="宋体" w:cs="宋体" w:eastAsia="宋体" w:hint="default"/>
          <w:spacing w:val="-1"/>
        </w:rPr>
        <w:t> </w:t>
      </w:r>
      <w:r>
        <w:rPr/>
        <w:t>金融资产和金融负债的分类</w:t>
      </w:r>
      <w:r>
        <w:rPr>
          <w:w w:val="100"/>
        </w:rPr>
        <w:t> </w:t>
      </w:r>
      <w:r>
        <w:rPr>
          <w:spacing w:val="-2"/>
        </w:rPr>
        <w:t>金融资产在初始确认时划分为以下四类：以公允价值计量且其变动计入当期损益的金融资产</w:t>
      </w:r>
    </w:p>
    <w:p>
      <w:pPr>
        <w:pStyle w:val="BodyText"/>
        <w:spacing w:line="357" w:lineRule="auto" w:before="32"/>
        <w:ind w:right="0"/>
        <w:jc w:val="left"/>
      </w:pPr>
      <w:r>
        <w:rPr>
          <w:spacing w:val="2"/>
        </w:rPr>
        <w:t>（包括交易性金融资产和在初始确认时指定为以公允价值计量且其变动计入当期损益的金融资</w:t>
      </w:r>
      <w:r>
        <w:rPr>
          <w:spacing w:val="7"/>
        </w:rPr>
        <w:t> </w:t>
      </w:r>
      <w:r>
        <w:rPr>
          <w:spacing w:val="7"/>
        </w:rPr>
      </w:r>
      <w:r>
        <w:rPr>
          <w:spacing w:val="-6"/>
          <w:w w:val="100"/>
        </w:rPr>
        <w:t>产）、持有至到期投资、贷款和应收款项、可供出售金融资产。</w:t>
      </w:r>
    </w:p>
    <w:p>
      <w:pPr>
        <w:pStyle w:val="BodyText"/>
        <w:spacing w:line="240" w:lineRule="auto" w:before="30"/>
        <w:ind w:left="558" w:right="0"/>
        <w:jc w:val="left"/>
      </w:pPr>
      <w:r>
        <w:rPr/>
        <w:t>金融负债在初始确认时划分为以下两类：以公允价值计量且其变动计入当期损益的金融负债</w:t>
      </w:r>
    </w:p>
    <w:p>
      <w:pPr>
        <w:pStyle w:val="BodyText"/>
        <w:spacing w:line="355" w:lineRule="auto" w:before="133"/>
        <w:ind w:right="0"/>
        <w:jc w:val="left"/>
      </w:pPr>
      <w:r>
        <w:rPr>
          <w:spacing w:val="2"/>
        </w:rPr>
        <w:t>（包括交易性金融负债和在初始确认时指定为以公允价值计量且其变动计入当期损益的金融负</w:t>
      </w:r>
      <w:r>
        <w:rPr>
          <w:spacing w:val="7"/>
        </w:rPr>
        <w:t> </w:t>
      </w:r>
      <w:r>
        <w:rPr>
          <w:spacing w:val="7"/>
        </w:rPr>
      </w:r>
      <w:r>
        <w:rPr>
          <w:spacing w:val="-12"/>
          <w:w w:val="100"/>
        </w:rPr>
        <w:t>债）、其他金融负债。</w:t>
      </w:r>
    </w:p>
    <w:p>
      <w:pPr>
        <w:spacing w:after="0" w:line="355"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558" w:right="98"/>
        <w:jc w:val="left"/>
      </w:pPr>
      <w:r>
        <w:rPr>
          <w:rFonts w:ascii="宋体" w:hAnsi="宋体" w:cs="宋体" w:eastAsia="宋体" w:hint="default"/>
        </w:rPr>
        <w:t>2.</w:t>
      </w:r>
      <w:r>
        <w:rPr>
          <w:rFonts w:ascii="宋体" w:hAnsi="宋体" w:cs="宋体" w:eastAsia="宋体" w:hint="default"/>
          <w:spacing w:val="-1"/>
        </w:rPr>
        <w:t> </w:t>
      </w:r>
      <w:r>
        <w:rPr/>
        <w:t>金融资产和金融负债的确认依据、计量方法和终止确认条件</w:t>
      </w:r>
      <w:r>
        <w:rPr>
          <w:w w:val="100"/>
        </w:rPr>
        <w:t> </w:t>
      </w:r>
      <w:r>
        <w:rPr>
          <w:spacing w:val="-2"/>
        </w:rPr>
        <w:t>公司成为金融工具合同的一方时，确认一项金融资产或金融负债。初始确认金融资产或金融</w:t>
      </w:r>
    </w:p>
    <w:p>
      <w:pPr>
        <w:pStyle w:val="BodyText"/>
        <w:spacing w:line="355" w:lineRule="auto" w:before="30"/>
        <w:ind w:right="208"/>
        <w:jc w:val="both"/>
      </w:pPr>
      <w:r>
        <w:rPr>
          <w:spacing w:val="-6"/>
          <w:w w:val="100"/>
        </w:rPr>
        <w:t>负债时，按照公允价值计量；对于以公允价值计量且其变动计入当期损益的金融资产和金融负债，</w:t>
      </w:r>
      <w:r>
        <w:rPr>
          <w:w w:val="100"/>
        </w:rPr>
        <w:t> </w:t>
      </w:r>
      <w:r>
        <w:rPr>
          <w:spacing w:val="-1"/>
        </w:rPr>
        <w:t>相关交易费用直接计入当期损益；对于其他类别的金融资产或金融负债，相关交易费用计入初始</w:t>
      </w:r>
      <w:r>
        <w:rPr>
          <w:spacing w:val="-55"/>
        </w:rPr>
        <w:t> </w:t>
      </w:r>
      <w:r>
        <w:rPr>
          <w:spacing w:val="-55"/>
        </w:rPr>
      </w:r>
      <w:r>
        <w:rPr/>
        <w:t>确认金额。</w:t>
      </w:r>
    </w:p>
    <w:p>
      <w:pPr>
        <w:pStyle w:val="BodyText"/>
        <w:spacing w:line="357" w:lineRule="auto" w:before="32"/>
        <w:ind w:right="208" w:firstLine="419"/>
        <w:jc w:val="both"/>
      </w:pPr>
      <w:r>
        <w:rPr>
          <w:spacing w:val="-2"/>
        </w:rPr>
        <w:t>公司按照公允价值对金融资产进行后续计量，且不扣除将来处置该金融资产时可能发生的交</w:t>
      </w:r>
      <w:r>
        <w:rPr>
          <w:w w:val="100"/>
        </w:rPr>
        <w:t> </w:t>
      </w:r>
      <w:r>
        <w:rPr/>
        <w:t>易费用，但下列情况除外：</w:t>
      </w:r>
      <w:r>
        <w:rPr>
          <w:rFonts w:ascii="宋体" w:hAnsi="宋体" w:cs="宋体" w:eastAsia="宋体" w:hint="default"/>
        </w:rPr>
        <w:t>(1)</w:t>
      </w:r>
      <w:r>
        <w:rPr>
          <w:rFonts w:ascii="宋体" w:hAnsi="宋体" w:cs="宋体" w:eastAsia="宋体" w:hint="default"/>
          <w:spacing w:val="7"/>
        </w:rPr>
        <w:t> </w:t>
      </w:r>
      <w:r>
        <w:rPr/>
        <w:t>持有至到期投资以及贷款和应收款项采用实际利率法，按摊余成</w:t>
      </w:r>
      <w:r>
        <w:rPr>
          <w:w w:val="100"/>
        </w:rPr>
        <w:t> </w:t>
      </w:r>
      <w:r>
        <w:rPr/>
        <w:t>本计量；</w:t>
      </w:r>
      <w:r>
        <w:rPr>
          <w:rFonts w:ascii="宋体" w:hAnsi="宋体" w:cs="宋体" w:eastAsia="宋体" w:hint="default"/>
        </w:rPr>
        <w:t>(2)</w:t>
      </w:r>
      <w:r>
        <w:rPr>
          <w:rFonts w:ascii="宋体" w:hAnsi="宋体" w:cs="宋体" w:eastAsia="宋体" w:hint="default"/>
          <w:spacing w:val="7"/>
        </w:rPr>
        <w:t> </w:t>
      </w:r>
      <w:r>
        <w:rPr/>
        <w:t>在活跃市场中没有报价且其公允价值不能可靠计量的权益工具投资，以及与该权益</w:t>
      </w:r>
      <w:r>
        <w:rPr>
          <w:w w:val="100"/>
        </w:rPr>
        <w:t> </w:t>
      </w:r>
      <w:r>
        <w:rPr/>
        <w:t>工具挂钩并须通过交付该权益工具结算的衍生金融资产，按照成本计量。</w:t>
      </w:r>
    </w:p>
    <w:p>
      <w:pPr>
        <w:pStyle w:val="BodyText"/>
        <w:spacing w:line="357" w:lineRule="auto" w:before="30"/>
        <w:ind w:right="208" w:firstLine="419"/>
        <w:jc w:val="both"/>
      </w:pPr>
      <w:r>
        <w:rPr/>
        <w:t>公司采用实际利率法，按摊余成本对金融负债进行后续计量，但下列情况除外：</w:t>
      </w:r>
      <w:r>
        <w:rPr>
          <w:rFonts w:ascii="宋体" w:hAnsi="宋体" w:cs="宋体" w:eastAsia="宋体" w:hint="default"/>
        </w:rPr>
        <w:t>(1)</w:t>
      </w:r>
      <w:r>
        <w:rPr>
          <w:rFonts w:ascii="宋体" w:hAnsi="宋体" w:cs="宋体" w:eastAsia="宋体" w:hint="default"/>
          <w:spacing w:val="5"/>
        </w:rPr>
        <w:t> </w:t>
      </w:r>
      <w:r>
        <w:rPr/>
        <w:t>以公允</w:t>
      </w:r>
      <w:r>
        <w:rPr>
          <w:w w:val="100"/>
        </w:rPr>
        <w:t> </w:t>
      </w:r>
      <w:r>
        <w:rPr>
          <w:spacing w:val="-1"/>
        </w:rPr>
        <w:t>价值计量且其变动计入当期损益的金融负债，按照公允价值计量，且不扣除将来结清金融负债时</w:t>
      </w:r>
      <w:r>
        <w:rPr>
          <w:spacing w:val="-55"/>
        </w:rPr>
        <w:t> </w:t>
      </w:r>
      <w:r>
        <w:rPr>
          <w:spacing w:val="-55"/>
        </w:rPr>
      </w:r>
      <w:r>
        <w:rPr/>
        <w:t>可能发生的交易费用；</w:t>
      </w:r>
      <w:r>
        <w:rPr>
          <w:rFonts w:ascii="宋体" w:hAnsi="宋体" w:cs="宋体" w:eastAsia="宋体" w:hint="default"/>
        </w:rPr>
        <w:t>(2)</w:t>
      </w:r>
      <w:r>
        <w:rPr>
          <w:rFonts w:ascii="宋体" w:hAnsi="宋体" w:cs="宋体" w:eastAsia="宋体" w:hint="default"/>
          <w:spacing w:val="7"/>
        </w:rPr>
        <w:t> </w:t>
      </w:r>
      <w:r>
        <w:rPr/>
        <w:t>与在活跃市场中没有报价、公允价值不能可靠计量的权益工具挂钩并</w:t>
      </w:r>
      <w:r>
        <w:rPr>
          <w:w w:val="100"/>
        </w:rPr>
        <w:t> </w:t>
      </w:r>
      <w:r>
        <w:rPr/>
        <w:t>须通过交付该权益工具结算的衍生金融负债，按照成本计量；</w:t>
      </w:r>
      <w:r>
        <w:rPr>
          <w:rFonts w:ascii="宋体" w:hAnsi="宋体" w:cs="宋体" w:eastAsia="宋体" w:hint="default"/>
        </w:rPr>
        <w:t>(3)</w:t>
      </w:r>
      <w:r>
        <w:rPr>
          <w:rFonts w:ascii="宋体" w:hAnsi="宋体" w:cs="宋体" w:eastAsia="宋体" w:hint="default"/>
          <w:spacing w:val="6"/>
        </w:rPr>
        <w:t> </w:t>
      </w:r>
      <w:r>
        <w:rPr/>
        <w:t>不属于指定为以公允价值计量</w:t>
      </w:r>
      <w:r>
        <w:rPr>
          <w:w w:val="100"/>
        </w:rPr>
        <w:t> </w:t>
      </w:r>
      <w:r>
        <w:rPr>
          <w:spacing w:val="-1"/>
        </w:rPr>
        <w:t>且其变动计入当期损益的金融负债的财务担保合同，或没有指定为以公允价值计量且其变动计入</w:t>
      </w:r>
      <w:r>
        <w:rPr>
          <w:spacing w:val="-55"/>
        </w:rPr>
        <w:t> </w:t>
      </w:r>
      <w:r>
        <w:rPr>
          <w:spacing w:val="-55"/>
        </w:rPr>
      </w:r>
      <w:r>
        <w:rPr>
          <w:spacing w:val="-1"/>
        </w:rPr>
        <w:t>当期损益并将以低于市场利率贷款的贷款承诺，在初始确认后按照下列两项金额之中的较高者进</w:t>
      </w:r>
      <w:r>
        <w:rPr>
          <w:spacing w:val="-55"/>
        </w:rPr>
        <w:t> </w:t>
      </w:r>
      <w:r>
        <w:rPr>
          <w:spacing w:val="-55"/>
        </w:rPr>
      </w:r>
      <w:r>
        <w:rPr>
          <w:spacing w:val="-4"/>
        </w:rPr>
        <w:t>行后续计量：</w:t>
      </w:r>
      <w:r>
        <w:rPr>
          <w:rFonts w:ascii="宋体" w:hAnsi="宋体" w:cs="宋体" w:eastAsia="宋体" w:hint="default"/>
          <w:spacing w:val="-4"/>
        </w:rPr>
        <w:t>1)</w:t>
      </w:r>
      <w:r>
        <w:rPr>
          <w:rFonts w:ascii="宋体" w:hAnsi="宋体" w:cs="宋体" w:eastAsia="宋体" w:hint="default"/>
          <w:spacing w:val="13"/>
        </w:rPr>
        <w:t> </w:t>
      </w:r>
      <w:r>
        <w:rPr>
          <w:spacing w:val="-4"/>
        </w:rPr>
        <w:t>按照《企业会计准则第</w:t>
      </w:r>
      <w:r>
        <w:rPr>
          <w:spacing w:val="-44"/>
        </w:rPr>
        <w:t> </w:t>
      </w:r>
      <w:r>
        <w:rPr>
          <w:rFonts w:ascii="宋体" w:hAnsi="宋体" w:cs="宋体" w:eastAsia="宋体" w:hint="default"/>
        </w:rPr>
        <w:t>13</w:t>
      </w:r>
      <w:r>
        <w:rPr>
          <w:rFonts w:ascii="宋体" w:hAnsi="宋体" w:cs="宋体" w:eastAsia="宋体" w:hint="default"/>
          <w:spacing w:val="-45"/>
        </w:rPr>
        <w:t> </w:t>
      </w:r>
      <w:r>
        <w:rPr>
          <w:spacing w:val="-5"/>
        </w:rPr>
        <w:t>号——或有事项》确定的金额；</w:t>
      </w:r>
      <w:r>
        <w:rPr>
          <w:rFonts w:ascii="宋体" w:hAnsi="宋体" w:cs="宋体" w:eastAsia="宋体" w:hint="default"/>
          <w:spacing w:val="-5"/>
        </w:rPr>
        <w:t>2)</w:t>
      </w:r>
      <w:r>
        <w:rPr>
          <w:rFonts w:ascii="宋体" w:hAnsi="宋体" w:cs="宋体" w:eastAsia="宋体" w:hint="default"/>
          <w:spacing w:val="13"/>
        </w:rPr>
        <w:t> </w:t>
      </w:r>
      <w:r>
        <w:rPr/>
        <w:t>初始确认金额扣除</w:t>
      </w:r>
      <w:r>
        <w:rPr>
          <w:spacing w:val="-102"/>
        </w:rPr>
        <w:t> </w:t>
      </w:r>
      <w:r>
        <w:rPr>
          <w:spacing w:val="-102"/>
        </w:rPr>
      </w:r>
      <w:r>
        <w:rPr/>
        <w:t>按照《企业会计准则第</w:t>
      </w:r>
      <w:r>
        <w:rPr>
          <w:spacing w:val="-54"/>
        </w:rPr>
        <w:t> </w:t>
      </w:r>
      <w:r>
        <w:rPr>
          <w:rFonts w:ascii="宋体" w:hAnsi="宋体" w:cs="宋体" w:eastAsia="宋体" w:hint="default"/>
        </w:rPr>
        <w:t>14</w:t>
      </w:r>
      <w:r>
        <w:rPr>
          <w:rFonts w:ascii="宋体" w:hAnsi="宋体" w:cs="宋体" w:eastAsia="宋体" w:hint="default"/>
          <w:spacing w:val="-57"/>
        </w:rPr>
        <w:t> </w:t>
      </w:r>
      <w:r>
        <w:rPr/>
        <w:t>号——收入》的原则确定的累积摊销额后的余额。</w:t>
      </w:r>
    </w:p>
    <w:p>
      <w:pPr>
        <w:pStyle w:val="BodyText"/>
        <w:spacing w:line="357" w:lineRule="auto" w:before="30"/>
        <w:ind w:right="208" w:firstLine="419"/>
        <w:jc w:val="both"/>
      </w:pPr>
      <w:r>
        <w:rPr>
          <w:spacing w:val="-2"/>
        </w:rPr>
        <w:t>金融资产或金融负债公允价值变动形成的利得或损失，除与套期保值有关外，按照如下方法</w:t>
      </w:r>
      <w:r>
        <w:rPr>
          <w:w w:val="100"/>
        </w:rPr>
        <w:t> </w:t>
      </w:r>
      <w:r>
        <w:rPr/>
        <w:t>处理：</w:t>
      </w:r>
      <w:r>
        <w:rPr>
          <w:rFonts w:ascii="宋体" w:hAnsi="宋体" w:cs="宋体" w:eastAsia="宋体" w:hint="default"/>
        </w:rPr>
        <w:t>(1)</w:t>
      </w:r>
      <w:r>
        <w:rPr>
          <w:rFonts w:ascii="宋体" w:hAnsi="宋体" w:cs="宋体" w:eastAsia="宋体" w:hint="default"/>
          <w:spacing w:val="-3"/>
        </w:rPr>
        <w:t> </w:t>
      </w:r>
      <w:r>
        <w:rPr/>
        <w:t>以公允价值计量且其变动计入当期损益的金融资产或金融负债公允价值变动形成的利</w:t>
      </w:r>
      <w:r>
        <w:rPr>
          <w:w w:val="100"/>
        </w:rPr>
        <w:t> </w:t>
      </w:r>
      <w:r>
        <w:rPr>
          <w:spacing w:val="-6"/>
        </w:rPr>
        <w:t>得或损失，计入公允价值变动收益；在资产持有期间所取得的利息或现金股利，确认为投资收益；</w:t>
      </w:r>
      <w:r>
        <w:rPr>
          <w:spacing w:val="-54"/>
        </w:rPr>
        <w:t> </w:t>
      </w:r>
      <w:r>
        <w:rPr>
          <w:spacing w:val="-54"/>
        </w:rPr>
      </w:r>
      <w:r>
        <w:rPr>
          <w:spacing w:val="-2"/>
        </w:rPr>
        <w:t>处置时，将实际收到的金额与初始入账金额之间的差额确认为投资收益，同时调整公允价值变动</w:t>
      </w:r>
      <w:r>
        <w:rPr>
          <w:spacing w:val="-25"/>
        </w:rPr>
        <w:t> </w:t>
      </w:r>
      <w:r>
        <w:rPr>
          <w:spacing w:val="-25"/>
        </w:rPr>
      </w:r>
      <w:r>
        <w:rPr/>
        <w:t>收益。</w:t>
      </w:r>
      <w:r>
        <w:rPr>
          <w:rFonts w:ascii="宋体" w:hAnsi="宋体" w:cs="宋体" w:eastAsia="宋体" w:hint="default"/>
        </w:rPr>
        <w:t>(2)</w:t>
      </w:r>
      <w:r>
        <w:rPr>
          <w:rFonts w:ascii="宋体" w:hAnsi="宋体" w:cs="宋体" w:eastAsia="宋体" w:hint="default"/>
          <w:spacing w:val="-3"/>
        </w:rPr>
        <w:t> </w:t>
      </w:r>
      <w:r>
        <w:rPr/>
        <w:t>可供出售金融资产的公允价值变动计入其他综合收益；持有期间按实际利率法计算的</w:t>
      </w:r>
      <w:r>
        <w:rPr>
          <w:w w:val="100"/>
        </w:rPr>
        <w:t> </w:t>
      </w:r>
      <w:r>
        <w:rPr>
          <w:spacing w:val="-2"/>
        </w:rPr>
        <w:t>利息，计入投资收益；可供出售权益工具投资的现金股利，于被投资单位宣告发放股利时计入投</w:t>
      </w:r>
      <w:r>
        <w:rPr>
          <w:spacing w:val="-25"/>
        </w:rPr>
        <w:t> </w:t>
      </w:r>
      <w:r>
        <w:rPr>
          <w:spacing w:val="-25"/>
        </w:rPr>
      </w:r>
      <w:r>
        <w:rPr>
          <w:spacing w:val="-2"/>
        </w:rPr>
        <w:t>资收益；处置时，将实际收到的金额与账面价值扣除原直接计入其他综合收益的公允价值变动累</w:t>
      </w:r>
      <w:r>
        <w:rPr>
          <w:spacing w:val="-25"/>
        </w:rPr>
        <w:t> </w:t>
      </w:r>
      <w:r>
        <w:rPr>
          <w:spacing w:val="-25"/>
        </w:rPr>
      </w:r>
      <w:r>
        <w:rPr/>
        <w:t>计额之后的差额确认为投资收益。</w:t>
      </w:r>
    </w:p>
    <w:p>
      <w:pPr>
        <w:pStyle w:val="BodyText"/>
        <w:spacing w:line="355" w:lineRule="auto" w:before="30"/>
        <w:ind w:right="217" w:firstLine="419"/>
        <w:jc w:val="both"/>
      </w:pPr>
      <w:r>
        <w:rPr>
          <w:spacing w:val="-2"/>
        </w:rPr>
        <w:t>当收取某项金融资产现金流量的合同权利已终止或该金融资产所有权上几乎所有的风险和报</w:t>
      </w:r>
      <w:r>
        <w:rPr>
          <w:w w:val="100"/>
        </w:rPr>
        <w:t> </w:t>
      </w:r>
      <w:r>
        <w:rPr>
          <w:spacing w:val="-2"/>
        </w:rPr>
        <w:t>酬已转移时，终止确认该金融资产；当金融负债的现时义务全部或部分解除时，相应终止确认该</w:t>
      </w:r>
      <w:r>
        <w:rPr>
          <w:spacing w:val="-25"/>
        </w:rPr>
        <w:t> </w:t>
      </w:r>
      <w:r>
        <w:rPr>
          <w:spacing w:val="-25"/>
        </w:rPr>
      </w:r>
      <w:r>
        <w:rPr/>
        <w:t>金融负债或其一部分。</w:t>
      </w:r>
    </w:p>
    <w:p>
      <w:pPr>
        <w:pStyle w:val="BodyText"/>
        <w:spacing w:line="357" w:lineRule="auto" w:before="32"/>
        <w:ind w:left="558" w:right="98"/>
        <w:jc w:val="left"/>
      </w:pPr>
      <w:r>
        <w:rPr>
          <w:rFonts w:ascii="宋体" w:hAnsi="宋体" w:cs="宋体" w:eastAsia="宋体" w:hint="default"/>
        </w:rPr>
        <w:t>3.</w:t>
      </w:r>
      <w:r>
        <w:rPr>
          <w:rFonts w:ascii="宋体" w:hAnsi="宋体" w:cs="宋体" w:eastAsia="宋体" w:hint="default"/>
          <w:spacing w:val="-1"/>
        </w:rPr>
        <w:t> </w:t>
      </w:r>
      <w:r>
        <w:rPr/>
        <w:t>金融资产转移的确认依据和计量方法</w:t>
      </w:r>
      <w:r>
        <w:rPr>
          <w:w w:val="100"/>
        </w:rPr>
        <w:t> </w:t>
      </w:r>
      <w:r>
        <w:rPr>
          <w:spacing w:val="-4"/>
          <w:w w:val="100"/>
        </w:rPr>
        <w:t>公司已将金融资产所有权上几乎所有的风险和报酬转移给了转入方的，终止确认该金融资产；</w:t>
      </w:r>
    </w:p>
    <w:p>
      <w:pPr>
        <w:pStyle w:val="BodyText"/>
        <w:spacing w:line="357" w:lineRule="auto" w:before="30"/>
        <w:ind w:right="98"/>
        <w:jc w:val="left"/>
      </w:pPr>
      <w:r>
        <w:rPr/>
        <w:t>保留了金融资产所有权上几乎所有的风险和报酬的，继续确认所转移的金融资产，并将收到的对</w:t>
      </w:r>
      <w:r>
        <w:rPr>
          <w:spacing w:val="-97"/>
        </w:rPr>
        <w:t> </w:t>
      </w:r>
      <w:r>
        <w:rPr>
          <w:spacing w:val="-97"/>
        </w:rPr>
      </w:r>
      <w:r>
        <w:rPr>
          <w:spacing w:val="-4"/>
          <w:w w:val="100"/>
        </w:rPr>
        <w:t>价确认为一项金融负债。公司既没有转移也没有保留金融资产所有权上几乎所有的风险和报酬的，</w:t>
      </w:r>
      <w:r>
        <w:rPr>
          <w:spacing w:val="-86"/>
          <w:w w:val="100"/>
        </w:rPr>
        <w:t> </w:t>
      </w:r>
      <w:r>
        <w:rPr>
          <w:spacing w:val="-86"/>
          <w:w w:val="100"/>
        </w:rPr>
      </w:r>
      <w:r>
        <w:rPr/>
        <w:t>分别下列情况处理：</w:t>
      </w:r>
      <w:r>
        <w:rPr>
          <w:rFonts w:ascii="宋体" w:hAnsi="宋体" w:cs="宋体" w:eastAsia="宋体" w:hint="default"/>
        </w:rPr>
        <w:t>(1) </w:t>
      </w:r>
      <w:r>
        <w:rPr/>
        <w:t>放弃了对该金融资产控制的，终止确认该金融资产；</w:t>
      </w:r>
      <w:r>
        <w:rPr>
          <w:rFonts w:ascii="宋体" w:hAnsi="宋体" w:cs="宋体" w:eastAsia="宋体" w:hint="default"/>
        </w:rPr>
        <w:t>(2) </w:t>
      </w:r>
      <w:r>
        <w:rPr/>
        <w:t>未放弃对该金</w:t>
      </w:r>
      <w:r>
        <w:rPr>
          <w:spacing w:val="-97"/>
        </w:rPr>
        <w:t> </w:t>
      </w:r>
      <w:r>
        <w:rPr>
          <w:spacing w:val="-97"/>
        </w:rPr>
      </w:r>
      <w:r>
        <w:rPr/>
        <w:t>融资产控制的，按照继续涉入所转移金融资产的程度确认有关金融资产，并相应确认有关负债。</w:t>
      </w:r>
    </w:p>
    <w:p>
      <w:pPr>
        <w:spacing w:after="0" w:line="357" w:lineRule="auto"/>
        <w:jc w:val="left"/>
        <w:sectPr>
          <w:footerReference w:type="default" r:id="rId44"/>
          <w:pgSz w:w="11910" w:h="16840"/>
          <w:pgMar w:footer="1195" w:header="882" w:top="1120" w:bottom="1380" w:left="1660" w:right="1060"/>
          <w:pgNumType w:start="77"/>
        </w:sectPr>
      </w:pPr>
    </w:p>
    <w:p>
      <w:pPr>
        <w:spacing w:line="240" w:lineRule="auto" w:before="1"/>
        <w:rPr>
          <w:rFonts w:ascii="宋体" w:hAnsi="宋体" w:cs="宋体" w:eastAsia="宋体" w:hint="default"/>
          <w:sz w:val="25"/>
          <w:szCs w:val="25"/>
        </w:rPr>
      </w:pPr>
    </w:p>
    <w:p>
      <w:pPr>
        <w:pStyle w:val="BodyText"/>
        <w:spacing w:line="357" w:lineRule="auto" w:before="36"/>
        <w:ind w:right="128" w:firstLine="419"/>
        <w:jc w:val="both"/>
      </w:pPr>
      <w:r>
        <w:rPr/>
        <w:t>金融资产整体转移满足终止确认条件的，将下列两项金额的差额计入当期损益：</w:t>
      </w:r>
      <w:r>
        <w:rPr>
          <w:rFonts w:ascii="宋体" w:hAnsi="宋体" w:cs="宋体" w:eastAsia="宋体" w:hint="default"/>
        </w:rPr>
        <w:t>(1)</w:t>
      </w:r>
      <w:r>
        <w:rPr>
          <w:rFonts w:ascii="宋体" w:hAnsi="宋体" w:cs="宋体" w:eastAsia="宋体" w:hint="default"/>
          <w:spacing w:val="5"/>
        </w:rPr>
        <w:t> </w:t>
      </w:r>
      <w:r>
        <w:rPr/>
        <w:t>所转移</w:t>
      </w:r>
      <w:r>
        <w:rPr>
          <w:w w:val="100"/>
        </w:rPr>
        <w:t> </w:t>
      </w:r>
      <w:r>
        <w:rPr/>
        <w:t>金融资产的账面价值；</w:t>
      </w:r>
      <w:r>
        <w:rPr>
          <w:rFonts w:ascii="宋体" w:hAnsi="宋体" w:cs="宋体" w:eastAsia="宋体" w:hint="default"/>
        </w:rPr>
        <w:t>(2)</w:t>
      </w:r>
      <w:r>
        <w:rPr>
          <w:rFonts w:ascii="宋体" w:hAnsi="宋体" w:cs="宋体" w:eastAsia="宋体" w:hint="default"/>
          <w:spacing w:val="7"/>
        </w:rPr>
        <w:t> </w:t>
      </w:r>
      <w:r>
        <w:rPr/>
        <w:t>因转移而收到的对价，与原直接计入所有者权益的公允价值变动累计</w:t>
      </w:r>
      <w:r>
        <w:rPr>
          <w:w w:val="100"/>
        </w:rPr>
        <w:t> </w:t>
      </w:r>
      <w:r>
        <w:rPr>
          <w:spacing w:val="-1"/>
        </w:rPr>
        <w:t>额之和。金融资产部分转移满足终止确认条件的，将所转移金融资产整体的账面价值，在终止确</w:t>
      </w:r>
      <w:r>
        <w:rPr>
          <w:spacing w:val="-55"/>
        </w:rPr>
        <w:t> </w:t>
      </w:r>
      <w:r>
        <w:rPr>
          <w:spacing w:val="-55"/>
        </w:rPr>
      </w:r>
      <w:r>
        <w:rPr>
          <w:spacing w:val="-1"/>
        </w:rPr>
        <w:t>认部分和未终止确认部分之间，按照各自的相对公允价值进行分摊，并将下列两项金额的差额计</w:t>
      </w:r>
      <w:r>
        <w:rPr>
          <w:spacing w:val="-55"/>
        </w:rPr>
        <w:t> </w:t>
      </w:r>
      <w:r>
        <w:rPr>
          <w:spacing w:val="-55"/>
        </w:rPr>
      </w:r>
      <w:r>
        <w:rPr/>
        <w:t>入当期损益：</w:t>
      </w:r>
      <w:r>
        <w:rPr>
          <w:rFonts w:ascii="宋体" w:hAnsi="宋体" w:cs="宋体" w:eastAsia="宋体" w:hint="default"/>
        </w:rPr>
        <w:t>(1) </w:t>
      </w:r>
      <w:r>
        <w:rPr/>
        <w:t>终止确认部分的账面价值；</w:t>
      </w:r>
      <w:r>
        <w:rPr>
          <w:rFonts w:ascii="宋体" w:hAnsi="宋体" w:cs="宋体" w:eastAsia="宋体" w:hint="default"/>
        </w:rPr>
        <w:t>(2)</w:t>
      </w:r>
      <w:r>
        <w:rPr>
          <w:rFonts w:ascii="宋体" w:hAnsi="宋体" w:cs="宋体" w:eastAsia="宋体" w:hint="default"/>
          <w:spacing w:val="6"/>
        </w:rPr>
        <w:t> </w:t>
      </w:r>
      <w:r>
        <w:rPr/>
        <w:t>终止确认部分的对价，与原直接计入所有者权</w:t>
      </w:r>
      <w:r>
        <w:rPr>
          <w:w w:val="100"/>
        </w:rPr>
        <w:t> </w:t>
      </w:r>
      <w:r>
        <w:rPr/>
        <w:t>益的公允价值变动累计额中对应终止确认部分的金额之和。</w:t>
      </w:r>
    </w:p>
    <w:p>
      <w:pPr>
        <w:pStyle w:val="BodyText"/>
        <w:spacing w:line="355" w:lineRule="auto" w:before="32"/>
        <w:ind w:left="558" w:right="0"/>
        <w:jc w:val="left"/>
      </w:pPr>
      <w:r>
        <w:rPr>
          <w:rFonts w:ascii="宋体" w:hAnsi="宋体" w:cs="宋体" w:eastAsia="宋体" w:hint="default"/>
        </w:rPr>
        <w:t>4.</w:t>
      </w:r>
      <w:r>
        <w:rPr>
          <w:rFonts w:ascii="宋体" w:hAnsi="宋体" w:cs="宋体" w:eastAsia="宋体" w:hint="default"/>
          <w:spacing w:val="-1"/>
        </w:rPr>
        <w:t> </w:t>
      </w:r>
      <w:r>
        <w:rPr/>
        <w:t>金融资产和金融负债的公允价值确定方法</w:t>
      </w:r>
      <w:r>
        <w:rPr>
          <w:w w:val="100"/>
        </w:rPr>
        <w:t> </w:t>
      </w:r>
      <w:r>
        <w:rPr>
          <w:spacing w:val="-2"/>
        </w:rPr>
        <w:t>公司采用在当前情况下适用并且有足够可利用数据和其他信息支持的估值技术确定相关金融</w:t>
      </w:r>
    </w:p>
    <w:p>
      <w:pPr>
        <w:pStyle w:val="BodyText"/>
        <w:spacing w:line="240" w:lineRule="auto" w:before="33"/>
        <w:ind w:right="0"/>
        <w:jc w:val="left"/>
      </w:pPr>
      <w:r>
        <w:rPr/>
        <w:t>资产和金融负债的公允价值。公司将估值技术使用的输入值分以下层级，并依次使用：</w:t>
      </w:r>
    </w:p>
    <w:p>
      <w:pPr>
        <w:pStyle w:val="BodyText"/>
        <w:spacing w:line="240" w:lineRule="auto" w:before="133"/>
        <w:ind w:left="558" w:right="0"/>
        <w:jc w:val="left"/>
      </w:pPr>
      <w:r>
        <w:rPr>
          <w:rFonts w:ascii="宋体" w:hAnsi="宋体" w:cs="宋体" w:eastAsia="宋体" w:hint="default"/>
        </w:rPr>
        <w:t>(1)</w:t>
      </w:r>
      <w:r>
        <w:rPr>
          <w:rFonts w:ascii="宋体" w:hAnsi="宋体" w:cs="宋体" w:eastAsia="宋体" w:hint="default"/>
          <w:spacing w:val="-4"/>
        </w:rPr>
        <w:t> </w:t>
      </w:r>
      <w:r>
        <w:rPr/>
        <w:t>第一层次输入值是在计量日能够取得的相同资产或负债在活跃市场上未经调整的报价；</w:t>
      </w:r>
    </w:p>
    <w:p>
      <w:pPr>
        <w:pStyle w:val="BodyText"/>
        <w:spacing w:line="355" w:lineRule="auto" w:before="135"/>
        <w:ind w:right="137" w:firstLine="419"/>
        <w:jc w:val="both"/>
      </w:pPr>
      <w:r>
        <w:rPr>
          <w:rFonts w:ascii="宋体" w:hAnsi="宋体" w:cs="宋体" w:eastAsia="宋体" w:hint="default"/>
        </w:rPr>
        <w:t>(2)</w:t>
      </w:r>
      <w:r>
        <w:rPr>
          <w:rFonts w:ascii="宋体" w:hAnsi="宋体" w:cs="宋体" w:eastAsia="宋体" w:hint="default"/>
          <w:spacing w:val="-3"/>
        </w:rPr>
        <w:t> </w:t>
      </w:r>
      <w:r>
        <w:rPr/>
        <w:t>第二层次输入值是除第一层次输入值外相关资产或负债直接或间接可观察的输入值，包</w:t>
      </w:r>
      <w:r>
        <w:rPr>
          <w:w w:val="100"/>
        </w:rPr>
        <w:t> </w:t>
      </w:r>
      <w:r>
        <w:rPr>
          <w:spacing w:val="-2"/>
        </w:rPr>
        <w:t>括：活跃市场中类似资产或负债的报价；非活跃市场中相同或类似资产或负债的报价；除报价以</w:t>
      </w:r>
      <w:r>
        <w:rPr>
          <w:spacing w:val="-25"/>
        </w:rPr>
        <w:t> </w:t>
      </w:r>
      <w:r>
        <w:rPr>
          <w:spacing w:val="-25"/>
        </w:rPr>
      </w:r>
      <w:r>
        <w:rPr>
          <w:spacing w:val="-2"/>
        </w:rPr>
        <w:t>外的其他可观察输入值，如在正常报价间隔期间可观察的利率和收益率曲线等；市场验证的输入</w:t>
      </w:r>
      <w:r>
        <w:rPr>
          <w:spacing w:val="-25"/>
        </w:rPr>
        <w:t> </w:t>
      </w:r>
      <w:r>
        <w:rPr>
          <w:spacing w:val="-25"/>
        </w:rPr>
      </w:r>
      <w:r>
        <w:rPr/>
        <w:t>值等；</w:t>
      </w:r>
    </w:p>
    <w:p>
      <w:pPr>
        <w:pStyle w:val="BodyText"/>
        <w:spacing w:line="357" w:lineRule="auto" w:before="32"/>
        <w:ind w:right="137" w:firstLine="419"/>
        <w:jc w:val="both"/>
      </w:pPr>
      <w:r>
        <w:rPr>
          <w:rFonts w:ascii="宋体" w:hAnsi="宋体" w:cs="宋体" w:eastAsia="宋体" w:hint="default"/>
        </w:rPr>
        <w:t>(3)</w:t>
      </w:r>
      <w:r>
        <w:rPr>
          <w:rFonts w:ascii="宋体" w:hAnsi="宋体" w:cs="宋体" w:eastAsia="宋体" w:hint="default"/>
          <w:spacing w:val="-3"/>
        </w:rPr>
        <w:t> </w:t>
      </w:r>
      <w:r>
        <w:rPr/>
        <w:t>第三层次输入值是相关资产或负债的不可观察输入值，包括不能直接观察或无法由可观</w:t>
      </w:r>
      <w:r>
        <w:rPr>
          <w:w w:val="100"/>
        </w:rPr>
        <w:t> </w:t>
      </w:r>
      <w:r>
        <w:rPr>
          <w:spacing w:val="-2"/>
        </w:rPr>
        <w:t>察市场数据验证的利率、股票波动率、企业合并中承担的弃置义务的未来现金流量、使用自身数</w:t>
      </w:r>
      <w:r>
        <w:rPr>
          <w:spacing w:val="-25"/>
        </w:rPr>
        <w:t> </w:t>
      </w:r>
      <w:r>
        <w:rPr>
          <w:spacing w:val="-25"/>
        </w:rPr>
      </w:r>
      <w:r>
        <w:rPr/>
        <w:t>据作出的财务预测等。</w:t>
      </w:r>
    </w:p>
    <w:p>
      <w:pPr>
        <w:pStyle w:val="BodyText"/>
        <w:spacing w:line="240" w:lineRule="auto" w:before="30"/>
        <w:ind w:left="558" w:right="0"/>
        <w:jc w:val="left"/>
      </w:pPr>
      <w:r>
        <w:rPr>
          <w:rFonts w:ascii="宋体" w:hAnsi="宋体" w:cs="宋体" w:eastAsia="宋体" w:hint="default"/>
        </w:rPr>
        <w:t>5.</w:t>
      </w:r>
      <w:r>
        <w:rPr>
          <w:rFonts w:ascii="宋体" w:hAnsi="宋体" w:cs="宋体" w:eastAsia="宋体" w:hint="default"/>
          <w:spacing w:val="-5"/>
        </w:rPr>
        <w:t> </w:t>
      </w:r>
      <w:r>
        <w:rPr/>
        <w:t>金融资产的减值测试和减值准备计提方法</w:t>
      </w:r>
    </w:p>
    <w:p>
      <w:pPr>
        <w:pStyle w:val="BodyText"/>
        <w:spacing w:line="355" w:lineRule="auto" w:before="133"/>
        <w:ind w:right="137" w:firstLine="419"/>
        <w:jc w:val="both"/>
      </w:pPr>
      <w:r>
        <w:rPr>
          <w:rFonts w:ascii="宋体" w:hAnsi="宋体" w:cs="宋体" w:eastAsia="宋体" w:hint="default"/>
        </w:rPr>
        <w:t>(1)</w:t>
      </w:r>
      <w:r>
        <w:rPr>
          <w:rFonts w:ascii="宋体" w:hAnsi="宋体" w:cs="宋体" w:eastAsia="宋体" w:hint="default"/>
          <w:spacing w:val="-3"/>
        </w:rPr>
        <w:t> </w:t>
      </w:r>
      <w:r>
        <w:rPr/>
        <w:t>资产负债表日对以公允价值计量且其变动计入当期损益的金融资产以外的金融资产的账</w:t>
      </w:r>
      <w:r>
        <w:rPr>
          <w:w w:val="100"/>
        </w:rPr>
        <w:t> </w:t>
      </w:r>
      <w:r>
        <w:rPr/>
        <w:t>面价值进行检查，如有客观证据表明该金融资产发生减值的，计提减值准备。</w:t>
      </w:r>
    </w:p>
    <w:p>
      <w:pPr>
        <w:pStyle w:val="BodyText"/>
        <w:spacing w:line="357" w:lineRule="auto" w:before="34"/>
        <w:ind w:right="137" w:firstLine="419"/>
        <w:jc w:val="both"/>
      </w:pPr>
      <w:r>
        <w:rPr>
          <w:rFonts w:ascii="宋体" w:hAnsi="宋体" w:cs="宋体" w:eastAsia="宋体" w:hint="default"/>
        </w:rPr>
        <w:t>(2)</w:t>
      </w:r>
      <w:r>
        <w:rPr>
          <w:rFonts w:ascii="宋体" w:hAnsi="宋体" w:cs="宋体" w:eastAsia="宋体" w:hint="default"/>
          <w:spacing w:val="-3"/>
        </w:rPr>
        <w:t> </w:t>
      </w:r>
      <w:r>
        <w:rPr/>
        <w:t>对于持有至到期投资、贷款和应收款，先将单项金额重大的金融资产区分开来，单独进</w:t>
      </w:r>
      <w:r>
        <w:rPr>
          <w:w w:val="100"/>
        </w:rPr>
        <w:t> </w:t>
      </w:r>
      <w:r>
        <w:rPr>
          <w:spacing w:val="-2"/>
        </w:rPr>
        <w:t>行减值测试；对单项金额不重大的金融资产，可以单独进行减值测试，或包括在具有类似信用风</w:t>
      </w:r>
      <w:r>
        <w:rPr>
          <w:spacing w:val="-25"/>
        </w:rPr>
        <w:t> </w:t>
      </w:r>
      <w:r>
        <w:rPr>
          <w:spacing w:val="-25"/>
        </w:rPr>
      </w:r>
      <w:r>
        <w:rPr>
          <w:spacing w:val="-2"/>
        </w:rPr>
        <w:t>险特征的金融资产组合中进行减值测试；单独测试未发生减值的金融资产（包括单项金额重大和</w:t>
      </w:r>
      <w:r>
        <w:rPr>
          <w:spacing w:val="-25"/>
        </w:rPr>
        <w:t> </w:t>
      </w:r>
      <w:r>
        <w:rPr>
          <w:spacing w:val="-25"/>
        </w:rPr>
      </w:r>
      <w:r>
        <w:rPr>
          <w:spacing w:val="-2"/>
        </w:rPr>
        <w:t>不重大的金融资产），包括在具有类似信用风险特征的金融资产组合中再进行减值测试。测试结</w:t>
      </w:r>
      <w:r>
        <w:rPr>
          <w:spacing w:val="-25"/>
        </w:rPr>
        <w:t> </w:t>
      </w:r>
      <w:r>
        <w:rPr>
          <w:spacing w:val="-25"/>
        </w:rPr>
      </w:r>
      <w:r>
        <w:rPr/>
        <w:t>果表明其发生了减值的，根据其账面价值高于预计未来现金流量现值的差额确认减值损失。</w:t>
      </w:r>
    </w:p>
    <w:p>
      <w:pPr>
        <w:pStyle w:val="BodyText"/>
        <w:spacing w:line="240" w:lineRule="auto" w:before="30"/>
        <w:ind w:left="558" w:right="0"/>
        <w:jc w:val="left"/>
      </w:pPr>
      <w:r>
        <w:rPr>
          <w:rFonts w:ascii="宋体" w:hAnsi="宋体" w:cs="宋体" w:eastAsia="宋体" w:hint="default"/>
        </w:rPr>
        <w:t>(3)</w:t>
      </w:r>
      <w:r>
        <w:rPr>
          <w:rFonts w:ascii="宋体" w:hAnsi="宋体" w:cs="宋体" w:eastAsia="宋体" w:hint="default"/>
          <w:spacing w:val="-1"/>
        </w:rPr>
        <w:t> </w:t>
      </w:r>
      <w:r>
        <w:rPr/>
        <w:t>可供出售金融资产</w:t>
      </w:r>
    </w:p>
    <w:p>
      <w:pPr>
        <w:pStyle w:val="BodyText"/>
        <w:spacing w:line="240" w:lineRule="auto" w:before="133"/>
        <w:ind w:left="558" w:right="0"/>
        <w:jc w:val="left"/>
      </w:pPr>
      <w:r>
        <w:rPr>
          <w:rFonts w:ascii="宋体" w:hAnsi="宋体" w:cs="宋体" w:eastAsia="宋体" w:hint="default"/>
        </w:rPr>
        <w:t>1)</w:t>
      </w:r>
      <w:r>
        <w:rPr>
          <w:rFonts w:ascii="宋体" w:hAnsi="宋体" w:cs="宋体" w:eastAsia="宋体" w:hint="default"/>
          <w:spacing w:val="-3"/>
        </w:rPr>
        <w:t> </w:t>
      </w:r>
      <w:r>
        <w:rPr/>
        <w:t>表明可供出售债务工具投资发生减值的客观证据包括：</w:t>
      </w:r>
    </w:p>
    <w:p>
      <w:pPr>
        <w:pStyle w:val="BodyText"/>
        <w:spacing w:line="240" w:lineRule="auto" w:before="133"/>
        <w:ind w:left="558" w:right="0"/>
        <w:jc w:val="left"/>
      </w:pPr>
      <w:r>
        <w:rPr/>
        <w:t>①</w:t>
      </w:r>
      <w:r>
        <w:rPr>
          <w:spacing w:val="-3"/>
        </w:rPr>
        <w:t> </w:t>
      </w:r>
      <w:r>
        <w:rPr/>
        <w:t>债务人发生严重财务困难；</w:t>
      </w:r>
    </w:p>
    <w:p>
      <w:pPr>
        <w:pStyle w:val="BodyText"/>
        <w:spacing w:line="240" w:lineRule="auto" w:before="133"/>
        <w:ind w:left="558" w:right="0"/>
        <w:jc w:val="left"/>
      </w:pPr>
      <w:r>
        <w:rPr/>
        <w:t>②</w:t>
      </w:r>
      <w:r>
        <w:rPr>
          <w:spacing w:val="-6"/>
        </w:rPr>
        <w:t> </w:t>
      </w:r>
      <w:r>
        <w:rPr/>
        <w:t>债务人违反了合同条款，如偿付利息或本金发生违约或逾期；</w:t>
      </w:r>
    </w:p>
    <w:p>
      <w:pPr>
        <w:pStyle w:val="BodyText"/>
        <w:spacing w:line="240" w:lineRule="auto" w:before="135"/>
        <w:ind w:left="558" w:right="0"/>
        <w:jc w:val="left"/>
      </w:pPr>
      <w:r>
        <w:rPr/>
        <w:t>③</w:t>
      </w:r>
      <w:r>
        <w:rPr>
          <w:spacing w:val="-6"/>
        </w:rPr>
        <w:t> </w:t>
      </w:r>
      <w:r>
        <w:rPr/>
        <w:t>公司出于经济或法律等方面因素的考虑，对发生财务困难的债务人作出让步；</w:t>
      </w:r>
    </w:p>
    <w:p>
      <w:pPr>
        <w:pStyle w:val="BodyText"/>
        <w:spacing w:line="240" w:lineRule="auto" w:before="133"/>
        <w:ind w:left="558" w:right="0"/>
        <w:jc w:val="left"/>
      </w:pPr>
      <w:r>
        <w:rPr/>
        <w:t>④</w:t>
      </w:r>
      <w:r>
        <w:rPr>
          <w:spacing w:val="-5"/>
        </w:rPr>
        <w:t> </w:t>
      </w:r>
      <w:r>
        <w:rPr/>
        <w:t>债务人很可能倒闭或进行其他财务重组；</w:t>
      </w:r>
    </w:p>
    <w:p>
      <w:pPr>
        <w:pStyle w:val="BodyText"/>
        <w:spacing w:line="240" w:lineRule="auto" w:before="133"/>
        <w:ind w:left="558" w:right="0"/>
        <w:jc w:val="left"/>
      </w:pPr>
      <w:r>
        <w:rPr/>
        <w:t>⑤</w:t>
      </w:r>
      <w:r>
        <w:rPr>
          <w:spacing w:val="-5"/>
        </w:rPr>
        <w:t> </w:t>
      </w:r>
      <w:r>
        <w:rPr/>
        <w:t>因债务人发生重大财务困难，该债务工具无法在活跃市场继续交易；</w:t>
      </w:r>
    </w:p>
    <w:p>
      <w:pPr>
        <w:pStyle w:val="BodyText"/>
        <w:spacing w:line="240" w:lineRule="auto" w:before="133"/>
        <w:ind w:left="558" w:right="0"/>
        <w:jc w:val="left"/>
      </w:pPr>
      <w:r>
        <w:rPr/>
        <w:t>⑥</w:t>
      </w:r>
      <w:r>
        <w:rPr>
          <w:spacing w:val="-6"/>
        </w:rPr>
        <w:t> </w:t>
      </w:r>
      <w:r>
        <w:rPr/>
        <w:t>其他表明可供出售债务工具已经发生减值的情况。</w:t>
      </w:r>
    </w:p>
    <w:p>
      <w:pPr>
        <w:pStyle w:val="BodyText"/>
        <w:spacing w:line="240" w:lineRule="auto" w:before="135"/>
        <w:ind w:left="558" w:right="0"/>
        <w:jc w:val="left"/>
      </w:pPr>
      <w:r>
        <w:rPr>
          <w:rFonts w:ascii="宋体" w:hAnsi="宋体" w:cs="宋体" w:eastAsia="宋体" w:hint="default"/>
        </w:rPr>
        <w:t>2) </w:t>
      </w:r>
      <w:r>
        <w:rPr>
          <w:rFonts w:ascii="宋体" w:hAnsi="宋体" w:cs="宋体" w:eastAsia="宋体" w:hint="default"/>
          <w:spacing w:val="4"/>
        </w:rPr>
        <w:t> </w:t>
      </w:r>
      <w:r>
        <w:rPr/>
        <w:t>表明可供出售权益工具投资发生减值的客观证据包括权益工具投资的公允价值发生严重</w:t>
      </w:r>
    </w:p>
    <w:p>
      <w:pPr>
        <w:spacing w:after="0" w:line="240" w:lineRule="auto"/>
        <w:jc w:val="left"/>
        <w:sectPr>
          <w:footerReference w:type="default" r:id="rId45"/>
          <w:pgSz w:w="11910" w:h="16840"/>
          <w:pgMar w:footer="1195" w:header="882" w:top="1120" w:bottom="1380" w:left="1660" w:right="1140"/>
          <w:pgNumType w:start="78"/>
        </w:sectPr>
      </w:pPr>
    </w:p>
    <w:p>
      <w:pPr>
        <w:spacing w:line="240" w:lineRule="auto" w:before="1"/>
        <w:rPr>
          <w:rFonts w:ascii="宋体" w:hAnsi="宋体" w:cs="宋体" w:eastAsia="宋体" w:hint="default"/>
          <w:sz w:val="25"/>
          <w:szCs w:val="25"/>
        </w:rPr>
      </w:pPr>
    </w:p>
    <w:p>
      <w:pPr>
        <w:pStyle w:val="BodyText"/>
        <w:spacing w:line="357" w:lineRule="auto" w:before="36"/>
        <w:ind w:left="218" w:right="227"/>
        <w:jc w:val="left"/>
      </w:pPr>
      <w:r>
        <w:rPr>
          <w:spacing w:val="-1"/>
        </w:rPr>
        <w:t>或非暂时性下跌，以及被投资单位经营所处的技术、市场、经济或法律环境等发生重大不利变化</w:t>
      </w:r>
      <w:r>
        <w:rPr>
          <w:spacing w:val="-55"/>
        </w:rPr>
        <w:t> </w:t>
      </w:r>
      <w:r>
        <w:rPr>
          <w:spacing w:val="-55"/>
        </w:rPr>
      </w:r>
      <w:r>
        <w:rPr/>
        <w:t>使公司可能无法收回投资成本。</w:t>
      </w:r>
    </w:p>
    <w:p>
      <w:pPr>
        <w:pStyle w:val="BodyText"/>
        <w:spacing w:line="357" w:lineRule="auto" w:before="30"/>
        <w:ind w:left="218" w:right="227" w:firstLine="419"/>
        <w:jc w:val="both"/>
      </w:pPr>
      <w:r>
        <w:rPr>
          <w:spacing w:val="-2"/>
        </w:rPr>
        <w:t>本公司于资产负债表日对各项可供出售权益工具投资单独进行检查。对于以公允价值计量的</w:t>
      </w:r>
      <w:r>
        <w:rPr>
          <w:w w:val="100"/>
        </w:rPr>
        <w:t> </w:t>
      </w:r>
      <w:r>
        <w:rPr>
          <w:spacing w:val="-3"/>
        </w:rPr>
        <w:t>权益工具投资，若其于资产负债表日的公允价值低于其成本超过</w:t>
      </w:r>
      <w:r>
        <w:rPr>
          <w:spacing w:val="-24"/>
        </w:rPr>
        <w:t> </w:t>
      </w:r>
      <w:r>
        <w:rPr>
          <w:rFonts w:ascii="宋体" w:hAnsi="宋体" w:cs="宋体" w:eastAsia="宋体" w:hint="default"/>
          <w:spacing w:val="-8"/>
        </w:rPr>
        <w:t>50%</w:t>
      </w:r>
      <w:r>
        <w:rPr>
          <w:spacing w:val="-8"/>
        </w:rPr>
        <w:t>（含</w:t>
      </w:r>
      <w:r>
        <w:rPr>
          <w:spacing w:val="-24"/>
        </w:rPr>
        <w:t> </w:t>
      </w:r>
      <w:r>
        <w:rPr>
          <w:rFonts w:ascii="宋体" w:hAnsi="宋体" w:cs="宋体" w:eastAsia="宋体" w:hint="default"/>
          <w:spacing w:val="-4"/>
        </w:rPr>
        <w:t>50%</w:t>
      </w:r>
      <w:r>
        <w:rPr>
          <w:spacing w:val="-4"/>
        </w:rPr>
        <w:t>）或低于其成本持续</w:t>
      </w:r>
      <w:r>
        <w:rPr>
          <w:spacing w:val="-93"/>
        </w:rPr>
        <w:t> </w:t>
      </w:r>
      <w:r>
        <w:rPr>
          <w:spacing w:val="-93"/>
        </w:rPr>
      </w:r>
      <w:r>
        <w:rPr/>
        <w:t>时间超过</w:t>
      </w:r>
      <w:r>
        <w:rPr>
          <w:spacing w:val="-54"/>
        </w:rPr>
        <w:t> </w:t>
      </w:r>
      <w:r>
        <w:rPr>
          <w:rFonts w:ascii="宋体" w:hAnsi="宋体" w:cs="宋体" w:eastAsia="宋体" w:hint="default"/>
        </w:rPr>
        <w:t>12</w:t>
      </w:r>
      <w:r>
        <w:rPr>
          <w:rFonts w:ascii="宋体" w:hAnsi="宋体" w:cs="宋体" w:eastAsia="宋体" w:hint="default"/>
          <w:spacing w:val="-54"/>
        </w:rPr>
        <w:t> </w:t>
      </w:r>
      <w:r>
        <w:rPr/>
        <w:t>个月（含</w:t>
      </w:r>
      <w:r>
        <w:rPr>
          <w:spacing w:val="-53"/>
        </w:rPr>
        <w:t> </w:t>
      </w:r>
      <w:r>
        <w:rPr>
          <w:rFonts w:ascii="宋体" w:hAnsi="宋体" w:cs="宋体" w:eastAsia="宋体" w:hint="default"/>
        </w:rPr>
        <w:t>12</w:t>
      </w:r>
      <w:r>
        <w:rPr>
          <w:rFonts w:ascii="宋体" w:hAnsi="宋体" w:cs="宋体" w:eastAsia="宋体" w:hint="default"/>
          <w:spacing w:val="-56"/>
        </w:rPr>
        <w:t> </w:t>
      </w:r>
      <w:r>
        <w:rPr/>
        <w:t>个月）的，则表明其发生减值；若其于资产负债表日的公允价值低于其</w:t>
      </w:r>
      <w:r>
        <w:rPr>
          <w:w w:val="100"/>
        </w:rPr>
        <w:t> </w:t>
      </w:r>
      <w:r>
        <w:rPr/>
        <w:t>成本超过</w:t>
      </w:r>
      <w:r>
        <w:rPr>
          <w:spacing w:val="-43"/>
        </w:rPr>
        <w:t> </w:t>
      </w:r>
      <w:r>
        <w:rPr>
          <w:rFonts w:ascii="宋体" w:hAnsi="宋体" w:cs="宋体" w:eastAsia="宋体" w:hint="default"/>
          <w:spacing w:val="-3"/>
        </w:rPr>
        <w:t>20%</w:t>
      </w:r>
      <w:r>
        <w:rPr>
          <w:spacing w:val="-3"/>
        </w:rPr>
        <w:t>（含</w:t>
      </w:r>
      <w:r>
        <w:rPr>
          <w:spacing w:val="-43"/>
        </w:rPr>
        <w:t> </w:t>
      </w:r>
      <w:r>
        <w:rPr>
          <w:rFonts w:ascii="宋体" w:hAnsi="宋体" w:cs="宋体" w:eastAsia="宋体" w:hint="default"/>
          <w:spacing w:val="-3"/>
        </w:rPr>
        <w:t>20%</w:t>
      </w:r>
      <w:r>
        <w:rPr>
          <w:spacing w:val="-3"/>
        </w:rPr>
        <w:t>）但尚未达到</w:t>
      </w:r>
      <w:r>
        <w:rPr>
          <w:spacing w:val="-42"/>
        </w:rPr>
        <w:t> </w:t>
      </w:r>
      <w:r>
        <w:rPr>
          <w:rFonts w:ascii="宋体" w:hAnsi="宋体" w:cs="宋体" w:eastAsia="宋体" w:hint="default"/>
          <w:spacing w:val="-3"/>
        </w:rPr>
        <w:t>50%</w:t>
      </w:r>
      <w:r>
        <w:rPr>
          <w:spacing w:val="-3"/>
        </w:rPr>
        <w:t>的，或低于其成本持续时间超过</w:t>
      </w:r>
      <w:r>
        <w:rPr>
          <w:spacing w:val="-43"/>
        </w:rPr>
        <w:t> </w:t>
      </w:r>
      <w:r>
        <w:rPr>
          <w:rFonts w:ascii="宋体" w:hAnsi="宋体" w:cs="宋体" w:eastAsia="宋体" w:hint="default"/>
        </w:rPr>
        <w:t>6</w:t>
      </w:r>
      <w:r>
        <w:rPr>
          <w:rFonts w:ascii="宋体" w:hAnsi="宋体" w:cs="宋体" w:eastAsia="宋体" w:hint="default"/>
          <w:spacing w:val="-43"/>
        </w:rPr>
        <w:t> </w:t>
      </w:r>
      <w:r>
        <w:rPr>
          <w:spacing w:val="-4"/>
        </w:rPr>
        <w:t>个月（含</w:t>
      </w:r>
      <w:r>
        <w:rPr>
          <w:spacing w:val="-42"/>
        </w:rPr>
        <w:t> </w:t>
      </w:r>
      <w:r>
        <w:rPr>
          <w:rFonts w:ascii="宋体" w:hAnsi="宋体" w:cs="宋体" w:eastAsia="宋体" w:hint="default"/>
        </w:rPr>
        <w:t>6</w:t>
      </w:r>
      <w:r>
        <w:rPr>
          <w:rFonts w:ascii="宋体" w:hAnsi="宋体" w:cs="宋体" w:eastAsia="宋体" w:hint="default"/>
          <w:spacing w:val="-46"/>
        </w:rPr>
        <w:t> </w:t>
      </w:r>
      <w:r>
        <w:rPr>
          <w:spacing w:val="-3"/>
        </w:rPr>
        <w:t>个月）但未</w:t>
      </w:r>
      <w:r>
        <w:rPr>
          <w:spacing w:val="-101"/>
        </w:rPr>
        <w:t> </w:t>
      </w:r>
      <w:r>
        <w:rPr>
          <w:spacing w:val="-101"/>
        </w:rPr>
      </w:r>
      <w:r>
        <w:rPr/>
        <w:t>超过</w:t>
      </w:r>
      <w:r>
        <w:rPr>
          <w:spacing w:val="-30"/>
        </w:rPr>
        <w:t> </w:t>
      </w:r>
      <w:r>
        <w:rPr>
          <w:rFonts w:ascii="宋体" w:hAnsi="宋体" w:cs="宋体" w:eastAsia="宋体" w:hint="default"/>
        </w:rPr>
        <w:t>12</w:t>
      </w:r>
      <w:r>
        <w:rPr>
          <w:rFonts w:ascii="宋体" w:hAnsi="宋体" w:cs="宋体" w:eastAsia="宋体" w:hint="default"/>
          <w:spacing w:val="-30"/>
        </w:rPr>
        <w:t> </w:t>
      </w:r>
      <w:r>
        <w:rPr>
          <w:spacing w:val="-4"/>
        </w:rPr>
        <w:t>个月的，本公司会综合考虑其他相关因素，诸如价格波动率等，判断该权益工具投资是否</w:t>
      </w:r>
      <w:r>
        <w:rPr>
          <w:spacing w:val="-96"/>
        </w:rPr>
        <w:t> </w:t>
      </w:r>
      <w:r>
        <w:rPr>
          <w:spacing w:val="-96"/>
        </w:rPr>
      </w:r>
      <w:r>
        <w:rPr>
          <w:spacing w:val="-2"/>
        </w:rPr>
        <w:t>发生减值。对于以成本计量的权益工具投资，公司综合考虑被投资单位经营所处的技术、市场、</w:t>
      </w:r>
      <w:r>
        <w:rPr>
          <w:spacing w:val="-25"/>
        </w:rPr>
        <w:t> </w:t>
      </w:r>
      <w:r>
        <w:rPr>
          <w:spacing w:val="-25"/>
        </w:rPr>
      </w:r>
      <w:r>
        <w:rPr/>
        <w:t>经济或法律环境等是否发生重大不利变化，判断该权益工具是否发生减值。</w:t>
      </w:r>
    </w:p>
    <w:p>
      <w:pPr>
        <w:pStyle w:val="BodyText"/>
        <w:spacing w:line="357" w:lineRule="auto" w:before="30"/>
        <w:ind w:left="218" w:right="237" w:firstLine="419"/>
        <w:jc w:val="both"/>
      </w:pPr>
      <w:r>
        <w:rPr>
          <w:spacing w:val="-2"/>
        </w:rPr>
        <w:t>以公允价值计量的可供出售金融资产发生减值时，原直接计入其他综合收益的因公允价值下</w:t>
      </w:r>
      <w:r>
        <w:rPr>
          <w:w w:val="100"/>
        </w:rPr>
        <w:t> </w:t>
      </w:r>
      <w:r>
        <w:rPr>
          <w:spacing w:val="-2"/>
        </w:rPr>
        <w:t>降形成的累计损失予以转出并计入减值损失。对已确认减值损失的可供出售债务工具投资，在期</w:t>
      </w:r>
      <w:r>
        <w:rPr>
          <w:spacing w:val="-25"/>
        </w:rPr>
        <w:t> </w:t>
      </w:r>
      <w:r>
        <w:rPr>
          <w:spacing w:val="-25"/>
        </w:rPr>
      </w:r>
      <w:r>
        <w:rPr>
          <w:spacing w:val="-2"/>
        </w:rPr>
        <w:t>后公允价值回升且客观上与确认原减值损失后发生的事项有关的，原确认的减值损失予以转回并</w:t>
      </w:r>
      <w:r>
        <w:rPr>
          <w:spacing w:val="-25"/>
        </w:rPr>
        <w:t> </w:t>
      </w:r>
      <w:r>
        <w:rPr>
          <w:spacing w:val="-25"/>
        </w:rPr>
      </w:r>
      <w:r>
        <w:rPr>
          <w:spacing w:val="-2"/>
        </w:rPr>
        <w:t>计入当期损益。对已确认减值损失的可供出售权益工具投资，期后公允价值回升直接计入其他综</w:t>
      </w:r>
      <w:r>
        <w:rPr>
          <w:spacing w:val="-25"/>
        </w:rPr>
        <w:t> </w:t>
      </w:r>
      <w:r>
        <w:rPr>
          <w:spacing w:val="-25"/>
        </w:rPr>
      </w:r>
      <w:r>
        <w:rPr/>
        <w:t>合收益。</w:t>
      </w:r>
    </w:p>
    <w:p>
      <w:pPr>
        <w:pStyle w:val="BodyText"/>
        <w:spacing w:line="357" w:lineRule="auto" w:before="30"/>
        <w:ind w:left="218" w:right="228" w:firstLine="419"/>
        <w:jc w:val="both"/>
      </w:pPr>
      <w:r>
        <w:rPr>
          <w:spacing w:val="-2"/>
        </w:rPr>
        <w:t>以成本计量的可供出售权益工具发生减值时，将该权益工具投资的账面价值，与按照类似金</w:t>
      </w:r>
      <w:r>
        <w:rPr>
          <w:w w:val="100"/>
        </w:rPr>
        <w:t> </w:t>
      </w:r>
      <w:r>
        <w:rPr>
          <w:spacing w:val="-1"/>
        </w:rPr>
        <w:t>融资产当时市场收益率对未来现金流量折现确定的现值之间的差额，确认为减值损失，计入当期</w:t>
      </w:r>
      <w:r>
        <w:rPr>
          <w:spacing w:val="-55"/>
        </w:rPr>
        <w:t> </w:t>
      </w:r>
      <w:r>
        <w:rPr>
          <w:spacing w:val="-55"/>
        </w:rPr>
      </w:r>
      <w:r>
        <w:rPr/>
        <w:t>损益，发生的减值损失一经确认，不予转回。</w:t>
      </w:r>
    </w:p>
    <w:p>
      <w:pPr>
        <w:spacing w:line="240" w:lineRule="auto" w:before="11"/>
        <w:rPr>
          <w:rFonts w:ascii="宋体" w:hAnsi="宋体" w:cs="宋体" w:eastAsia="宋体" w:hint="default"/>
          <w:sz w:val="27"/>
          <w:szCs w:val="27"/>
        </w:rPr>
      </w:pPr>
    </w:p>
    <w:p>
      <w:pPr>
        <w:pStyle w:val="Heading2"/>
        <w:spacing w:line="290" w:lineRule="auto"/>
        <w:ind w:right="4408"/>
        <w:jc w:val="left"/>
        <w:rPr>
          <w:b w:val="0"/>
          <w:bCs w:val="0"/>
        </w:rPr>
      </w:pPr>
      <w:r>
        <w:rPr>
          <w:rFonts w:ascii="宋体" w:hAnsi="宋体" w:cs="宋体" w:eastAsia="宋体" w:hint="default"/>
        </w:rPr>
        <w:t>11.</w:t>
      </w:r>
      <w:r>
        <w:rPr>
          <w:rFonts w:ascii="宋体" w:hAnsi="宋体" w:cs="宋体" w:eastAsia="宋体" w:hint="default"/>
          <w:spacing w:val="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pStyle w:val="BodyText"/>
        <w:spacing w:line="240" w:lineRule="auto" w:before="12"/>
        <w:ind w:left="218" w:right="3084"/>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828"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根据</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目</w:t>
            </w:r>
            <w:r>
              <w:rPr>
                <w:rFonts w:ascii="宋体" w:hAnsi="宋体" w:cs="宋体" w:eastAsia="宋体" w:hint="default"/>
                <w:w w:val="100"/>
                <w:sz w:val="21"/>
                <w:szCs w:val="21"/>
              </w:rPr>
              <w:t>前</w:t>
            </w:r>
            <w:r>
              <w:rPr>
                <w:rFonts w:ascii="宋体" w:hAnsi="宋体" w:cs="宋体" w:eastAsia="宋体" w:hint="default"/>
                <w:spacing w:val="-3"/>
                <w:w w:val="100"/>
                <w:sz w:val="21"/>
                <w:szCs w:val="21"/>
              </w:rPr>
              <w:t>实</w:t>
            </w:r>
            <w:r>
              <w:rPr>
                <w:rFonts w:ascii="宋体" w:hAnsi="宋体" w:cs="宋体" w:eastAsia="宋体" w:hint="default"/>
                <w:w w:val="100"/>
                <w:sz w:val="21"/>
                <w:szCs w:val="21"/>
              </w:rPr>
              <w:t>际</w:t>
            </w:r>
            <w:r>
              <w:rPr>
                <w:rFonts w:ascii="宋体" w:hAnsi="宋体" w:cs="宋体" w:eastAsia="宋体" w:hint="default"/>
                <w:spacing w:val="-3"/>
                <w:w w:val="100"/>
                <w:sz w:val="21"/>
                <w:szCs w:val="21"/>
              </w:rPr>
              <w:t>经</w:t>
            </w:r>
            <w:r>
              <w:rPr>
                <w:rFonts w:ascii="宋体" w:hAnsi="宋体" w:cs="宋体" w:eastAsia="宋体" w:hint="default"/>
                <w:w w:val="100"/>
                <w:sz w:val="21"/>
                <w:szCs w:val="21"/>
              </w:rPr>
              <w:t>营</w:t>
            </w:r>
            <w:r>
              <w:rPr>
                <w:rFonts w:ascii="宋体" w:hAnsi="宋体" w:cs="宋体" w:eastAsia="宋体" w:hint="default"/>
                <w:spacing w:val="-3"/>
                <w:w w:val="100"/>
                <w:sz w:val="21"/>
                <w:szCs w:val="21"/>
              </w:rPr>
              <w:t>情</w:t>
            </w:r>
            <w:r>
              <w:rPr>
                <w:rFonts w:ascii="宋体" w:hAnsi="宋体" w:cs="宋体" w:eastAsia="宋体" w:hint="default"/>
                <w:w w:val="100"/>
                <w:sz w:val="21"/>
                <w:szCs w:val="21"/>
              </w:rPr>
              <w:t>况</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以</w:t>
            </w:r>
            <w:r>
              <w:rPr>
                <w:rFonts w:ascii="宋体" w:hAnsi="宋体" w:cs="宋体" w:eastAsia="宋体" w:hint="default"/>
                <w:w w:val="100"/>
                <w:sz w:val="21"/>
                <w:szCs w:val="21"/>
              </w:rPr>
              <w:t>应</w:t>
            </w:r>
            <w:r>
              <w:rPr>
                <w:rFonts w:ascii="宋体" w:hAnsi="宋体" w:cs="宋体" w:eastAsia="宋体" w:hint="default"/>
                <w:spacing w:val="-3"/>
                <w:w w:val="100"/>
                <w:sz w:val="21"/>
                <w:szCs w:val="21"/>
              </w:rPr>
              <w:t>收</w:t>
            </w:r>
            <w:r>
              <w:rPr>
                <w:rFonts w:ascii="宋体" w:hAnsi="宋体" w:cs="宋体" w:eastAsia="宋体" w:hint="default"/>
                <w:w w:val="100"/>
                <w:sz w:val="21"/>
                <w:szCs w:val="21"/>
              </w:rPr>
              <w:t>金额在</w:t>
            </w:r>
            <w:r>
              <w:rPr>
                <w:rFonts w:ascii="宋体" w:hAnsi="宋体" w:cs="宋体" w:eastAsia="宋体" w:hint="default"/>
                <w:spacing w:val="-57"/>
                <w:sz w:val="21"/>
                <w:szCs w:val="21"/>
              </w:rPr>
              <w:t> </w:t>
            </w:r>
            <w:r>
              <w:rPr>
                <w:rFonts w:ascii="宋体" w:hAnsi="宋体" w:cs="宋体" w:eastAsia="宋体" w:hint="default"/>
                <w:w w:val="100"/>
                <w:sz w:val="21"/>
                <w:szCs w:val="21"/>
              </w:rPr>
              <w:t>100</w:t>
            </w:r>
          </w:p>
          <w:p>
            <w:pPr>
              <w:pStyle w:val="TableParagraph"/>
              <w:spacing w:line="272" w:lineRule="exact" w:before="27"/>
              <w:ind w:left="103" w:right="146"/>
              <w:jc w:val="left"/>
              <w:rPr>
                <w:rFonts w:ascii="宋体" w:hAnsi="宋体" w:cs="宋体" w:eastAsia="宋体" w:hint="default"/>
                <w:sz w:val="21"/>
                <w:szCs w:val="21"/>
              </w:rPr>
            </w:pPr>
            <w:r>
              <w:rPr>
                <w:rFonts w:ascii="宋体" w:hAnsi="宋体" w:cs="宋体" w:eastAsia="宋体" w:hint="default"/>
                <w:spacing w:val="-2"/>
                <w:sz w:val="21"/>
                <w:szCs w:val="21"/>
              </w:rPr>
              <w:t>万以上（含）的款项作为单项金额重大的应收</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款项</w:t>
            </w:r>
          </w:p>
        </w:tc>
      </w:tr>
      <w:tr>
        <w:trPr>
          <w:trHeight w:val="554"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低于其账面价值的差额计提坏账准备</w:t>
            </w:r>
          </w:p>
        </w:tc>
      </w:tr>
    </w:tbl>
    <w:p>
      <w:pPr>
        <w:spacing w:line="240" w:lineRule="auto" w:before="13"/>
        <w:rPr>
          <w:rFonts w:ascii="宋体" w:hAnsi="宋体" w:cs="宋体" w:eastAsia="宋体" w:hint="default"/>
          <w:sz w:val="19"/>
          <w:szCs w:val="19"/>
        </w:rPr>
      </w:pPr>
    </w:p>
    <w:p>
      <w:pPr>
        <w:pStyle w:val="Heading2"/>
        <w:spacing w:line="240" w:lineRule="auto" w:before="36"/>
        <w:ind w:right="3084"/>
        <w:jc w:val="left"/>
        <w:rPr>
          <w:b w:val="0"/>
          <w:bCs w:val="0"/>
        </w:rPr>
      </w:pPr>
      <w:r>
        <w:rPr>
          <w:rFonts w:ascii="宋体" w:hAnsi="宋体" w:cs="宋体" w:eastAsia="宋体" w:hint="default"/>
        </w:rPr>
        <w:t>(2).</w:t>
      </w:r>
      <w:r>
        <w:rPr/>
        <w:t>按信用风险特征组合计提坏账准备的应收款项：</w:t>
      </w:r>
      <w:r>
        <w:rPr>
          <w:b w:val="0"/>
          <w:bCs w:val="0"/>
        </w:rPr>
      </w:r>
    </w:p>
    <w:p>
      <w:pPr>
        <w:pStyle w:val="BodyText"/>
        <w:spacing w:line="240" w:lineRule="auto" w:before="58"/>
        <w:ind w:left="218" w:right="3084"/>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283"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line="240" w:lineRule="auto" w:before="5"/>
        <w:rPr>
          <w:rFonts w:ascii="宋体" w:hAnsi="宋体" w:cs="宋体" w:eastAsia="宋体" w:hint="default"/>
          <w:sz w:val="15"/>
          <w:szCs w:val="15"/>
        </w:rPr>
      </w:pPr>
    </w:p>
    <w:p>
      <w:pPr>
        <w:pStyle w:val="BodyText"/>
        <w:spacing w:line="274" w:lineRule="exact" w:before="36"/>
        <w:ind w:left="218" w:right="3084"/>
        <w:jc w:val="left"/>
      </w:pPr>
      <w:r>
        <w:rPr/>
        <w:t>组合中，采用账龄分析法计提坏账准备的</w:t>
      </w:r>
    </w:p>
    <w:p>
      <w:pPr>
        <w:pStyle w:val="BodyText"/>
        <w:spacing w:line="274" w:lineRule="exact"/>
        <w:ind w:left="218" w:right="3084"/>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23"/>
        <w:gridCol w:w="2962"/>
        <w:gridCol w:w="2965"/>
      </w:tblGrid>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0"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0.50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5.00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5.00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30.00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50.00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50.00</w:t>
            </w:r>
          </w:p>
        </w:tc>
      </w:tr>
    </w:tbl>
    <w:p>
      <w:pPr>
        <w:spacing w:after="0" w:line="243" w:lineRule="exact"/>
        <w:jc w:val="righ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23"/>
        <w:gridCol w:w="2962"/>
        <w:gridCol w:w="2965"/>
      </w:tblGrid>
      <w:tr>
        <w:trPr>
          <w:trHeight w:val="284"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z w:val="21"/>
              </w:rPr>
              <w:t>100.00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100.00</w:t>
            </w:r>
          </w:p>
        </w:tc>
      </w:tr>
    </w:tbl>
    <w:p>
      <w:pPr>
        <w:spacing w:line="240" w:lineRule="auto" w:before="7"/>
        <w:rPr>
          <w:rFonts w:ascii="宋体" w:hAnsi="宋体" w:cs="宋体" w:eastAsia="宋体" w:hint="default"/>
          <w:sz w:val="15"/>
          <w:szCs w:val="15"/>
        </w:rPr>
      </w:pPr>
    </w:p>
    <w:p>
      <w:pPr>
        <w:pStyle w:val="BodyText"/>
        <w:spacing w:line="273" w:lineRule="exact" w:before="36"/>
        <w:ind w:left="218" w:right="3084"/>
        <w:jc w:val="left"/>
      </w:pPr>
      <w:r>
        <w:rPr/>
        <w:t>组合中，采用余额百分比法计提坏账准备的</w:t>
      </w:r>
    </w:p>
    <w:p>
      <w:pPr>
        <w:pStyle w:val="BodyText"/>
        <w:spacing w:line="240" w:lineRule="auto"/>
        <w:ind w:left="218" w:right="4408"/>
        <w:jc w:val="left"/>
      </w:pPr>
      <w:r>
        <w:rPr/>
        <w:t>□适用</w:t>
      </w:r>
      <w:r>
        <w:rPr>
          <w:spacing w:val="-2"/>
        </w:rPr>
        <w:t> </w:t>
      </w:r>
      <w:r>
        <w:rPr/>
        <w:t>√不适用</w:t>
      </w:r>
      <w:r>
        <w:rPr>
          <w:w w:val="100"/>
        </w:rPr>
        <w:t> </w:t>
      </w:r>
      <w:r>
        <w:rPr>
          <w:spacing w:val="-2"/>
        </w:rPr>
        <w:t>组合中，采用其他方法计提坏账准备的</w:t>
      </w:r>
    </w:p>
    <w:p>
      <w:pPr>
        <w:spacing w:line="290" w:lineRule="auto" w:before="0"/>
        <w:ind w:left="218" w:right="308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(3).</w:t>
      </w:r>
      <w:r>
        <w:rPr>
          <w:rFonts w:ascii="宋体" w:hAnsi="宋体" w:cs="宋体" w:eastAsia="宋体" w:hint="default"/>
          <w:b/>
          <w:bCs/>
          <w:spacing w:val="-1"/>
          <w:sz w:val="21"/>
          <w:szCs w:val="21"/>
        </w:rPr>
        <w:t>单项金额不重大但单独计提坏账准备的应收款项：</w:t>
      </w:r>
      <w:r>
        <w:rPr>
          <w:rFonts w:ascii="宋体" w:hAnsi="宋体" w:cs="宋体" w:eastAsia="宋体" w:hint="default"/>
          <w:spacing w:val="-1"/>
          <w:sz w:val="21"/>
          <w:szCs w:val="21"/>
        </w:rPr>
      </w:r>
    </w:p>
    <w:p>
      <w:pPr>
        <w:pStyle w:val="BodyText"/>
        <w:spacing w:line="240" w:lineRule="auto" w:before="12"/>
        <w:ind w:left="218" w:right="3084"/>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340"/>
        <w:gridCol w:w="4710"/>
      </w:tblGrid>
      <w:tr>
        <w:trPr>
          <w:trHeight w:val="826"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应收款项的未来现金流量现值与以账龄为信用风</w:t>
            </w:r>
          </w:p>
          <w:p>
            <w:pPr>
              <w:pStyle w:val="TableParagraph"/>
              <w:spacing w:line="240" w:lineRule="auto"/>
              <w:ind w:left="100" w:right="183"/>
              <w:jc w:val="left"/>
              <w:rPr>
                <w:rFonts w:ascii="宋体" w:hAnsi="宋体" w:cs="宋体" w:eastAsia="宋体" w:hint="default"/>
                <w:sz w:val="21"/>
                <w:szCs w:val="21"/>
              </w:rPr>
            </w:pPr>
            <w:r>
              <w:rPr>
                <w:rFonts w:ascii="宋体" w:hAnsi="宋体" w:cs="宋体" w:eastAsia="宋体" w:hint="default"/>
                <w:spacing w:val="-2"/>
                <w:sz w:val="21"/>
                <w:szCs w:val="21"/>
              </w:rPr>
              <w:t>险特征的应收款项组合的未来现金流量现值存在</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显著差异</w:t>
            </w:r>
          </w:p>
        </w:tc>
      </w:tr>
      <w:tr>
        <w:trPr>
          <w:trHeight w:val="555"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于其账面价值的差额计提坏账准备</w:t>
            </w:r>
          </w:p>
        </w:tc>
      </w:tr>
    </w:tbl>
    <w:p>
      <w:pPr>
        <w:spacing w:line="240" w:lineRule="auto" w:before="2"/>
        <w:rPr>
          <w:rFonts w:ascii="宋体" w:hAnsi="宋体" w:cs="宋体" w:eastAsia="宋体" w:hint="default"/>
          <w:sz w:val="20"/>
          <w:szCs w:val="20"/>
        </w:rPr>
      </w:pPr>
    </w:p>
    <w:p>
      <w:pPr>
        <w:pStyle w:val="Heading2"/>
        <w:spacing w:line="240" w:lineRule="auto" w:before="36"/>
        <w:ind w:right="3084"/>
        <w:jc w:val="left"/>
        <w:rPr>
          <w:b w:val="0"/>
          <w:bCs w:val="0"/>
        </w:rPr>
      </w:pPr>
      <w:r>
        <w:rPr>
          <w:rFonts w:ascii="宋体" w:hAnsi="宋体" w:cs="宋体" w:eastAsia="宋体" w:hint="default"/>
        </w:rPr>
        <w:t>12.</w:t>
      </w:r>
      <w:r>
        <w:rPr>
          <w:rFonts w:ascii="宋体" w:hAnsi="宋体" w:cs="宋体" w:eastAsia="宋体" w:hint="default"/>
          <w:spacing w:val="2"/>
        </w:rPr>
        <w:t> </w:t>
      </w:r>
      <w:r>
        <w:rPr/>
        <w:t>存货</w:t>
      </w:r>
      <w:r>
        <w:rPr>
          <w:b w:val="0"/>
          <w:bCs w:val="0"/>
        </w:rPr>
      </w:r>
    </w:p>
    <w:p>
      <w:pPr>
        <w:pStyle w:val="BodyText"/>
        <w:spacing w:line="274" w:lineRule="exact" w:before="56"/>
        <w:ind w:left="218" w:right="3084"/>
        <w:jc w:val="left"/>
      </w:pPr>
      <w:r>
        <w:rPr/>
        <w:t>√适用</w:t>
      </w:r>
      <w:r>
        <w:rPr>
          <w:spacing w:val="-1"/>
        </w:rPr>
        <w:t> </w:t>
      </w:r>
      <w:r>
        <w:rPr/>
        <w:t>□不适用</w:t>
      </w:r>
    </w:p>
    <w:p>
      <w:pPr>
        <w:pStyle w:val="BodyText"/>
        <w:spacing w:line="355" w:lineRule="auto"/>
        <w:ind w:left="638" w:right="227"/>
        <w:jc w:val="left"/>
      </w:pPr>
      <w:r>
        <w:rPr>
          <w:rFonts w:ascii="宋体" w:hAnsi="宋体" w:cs="宋体" w:eastAsia="宋体" w:hint="default"/>
        </w:rPr>
        <w:t>1. </w:t>
      </w:r>
      <w:r>
        <w:rPr/>
        <w:t>存货的分类</w:t>
      </w:r>
      <w:r>
        <w:rPr>
          <w:w w:val="100"/>
        </w:rPr>
        <w:t> </w:t>
      </w:r>
      <w:r>
        <w:rPr>
          <w:spacing w:val="-2"/>
        </w:rPr>
        <w:t>存货包括在日常活动中持有以备出售的产成品或商品、处在生产过程中的在产品、在生产过</w:t>
      </w:r>
    </w:p>
    <w:p>
      <w:pPr>
        <w:pStyle w:val="BodyText"/>
        <w:spacing w:line="357" w:lineRule="auto" w:before="32"/>
        <w:ind w:left="638" w:right="5076" w:hanging="420"/>
        <w:jc w:val="left"/>
      </w:pPr>
      <w:r>
        <w:rPr>
          <w:spacing w:val="-2"/>
        </w:rPr>
        <w:t>程或提供劳务过程中耗用的材料和物料等。</w:t>
      </w:r>
      <w:r>
        <w:rPr>
          <w:spacing w:val="-69"/>
        </w:rPr>
        <w:t> </w:t>
      </w:r>
      <w:r>
        <w:rPr>
          <w:spacing w:val="-69"/>
        </w:rPr>
      </w:r>
      <w:r>
        <w:rPr>
          <w:rFonts w:ascii="宋体" w:hAnsi="宋体" w:cs="宋体" w:eastAsia="宋体" w:hint="default"/>
        </w:rPr>
        <w:t>2. </w:t>
      </w:r>
      <w:r>
        <w:rPr/>
        <w:t>发出存货的计价方法</w:t>
      </w:r>
      <w:r>
        <w:rPr>
          <w:w w:val="100"/>
        </w:rPr>
        <w:t> </w:t>
      </w:r>
      <w:r>
        <w:rPr/>
        <w:t>发出存货采用月末一次加权平均法。</w:t>
      </w:r>
      <w:r>
        <w:rPr>
          <w:w w:val="100"/>
        </w:rPr>
        <w:t> </w:t>
      </w:r>
      <w:r>
        <w:rPr>
          <w:rFonts w:ascii="宋体" w:hAnsi="宋体" w:cs="宋体" w:eastAsia="宋体" w:hint="default"/>
        </w:rPr>
        <w:t>3.</w:t>
      </w:r>
      <w:r>
        <w:rPr>
          <w:rFonts w:ascii="宋体" w:hAnsi="宋体" w:cs="宋体" w:eastAsia="宋体" w:hint="default"/>
          <w:spacing w:val="-3"/>
        </w:rPr>
        <w:t> </w:t>
      </w:r>
      <w:r>
        <w:rPr/>
        <w:t>存货可变现净值的确定依据</w:t>
      </w:r>
    </w:p>
    <w:p>
      <w:pPr>
        <w:pStyle w:val="BodyText"/>
        <w:spacing w:line="357" w:lineRule="auto" w:before="30"/>
        <w:ind w:left="218" w:right="228" w:firstLine="419"/>
        <w:jc w:val="both"/>
      </w:pPr>
      <w:r>
        <w:rPr>
          <w:spacing w:val="-2"/>
        </w:rPr>
        <w:t>资产负债表日，存货采用成本与可变现净值孰低计量，按照单个存货成本高于可变现净值的</w:t>
      </w:r>
      <w:r>
        <w:rPr>
          <w:w w:val="100"/>
        </w:rPr>
        <w:t> </w:t>
      </w:r>
      <w:r>
        <w:rPr>
          <w:spacing w:val="-1"/>
        </w:rPr>
        <w:t>差额计提存货跌价准备。直接用于出售的存货，在正常生产经营过程中以该存货的估计售价减去</w:t>
      </w:r>
      <w:r>
        <w:rPr>
          <w:spacing w:val="-55"/>
        </w:rPr>
        <w:t> </w:t>
      </w:r>
      <w:r>
        <w:rPr>
          <w:spacing w:val="-55"/>
        </w:rPr>
      </w:r>
      <w:r>
        <w:rPr>
          <w:spacing w:val="-1"/>
        </w:rPr>
        <w:t>估计的销售费用和相关税费后的金额确定其可变现净值；需要经过加工的存货，在正常生产经营</w:t>
      </w:r>
      <w:r>
        <w:rPr>
          <w:spacing w:val="-55"/>
        </w:rPr>
        <w:t> </w:t>
      </w:r>
      <w:r>
        <w:rPr>
          <w:spacing w:val="-55"/>
        </w:rPr>
      </w:r>
      <w:r>
        <w:rPr>
          <w:spacing w:val="-1"/>
        </w:rPr>
        <w:t>过程中以所生产的产成品的估计售价减去至完工时估计将要发生的成本、估计的销售费用和相关</w:t>
      </w:r>
      <w:r>
        <w:rPr>
          <w:spacing w:val="-55"/>
        </w:rPr>
        <w:t> </w:t>
      </w:r>
      <w:r>
        <w:rPr>
          <w:spacing w:val="-55"/>
        </w:rPr>
      </w:r>
      <w:r>
        <w:rPr>
          <w:spacing w:val="-1"/>
        </w:rPr>
        <w:t>税费后的金额确定其可变现净值；资产负债表日，同一项存货中一部分有合同价格约定、其他部</w:t>
      </w:r>
      <w:r>
        <w:rPr>
          <w:spacing w:val="-55"/>
        </w:rPr>
        <w:t> </w:t>
      </w:r>
      <w:r>
        <w:rPr>
          <w:spacing w:val="-55"/>
        </w:rPr>
      </w:r>
      <w:r>
        <w:rPr>
          <w:spacing w:val="-1"/>
        </w:rPr>
        <w:t>分不存在合同价格的，分别确定其可变现净值，并与其对应的成本进行比较，分别确定存货跌价</w:t>
      </w:r>
      <w:r>
        <w:rPr>
          <w:spacing w:val="-55"/>
        </w:rPr>
        <w:t> </w:t>
      </w:r>
      <w:r>
        <w:rPr>
          <w:spacing w:val="-55"/>
        </w:rPr>
      </w:r>
      <w:r>
        <w:rPr/>
        <w:t>准备的计提或转回的金额。</w:t>
      </w:r>
    </w:p>
    <w:p>
      <w:pPr>
        <w:pStyle w:val="BodyText"/>
        <w:spacing w:line="355" w:lineRule="auto" w:before="33"/>
        <w:ind w:left="638" w:right="4408"/>
        <w:jc w:val="left"/>
      </w:pPr>
      <w:r>
        <w:rPr>
          <w:rFonts w:ascii="宋体" w:hAnsi="宋体" w:cs="宋体" w:eastAsia="宋体" w:hint="default"/>
        </w:rPr>
        <w:t>4. </w:t>
      </w:r>
      <w:r>
        <w:rPr/>
        <w:t>存货的盘存制度</w:t>
      </w:r>
      <w:r>
        <w:rPr>
          <w:w w:val="100"/>
        </w:rPr>
        <w:t> </w:t>
      </w:r>
      <w:r>
        <w:rPr>
          <w:spacing w:val="-2"/>
        </w:rPr>
        <w:t>存货的盘存制度为永续盘存制。</w:t>
      </w:r>
    </w:p>
    <w:p>
      <w:pPr>
        <w:pStyle w:val="BodyText"/>
        <w:spacing w:line="240" w:lineRule="auto" w:before="32"/>
        <w:ind w:left="638" w:right="3084"/>
        <w:jc w:val="left"/>
      </w:pPr>
      <w:r>
        <w:rPr>
          <w:rFonts w:ascii="宋体" w:hAnsi="宋体" w:cs="宋体" w:eastAsia="宋体" w:hint="default"/>
        </w:rPr>
        <w:t>5.</w:t>
      </w:r>
      <w:r>
        <w:rPr>
          <w:rFonts w:ascii="宋体" w:hAnsi="宋体" w:cs="宋体" w:eastAsia="宋体" w:hint="default"/>
          <w:spacing w:val="-3"/>
        </w:rPr>
        <w:t> </w:t>
      </w:r>
      <w:r>
        <w:rPr/>
        <w:t>低值易耗品和包装物的摊销方法</w:t>
      </w:r>
    </w:p>
    <w:p>
      <w:pPr>
        <w:pStyle w:val="BodyText"/>
        <w:spacing w:line="357" w:lineRule="auto" w:before="133"/>
        <w:ind w:left="638" w:right="5857"/>
        <w:jc w:val="left"/>
      </w:pPr>
      <w:r>
        <w:rPr>
          <w:rFonts w:ascii="宋体" w:hAnsi="宋体" w:cs="宋体" w:eastAsia="宋体" w:hint="default"/>
        </w:rPr>
        <w:t>(1) </w:t>
      </w:r>
      <w:r>
        <w:rPr/>
        <w:t>低值易耗品</w:t>
      </w:r>
      <w:r>
        <w:rPr>
          <w:w w:val="100"/>
        </w:rPr>
        <w:t> </w:t>
      </w:r>
      <w:r>
        <w:rPr>
          <w:spacing w:val="-2"/>
        </w:rPr>
        <w:t>按照一次转销法进行摊销。</w:t>
      </w:r>
      <w:r>
        <w:rPr>
          <w:spacing w:val="-82"/>
        </w:rPr>
        <w:t> </w:t>
      </w:r>
      <w:r>
        <w:rPr>
          <w:spacing w:val="-82"/>
        </w:rPr>
      </w:r>
      <w:r>
        <w:rPr>
          <w:rFonts w:ascii="宋体" w:hAnsi="宋体" w:cs="宋体" w:eastAsia="宋体" w:hint="default"/>
        </w:rPr>
        <w:t>(2) </w:t>
      </w:r>
      <w:r>
        <w:rPr/>
        <w:t>包装物</w:t>
      </w:r>
      <w:r>
        <w:rPr>
          <w:spacing w:val="-103"/>
        </w:rPr>
        <w:t> </w:t>
      </w:r>
      <w:r>
        <w:rPr>
          <w:spacing w:val="-103"/>
        </w:rPr>
      </w:r>
      <w:r>
        <w:rPr>
          <w:spacing w:val="-2"/>
        </w:rPr>
        <w:t>按照一次转销法进行摊销。</w:t>
      </w:r>
    </w:p>
    <w:p>
      <w:pPr>
        <w:spacing w:line="240" w:lineRule="auto" w:before="5"/>
        <w:rPr>
          <w:rFonts w:ascii="宋体" w:hAnsi="宋体" w:cs="宋体" w:eastAsia="宋体" w:hint="default"/>
          <w:sz w:val="17"/>
          <w:szCs w:val="17"/>
        </w:rPr>
      </w:pPr>
    </w:p>
    <w:p>
      <w:pPr>
        <w:pStyle w:val="Heading2"/>
        <w:spacing w:line="240" w:lineRule="auto"/>
        <w:ind w:right="3084"/>
        <w:jc w:val="left"/>
        <w:rPr>
          <w:b w:val="0"/>
          <w:bCs w:val="0"/>
        </w:rPr>
      </w:pPr>
      <w:r>
        <w:rPr>
          <w:rFonts w:ascii="宋体" w:hAnsi="宋体" w:cs="宋体" w:eastAsia="宋体" w:hint="default"/>
        </w:rPr>
        <w:t>13.</w:t>
      </w:r>
      <w:r>
        <w:rPr>
          <w:rFonts w:ascii="宋体" w:hAnsi="宋体" w:cs="宋体" w:eastAsia="宋体" w:hint="default"/>
          <w:spacing w:val="3"/>
        </w:rPr>
        <w:t> </w:t>
      </w:r>
      <w:r>
        <w:rPr/>
        <w:t>持有待售资产</w:t>
      </w:r>
      <w:r>
        <w:rPr>
          <w:b w:val="0"/>
          <w:bCs w:val="0"/>
        </w:rPr>
      </w:r>
    </w:p>
    <w:p>
      <w:pPr>
        <w:pStyle w:val="BodyText"/>
        <w:spacing w:line="240" w:lineRule="auto" w:before="56"/>
        <w:ind w:left="218" w:right="3084"/>
        <w:jc w:val="left"/>
      </w:pPr>
      <w:r>
        <w:rPr/>
        <w:t>□适用</w:t>
      </w:r>
      <w:r>
        <w:rPr>
          <w:spacing w:val="-1"/>
        </w:rPr>
        <w:t> </w:t>
      </w:r>
      <w:r>
        <w:rPr/>
        <w:t>√不适用</w:t>
      </w:r>
    </w:p>
    <w:p>
      <w:pPr>
        <w:spacing w:after="0" w:line="240" w:lineRule="auto"/>
        <w:jc w:val="left"/>
        <w:sectPr>
          <w:footerReference w:type="default" r:id="rId46"/>
          <w:pgSz w:w="11910" w:h="16840"/>
          <w:pgMar w:footer="1195" w:header="882"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5"/>
        <w:ind w:right="3084"/>
        <w:jc w:val="left"/>
        <w:rPr>
          <w:b w:val="0"/>
          <w:bCs w:val="0"/>
        </w:rPr>
      </w:pPr>
      <w:r>
        <w:rPr>
          <w:rFonts w:ascii="宋体" w:hAnsi="宋体" w:cs="宋体" w:eastAsia="宋体" w:hint="default"/>
        </w:rPr>
        <w:t>14.</w:t>
      </w:r>
      <w:r>
        <w:rPr>
          <w:rFonts w:ascii="宋体" w:hAnsi="宋体" w:cs="宋体" w:eastAsia="宋体" w:hint="default"/>
          <w:spacing w:val="3"/>
        </w:rPr>
        <w:t> </w:t>
      </w:r>
      <w:r>
        <w:rPr/>
        <w:t>长期股权投资</w:t>
      </w:r>
      <w:r>
        <w:rPr>
          <w:b w:val="0"/>
          <w:bCs w:val="0"/>
        </w:rPr>
      </w:r>
    </w:p>
    <w:p>
      <w:pPr>
        <w:pStyle w:val="BodyText"/>
        <w:spacing w:line="240" w:lineRule="auto" w:before="56"/>
        <w:ind w:left="218" w:right="308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90" w:lineRule="auto" w:before="0"/>
        <w:ind w:left="218" w:right="7357" w:firstLine="0"/>
        <w:jc w:val="left"/>
        <w:rPr>
          <w:rFonts w:ascii="宋体" w:hAnsi="宋体" w:cs="宋体" w:eastAsia="宋体" w:hint="default"/>
          <w:sz w:val="21"/>
          <w:szCs w:val="21"/>
        </w:rPr>
      </w:pPr>
      <w:r>
        <w:rPr>
          <w:rFonts w:ascii="宋体" w:hAnsi="宋体" w:cs="宋体" w:eastAsia="宋体" w:hint="default"/>
          <w:b/>
          <w:bCs/>
          <w:sz w:val="21"/>
          <w:szCs w:val="21"/>
        </w:rPr>
        <w:t>15.</w:t>
      </w:r>
      <w:r>
        <w:rPr>
          <w:rFonts w:ascii="宋体" w:hAnsi="宋体" w:cs="宋体" w:eastAsia="宋体" w:hint="default"/>
          <w:b/>
          <w:bCs/>
          <w:spacing w:val="3"/>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spacing w:line="240" w:lineRule="auto" w:before="11"/>
        <w:rPr>
          <w:rFonts w:ascii="宋体" w:hAnsi="宋体" w:cs="宋体" w:eastAsia="宋体" w:hint="default"/>
          <w:sz w:val="21"/>
          <w:szCs w:val="21"/>
        </w:rPr>
      </w:pPr>
    </w:p>
    <w:p>
      <w:pPr>
        <w:pStyle w:val="Heading2"/>
        <w:spacing w:line="290" w:lineRule="auto"/>
        <w:ind w:right="7779"/>
        <w:jc w:val="left"/>
        <w:rPr>
          <w:b w:val="0"/>
          <w:bCs w:val="0"/>
        </w:rPr>
      </w:pPr>
      <w:r>
        <w:rPr>
          <w:rFonts w:ascii="宋体" w:hAnsi="宋体" w:cs="宋体" w:eastAsia="宋体" w:hint="default"/>
        </w:rPr>
        <w:t>16.</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272" w:lineRule="exact" w:before="42"/>
        <w:ind w:left="638" w:right="227" w:hanging="420"/>
        <w:jc w:val="left"/>
      </w:pPr>
      <w:r>
        <w:rPr/>
        <w:t>√适用</w:t>
      </w:r>
      <w:r>
        <w:rPr>
          <w:spacing w:val="-2"/>
        </w:rPr>
        <w:t> </w:t>
      </w:r>
      <w:r>
        <w:rPr/>
        <w:t>□不适用</w:t>
      </w:r>
      <w:r>
        <w:rPr>
          <w:w w:val="100"/>
        </w:rPr>
        <w:t> </w:t>
      </w:r>
      <w:r>
        <w:rPr>
          <w:spacing w:val="-2"/>
        </w:rPr>
        <w:t>固定资产是指为生产商品、提供劳务、出租或经营管理而持有的，使用年限超过一个会计年</w:t>
      </w:r>
    </w:p>
    <w:p>
      <w:pPr>
        <w:pStyle w:val="BodyText"/>
        <w:spacing w:line="249" w:lineRule="exact"/>
        <w:ind w:left="218" w:right="227"/>
        <w:jc w:val="left"/>
      </w:pPr>
      <w:r>
        <w:rPr/>
        <w:t>度的有形资产。固定资产在同时满足经济利益很可能流入、成本能够可靠计量时予以确认。</w:t>
      </w:r>
    </w:p>
    <w:p>
      <w:pPr>
        <w:spacing w:line="240" w:lineRule="auto" w:before="3"/>
        <w:rPr>
          <w:rFonts w:ascii="宋体" w:hAnsi="宋体" w:cs="宋体" w:eastAsia="宋体" w:hint="default"/>
          <w:sz w:val="25"/>
          <w:szCs w:val="25"/>
        </w:rPr>
      </w:pPr>
    </w:p>
    <w:p>
      <w:pPr>
        <w:pStyle w:val="Heading2"/>
        <w:spacing w:line="240" w:lineRule="auto"/>
        <w:ind w:right="3084"/>
        <w:jc w:val="left"/>
        <w:rPr>
          <w:b w:val="0"/>
          <w:bCs w:val="0"/>
        </w:rPr>
      </w:pPr>
      <w:r>
        <w:rPr>
          <w:rFonts w:ascii="宋体" w:hAnsi="宋体" w:cs="宋体" w:eastAsia="宋体" w:hint="default"/>
        </w:rPr>
        <w:t>(2).</w:t>
      </w:r>
      <w:r>
        <w:rPr/>
        <w:t>折旧方法</w:t>
      </w:r>
      <w:r>
        <w:rPr>
          <w:b w:val="0"/>
          <w:bCs w:val="0"/>
        </w:rPr>
      </w:r>
    </w:p>
    <w:p>
      <w:pPr>
        <w:pStyle w:val="BodyText"/>
        <w:spacing w:line="240" w:lineRule="auto" w:before="56"/>
        <w:ind w:left="218" w:right="3084"/>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4"/>
        <w:gridCol w:w="1831"/>
      </w:tblGrid>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残值率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w:t>
            </w:r>
            <w:r>
              <w:rPr>
                <w:rFonts w:ascii="宋体" w:hAnsi="宋体" w:cs="宋体" w:eastAsia="宋体" w:hint="default"/>
                <w:sz w:val="21"/>
                <w:szCs w:val="21"/>
              </w:rPr>
              <w:t>35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2.71%</w:t>
            </w:r>
            <w:r>
              <w:rPr>
                <w:rFonts w:ascii="宋体" w:hAnsi="宋体" w:cs="宋体" w:eastAsia="宋体" w:hint="default"/>
                <w:spacing w:val="-1"/>
                <w:sz w:val="21"/>
                <w:szCs w:val="21"/>
              </w:rPr>
              <w:t>、</w:t>
            </w:r>
            <w:r>
              <w:rPr>
                <w:rFonts w:ascii="宋体" w:hAnsi="宋体" w:cs="宋体" w:eastAsia="宋体" w:hint="default"/>
                <w:spacing w:val="-1"/>
                <w:sz w:val="21"/>
                <w:szCs w:val="21"/>
              </w:rPr>
              <w:t>9.50%</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19.00%</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19.00%</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19.00%</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运营设备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19.00%</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19.00%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before="36"/>
        <w:ind w:right="3084"/>
        <w:jc w:val="left"/>
        <w:rPr>
          <w:b w:val="0"/>
          <w:bCs w:val="0"/>
        </w:rPr>
      </w:pPr>
      <w:r>
        <w:rPr>
          <w:rFonts w:ascii="宋体" w:hAnsi="宋体" w:cs="宋体" w:eastAsia="宋体" w:hint="default"/>
        </w:rPr>
        <w:t>(3).</w:t>
      </w:r>
      <w:r>
        <w:rPr/>
        <w:t>融资租入固定资产的认定依据、计价和折旧方法</w:t>
      </w:r>
      <w:r>
        <w:rPr>
          <w:b w:val="0"/>
          <w:bCs w:val="0"/>
        </w:rPr>
      </w:r>
    </w:p>
    <w:p>
      <w:pPr>
        <w:pStyle w:val="BodyText"/>
        <w:spacing w:line="240" w:lineRule="auto" w:before="58"/>
        <w:ind w:left="218" w:right="308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3084"/>
        <w:jc w:val="left"/>
        <w:rPr>
          <w:b w:val="0"/>
          <w:bCs w:val="0"/>
        </w:rPr>
      </w:pPr>
      <w:r>
        <w:rPr>
          <w:rFonts w:ascii="宋体" w:hAnsi="宋体" w:cs="宋体" w:eastAsia="宋体" w:hint="default"/>
        </w:rPr>
        <w:t>17.</w:t>
      </w:r>
      <w:r>
        <w:rPr>
          <w:rFonts w:ascii="宋体" w:hAnsi="宋体" w:cs="宋体" w:eastAsia="宋体" w:hint="default"/>
          <w:spacing w:val="2"/>
        </w:rPr>
        <w:t> </w:t>
      </w:r>
      <w:r>
        <w:rPr/>
        <w:t>在建工程</w:t>
      </w:r>
      <w:r>
        <w:rPr>
          <w:b w:val="0"/>
          <w:bCs w:val="0"/>
        </w:rPr>
      </w:r>
    </w:p>
    <w:p>
      <w:pPr>
        <w:pStyle w:val="BodyText"/>
        <w:spacing w:line="274" w:lineRule="exact" w:before="56"/>
        <w:ind w:left="218" w:right="3084"/>
        <w:jc w:val="left"/>
      </w:pPr>
      <w:r>
        <w:rPr/>
        <w:t>√适用</w:t>
      </w:r>
      <w:r>
        <w:rPr>
          <w:spacing w:val="-1"/>
        </w:rPr>
        <w:t> </w:t>
      </w:r>
      <w:r>
        <w:rPr/>
        <w:t>□不适用</w:t>
      </w:r>
    </w:p>
    <w:p>
      <w:pPr>
        <w:pStyle w:val="BodyText"/>
        <w:spacing w:line="272" w:lineRule="exact" w:before="27"/>
        <w:ind w:left="218" w:right="227"/>
        <w:jc w:val="left"/>
      </w:pPr>
      <w:r>
        <w:rPr>
          <w:spacing w:val="-4"/>
        </w:rPr>
        <w:t>（</w:t>
      </w:r>
      <w:r>
        <w:rPr>
          <w:rFonts w:ascii="宋体" w:hAnsi="宋体" w:cs="宋体" w:eastAsia="宋体" w:hint="default"/>
          <w:spacing w:val="-4"/>
        </w:rPr>
        <w:t>1</w:t>
      </w:r>
      <w:r>
        <w:rPr>
          <w:spacing w:val="-4"/>
        </w:rPr>
        <w:t>）在建工程同时满足经济利益很可能流入、成本能够可靠计量则予以确认。在建工程按建造该</w:t>
      </w:r>
      <w:r>
        <w:rPr>
          <w:spacing w:val="-34"/>
        </w:rPr>
        <w:t> </w:t>
      </w:r>
      <w:r>
        <w:rPr>
          <w:spacing w:val="-34"/>
        </w:rPr>
      </w:r>
      <w:r>
        <w:rPr/>
        <w:t>项资产达到预定可使用状态前所发生的实际成本计量。</w:t>
      </w:r>
    </w:p>
    <w:p>
      <w:pPr>
        <w:pStyle w:val="BodyText"/>
        <w:spacing w:line="272" w:lineRule="exact" w:before="1"/>
        <w:ind w:left="218" w:right="227"/>
        <w:jc w:val="left"/>
      </w:pPr>
      <w:r>
        <w:rPr>
          <w:spacing w:val="-4"/>
        </w:rPr>
        <w:t>（</w:t>
      </w:r>
      <w:r>
        <w:rPr>
          <w:rFonts w:ascii="宋体" w:hAnsi="宋体" w:cs="宋体" w:eastAsia="宋体" w:hint="default"/>
          <w:spacing w:val="-4"/>
        </w:rPr>
        <w:t>2</w:t>
      </w:r>
      <w:r>
        <w:rPr>
          <w:spacing w:val="-4"/>
        </w:rPr>
        <w:t>）在建工程达到预定可使用状态时，按工程实际成本转入固定资产。已达到预定可使用状态但</w:t>
      </w:r>
      <w:r>
        <w:rPr>
          <w:spacing w:val="-34"/>
        </w:rPr>
        <w:t> </w:t>
      </w:r>
      <w:r>
        <w:rPr>
          <w:spacing w:val="-34"/>
        </w:rPr>
      </w:r>
      <w:r>
        <w:rPr>
          <w:spacing w:val="-2"/>
        </w:rPr>
        <w:t>尚未办理竣工决算的，先按估计价值转入固定资产，待办理竣工决算后再按实际成本调整原暂估</w:t>
      </w:r>
    </w:p>
    <w:p>
      <w:pPr>
        <w:pStyle w:val="BodyText"/>
        <w:spacing w:line="247" w:lineRule="exact"/>
        <w:ind w:left="218" w:right="3084"/>
        <w:jc w:val="left"/>
      </w:pPr>
      <w:r>
        <w:rPr/>
        <w:t>价值，但不再调整原已计提的折旧。</w:t>
      </w:r>
    </w:p>
    <w:p>
      <w:pPr>
        <w:spacing w:line="240" w:lineRule="auto" w:before="3"/>
        <w:rPr>
          <w:rFonts w:ascii="宋体" w:hAnsi="宋体" w:cs="宋体" w:eastAsia="宋体" w:hint="default"/>
          <w:sz w:val="25"/>
          <w:szCs w:val="25"/>
        </w:rPr>
      </w:pPr>
    </w:p>
    <w:p>
      <w:pPr>
        <w:pStyle w:val="Heading2"/>
        <w:spacing w:line="240" w:lineRule="auto"/>
        <w:ind w:right="3084"/>
        <w:jc w:val="left"/>
        <w:rPr>
          <w:b w:val="0"/>
          <w:bCs w:val="0"/>
        </w:rPr>
      </w:pPr>
      <w:r>
        <w:rPr>
          <w:rFonts w:ascii="宋体" w:hAnsi="宋体" w:cs="宋体" w:eastAsia="宋体" w:hint="default"/>
        </w:rPr>
        <w:t>18.</w:t>
      </w:r>
      <w:r>
        <w:rPr>
          <w:rFonts w:ascii="宋体" w:hAnsi="宋体" w:cs="宋体" w:eastAsia="宋体" w:hint="default"/>
          <w:spacing w:val="2"/>
        </w:rPr>
        <w:t> </w:t>
      </w:r>
      <w:r>
        <w:rPr/>
        <w:t>借款费用</w:t>
      </w:r>
      <w:r>
        <w:rPr>
          <w:b w:val="0"/>
          <w:bCs w:val="0"/>
        </w:rPr>
      </w:r>
    </w:p>
    <w:p>
      <w:pPr>
        <w:pStyle w:val="BodyText"/>
        <w:spacing w:line="273" w:lineRule="exact" w:before="58"/>
        <w:ind w:left="218" w:right="3084"/>
        <w:jc w:val="left"/>
      </w:pPr>
      <w:r>
        <w:rPr/>
        <w:t>√适用</w:t>
      </w:r>
      <w:r>
        <w:rPr>
          <w:spacing w:val="-1"/>
        </w:rPr>
        <w:t> </w:t>
      </w:r>
      <w:r>
        <w:rPr/>
        <w:t>□不适用</w:t>
      </w:r>
    </w:p>
    <w:p>
      <w:pPr>
        <w:pStyle w:val="BodyText"/>
        <w:spacing w:line="240" w:lineRule="auto"/>
        <w:ind w:left="638" w:right="227" w:hanging="420"/>
        <w:jc w:val="left"/>
      </w:pPr>
      <w:r>
        <w:rPr/>
        <w:t>（</w:t>
      </w:r>
      <w:r>
        <w:rPr>
          <w:rFonts w:ascii="宋体" w:hAnsi="宋体" w:cs="宋体" w:eastAsia="宋体" w:hint="default"/>
        </w:rPr>
        <w:t>1</w:t>
      </w:r>
      <w:r>
        <w:rPr/>
        <w:t>）借款费用资本化的确认原则</w:t>
      </w:r>
      <w:r>
        <w:rPr>
          <w:w w:val="100"/>
        </w:rPr>
        <w:t> </w:t>
      </w:r>
      <w:r>
        <w:rPr>
          <w:spacing w:val="-7"/>
          <w:w w:val="100"/>
        </w:rPr>
        <w:t>公司发生的借款费用，可直接归属于符合资本化条件的资产的购建或者生产的，予以资本化，</w:t>
      </w:r>
    </w:p>
    <w:p>
      <w:pPr>
        <w:pStyle w:val="BodyText"/>
        <w:spacing w:line="271" w:lineRule="exact"/>
        <w:ind w:left="218" w:right="227"/>
        <w:jc w:val="left"/>
      </w:pPr>
      <w:r>
        <w:rPr/>
        <w:t>计入相关资产成本；其他借款费用，在发生时确认为费用，计入当期损益。</w:t>
      </w:r>
    </w:p>
    <w:p>
      <w:pPr>
        <w:pStyle w:val="BodyText"/>
        <w:spacing w:line="272" w:lineRule="exact"/>
        <w:ind w:left="218" w:right="3084"/>
        <w:jc w:val="left"/>
      </w:pPr>
      <w:r>
        <w:rPr/>
        <w:t>（</w:t>
      </w:r>
      <w:r>
        <w:rPr>
          <w:rFonts w:ascii="宋体" w:hAnsi="宋体" w:cs="宋体" w:eastAsia="宋体" w:hint="default"/>
        </w:rPr>
        <w:t>2</w:t>
      </w:r>
      <w:r>
        <w:rPr/>
        <w:t>）借款费用资本化期间</w:t>
      </w:r>
    </w:p>
    <w:p>
      <w:pPr>
        <w:pStyle w:val="BodyText"/>
        <w:spacing w:line="240" w:lineRule="auto"/>
        <w:ind w:left="218" w:right="242" w:firstLine="419"/>
        <w:jc w:val="both"/>
      </w:pPr>
      <w:r>
        <w:rPr/>
        <w:t>当借款费用同时满足下列条件时，开始资本化：</w:t>
      </w:r>
      <w:r>
        <w:rPr>
          <w:rFonts w:ascii="宋体" w:hAnsi="宋体" w:cs="宋体" w:eastAsia="宋体" w:hint="default"/>
        </w:rPr>
        <w:t>1) </w:t>
      </w:r>
      <w:r>
        <w:rPr/>
        <w:t>资产支出已经发生；</w:t>
      </w:r>
      <w:r>
        <w:rPr>
          <w:rFonts w:ascii="宋体" w:hAnsi="宋体" w:cs="宋体" w:eastAsia="宋体" w:hint="default"/>
        </w:rPr>
        <w:t>2)</w:t>
      </w:r>
      <w:r>
        <w:rPr>
          <w:rFonts w:ascii="宋体" w:hAnsi="宋体" w:cs="宋体" w:eastAsia="宋体" w:hint="default"/>
          <w:spacing w:val="-8"/>
        </w:rPr>
        <w:t> </w:t>
      </w:r>
      <w:r>
        <w:rPr/>
        <w:t>借款费用已经发</w:t>
      </w:r>
      <w:r>
        <w:rPr>
          <w:w w:val="100"/>
        </w:rPr>
        <w:t> </w:t>
      </w:r>
      <w:r>
        <w:rPr/>
        <w:t>生；</w:t>
      </w:r>
      <w:r>
        <w:rPr>
          <w:rFonts w:ascii="宋体" w:hAnsi="宋体" w:cs="宋体" w:eastAsia="宋体" w:hint="default"/>
        </w:rPr>
        <w:t>3)</w:t>
      </w:r>
      <w:r>
        <w:rPr>
          <w:rFonts w:ascii="宋体" w:hAnsi="宋体" w:cs="宋体" w:eastAsia="宋体" w:hint="default"/>
          <w:spacing w:val="-7"/>
        </w:rPr>
        <w:t> </w:t>
      </w:r>
      <w:r>
        <w:rPr/>
        <w:t>为使资产达到预定可使用或可销售状态所必要的购建或者生产活动已经开始。</w:t>
      </w:r>
    </w:p>
    <w:p>
      <w:pPr>
        <w:pStyle w:val="BodyText"/>
        <w:spacing w:line="237" w:lineRule="auto"/>
        <w:ind w:left="218" w:right="237" w:firstLine="419"/>
        <w:jc w:val="both"/>
      </w:pPr>
      <w:r>
        <w:rPr/>
        <w:t>若符合资本化条件的资产在购建或者生产过程中发生非正常中断，并且中断时间连续超过</w:t>
      </w:r>
      <w:r>
        <w:rPr>
          <w:spacing w:val="-54"/>
        </w:rPr>
        <w:t> </w:t>
      </w:r>
      <w:r>
        <w:rPr>
          <w:rFonts w:ascii="宋体" w:hAnsi="宋体" w:cs="宋体" w:eastAsia="宋体" w:hint="default"/>
        </w:rPr>
        <w:t>3</w:t>
      </w:r>
      <w:r>
        <w:rPr>
          <w:rFonts w:ascii="宋体" w:hAnsi="宋体" w:cs="宋体" w:eastAsia="宋体" w:hint="default"/>
          <w:w w:val="100"/>
        </w:rPr>
        <w:t> </w:t>
      </w:r>
      <w:r>
        <w:rPr>
          <w:spacing w:val="-2"/>
        </w:rPr>
        <w:t>个月，暂停借款费用的资本化；中断期间发生的借款费用确认为当期费用，直至资产的购建或者</w:t>
      </w:r>
      <w:r>
        <w:rPr>
          <w:spacing w:val="-25"/>
        </w:rPr>
        <w:t> </w:t>
      </w:r>
      <w:r>
        <w:rPr>
          <w:spacing w:val="-25"/>
        </w:rPr>
      </w:r>
      <w:r>
        <w:rPr/>
        <w:t>生产活动重新开始。</w:t>
      </w:r>
    </w:p>
    <w:p>
      <w:pPr>
        <w:spacing w:after="0" w:line="237" w:lineRule="auto"/>
        <w:jc w:val="both"/>
        <w:sectPr>
          <w:footerReference w:type="default" r:id="rId47"/>
          <w:pgSz w:w="11910" w:h="16840"/>
          <w:pgMar w:footer="1195" w:header="882" w:top="1120" w:bottom="1380" w:left="1580" w:right="1040"/>
          <w:pgNumType w:start="81"/>
        </w:sectPr>
      </w:pPr>
    </w:p>
    <w:p>
      <w:pPr>
        <w:spacing w:line="240" w:lineRule="auto" w:before="1"/>
        <w:rPr>
          <w:rFonts w:ascii="宋体" w:hAnsi="宋体" w:cs="宋体" w:eastAsia="宋体" w:hint="default"/>
          <w:sz w:val="25"/>
          <w:szCs w:val="25"/>
        </w:rPr>
      </w:pPr>
    </w:p>
    <w:p>
      <w:pPr>
        <w:pStyle w:val="BodyText"/>
        <w:spacing w:line="240" w:lineRule="auto" w:before="36"/>
        <w:ind w:right="0" w:firstLine="419"/>
        <w:jc w:val="left"/>
      </w:pPr>
      <w:r>
        <w:rPr>
          <w:spacing w:val="-2"/>
        </w:rPr>
        <w:t>当所购建或者生产符合资本化条件的资产达到预定可使用或可销售状态时，借款费用停止资</w:t>
      </w:r>
      <w:r>
        <w:rPr>
          <w:w w:val="100"/>
        </w:rPr>
        <w:t> </w:t>
      </w:r>
      <w:r>
        <w:rPr/>
        <w:t>本化。</w:t>
      </w:r>
    </w:p>
    <w:p>
      <w:pPr>
        <w:pStyle w:val="BodyText"/>
        <w:spacing w:line="274" w:lineRule="exact" w:before="22"/>
        <w:ind w:left="558" w:right="0" w:hanging="420"/>
        <w:jc w:val="left"/>
      </w:pPr>
      <w:r>
        <w:rPr/>
        <w:t>（</w:t>
      </w:r>
      <w:r>
        <w:rPr>
          <w:rFonts w:ascii="宋体" w:hAnsi="宋体" w:cs="宋体" w:eastAsia="宋体" w:hint="default"/>
        </w:rPr>
        <w:t>3</w:t>
      </w:r>
      <w:r>
        <w:rPr/>
        <w:t>）借款费用资本化率以及资本化金额</w:t>
      </w:r>
      <w:r>
        <w:rPr>
          <w:w w:val="100"/>
        </w:rPr>
        <w:t> </w:t>
      </w:r>
      <w:r>
        <w:rPr>
          <w:spacing w:val="-2"/>
        </w:rPr>
        <w:t>为购建或者生产符合资本化条件的资产而借入专门借款的，以专门借款当期实际发生的利息</w:t>
      </w:r>
    </w:p>
    <w:p>
      <w:pPr>
        <w:pStyle w:val="BodyText"/>
        <w:spacing w:line="245" w:lineRule="exact"/>
        <w:ind w:right="0"/>
        <w:jc w:val="left"/>
      </w:pPr>
      <w:r>
        <w:rPr/>
        <w:t>费用（包括按照实际利率法确定的折价或溢价的摊销），减去将尚未动用的借款资金存入银行取</w:t>
      </w:r>
    </w:p>
    <w:p>
      <w:pPr>
        <w:pStyle w:val="BodyText"/>
        <w:spacing w:line="237" w:lineRule="auto" w:before="2"/>
        <w:ind w:right="137"/>
        <w:jc w:val="both"/>
      </w:pPr>
      <w:r>
        <w:rPr>
          <w:spacing w:val="-2"/>
        </w:rPr>
        <w:t>得的利息收入或进行暂时性投资取得的投资收益后的金额，确定应予资本化的利息金额；为购建</w:t>
      </w:r>
      <w:r>
        <w:rPr>
          <w:spacing w:val="-25"/>
        </w:rPr>
        <w:t> </w:t>
      </w:r>
      <w:r>
        <w:rPr>
          <w:spacing w:val="-25"/>
        </w:rPr>
      </w:r>
      <w:r>
        <w:rPr>
          <w:spacing w:val="-2"/>
        </w:rPr>
        <w:t>或者生产符合资本化条件的资产占用了一般借款的，根据累计资产支出超过专门借款的资产支出</w:t>
      </w:r>
      <w:r>
        <w:rPr>
          <w:spacing w:val="-25"/>
        </w:rPr>
        <w:t> </w:t>
      </w:r>
      <w:r>
        <w:rPr>
          <w:spacing w:val="-25"/>
        </w:rPr>
      </w:r>
      <w:r>
        <w:rPr/>
        <w:t>加权平均数乘以占用一般借款的资本化率，计算确定一般借款应予资本化的利息金额。</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19.</w:t>
      </w:r>
      <w:r>
        <w:rPr>
          <w:rFonts w:ascii="宋体" w:hAnsi="宋体" w:cs="宋体" w:eastAsia="宋体" w:hint="default"/>
          <w:spacing w:val="2"/>
        </w:rPr>
        <w:t> </w:t>
      </w:r>
      <w:r>
        <w:rPr/>
        <w:t>生物资产</w:t>
      </w:r>
      <w:r>
        <w:rPr>
          <w:b w:val="0"/>
          <w:bCs w:val="0"/>
        </w:rPr>
      </w:r>
    </w:p>
    <w:p>
      <w:pPr>
        <w:pStyle w:val="BodyText"/>
        <w:spacing w:line="240" w:lineRule="auto" w:before="56"/>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20.</w:t>
      </w:r>
      <w:r>
        <w:rPr>
          <w:rFonts w:ascii="宋体" w:hAnsi="宋体" w:cs="宋体" w:eastAsia="宋体" w:hint="default"/>
          <w:spacing w:val="2"/>
        </w:rPr>
        <w:t> </w:t>
      </w:r>
      <w:r>
        <w:rPr/>
        <w:t>油气资产</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21.</w:t>
      </w:r>
      <w:r>
        <w:rPr>
          <w:rFonts w:ascii="宋体" w:hAnsi="宋体" w:cs="宋体" w:eastAsia="宋体" w:hint="default"/>
          <w:spacing w:val="2"/>
        </w:rPr>
        <w:t> </w:t>
      </w:r>
      <w:r>
        <w:rPr/>
        <w:t>无形资产</w:t>
      </w:r>
      <w:r>
        <w:rPr>
          <w:b w:val="0"/>
          <w:bCs w:val="0"/>
        </w:rPr>
      </w:r>
    </w:p>
    <w:p>
      <w:pPr>
        <w:pStyle w:val="Heading2"/>
        <w:spacing w:line="240" w:lineRule="auto" w:before="56"/>
        <w:ind w:left="138" w:right="0"/>
        <w:jc w:val="left"/>
        <w:rPr>
          <w:b w:val="0"/>
          <w:bCs w:val="0"/>
        </w:rPr>
      </w:pPr>
      <w:r>
        <w:rPr>
          <w:rFonts w:ascii="宋体" w:hAnsi="宋体" w:cs="宋体" w:eastAsia="宋体" w:hint="default"/>
        </w:rPr>
        <w:t>(1).</w:t>
      </w:r>
      <w:r>
        <w:rPr>
          <w:rFonts w:ascii="宋体" w:hAnsi="宋体" w:cs="宋体" w:eastAsia="宋体" w:hint="default"/>
          <w:spacing w:val="-82"/>
        </w:rPr>
        <w:t> </w:t>
      </w:r>
      <w:r>
        <w:rPr/>
        <w:t>计价方法、使用寿命、减值测试</w:t>
      </w:r>
      <w:r>
        <w:rPr>
          <w:b w:val="0"/>
          <w:bCs w:val="0"/>
        </w:rPr>
      </w:r>
    </w:p>
    <w:p>
      <w:pPr>
        <w:pStyle w:val="BodyText"/>
        <w:spacing w:line="272" w:lineRule="exact" w:before="86"/>
        <w:ind w:left="558" w:right="2007" w:hanging="420"/>
        <w:jc w:val="left"/>
      </w:pPr>
      <w:r>
        <w:rPr/>
        <w:t>√适用</w:t>
      </w:r>
      <w:r>
        <w:rPr>
          <w:spacing w:val="-2"/>
        </w:rPr>
        <w:t> </w:t>
      </w:r>
      <w:r>
        <w:rPr/>
        <w:t>□不适用</w:t>
      </w:r>
      <w:r>
        <w:rPr>
          <w:w w:val="100"/>
        </w:rPr>
        <w:t> </w:t>
      </w:r>
      <w:r>
        <w:rPr>
          <w:spacing w:val="-2"/>
        </w:rPr>
        <w:t>无形资产包括土地使用权、软件等，按成本进行初始计量。</w:t>
      </w:r>
    </w:p>
    <w:p>
      <w:pPr>
        <w:pStyle w:val="BodyText"/>
        <w:spacing w:line="246" w:lineRule="exact"/>
        <w:ind w:left="558" w:right="0"/>
        <w:jc w:val="left"/>
      </w:pPr>
      <w:r>
        <w:rPr/>
        <w:t>使用寿命有限的无形资产，在使用寿命内按照与该项无形资产有关的经济利益的预期实现方</w:t>
      </w:r>
    </w:p>
    <w:p>
      <w:pPr>
        <w:pStyle w:val="BodyText"/>
        <w:spacing w:line="274" w:lineRule="exact"/>
        <w:ind w:right="0"/>
        <w:jc w:val="left"/>
      </w:pPr>
      <w:r>
        <w:rPr/>
        <w:t>式系统合理地摊销，无法可靠确定预期实现方式的，采用直线法摊销。具体年限如下：</w:t>
      </w:r>
    </w:p>
    <w:p>
      <w:pPr>
        <w:spacing w:line="240" w:lineRule="auto" w:before="4"/>
        <w:rPr>
          <w:rFonts w:ascii="宋体" w:hAnsi="宋体" w:cs="宋体" w:eastAsia="宋体" w:hint="default"/>
          <w:sz w:val="2"/>
          <w:szCs w:val="2"/>
        </w:rPr>
      </w:pPr>
    </w:p>
    <w:tbl>
      <w:tblPr>
        <w:tblW w:w="0" w:type="auto"/>
        <w:jc w:val="left"/>
        <w:tblInd w:w="236" w:type="dxa"/>
        <w:tblLayout w:type="fixed"/>
        <w:tblCellMar>
          <w:top w:w="0" w:type="dxa"/>
          <w:left w:w="0" w:type="dxa"/>
          <w:bottom w:w="0" w:type="dxa"/>
          <w:right w:w="0" w:type="dxa"/>
        </w:tblCellMar>
        <w:tblLook w:val="01E0"/>
      </w:tblPr>
      <w:tblGrid>
        <w:gridCol w:w="4153"/>
        <w:gridCol w:w="4155"/>
      </w:tblGrid>
      <w:tr>
        <w:trPr>
          <w:trHeight w:val="283"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1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摊销年限</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w:t>
            </w:r>
          </w:p>
        </w:tc>
      </w:tr>
      <w:tr>
        <w:trPr>
          <w:trHeight w:val="284"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4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50</w:t>
            </w:r>
          </w:p>
        </w:tc>
      </w:tr>
      <w:tr>
        <w:trPr>
          <w:trHeight w:val="283"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4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w:t>
            </w:r>
            <w:r>
              <w:rPr>
                <w:rFonts w:ascii="宋体" w:hAnsi="宋体" w:cs="宋体" w:eastAsia="宋体" w:hint="default"/>
                <w:spacing w:val="-1"/>
                <w:sz w:val="21"/>
                <w:szCs w:val="21"/>
              </w:rPr>
              <w:t>5</w:t>
            </w:r>
            <w:r>
              <w:rPr>
                <w:rFonts w:ascii="宋体" w:hAnsi="宋体" w:cs="宋体" w:eastAsia="宋体" w:hint="default"/>
                <w:spacing w:val="-1"/>
                <w:sz w:val="21"/>
                <w:szCs w:val="21"/>
              </w:rPr>
              <w:t>、</w:t>
            </w:r>
            <w:r>
              <w:rPr>
                <w:rFonts w:ascii="宋体" w:hAnsi="宋体" w:cs="宋体" w:eastAsia="宋体" w:hint="default"/>
                <w:spacing w:val="-1"/>
                <w:sz w:val="21"/>
                <w:szCs w:val="21"/>
              </w:rPr>
              <w:t>10</w:t>
            </w:r>
          </w:p>
        </w:tc>
      </w:tr>
    </w:tbl>
    <w:p>
      <w:pPr>
        <w:spacing w:line="240" w:lineRule="auto" w:before="12"/>
        <w:rPr>
          <w:rFonts w:ascii="宋体" w:hAnsi="宋体" w:cs="宋体" w:eastAsia="宋体" w:hint="default"/>
          <w:sz w:val="19"/>
          <w:szCs w:val="19"/>
        </w:rPr>
      </w:pPr>
    </w:p>
    <w:p>
      <w:pPr>
        <w:pStyle w:val="Heading2"/>
        <w:spacing w:line="240" w:lineRule="auto" w:before="36"/>
        <w:ind w:left="138" w:right="0"/>
        <w:jc w:val="left"/>
        <w:rPr>
          <w:b w:val="0"/>
          <w:bCs w:val="0"/>
        </w:rPr>
      </w:pPr>
      <w:r>
        <w:rPr>
          <w:rFonts w:ascii="宋体" w:hAnsi="宋体" w:cs="宋体" w:eastAsia="宋体" w:hint="default"/>
        </w:rPr>
        <w:t>(2).</w:t>
      </w:r>
      <w:r>
        <w:rPr>
          <w:rFonts w:ascii="宋体" w:hAnsi="宋体" w:cs="宋体" w:eastAsia="宋体" w:hint="default"/>
          <w:spacing w:val="-83"/>
        </w:rPr>
        <w:t> </w:t>
      </w:r>
      <w:r>
        <w:rPr/>
        <w:t>内部研究开发支出会计政策</w:t>
      </w:r>
      <w:r>
        <w:rPr>
          <w:b w:val="0"/>
          <w:bCs w:val="0"/>
        </w:rPr>
      </w:r>
    </w:p>
    <w:p>
      <w:pPr>
        <w:pStyle w:val="BodyText"/>
        <w:spacing w:line="240" w:lineRule="auto" w:before="56"/>
        <w:ind w:left="558" w:right="0" w:hanging="420"/>
        <w:jc w:val="left"/>
      </w:pPr>
      <w:r>
        <w:rPr/>
        <w:t>√适用</w:t>
      </w:r>
      <w:r>
        <w:rPr>
          <w:spacing w:val="-2"/>
        </w:rPr>
        <w:t> </w:t>
      </w:r>
      <w:r>
        <w:rPr/>
        <w:t>□不适用</w:t>
      </w:r>
      <w:r>
        <w:rPr>
          <w:w w:val="100"/>
        </w:rPr>
        <w:t> </w:t>
      </w:r>
      <w:r>
        <w:rPr>
          <w:spacing w:val="-2"/>
        </w:rPr>
        <w:t>内部研究开发项目研究阶段的支出，于发生时计入当期损益。内部研究开发项目开发阶段的</w:t>
      </w:r>
    </w:p>
    <w:p>
      <w:pPr>
        <w:pStyle w:val="BodyText"/>
        <w:spacing w:line="273" w:lineRule="auto" w:before="37"/>
        <w:ind w:right="127"/>
        <w:jc w:val="both"/>
      </w:pPr>
      <w:r>
        <w:rPr>
          <w:spacing w:val="-6"/>
        </w:rPr>
        <w:t>支出，同时满足下列条件的，确认为无形资产：</w:t>
      </w:r>
      <w:r>
        <w:rPr>
          <w:rFonts w:ascii="宋体" w:hAnsi="宋体" w:cs="宋体" w:eastAsia="宋体" w:hint="default"/>
          <w:spacing w:val="-6"/>
        </w:rPr>
        <w:t>1)</w:t>
      </w:r>
      <w:r>
        <w:rPr>
          <w:rFonts w:ascii="宋体" w:hAnsi="宋体" w:cs="宋体" w:eastAsia="宋体" w:hint="default"/>
          <w:spacing w:val="32"/>
        </w:rPr>
        <w:t> </w:t>
      </w:r>
      <w:r>
        <w:rPr/>
        <w:t>完成该无形资产以使其能够使用或出售在技术</w:t>
      </w:r>
      <w:r>
        <w:rPr>
          <w:spacing w:val="-99"/>
        </w:rPr>
        <w:t> </w:t>
      </w:r>
      <w:r>
        <w:rPr>
          <w:spacing w:val="-99"/>
        </w:rPr>
      </w:r>
      <w:r>
        <w:rPr>
          <w:spacing w:val="-12"/>
          <w:w w:val="100"/>
        </w:rPr>
        <w:t>上具有可行性；</w:t>
      </w:r>
      <w:r>
        <w:rPr>
          <w:rFonts w:ascii="宋体" w:hAnsi="宋体" w:cs="宋体" w:eastAsia="宋体" w:hint="default"/>
          <w:spacing w:val="-12"/>
          <w:w w:val="100"/>
        </w:rPr>
        <w:t>2)</w:t>
      </w:r>
      <w:r>
        <w:rPr>
          <w:rFonts w:ascii="宋体" w:hAnsi="宋体" w:cs="宋体" w:eastAsia="宋体" w:hint="default"/>
          <w:w w:val="100"/>
        </w:rPr>
        <w:t> </w:t>
      </w:r>
      <w:r>
        <w:rPr>
          <w:spacing w:val="-6"/>
          <w:w w:val="100"/>
        </w:rPr>
        <w:t>具有完成该无形资产并使用或出售的意图；</w:t>
      </w:r>
      <w:r>
        <w:rPr>
          <w:rFonts w:ascii="宋体" w:hAnsi="宋体" w:cs="宋体" w:eastAsia="宋体" w:hint="default"/>
          <w:spacing w:val="-6"/>
          <w:w w:val="100"/>
        </w:rPr>
        <w:t>3)</w:t>
      </w:r>
      <w:r>
        <w:rPr>
          <w:rFonts w:ascii="宋体" w:hAnsi="宋体" w:cs="宋体" w:eastAsia="宋体" w:hint="default"/>
          <w:spacing w:val="4"/>
          <w:w w:val="100"/>
        </w:rPr>
        <w:t> </w:t>
      </w:r>
      <w:r>
        <w:rPr>
          <w:spacing w:val="-2"/>
          <w:w w:val="100"/>
        </w:rPr>
        <w:t>无形资产产生经济利益的方式，</w:t>
      </w:r>
      <w:r>
        <w:rPr>
          <w:w w:val="100"/>
        </w:rPr>
        <w:t> </w:t>
      </w:r>
      <w:r>
        <w:rPr>
          <w:spacing w:val="-2"/>
        </w:rPr>
        <w:t>包括能够证明运用该无形资产生产的产品存在市场或无形资产自身存在市场，无形资产将在内部</w:t>
      </w:r>
      <w:r>
        <w:rPr>
          <w:spacing w:val="-25"/>
        </w:rPr>
        <w:t> </w:t>
      </w:r>
      <w:r>
        <w:rPr>
          <w:spacing w:val="-25"/>
        </w:rPr>
      </w:r>
      <w:r>
        <w:rPr>
          <w:spacing w:val="-5"/>
        </w:rPr>
        <w:t>使用的，能证明其有用性；</w:t>
      </w:r>
      <w:r>
        <w:rPr>
          <w:rFonts w:ascii="宋体" w:hAnsi="宋体" w:cs="宋体" w:eastAsia="宋体" w:hint="default"/>
          <w:spacing w:val="-5"/>
        </w:rPr>
        <w:t>4)</w:t>
      </w:r>
      <w:r>
        <w:rPr>
          <w:rFonts w:ascii="宋体" w:hAnsi="宋体" w:cs="宋体" w:eastAsia="宋体" w:hint="default"/>
          <w:spacing w:val="68"/>
        </w:rPr>
        <w:t> </w:t>
      </w:r>
      <w:r>
        <w:rPr>
          <w:spacing w:val="-4"/>
        </w:rPr>
        <w:t>有足够的技术、财务资源和其他资源支持，以完成该无形资产的开</w:t>
      </w:r>
      <w:r>
        <w:rPr>
          <w:spacing w:val="-91"/>
        </w:rPr>
        <w:t> </w:t>
      </w:r>
      <w:r>
        <w:rPr>
          <w:spacing w:val="-91"/>
        </w:rPr>
      </w:r>
      <w:r>
        <w:rPr/>
        <w:t>发，并有能力使用或出售该无形资产；</w:t>
      </w:r>
      <w:r>
        <w:rPr>
          <w:rFonts w:ascii="宋体" w:hAnsi="宋体" w:cs="宋体" w:eastAsia="宋体" w:hint="default"/>
        </w:rPr>
        <w:t>5)</w:t>
      </w:r>
      <w:r>
        <w:rPr>
          <w:rFonts w:ascii="宋体" w:hAnsi="宋体" w:cs="宋体" w:eastAsia="宋体" w:hint="default"/>
          <w:spacing w:val="-7"/>
        </w:rPr>
        <w:t> </w:t>
      </w:r>
      <w:r>
        <w:rPr/>
        <w:t>归属于该无形资产开发阶段的支出能够可靠地计量。</w:t>
      </w:r>
    </w:p>
    <w:p>
      <w:pPr>
        <w:pStyle w:val="BodyText"/>
        <w:spacing w:line="273" w:lineRule="auto" w:before="10"/>
        <w:ind w:left="558" w:right="0"/>
        <w:jc w:val="left"/>
      </w:pPr>
      <w:r>
        <w:rPr/>
        <w:t>公司划分内部研究开发项目研究阶段支出和开发阶段支出的具体标准：</w:t>
      </w:r>
      <w:r>
        <w:rPr>
          <w:w w:val="100"/>
        </w:rPr>
        <w:t> </w:t>
      </w:r>
      <w:r>
        <w:rPr>
          <w:spacing w:val="-2"/>
        </w:rPr>
        <w:t>研究阶段：为获取并理解新的科学或技术知识等而进行的独创性的有计划调查、研究活动的</w:t>
      </w:r>
    </w:p>
    <w:p>
      <w:pPr>
        <w:pStyle w:val="BodyText"/>
        <w:spacing w:line="240" w:lineRule="auto" w:before="10"/>
        <w:ind w:right="0"/>
        <w:jc w:val="left"/>
      </w:pPr>
      <w:r>
        <w:rPr/>
        <w:t>阶段。</w:t>
      </w:r>
    </w:p>
    <w:p>
      <w:pPr>
        <w:pStyle w:val="BodyText"/>
        <w:spacing w:line="273" w:lineRule="auto" w:before="37"/>
        <w:ind w:right="0" w:firstLine="419"/>
        <w:jc w:val="left"/>
      </w:pPr>
      <w:r>
        <w:rPr>
          <w:spacing w:val="-2"/>
        </w:rPr>
        <w:t>开发阶段：在进行商业性生产或使用前，将研究成果或其他知识应用于某项计划或设计，以</w:t>
      </w:r>
      <w:r>
        <w:rPr>
          <w:w w:val="100"/>
        </w:rPr>
        <w:t> </w:t>
      </w:r>
      <w:r>
        <w:rPr/>
        <w:t>生产出新的或具有实质性改进的材料、装置、产品等活动的阶段。</w:t>
      </w:r>
    </w:p>
    <w:p>
      <w:pPr>
        <w:spacing w:line="240" w:lineRule="auto" w:before="1"/>
        <w:rPr>
          <w:rFonts w:ascii="宋体" w:hAnsi="宋体" w:cs="宋体" w:eastAsia="宋体" w:hint="default"/>
          <w:sz w:val="26"/>
          <w:szCs w:val="26"/>
        </w:rPr>
      </w:pPr>
    </w:p>
    <w:p>
      <w:pPr>
        <w:pStyle w:val="Heading2"/>
        <w:spacing w:line="240" w:lineRule="auto"/>
        <w:ind w:left="138" w:right="0"/>
        <w:jc w:val="left"/>
        <w:rPr>
          <w:b w:val="0"/>
          <w:bCs w:val="0"/>
        </w:rPr>
      </w:pPr>
      <w:r>
        <w:rPr>
          <w:rFonts w:ascii="宋体" w:hAnsi="宋体" w:cs="宋体" w:eastAsia="宋体" w:hint="default"/>
        </w:rPr>
        <w:t>22.</w:t>
      </w:r>
      <w:r>
        <w:rPr>
          <w:rFonts w:ascii="宋体" w:hAnsi="宋体" w:cs="宋体" w:eastAsia="宋体" w:hint="default"/>
          <w:spacing w:val="3"/>
        </w:rPr>
        <w:t> </w:t>
      </w:r>
      <w:r>
        <w:rPr/>
        <w:t>长期资产减值</w:t>
      </w:r>
      <w:r>
        <w:rPr>
          <w:b w:val="0"/>
          <w:bCs w:val="0"/>
        </w:rPr>
      </w:r>
    </w:p>
    <w:p>
      <w:pPr>
        <w:pStyle w:val="BodyText"/>
        <w:spacing w:line="240" w:lineRule="auto" w:before="56"/>
        <w:ind w:left="558" w:right="0" w:hanging="420"/>
        <w:jc w:val="left"/>
      </w:pPr>
      <w:r>
        <w:rPr/>
        <w:t>√适用</w:t>
      </w:r>
      <w:r>
        <w:rPr>
          <w:spacing w:val="-2"/>
        </w:rPr>
        <w:t> </w:t>
      </w:r>
      <w:r>
        <w:rPr/>
        <w:t>□不适用</w:t>
      </w:r>
      <w:r>
        <w:rPr>
          <w:w w:val="100"/>
        </w:rPr>
        <w:t> </w:t>
      </w:r>
      <w:r>
        <w:rPr>
          <w:spacing w:val="-2"/>
        </w:rPr>
        <w:t>对采用成本模式计量的投资性房地产、固定资产、在建工程、使用寿命有限的无形资产等长</w:t>
      </w:r>
    </w:p>
    <w:p>
      <w:pPr>
        <w:pStyle w:val="BodyText"/>
        <w:spacing w:line="357" w:lineRule="auto" w:before="133"/>
        <w:ind w:right="128"/>
        <w:jc w:val="both"/>
      </w:pPr>
      <w:r>
        <w:rPr>
          <w:spacing w:val="-4"/>
          <w:w w:val="100"/>
        </w:rPr>
        <w:t>期资产</w:t>
      </w:r>
      <w:r>
        <w:rPr>
          <w:rFonts w:ascii="宋体" w:hAnsi="宋体" w:cs="宋体" w:eastAsia="宋体" w:hint="default"/>
          <w:spacing w:val="-4"/>
          <w:w w:val="100"/>
        </w:rPr>
        <w:t>,</w:t>
      </w:r>
      <w:r>
        <w:rPr>
          <w:spacing w:val="-4"/>
          <w:w w:val="100"/>
        </w:rPr>
        <w:t>在资产负债表日有迹象表明发生减值的，估计其可收回金额若上述长期资产的可收回金额</w:t>
      </w:r>
      <w:r>
        <w:rPr>
          <w:spacing w:val="-85"/>
          <w:w w:val="100"/>
        </w:rPr>
        <w:t> </w:t>
      </w:r>
      <w:r>
        <w:rPr>
          <w:spacing w:val="-85"/>
          <w:w w:val="100"/>
        </w:rPr>
      </w:r>
      <w:r>
        <w:rPr/>
        <w:t>低于其账面价值的，按其差额确认资产减值准备并计入当期损益。</w:t>
      </w:r>
    </w:p>
    <w:p>
      <w:pPr>
        <w:spacing w:after="0" w:line="357" w:lineRule="auto"/>
        <w:jc w:val="both"/>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5"/>
        <w:ind w:left="138" w:right="0"/>
        <w:jc w:val="left"/>
        <w:rPr>
          <w:b w:val="0"/>
          <w:bCs w:val="0"/>
        </w:rPr>
      </w:pPr>
      <w:r>
        <w:rPr>
          <w:rFonts w:ascii="宋体" w:hAnsi="宋体" w:cs="宋体" w:eastAsia="宋体" w:hint="default"/>
        </w:rPr>
        <w:t>23.</w:t>
      </w:r>
      <w:r>
        <w:rPr>
          <w:rFonts w:ascii="宋体" w:hAnsi="宋体" w:cs="宋体" w:eastAsia="宋体" w:hint="default"/>
          <w:spacing w:val="3"/>
        </w:rPr>
        <w:t> </w:t>
      </w:r>
      <w:r>
        <w:rPr/>
        <w:t>长期待摊费用</w:t>
      </w:r>
      <w:r>
        <w:rPr>
          <w:b w:val="0"/>
          <w:bCs w:val="0"/>
        </w:rPr>
      </w:r>
    </w:p>
    <w:p>
      <w:pPr>
        <w:pStyle w:val="BodyText"/>
        <w:spacing w:line="274" w:lineRule="exact" w:before="56"/>
        <w:ind w:right="0"/>
        <w:jc w:val="left"/>
      </w:pPr>
      <w:r>
        <w:rPr/>
        <w:t>√适用</w:t>
      </w:r>
      <w:r>
        <w:rPr>
          <w:spacing w:val="-1"/>
        </w:rPr>
        <w:t> </w:t>
      </w:r>
      <w:r>
        <w:rPr/>
        <w:t>□不适用</w:t>
      </w:r>
    </w:p>
    <w:p>
      <w:pPr>
        <w:pStyle w:val="BodyText"/>
        <w:spacing w:line="237" w:lineRule="auto" w:before="2"/>
        <w:ind w:right="137" w:firstLine="419"/>
        <w:jc w:val="both"/>
      </w:pPr>
      <w:r>
        <w:rPr/>
        <w:t>长期待摊费用核算已经支出，摊销期限在</w:t>
      </w:r>
      <w:r>
        <w:rPr>
          <w:spacing w:val="-54"/>
        </w:rPr>
        <w:t> </w:t>
      </w:r>
      <w:r>
        <w:rPr>
          <w:rFonts w:ascii="宋体" w:hAnsi="宋体" w:cs="宋体" w:eastAsia="宋体" w:hint="default"/>
        </w:rPr>
        <w:t>1</w:t>
      </w:r>
      <w:r>
        <w:rPr>
          <w:rFonts w:ascii="宋体" w:hAnsi="宋体" w:cs="宋体" w:eastAsia="宋体" w:hint="default"/>
          <w:spacing w:val="-54"/>
        </w:rPr>
        <w:t> </w:t>
      </w:r>
      <w:r>
        <w:rPr/>
        <w:t>年以上（不含</w:t>
      </w:r>
      <w:r>
        <w:rPr>
          <w:spacing w:val="-54"/>
        </w:rPr>
        <w:t> </w:t>
      </w:r>
      <w:r>
        <w:rPr>
          <w:rFonts w:ascii="宋体" w:hAnsi="宋体" w:cs="宋体" w:eastAsia="宋体" w:hint="default"/>
        </w:rPr>
        <w:t>1</w:t>
      </w:r>
      <w:r>
        <w:rPr>
          <w:rFonts w:ascii="宋体" w:hAnsi="宋体" w:cs="宋体" w:eastAsia="宋体" w:hint="default"/>
          <w:spacing w:val="-54"/>
        </w:rPr>
        <w:t> </w:t>
      </w:r>
      <w:r>
        <w:rPr/>
        <w:t>年）的各项费用。长期待摊费用</w:t>
      </w:r>
      <w:r>
        <w:rPr>
          <w:w w:val="100"/>
        </w:rPr>
        <w:t> </w:t>
      </w:r>
      <w:r>
        <w:rPr>
          <w:spacing w:val="-2"/>
        </w:rPr>
        <w:t>按实际发生额入账，在受益期或规定的期限内分期平均摊销。如果长期待摊的费用项目不能使以</w:t>
      </w:r>
      <w:r>
        <w:rPr>
          <w:spacing w:val="-25"/>
        </w:rPr>
        <w:t> </w:t>
      </w:r>
      <w:r>
        <w:rPr>
          <w:spacing w:val="-25"/>
        </w:rPr>
      </w:r>
      <w:r>
        <w:rPr/>
        <w:t>后会计期间受益则将尚未摊销的该项目的摊余价值全部转入当期损益。</w:t>
      </w:r>
    </w:p>
    <w:p>
      <w:pPr>
        <w:spacing w:line="240" w:lineRule="auto" w:before="3"/>
        <w:rPr>
          <w:rFonts w:ascii="宋体" w:hAnsi="宋体" w:cs="宋体" w:eastAsia="宋体" w:hint="default"/>
          <w:sz w:val="25"/>
          <w:szCs w:val="25"/>
        </w:rPr>
      </w:pPr>
    </w:p>
    <w:p>
      <w:pPr>
        <w:pStyle w:val="Heading2"/>
        <w:spacing w:line="290" w:lineRule="auto"/>
        <w:ind w:left="138" w:right="6101"/>
        <w:jc w:val="left"/>
        <w:rPr>
          <w:b w:val="0"/>
          <w:bCs w:val="0"/>
        </w:rPr>
      </w:pPr>
      <w:r>
        <w:rPr>
          <w:rFonts w:ascii="宋体" w:hAnsi="宋体" w:cs="宋体" w:eastAsia="宋体" w:hint="default"/>
        </w:rPr>
        <w:t>24.</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b w:val="0"/>
          <w:bCs w:val="0"/>
        </w:rPr>
      </w:r>
    </w:p>
    <w:p>
      <w:pPr>
        <w:pStyle w:val="BodyText"/>
        <w:spacing w:line="272" w:lineRule="exact" w:before="42"/>
        <w:ind w:left="558" w:right="0" w:hanging="420"/>
        <w:jc w:val="left"/>
      </w:pPr>
      <w:r>
        <w:rPr/>
        <w:t>√适用</w:t>
      </w:r>
      <w:r>
        <w:rPr>
          <w:spacing w:val="-2"/>
        </w:rPr>
        <w:t> </w:t>
      </w:r>
      <w:r>
        <w:rPr/>
        <w:t>□不适用</w:t>
      </w:r>
      <w:r>
        <w:rPr>
          <w:w w:val="100"/>
        </w:rPr>
        <w:t> </w:t>
      </w:r>
      <w:r>
        <w:rPr>
          <w:spacing w:val="-2"/>
        </w:rPr>
        <w:t>在职工为公司提供服务的会计期间，将实际发生的短期薪酬确认为负债，并计入当期损益或</w:t>
      </w:r>
    </w:p>
    <w:p>
      <w:pPr>
        <w:pStyle w:val="BodyText"/>
        <w:spacing w:line="249" w:lineRule="exact"/>
        <w:ind w:right="0"/>
        <w:jc w:val="left"/>
      </w:pPr>
      <w:r>
        <w:rPr/>
        <w:t>相关资产成本。</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(2)</w:t>
      </w:r>
      <w:r>
        <w:rPr/>
        <w:t>、离职后福利的会计处理方法</w:t>
      </w:r>
      <w:r>
        <w:rPr>
          <w:b w:val="0"/>
          <w:bCs w:val="0"/>
        </w:rPr>
      </w:r>
    </w:p>
    <w:p>
      <w:pPr>
        <w:pStyle w:val="BodyText"/>
        <w:spacing w:line="240" w:lineRule="auto" w:before="56"/>
        <w:ind w:left="558" w:right="3467" w:hanging="420"/>
        <w:jc w:val="left"/>
      </w:pPr>
      <w:r>
        <w:rPr/>
        <w:t>√适用</w:t>
      </w:r>
      <w:r>
        <w:rPr>
          <w:spacing w:val="-2"/>
        </w:rPr>
        <w:t> </w:t>
      </w:r>
      <w:r>
        <w:rPr/>
        <w:t>□不适用</w:t>
      </w:r>
      <w:r>
        <w:rPr>
          <w:w w:val="100"/>
        </w:rPr>
        <w:t> </w:t>
      </w:r>
      <w:r>
        <w:rPr>
          <w:spacing w:val="-2"/>
        </w:rPr>
        <w:t>离职后福利分为设定提存计划和设定受益计划。</w:t>
      </w:r>
    </w:p>
    <w:p>
      <w:pPr>
        <w:pStyle w:val="BodyText"/>
        <w:spacing w:line="274" w:lineRule="exact" w:before="22"/>
        <w:ind w:right="0"/>
        <w:jc w:val="left"/>
      </w:pPr>
      <w:r>
        <w:rPr>
          <w:rFonts w:ascii="宋体" w:hAnsi="宋体" w:cs="宋体" w:eastAsia="宋体" w:hint="default"/>
          <w:spacing w:val="-4"/>
        </w:rPr>
        <w:t>1</w:t>
      </w:r>
      <w:r>
        <w:rPr>
          <w:spacing w:val="-4"/>
        </w:rPr>
        <w:t>）在职工为公司提供服务的会计期间，根据设定提存计划计算的应缴存金额确认为负债，并计入</w:t>
      </w:r>
      <w:r>
        <w:rPr>
          <w:spacing w:val="-35"/>
        </w:rPr>
        <w:t> </w:t>
      </w:r>
      <w:r>
        <w:rPr>
          <w:spacing w:val="-35"/>
        </w:rPr>
      </w:r>
      <w:r>
        <w:rPr/>
        <w:t>当期损益或相关资产成本。</w:t>
      </w:r>
    </w:p>
    <w:p>
      <w:pPr>
        <w:pStyle w:val="BodyText"/>
        <w:spacing w:line="244" w:lineRule="exact"/>
        <w:ind w:right="0"/>
        <w:jc w:val="left"/>
      </w:pPr>
      <w:r>
        <w:rPr>
          <w:rFonts w:ascii="宋体" w:hAnsi="宋体" w:cs="宋体" w:eastAsia="宋体" w:hint="default"/>
        </w:rPr>
        <w:t>2)</w:t>
      </w:r>
      <w:r>
        <w:rPr>
          <w:rFonts w:ascii="宋体" w:hAnsi="宋体" w:cs="宋体" w:eastAsia="宋体" w:hint="default"/>
          <w:spacing w:val="-4"/>
        </w:rPr>
        <w:t> </w:t>
      </w:r>
      <w:r>
        <w:rPr/>
        <w:t>对设定受益计划的会计处理通常包括下列步骤：</w:t>
      </w:r>
    </w:p>
    <w:p>
      <w:pPr>
        <w:pStyle w:val="BodyText"/>
        <w:spacing w:line="237" w:lineRule="auto"/>
        <w:ind w:right="137" w:firstLine="419"/>
        <w:jc w:val="both"/>
      </w:pPr>
      <w:r>
        <w:rPr>
          <w:spacing w:val="-2"/>
        </w:rPr>
        <w:t>根据预期累计福利单位法，采用无偏且相互一致的精算假设对有关人口统计变量和财务变量</w:t>
      </w:r>
      <w:r>
        <w:rPr>
          <w:w w:val="100"/>
        </w:rPr>
        <w:t> </w:t>
      </w:r>
      <w:r>
        <w:rPr>
          <w:spacing w:val="-2"/>
        </w:rPr>
        <w:t>等作出估计，计量设定受益计划所产生的义务，并确定相关义务的所属期间。同时，对设定受益</w:t>
      </w:r>
      <w:r>
        <w:rPr>
          <w:spacing w:val="-25"/>
        </w:rPr>
        <w:t> </w:t>
      </w:r>
      <w:r>
        <w:rPr>
          <w:spacing w:val="-25"/>
        </w:rPr>
      </w:r>
      <w:r>
        <w:rPr/>
        <w:t>计划所产生的义务予以折现，以确定设定受益计划义务的现值和当期服务成本；</w:t>
      </w:r>
    </w:p>
    <w:p>
      <w:pPr>
        <w:pStyle w:val="BodyText"/>
        <w:spacing w:line="237" w:lineRule="auto" w:before="2"/>
        <w:ind w:right="137" w:firstLine="419"/>
        <w:jc w:val="both"/>
      </w:pPr>
      <w:r>
        <w:rPr>
          <w:spacing w:val="-2"/>
        </w:rPr>
        <w:t>设定受益计划存在资产的，将设定受益计划义务现值减去设定受益计划资产公允价值所形成</w:t>
      </w:r>
      <w:r>
        <w:rPr>
          <w:w w:val="100"/>
        </w:rPr>
        <w:t> </w:t>
      </w:r>
      <w:r>
        <w:rPr>
          <w:spacing w:val="-2"/>
        </w:rPr>
        <w:t>的赤字或盈余确认为一项设定受益计划净负债或净资产。设定受益计划存在盈余的，以设定受益</w:t>
      </w:r>
      <w:r>
        <w:rPr>
          <w:spacing w:val="-25"/>
        </w:rPr>
        <w:t> </w:t>
      </w:r>
      <w:r>
        <w:rPr>
          <w:spacing w:val="-25"/>
        </w:rPr>
      </w:r>
      <w:r>
        <w:rPr/>
        <w:t>计划的盈余和资产上限两项的孰低者计量设定受益计划净资产；</w:t>
      </w:r>
    </w:p>
    <w:p>
      <w:pPr>
        <w:pStyle w:val="BodyText"/>
        <w:spacing w:line="237" w:lineRule="auto"/>
        <w:ind w:right="137" w:firstLine="419"/>
        <w:jc w:val="both"/>
      </w:pPr>
      <w:r>
        <w:rPr>
          <w:spacing w:val="-2"/>
        </w:rPr>
        <w:t>期末，将设定受益计划产生的职工薪酬成本确认为服务成本、设定受益计划净负债或净资产</w:t>
      </w:r>
      <w:r>
        <w:rPr>
          <w:w w:val="100"/>
        </w:rPr>
        <w:t> </w:t>
      </w:r>
      <w:r>
        <w:rPr>
          <w:spacing w:val="-2"/>
        </w:rPr>
        <w:t>的利息净额以及重新计量设定受益计划净负债或净资产所产生的变动等三部分，其中服务成本和</w:t>
      </w:r>
      <w:r>
        <w:rPr>
          <w:spacing w:val="-25"/>
        </w:rPr>
        <w:t> </w:t>
      </w:r>
      <w:r>
        <w:rPr>
          <w:spacing w:val="-25"/>
        </w:rPr>
      </w:r>
      <w:r>
        <w:rPr>
          <w:spacing w:val="-2"/>
        </w:rPr>
        <w:t>设定受益计划净负债或净资产的利息净额计入当期损益或相关资产成本，重新计量设定受益计划</w:t>
      </w:r>
      <w:r>
        <w:rPr>
          <w:spacing w:val="-25"/>
        </w:rPr>
        <w:t> </w:t>
      </w:r>
      <w:r>
        <w:rPr>
          <w:spacing w:val="-25"/>
        </w:rPr>
      </w:r>
      <w:r>
        <w:rPr>
          <w:spacing w:val="-2"/>
        </w:rPr>
        <w:t>净负债或净资产所产生的变动计入其他综合收益，并且在后续会计期间不允许转回至损益，但可</w:t>
      </w:r>
      <w:r>
        <w:rPr>
          <w:spacing w:val="-25"/>
        </w:rPr>
        <w:t> </w:t>
      </w:r>
      <w:r>
        <w:rPr>
          <w:spacing w:val="-25"/>
        </w:rPr>
      </w:r>
      <w:r>
        <w:rPr/>
        <w:t>以在权益范围内转移这些在其他综合收益确认的金额。</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(3)</w:t>
      </w:r>
      <w:r>
        <w:rPr/>
        <w:t>、辞退福利的会计处理方法</w:t>
      </w:r>
      <w:r>
        <w:rPr>
          <w:b w:val="0"/>
          <w:bCs w:val="0"/>
        </w:rPr>
      </w:r>
    </w:p>
    <w:p>
      <w:pPr>
        <w:pStyle w:val="BodyText"/>
        <w:spacing w:line="272" w:lineRule="exact" w:before="86"/>
        <w:ind w:left="558" w:right="0" w:hanging="420"/>
        <w:jc w:val="left"/>
      </w:pPr>
      <w:r>
        <w:rPr/>
        <w:t>√适用</w:t>
      </w:r>
      <w:r>
        <w:rPr>
          <w:spacing w:val="-2"/>
        </w:rPr>
        <w:t> </w:t>
      </w:r>
      <w:r>
        <w:rPr/>
        <w:t>□不适用</w:t>
      </w:r>
      <w:r>
        <w:rPr>
          <w:w w:val="100"/>
        </w:rPr>
        <w:t> </w:t>
      </w:r>
      <w:r>
        <w:rPr>
          <w:spacing w:val="-2"/>
        </w:rPr>
        <w:t>向职工提供的辞退福利，在下列两者孰早日确认辞退福利产生的职工薪酬负债，并计入当期</w:t>
      </w:r>
    </w:p>
    <w:p>
      <w:pPr>
        <w:pStyle w:val="BodyText"/>
        <w:spacing w:line="272" w:lineRule="exact" w:before="2"/>
        <w:ind w:right="134"/>
        <w:jc w:val="left"/>
      </w:pPr>
      <w:r>
        <w:rPr/>
        <w:t>损益：</w:t>
      </w:r>
      <w:r>
        <w:rPr>
          <w:rFonts w:ascii="宋体" w:hAnsi="宋体" w:cs="宋体" w:eastAsia="宋体" w:hint="default"/>
        </w:rPr>
        <w:t>1) </w:t>
      </w:r>
      <w:r>
        <w:rPr/>
        <w:t>公司不能单方面撤回因解除劳动关系计划或裁减建议所提供的辞退福利时；</w:t>
      </w:r>
      <w:r>
        <w:rPr>
          <w:rFonts w:ascii="宋体" w:hAnsi="宋体" w:cs="宋体" w:eastAsia="宋体" w:hint="default"/>
        </w:rPr>
        <w:t>2)</w:t>
      </w:r>
      <w:r>
        <w:rPr>
          <w:rFonts w:ascii="宋体" w:hAnsi="宋体" w:cs="宋体" w:eastAsia="宋体" w:hint="default"/>
          <w:spacing w:val="-6"/>
        </w:rPr>
        <w:t> </w:t>
      </w:r>
      <w:r>
        <w:rPr/>
        <w:t>公司确</w:t>
      </w:r>
      <w:r>
        <w:rPr>
          <w:w w:val="100"/>
        </w:rPr>
        <w:t> </w:t>
      </w:r>
      <w:r>
        <w:rPr/>
        <w:t>认与涉及支付辞退福利的重组相关的成本或费用时。</w:t>
      </w:r>
    </w:p>
    <w:p>
      <w:pPr>
        <w:spacing w:line="240" w:lineRule="auto" w:before="4"/>
        <w:rPr>
          <w:rFonts w:ascii="宋体" w:hAnsi="宋体" w:cs="宋体" w:eastAsia="宋体" w:hint="default"/>
          <w:sz w:val="23"/>
          <w:szCs w:val="23"/>
        </w:rPr>
      </w:pPr>
    </w:p>
    <w:p>
      <w:pPr>
        <w:pStyle w:val="Heading2"/>
        <w:spacing w:line="240" w:lineRule="auto"/>
        <w:ind w:left="138" w:right="0"/>
        <w:jc w:val="left"/>
        <w:rPr>
          <w:b w:val="0"/>
          <w:bCs w:val="0"/>
        </w:rPr>
      </w:pPr>
      <w:r>
        <w:rPr>
          <w:rFonts w:ascii="宋体" w:hAnsi="宋体" w:cs="宋体" w:eastAsia="宋体" w:hint="default"/>
        </w:rPr>
        <w:t>(4)</w:t>
      </w:r>
      <w:r>
        <w:rPr/>
        <w:t>、其他长期职工福利的会计处理方法</w:t>
      </w:r>
      <w:r>
        <w:rPr>
          <w:b w:val="0"/>
          <w:bCs w:val="0"/>
        </w:rPr>
      </w:r>
    </w:p>
    <w:p>
      <w:pPr>
        <w:pStyle w:val="BodyText"/>
        <w:spacing w:line="272" w:lineRule="exact" w:before="86"/>
        <w:ind w:left="558" w:right="0" w:hanging="420"/>
        <w:jc w:val="left"/>
      </w:pPr>
      <w:r>
        <w:rPr/>
        <w:t>√适用</w:t>
      </w:r>
      <w:r>
        <w:rPr>
          <w:spacing w:val="-2"/>
        </w:rPr>
        <w:t> </w:t>
      </w:r>
      <w:r>
        <w:rPr/>
        <w:t>□不适用</w:t>
      </w:r>
      <w:r>
        <w:rPr>
          <w:w w:val="100"/>
        </w:rPr>
        <w:t> </w:t>
      </w:r>
      <w:r>
        <w:rPr>
          <w:spacing w:val="-2"/>
        </w:rPr>
        <w:t>向职工提供的其他长期福利，符合设定提存计划条件的，按照设定提存计划的有关规定进行</w:t>
      </w:r>
    </w:p>
    <w:p>
      <w:pPr>
        <w:pStyle w:val="BodyText"/>
        <w:spacing w:line="246" w:lineRule="exact"/>
        <w:ind w:right="0"/>
        <w:jc w:val="left"/>
      </w:pPr>
      <w:r>
        <w:rPr/>
        <w:t>会计处理；除此之外的其他长期福利，按照设定受益计划的有关规定进行会计处理，为简化相关</w:t>
      </w:r>
    </w:p>
    <w:p>
      <w:pPr>
        <w:pStyle w:val="BodyText"/>
        <w:spacing w:line="237" w:lineRule="auto" w:before="2"/>
        <w:ind w:right="137"/>
        <w:jc w:val="both"/>
      </w:pPr>
      <w:r>
        <w:rPr>
          <w:spacing w:val="-2"/>
        </w:rPr>
        <w:t>会计处理，将其产生的职工薪酬成本确认为服务成本、其他长期职工福利净负债或净资产的利息</w:t>
      </w:r>
      <w:r>
        <w:rPr>
          <w:spacing w:val="-25"/>
        </w:rPr>
        <w:t> </w:t>
      </w:r>
      <w:r>
        <w:rPr>
          <w:spacing w:val="-25"/>
        </w:rPr>
      </w:r>
      <w:r>
        <w:rPr>
          <w:spacing w:val="-2"/>
        </w:rPr>
        <w:t>净额以及重新计量其他长期职工福利净负债或净资产所产生的变动等组成项目的总净额计入当期</w:t>
      </w:r>
      <w:r>
        <w:rPr>
          <w:spacing w:val="-25"/>
        </w:rPr>
        <w:t> </w:t>
      </w:r>
      <w:r>
        <w:rPr>
          <w:spacing w:val="-25"/>
        </w:rPr>
      </w:r>
      <w:r>
        <w:rPr/>
        <w:t>损益或相关资产成本。</w:t>
      </w:r>
    </w:p>
    <w:p>
      <w:pPr>
        <w:spacing w:line="240" w:lineRule="auto" w:before="4"/>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25.</w:t>
      </w:r>
      <w:r>
        <w:rPr>
          <w:rFonts w:ascii="宋体" w:hAnsi="宋体" w:cs="宋体" w:eastAsia="宋体" w:hint="default"/>
          <w:spacing w:val="2"/>
        </w:rPr>
        <w:t> </w:t>
      </w:r>
      <w:r>
        <w:rPr/>
        <w:t>预计负债</w:t>
      </w:r>
      <w:r>
        <w:rPr>
          <w:b w:val="0"/>
          <w:bCs w:val="0"/>
        </w:rPr>
      </w:r>
    </w:p>
    <w:p>
      <w:pPr>
        <w:pStyle w:val="BodyText"/>
        <w:spacing w:line="240" w:lineRule="auto" w:before="56"/>
        <w:ind w:right="0"/>
        <w:jc w:val="left"/>
      </w:pPr>
      <w:r>
        <w:rPr/>
        <w:t>√适用</w:t>
      </w:r>
      <w:r>
        <w:rPr>
          <w:spacing w:val="-1"/>
        </w:rPr>
        <w:t> </w:t>
      </w:r>
      <w:r>
        <w:rPr/>
        <w:t>□不适用</w:t>
      </w:r>
    </w:p>
    <w:p>
      <w:pPr>
        <w:spacing w:after="0" w:line="240"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37" w:lineRule="auto" w:before="38"/>
        <w:ind w:right="208"/>
        <w:jc w:val="both"/>
      </w:pPr>
      <w:r>
        <w:rPr>
          <w:spacing w:val="-4"/>
        </w:rPr>
        <w:t>（</w:t>
      </w:r>
      <w:r>
        <w:rPr>
          <w:rFonts w:ascii="宋体" w:hAnsi="宋体" w:cs="宋体" w:eastAsia="宋体" w:hint="default"/>
          <w:spacing w:val="-4"/>
        </w:rPr>
        <w:t>1</w:t>
      </w:r>
      <w:r>
        <w:rPr>
          <w:spacing w:val="-4"/>
        </w:rPr>
        <w:t>）因对外提供担保、诉讼事项、产品质量保证、亏损合同等或有事项形成的义务成为公司承担</w:t>
      </w:r>
      <w:r>
        <w:rPr>
          <w:spacing w:val="-34"/>
        </w:rPr>
        <w:t> </w:t>
      </w:r>
      <w:r>
        <w:rPr>
          <w:spacing w:val="-34"/>
        </w:rPr>
      </w:r>
      <w:r>
        <w:rPr>
          <w:spacing w:val="-2"/>
        </w:rPr>
        <w:t>的现时义务，履行该义务很可能导致经济利益流出公司，且该义务的金额能够可靠的计量时，公</w:t>
      </w:r>
      <w:r>
        <w:rPr>
          <w:spacing w:val="-25"/>
        </w:rPr>
        <w:t> </w:t>
      </w:r>
      <w:r>
        <w:rPr>
          <w:spacing w:val="-25"/>
        </w:rPr>
      </w:r>
      <w:r>
        <w:rPr/>
        <w:t>司将该项义务确认为预计负债。</w:t>
      </w:r>
    </w:p>
    <w:p>
      <w:pPr>
        <w:pStyle w:val="BodyText"/>
        <w:spacing w:line="272" w:lineRule="exact" w:before="26"/>
        <w:ind w:right="98"/>
        <w:jc w:val="left"/>
      </w:pPr>
      <w:r>
        <w:rPr>
          <w:spacing w:val="-4"/>
        </w:rPr>
        <w:t>（</w:t>
      </w:r>
      <w:r>
        <w:rPr>
          <w:rFonts w:ascii="宋体" w:hAnsi="宋体" w:cs="宋体" w:eastAsia="宋体" w:hint="default"/>
          <w:spacing w:val="-4"/>
        </w:rPr>
        <w:t>2</w:t>
      </w:r>
      <w:r>
        <w:rPr>
          <w:spacing w:val="-4"/>
        </w:rPr>
        <w:t>）公司按照履行相关现时义务所需支出的最佳估计数对预计负债进行初始计量，并在资产负债</w:t>
      </w:r>
      <w:r>
        <w:rPr>
          <w:spacing w:val="-34"/>
        </w:rPr>
        <w:t> </w:t>
      </w:r>
      <w:r>
        <w:rPr>
          <w:spacing w:val="-34"/>
        </w:rPr>
      </w:r>
      <w:r>
        <w:rPr/>
        <w:t>表日对预计负债的账面价值进行复核。</w:t>
      </w:r>
    </w:p>
    <w:p>
      <w:pPr>
        <w:spacing w:line="240" w:lineRule="auto" w:before="4"/>
        <w:rPr>
          <w:rFonts w:ascii="宋体" w:hAnsi="宋体" w:cs="宋体" w:eastAsia="宋体" w:hint="default"/>
          <w:sz w:val="23"/>
          <w:szCs w:val="23"/>
        </w:rPr>
      </w:pPr>
    </w:p>
    <w:p>
      <w:pPr>
        <w:pStyle w:val="Heading2"/>
        <w:spacing w:line="240" w:lineRule="auto"/>
        <w:ind w:left="138" w:right="0"/>
        <w:jc w:val="both"/>
        <w:rPr>
          <w:b w:val="0"/>
          <w:bCs w:val="0"/>
        </w:rPr>
      </w:pPr>
      <w:r>
        <w:rPr>
          <w:rFonts w:ascii="宋体" w:hAnsi="宋体" w:cs="宋体" w:eastAsia="宋体" w:hint="default"/>
        </w:rPr>
        <w:t>26.</w:t>
      </w:r>
      <w:r>
        <w:rPr>
          <w:rFonts w:ascii="宋体" w:hAnsi="宋体" w:cs="宋体" w:eastAsia="宋体" w:hint="default"/>
          <w:spacing w:val="2"/>
        </w:rPr>
        <w:t> </w:t>
      </w:r>
      <w:r>
        <w:rPr/>
        <w:t>股份支付</w:t>
      </w:r>
      <w:r>
        <w:rPr>
          <w:b w:val="0"/>
          <w:bCs w:val="0"/>
        </w:rPr>
      </w:r>
    </w:p>
    <w:p>
      <w:pPr>
        <w:pStyle w:val="BodyText"/>
        <w:spacing w:line="240" w:lineRule="auto" w:before="58"/>
        <w:ind w:right="0"/>
        <w:jc w:val="both"/>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27. </w:t>
      </w:r>
      <w:r>
        <w:rPr/>
        <w:t>优先股、永续债等其他金融工具</w:t>
      </w:r>
      <w:r>
        <w:rPr>
          <w:b w:val="0"/>
          <w:bCs w:val="0"/>
        </w:rPr>
      </w:r>
    </w:p>
    <w:p>
      <w:pPr>
        <w:pStyle w:val="BodyText"/>
        <w:spacing w:line="240" w:lineRule="auto" w:before="59"/>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28.</w:t>
      </w:r>
      <w:r>
        <w:rPr>
          <w:rFonts w:ascii="宋体" w:hAnsi="宋体" w:cs="宋体" w:eastAsia="宋体" w:hint="default"/>
          <w:spacing w:val="2"/>
        </w:rPr>
        <w:t> </w:t>
      </w:r>
      <w:r>
        <w:rPr/>
        <w:t>收入</w:t>
      </w:r>
      <w:r>
        <w:rPr>
          <w:b w:val="0"/>
          <w:bCs w:val="0"/>
        </w:rPr>
      </w:r>
    </w:p>
    <w:p>
      <w:pPr>
        <w:pStyle w:val="BodyText"/>
        <w:spacing w:line="274" w:lineRule="exact" w:before="56"/>
        <w:ind w:right="0"/>
        <w:jc w:val="both"/>
      </w:pPr>
      <w:r>
        <w:rPr/>
        <w:t>√适用</w:t>
      </w:r>
      <w:r>
        <w:rPr>
          <w:spacing w:val="-1"/>
        </w:rPr>
        <w:t> </w:t>
      </w:r>
      <w:r>
        <w:rPr/>
        <w:t>□不适用</w:t>
      </w:r>
    </w:p>
    <w:p>
      <w:pPr>
        <w:pStyle w:val="BodyText"/>
        <w:spacing w:line="272" w:lineRule="exact" w:before="27"/>
        <w:ind w:right="7091"/>
        <w:jc w:val="left"/>
      </w:pPr>
      <w:r>
        <w:rPr>
          <w:spacing w:val="-2"/>
        </w:rPr>
        <w:t>（</w:t>
      </w:r>
      <w:r>
        <w:rPr>
          <w:rFonts w:ascii="宋体" w:hAnsi="宋体" w:cs="宋体" w:eastAsia="宋体" w:hint="default"/>
          <w:spacing w:val="-2"/>
        </w:rPr>
        <w:t>1</w:t>
      </w:r>
      <w:r>
        <w:rPr>
          <w:spacing w:val="-2"/>
        </w:rPr>
        <w:t>）收入确认原则</w:t>
      </w:r>
      <w:r>
        <w:rPr>
          <w:spacing w:val="-87"/>
        </w:rPr>
        <w:t> </w:t>
      </w:r>
      <w:r>
        <w:rPr>
          <w:spacing w:val="-87"/>
        </w:rPr>
      </w:r>
      <w:r>
        <w:rPr>
          <w:rFonts w:ascii="宋体" w:hAnsi="宋体" w:cs="宋体" w:eastAsia="宋体" w:hint="default"/>
        </w:rPr>
        <w:t>1) </w:t>
      </w:r>
      <w:r>
        <w:rPr/>
        <w:t>销售商品</w:t>
      </w:r>
    </w:p>
    <w:p>
      <w:pPr>
        <w:pStyle w:val="BodyText"/>
        <w:spacing w:line="272" w:lineRule="exact" w:before="1"/>
        <w:ind w:right="217" w:firstLine="419"/>
        <w:jc w:val="both"/>
      </w:pPr>
      <w:r>
        <w:rPr>
          <w:spacing w:val="-2"/>
        </w:rPr>
        <w:t>销售商品收入在同时满足下列条件时予以确认：①将商品所有权上的主要风险和报酬转移给</w:t>
      </w:r>
      <w:r>
        <w:rPr>
          <w:w w:val="100"/>
        </w:rPr>
        <w:t> </w:t>
      </w:r>
      <w:r>
        <w:rPr>
          <w:spacing w:val="-2"/>
        </w:rPr>
        <w:t>购货方；②公司不再保留通常与所有权相联系的继续管理权，也不再对已售出的商品实施有效控</w:t>
      </w:r>
      <w:r>
        <w:rPr>
          <w:spacing w:val="-26"/>
        </w:rPr>
        <w:t> </w:t>
      </w:r>
      <w:r>
        <w:rPr>
          <w:spacing w:val="-26"/>
        </w:rPr>
      </w:r>
      <w:r>
        <w:rPr>
          <w:spacing w:val="-2"/>
        </w:rPr>
        <w:t>制；③收入的金额能够可靠地计量；④相关的经济利益很可能流入；⑤相关的已发生或将发生的</w:t>
      </w:r>
    </w:p>
    <w:p>
      <w:pPr>
        <w:pStyle w:val="BodyText"/>
        <w:spacing w:line="272" w:lineRule="exact" w:before="1"/>
        <w:ind w:right="6778"/>
        <w:jc w:val="left"/>
      </w:pPr>
      <w:r>
        <w:rPr>
          <w:spacing w:val="-2"/>
        </w:rPr>
        <w:t>成本能够可靠地计量。</w:t>
      </w:r>
      <w:r>
        <w:rPr>
          <w:spacing w:val="-85"/>
        </w:rPr>
        <w:t> </w:t>
      </w:r>
      <w:r>
        <w:rPr>
          <w:spacing w:val="-85"/>
        </w:rPr>
      </w:r>
      <w:r>
        <w:rPr>
          <w:rFonts w:ascii="宋体" w:hAnsi="宋体" w:cs="宋体" w:eastAsia="宋体" w:hint="default"/>
        </w:rPr>
        <w:t>2) </w:t>
      </w:r>
      <w:r>
        <w:rPr/>
        <w:t>提供劳务</w:t>
      </w:r>
    </w:p>
    <w:p>
      <w:pPr>
        <w:pStyle w:val="BodyText"/>
        <w:spacing w:line="272" w:lineRule="exact" w:before="1"/>
        <w:ind w:right="98" w:firstLine="419"/>
        <w:jc w:val="left"/>
      </w:pPr>
      <w:r>
        <w:rPr>
          <w:spacing w:val="-4"/>
          <w:w w:val="100"/>
        </w:rPr>
        <w:t>提供劳务交易的结果在资产负债表日能够可靠估计的（同时满足收入的金额能够可靠地计量、</w:t>
      </w:r>
      <w:r>
        <w:rPr>
          <w:w w:val="100"/>
        </w:rPr>
        <w:t> </w:t>
      </w:r>
      <w:r>
        <w:rPr/>
        <w:t>相关经济利益很可能流入、交易的完工进度能够可靠地确定、交易中已发生和将发生的成本能够</w:t>
      </w:r>
    </w:p>
    <w:p>
      <w:pPr>
        <w:pStyle w:val="BodyText"/>
        <w:spacing w:line="272" w:lineRule="exact" w:before="1"/>
        <w:ind w:right="98"/>
        <w:jc w:val="left"/>
      </w:pPr>
      <w:r>
        <w:rPr>
          <w:spacing w:val="-2"/>
        </w:rPr>
        <w:t>可靠地计量），采用完工百分比法确认提供劳务的收入，并按已经发生的成本占估计总成本的比</w:t>
      </w:r>
      <w:r>
        <w:rPr>
          <w:spacing w:val="-25"/>
        </w:rPr>
        <w:t> </w:t>
      </w:r>
      <w:r>
        <w:rPr>
          <w:spacing w:val="-25"/>
        </w:rPr>
      </w:r>
      <w:r>
        <w:rPr>
          <w:spacing w:val="-2"/>
        </w:rPr>
        <w:t>例确定提供劳务交易的完工进度。提供劳务交易的结果在资产负债表日不能够可靠估计的，若已</w:t>
      </w:r>
    </w:p>
    <w:p>
      <w:pPr>
        <w:pStyle w:val="BodyText"/>
        <w:spacing w:line="272" w:lineRule="exact" w:before="1"/>
        <w:ind w:right="98"/>
        <w:jc w:val="left"/>
      </w:pPr>
      <w:r>
        <w:rPr>
          <w:spacing w:val="-2"/>
        </w:rPr>
        <w:t>经发生的劳务成本预计能够得到补偿，按已经发生的劳务成本金额确认提供劳务收入，并按相同</w:t>
      </w:r>
      <w:r>
        <w:rPr>
          <w:spacing w:val="-25"/>
        </w:rPr>
        <w:t> </w:t>
      </w:r>
      <w:r>
        <w:rPr>
          <w:spacing w:val="-25"/>
        </w:rPr>
      </w:r>
      <w:r>
        <w:rPr>
          <w:spacing w:val="-2"/>
        </w:rPr>
        <w:t>金额结转劳务成本；若已经发生的劳务成本预计不能够得到补偿，将已经发生的劳务成本计入当</w:t>
      </w:r>
    </w:p>
    <w:p>
      <w:pPr>
        <w:pStyle w:val="BodyText"/>
        <w:spacing w:line="272" w:lineRule="exact" w:before="1"/>
        <w:ind w:right="6362"/>
        <w:jc w:val="left"/>
      </w:pPr>
      <w:r>
        <w:rPr>
          <w:spacing w:val="-2"/>
        </w:rPr>
        <w:t>期损益，不确认劳务收入。</w:t>
      </w:r>
      <w:r>
        <w:rPr>
          <w:spacing w:val="-82"/>
        </w:rPr>
        <w:t> </w:t>
      </w:r>
      <w:r>
        <w:rPr>
          <w:spacing w:val="-82"/>
        </w:rPr>
      </w:r>
      <w:r>
        <w:rPr>
          <w:rFonts w:ascii="宋体" w:hAnsi="宋体" w:cs="宋体" w:eastAsia="宋体" w:hint="default"/>
        </w:rPr>
        <w:t>3) </w:t>
      </w:r>
      <w:r>
        <w:rPr/>
        <w:t>让渡资产使用权</w:t>
      </w:r>
    </w:p>
    <w:p>
      <w:pPr>
        <w:pStyle w:val="BodyText"/>
        <w:spacing w:line="272" w:lineRule="exact" w:before="1"/>
        <w:ind w:right="98" w:firstLine="314"/>
        <w:jc w:val="left"/>
      </w:pPr>
      <w:r>
        <w:rPr>
          <w:spacing w:val="-4"/>
        </w:rPr>
        <w:t>让渡资产使用权在同时满足相关的经济利益很可能流入、收入金额能够可靠计量时，确认让渡</w:t>
      </w:r>
      <w:r>
        <w:rPr>
          <w:w w:val="100"/>
        </w:rPr>
        <w:t> </w:t>
      </w:r>
      <w:r>
        <w:rPr>
          <w:spacing w:val="-2"/>
        </w:rPr>
        <w:t>资产使用权的收入。利息收入按照他人使用本公司货币资金的时间和实际利率计算确定；使用费</w:t>
      </w:r>
    </w:p>
    <w:p>
      <w:pPr>
        <w:pStyle w:val="BodyText"/>
        <w:spacing w:line="247" w:lineRule="exact"/>
        <w:ind w:right="0"/>
        <w:jc w:val="both"/>
      </w:pPr>
      <w:r>
        <w:rPr/>
        <w:t>收入按有关合同或协议约定的收费时间和方法计算确定。</w:t>
      </w:r>
    </w:p>
    <w:p>
      <w:pPr>
        <w:pStyle w:val="BodyText"/>
        <w:spacing w:line="240" w:lineRule="auto"/>
        <w:ind w:left="558" w:right="98" w:hanging="420"/>
        <w:jc w:val="left"/>
      </w:pPr>
      <w:r>
        <w:rPr/>
        <w:t>（</w:t>
      </w:r>
      <w:r>
        <w:rPr>
          <w:rFonts w:ascii="宋体" w:hAnsi="宋体" w:cs="宋体" w:eastAsia="宋体" w:hint="default"/>
        </w:rPr>
        <w:t>2</w:t>
      </w:r>
      <w:r>
        <w:rPr/>
        <w:t>）收入确认的具体方法</w:t>
      </w:r>
      <w:r>
        <w:rPr>
          <w:w w:val="100"/>
        </w:rPr>
        <w:t> </w:t>
      </w:r>
      <w:r>
        <w:rPr>
          <w:spacing w:val="-2"/>
        </w:rPr>
        <w:t>现金类自助设备、非现金类自助设备确认收入需满足以下条件：内销产品收入确认需满足以</w:t>
      </w:r>
    </w:p>
    <w:p>
      <w:pPr>
        <w:pStyle w:val="BodyText"/>
        <w:spacing w:line="237" w:lineRule="auto"/>
        <w:ind w:right="217"/>
        <w:jc w:val="both"/>
      </w:pPr>
      <w:r>
        <w:rPr>
          <w:spacing w:val="-2"/>
        </w:rPr>
        <w:t>下条件：设备已发出，按合同要求安装调试完毕开通，客户已经进行开通验收且产品销售收入金</w:t>
      </w:r>
      <w:r>
        <w:rPr>
          <w:spacing w:val="-25"/>
        </w:rPr>
        <w:t> </w:t>
      </w:r>
      <w:r>
        <w:rPr>
          <w:spacing w:val="-25"/>
        </w:rPr>
      </w:r>
      <w:r>
        <w:rPr>
          <w:spacing w:val="-2"/>
        </w:rPr>
        <w:t>额已确定，已取得收款凭证且相关的经济利益很可能流入，产品相关的成本能够可靠地计量。外</w:t>
      </w:r>
      <w:r>
        <w:rPr>
          <w:spacing w:val="-25"/>
        </w:rPr>
        <w:t> </w:t>
      </w:r>
      <w:r>
        <w:rPr>
          <w:spacing w:val="-25"/>
        </w:rPr>
      </w:r>
      <w:r>
        <w:rPr>
          <w:spacing w:val="-2"/>
        </w:rPr>
        <w:t>销产品收入确认需满足以下条件：公司已根据合同约定将产品报关，取得提单，且产品销售收入</w:t>
      </w:r>
      <w:r>
        <w:rPr>
          <w:spacing w:val="-25"/>
        </w:rPr>
        <w:t> </w:t>
      </w:r>
      <w:r>
        <w:rPr>
          <w:spacing w:val="-25"/>
        </w:rPr>
      </w:r>
      <w:r>
        <w:rPr>
          <w:spacing w:val="-2"/>
        </w:rPr>
        <w:t>金额已确定，已经收回货款或取得了收款凭证且相关的经济利益很可能流入，产品相关的成本能</w:t>
      </w:r>
      <w:r>
        <w:rPr>
          <w:spacing w:val="-25"/>
        </w:rPr>
        <w:t> </w:t>
      </w:r>
      <w:r>
        <w:rPr>
          <w:spacing w:val="-25"/>
        </w:rPr>
      </w:r>
      <w:r>
        <w:rPr/>
        <w:t>够可靠地计量。</w:t>
      </w:r>
    </w:p>
    <w:p>
      <w:pPr>
        <w:pStyle w:val="BodyText"/>
        <w:spacing w:line="237" w:lineRule="auto"/>
        <w:ind w:right="217" w:firstLine="419"/>
        <w:jc w:val="both"/>
      </w:pPr>
      <w:r>
        <w:rPr>
          <w:spacing w:val="-2"/>
        </w:rPr>
        <w:t>移动支付产品、设备配件确认收入需满足以下条件：公司已根据合同约定将产品交付给购货</w:t>
      </w:r>
      <w:r>
        <w:rPr>
          <w:w w:val="100"/>
        </w:rPr>
        <w:t> </w:t>
      </w:r>
      <w:r>
        <w:rPr>
          <w:spacing w:val="-2"/>
        </w:rPr>
        <w:t>方，且产品销售收入金额已确定，已取得收款凭证且相关的经济利益很可能流入，产品相关的成</w:t>
      </w:r>
      <w:r>
        <w:rPr>
          <w:spacing w:val="-25"/>
        </w:rPr>
        <w:t> </w:t>
      </w:r>
      <w:r>
        <w:rPr>
          <w:spacing w:val="-25"/>
        </w:rPr>
      </w:r>
      <w:r>
        <w:rPr/>
        <w:t>本能够可靠地计量。</w:t>
      </w:r>
    </w:p>
    <w:p>
      <w:pPr>
        <w:pStyle w:val="BodyText"/>
        <w:spacing w:line="272" w:lineRule="exact" w:before="26"/>
        <w:ind w:right="217" w:firstLine="419"/>
        <w:jc w:val="both"/>
      </w:pPr>
      <w:r>
        <w:rPr>
          <w:spacing w:val="-2"/>
        </w:rPr>
        <w:t>公司服务收入确认需满足以下条件：公司已根据合同约定提供服务，按照合同约定的期限按</w:t>
      </w:r>
      <w:r>
        <w:rPr>
          <w:w w:val="100"/>
        </w:rPr>
        <w:t> </w:t>
      </w:r>
      <w:r>
        <w:rPr/>
        <w:t>期确认收入。</w:t>
      </w:r>
    </w:p>
    <w:p>
      <w:pPr>
        <w:spacing w:after="0" w:line="272" w:lineRule="exact"/>
        <w:jc w:val="both"/>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Heading2"/>
        <w:spacing w:line="290" w:lineRule="auto" w:before="36"/>
        <w:ind w:left="138" w:right="3971"/>
        <w:jc w:val="left"/>
        <w:rPr>
          <w:b w:val="0"/>
          <w:bCs w:val="0"/>
        </w:rPr>
      </w:pPr>
      <w:r>
        <w:rPr>
          <w:rFonts w:ascii="宋体" w:hAnsi="宋体" w:cs="宋体" w:eastAsia="宋体" w:hint="default"/>
        </w:rPr>
        <w:t>29.</w:t>
      </w:r>
      <w:r>
        <w:rPr>
          <w:rFonts w:ascii="宋体" w:hAnsi="宋体" w:cs="宋体" w:eastAsia="宋体" w:hint="default"/>
          <w:spacing w:val="2"/>
        </w:rPr>
        <w:t> </w:t>
      </w:r>
      <w:r>
        <w:rPr/>
        <w:t>政府补助</w:t>
      </w:r>
      <w:r>
        <w:rPr>
          <w:w w:val="100"/>
        </w:rPr>
        <w:t> </w:t>
      </w:r>
      <w:r>
        <w:rPr>
          <w:rFonts w:ascii="宋体" w:hAnsi="宋体" w:cs="宋体" w:eastAsia="宋体" w:hint="default"/>
          <w:spacing w:val="-1"/>
        </w:rPr>
        <w:t>(1)</w:t>
      </w:r>
      <w:r>
        <w:rPr>
          <w:spacing w:val="-1"/>
        </w:rPr>
        <w:t>、与资产相关的政府补助判断依据及会计处理方法</w:t>
      </w:r>
      <w:r>
        <w:rPr>
          <w:b w:val="0"/>
          <w:bCs w:val="0"/>
          <w:spacing w:val="-1"/>
        </w:rPr>
      </w:r>
    </w:p>
    <w:p>
      <w:pPr>
        <w:pStyle w:val="BodyText"/>
        <w:spacing w:line="240" w:lineRule="auto" w:before="12"/>
        <w:ind w:left="558" w:right="98" w:hanging="420"/>
        <w:jc w:val="left"/>
      </w:pPr>
      <w:r>
        <w:rPr/>
        <w:t>√适用</w:t>
      </w:r>
      <w:r>
        <w:rPr>
          <w:spacing w:val="-2"/>
        </w:rPr>
        <w:t> </w:t>
      </w:r>
      <w:r>
        <w:rPr/>
        <w:t>□不适用</w:t>
      </w:r>
      <w:r>
        <w:rPr>
          <w:w w:val="100"/>
        </w:rPr>
        <w:t> </w:t>
      </w:r>
      <w:r>
        <w:rPr>
          <w:spacing w:val="-4"/>
          <w:w w:val="100"/>
        </w:rPr>
        <w:t>公司取得的、用于购建或以其他方式形成长期资产的政府补助划分为与资产相关的政府补助。</w:t>
      </w:r>
    </w:p>
    <w:p>
      <w:pPr>
        <w:pStyle w:val="BodyText"/>
        <w:spacing w:line="237" w:lineRule="auto"/>
        <w:ind w:right="217"/>
        <w:jc w:val="both"/>
      </w:pPr>
      <w:r>
        <w:rPr>
          <w:spacing w:val="-2"/>
        </w:rPr>
        <w:t>与资产相关的政府补助，冲减相关资产的账面价值或确认为递延收益。与资产相关补助确认为递</w:t>
      </w:r>
      <w:r>
        <w:rPr>
          <w:spacing w:val="-25"/>
        </w:rPr>
        <w:t> </w:t>
      </w:r>
      <w:r>
        <w:rPr>
          <w:spacing w:val="-25"/>
        </w:rPr>
      </w:r>
      <w:r>
        <w:rPr>
          <w:spacing w:val="-2"/>
        </w:rPr>
        <w:t>延收益的，在相关资产使用寿命内按照合理、系统的方法分期计入损益。按照名义金额计量的政</w:t>
      </w:r>
      <w:r>
        <w:rPr>
          <w:spacing w:val="-25"/>
        </w:rPr>
        <w:t> </w:t>
      </w:r>
      <w:r>
        <w:rPr>
          <w:spacing w:val="-25"/>
        </w:rPr>
      </w:r>
      <w:r>
        <w:rPr>
          <w:spacing w:val="-2"/>
        </w:rPr>
        <w:t>府补助，直接计入当期损益。相关资产在使用寿命结束前被出售、转让、报废或发生毁损的，将</w:t>
      </w:r>
      <w:r>
        <w:rPr>
          <w:spacing w:val="-25"/>
        </w:rPr>
        <w:t> </w:t>
      </w:r>
      <w:r>
        <w:rPr>
          <w:spacing w:val="-25"/>
        </w:rPr>
      </w:r>
      <w:r>
        <w:rPr/>
        <w:t>尚未分配的相关递延收益余额转入资产处置当期的损益。</w:t>
      </w:r>
    </w:p>
    <w:p>
      <w:pPr>
        <w:spacing w:line="240" w:lineRule="auto" w:before="3"/>
        <w:rPr>
          <w:rFonts w:ascii="宋体" w:hAnsi="宋体" w:cs="宋体" w:eastAsia="宋体" w:hint="default"/>
          <w:sz w:val="25"/>
          <w:szCs w:val="25"/>
        </w:rPr>
      </w:pPr>
    </w:p>
    <w:p>
      <w:pPr>
        <w:pStyle w:val="Heading2"/>
        <w:spacing w:line="240" w:lineRule="auto"/>
        <w:ind w:left="138" w:right="98"/>
        <w:jc w:val="left"/>
        <w:rPr>
          <w:b w:val="0"/>
          <w:bCs w:val="0"/>
        </w:rPr>
      </w:pPr>
      <w:r>
        <w:rPr>
          <w:rFonts w:ascii="宋体" w:hAnsi="宋体" w:cs="宋体" w:eastAsia="宋体" w:hint="default"/>
        </w:rPr>
        <w:t>(2)</w:t>
      </w:r>
      <w:r>
        <w:rPr/>
        <w:t>、与收益相关的政府补助判断依据及会计处理方法</w:t>
      </w:r>
      <w:r>
        <w:rPr>
          <w:b w:val="0"/>
          <w:bCs w:val="0"/>
        </w:rPr>
      </w:r>
    </w:p>
    <w:p>
      <w:pPr>
        <w:pStyle w:val="BodyText"/>
        <w:spacing w:line="240" w:lineRule="auto" w:before="56"/>
        <w:ind w:left="558" w:right="98" w:hanging="420"/>
        <w:jc w:val="left"/>
      </w:pPr>
      <w:r>
        <w:rPr/>
        <w:t>√适用</w:t>
      </w:r>
      <w:r>
        <w:rPr>
          <w:spacing w:val="-2"/>
        </w:rPr>
        <w:t> </w:t>
      </w:r>
      <w:r>
        <w:rPr/>
        <w:t>□不适用</w:t>
      </w:r>
      <w:r>
        <w:rPr>
          <w:w w:val="100"/>
        </w:rPr>
        <w:t> </w:t>
      </w:r>
      <w:r>
        <w:rPr>
          <w:spacing w:val="-2"/>
        </w:rPr>
        <w:t>除与资产相关的政府补助之外的政府补助划分为与收益相关的政府补助。对于同时包含与资</w:t>
      </w:r>
    </w:p>
    <w:p>
      <w:pPr>
        <w:pStyle w:val="BodyText"/>
        <w:spacing w:line="237" w:lineRule="auto"/>
        <w:ind w:right="217"/>
        <w:jc w:val="both"/>
      </w:pPr>
      <w:r>
        <w:rPr>
          <w:spacing w:val="-2"/>
        </w:rPr>
        <w:t>产相关部分和与收益相关部分的政府补助，难以区分与资产相关或与收益相关的，整体归类为与</w:t>
      </w:r>
      <w:r>
        <w:rPr>
          <w:spacing w:val="-25"/>
        </w:rPr>
        <w:t> </w:t>
      </w:r>
      <w:r>
        <w:rPr>
          <w:spacing w:val="-25"/>
        </w:rPr>
      </w:r>
      <w:r>
        <w:rPr>
          <w:spacing w:val="-2"/>
        </w:rPr>
        <w:t>收益相关的政府补助。与收益相关的政府补助，用于补偿以后期间的相关成本费用或损失的，确</w:t>
      </w:r>
      <w:r>
        <w:rPr>
          <w:spacing w:val="-25"/>
        </w:rPr>
        <w:t> </w:t>
      </w:r>
      <w:r>
        <w:rPr>
          <w:spacing w:val="-25"/>
        </w:rPr>
      </w:r>
      <w:r>
        <w:rPr>
          <w:spacing w:val="-2"/>
        </w:rPr>
        <w:t>认为递延收益，在确认相关成本费用或损失的期间，计入当期损益或冲减相关成本；用于补偿已</w:t>
      </w:r>
      <w:r>
        <w:rPr>
          <w:spacing w:val="-25"/>
        </w:rPr>
        <w:t> </w:t>
      </w:r>
      <w:r>
        <w:rPr>
          <w:spacing w:val="-25"/>
        </w:rPr>
      </w:r>
      <w:r>
        <w:rPr/>
        <w:t>发生的相关成本费用或损失的，直接计入当期损益或冲减相关成本。</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2"/>
        <w:spacing w:line="240" w:lineRule="auto"/>
        <w:ind w:left="138" w:right="98"/>
        <w:jc w:val="left"/>
        <w:rPr>
          <w:b w:val="0"/>
          <w:bCs w:val="0"/>
        </w:rPr>
      </w:pPr>
      <w:r>
        <w:rPr>
          <w:rFonts w:ascii="宋体" w:hAnsi="宋体" w:cs="宋体" w:eastAsia="宋体" w:hint="default"/>
        </w:rPr>
        <w:t>30.</w:t>
      </w:r>
      <w:r>
        <w:rPr>
          <w:rFonts w:ascii="宋体" w:hAnsi="宋体" w:cs="宋体" w:eastAsia="宋体" w:hint="default"/>
          <w:spacing w:val="3"/>
        </w:rPr>
        <w:t> </w:t>
      </w:r>
      <w:r>
        <w:rPr/>
        <w:t>递延所得税资产</w:t>
      </w:r>
      <w:r>
        <w:rPr>
          <w:rFonts w:ascii="Calibri" w:hAnsi="Calibri" w:cs="Calibri" w:eastAsia="Calibri" w:hint="default"/>
        </w:rPr>
        <w:t>/</w:t>
      </w:r>
      <w:r>
        <w:rPr/>
        <w:t>递延所得税负债</w:t>
      </w:r>
      <w:r>
        <w:rPr>
          <w:b w:val="0"/>
          <w:bCs w:val="0"/>
        </w:rPr>
      </w:r>
    </w:p>
    <w:p>
      <w:pPr>
        <w:pStyle w:val="BodyText"/>
        <w:spacing w:line="274" w:lineRule="exact" w:before="29"/>
        <w:ind w:right="98"/>
        <w:jc w:val="left"/>
      </w:pPr>
      <w:r>
        <w:rPr/>
        <w:t>√适用</w:t>
      </w:r>
      <w:r>
        <w:rPr>
          <w:spacing w:val="-1"/>
        </w:rPr>
        <w:t> </w:t>
      </w:r>
      <w:r>
        <w:rPr/>
        <w:t>□不适用</w:t>
      </w:r>
    </w:p>
    <w:p>
      <w:pPr>
        <w:pStyle w:val="BodyText"/>
        <w:spacing w:line="357" w:lineRule="auto"/>
        <w:ind w:right="208" w:firstLine="419"/>
        <w:jc w:val="both"/>
      </w:pPr>
      <w:r>
        <w:rPr>
          <w:spacing w:val="-4"/>
        </w:rPr>
        <w:t>（</w:t>
      </w:r>
      <w:r>
        <w:rPr>
          <w:rFonts w:ascii="宋体" w:hAnsi="宋体" w:cs="宋体" w:eastAsia="宋体" w:hint="default"/>
          <w:spacing w:val="-4"/>
        </w:rPr>
        <w:t>1</w:t>
      </w:r>
      <w:r>
        <w:rPr>
          <w:spacing w:val="-4"/>
        </w:rPr>
        <w:t>）根据资产、负债的账面价值与其计税基础之间的差额（未作为资产和负债确认的项目按</w:t>
      </w:r>
      <w:r>
        <w:rPr>
          <w:w w:val="100"/>
        </w:rPr>
        <w:t> </w:t>
      </w:r>
      <w:r>
        <w:rPr>
          <w:spacing w:val="-2"/>
        </w:rPr>
        <w:t>照税法规定可以确定其计税基础的，该计税基础与其账面数之间的差额），按照预期收回该资产</w:t>
      </w:r>
      <w:r>
        <w:rPr>
          <w:spacing w:val="-25"/>
        </w:rPr>
        <w:t> </w:t>
      </w:r>
      <w:r>
        <w:rPr>
          <w:spacing w:val="-25"/>
        </w:rPr>
      </w:r>
      <w:r>
        <w:rPr/>
        <w:t>或清偿该负债期间的适用税率计算确认递延所得税资产或递延所得税负债。</w:t>
      </w:r>
    </w:p>
    <w:p>
      <w:pPr>
        <w:pStyle w:val="BodyText"/>
        <w:spacing w:line="355" w:lineRule="auto" w:before="32"/>
        <w:ind w:right="208" w:firstLine="419"/>
        <w:jc w:val="both"/>
      </w:pPr>
      <w:r>
        <w:rPr>
          <w:spacing w:val="-4"/>
        </w:rPr>
        <w:t>（</w:t>
      </w:r>
      <w:r>
        <w:rPr>
          <w:rFonts w:ascii="宋体" w:hAnsi="宋体" w:cs="宋体" w:eastAsia="宋体" w:hint="default"/>
          <w:spacing w:val="-4"/>
        </w:rPr>
        <w:t>2</w:t>
      </w:r>
      <w:r>
        <w:rPr>
          <w:spacing w:val="-4"/>
        </w:rPr>
        <w:t>）确认递延所得税资产以很可能取得用来抵扣可抵扣暂时性差异的应纳税所得额为限。资</w:t>
      </w:r>
      <w:r>
        <w:rPr>
          <w:w w:val="100"/>
        </w:rPr>
        <w:t> </w:t>
      </w:r>
      <w:r>
        <w:rPr>
          <w:spacing w:val="-2"/>
        </w:rPr>
        <w:t>产负债表日，有确凿证据表明未来期间很可能获得足够的应纳税所得额用来抵扣可抵扣暂时性差</w:t>
      </w:r>
      <w:r>
        <w:rPr>
          <w:spacing w:val="-25"/>
        </w:rPr>
        <w:t> </w:t>
      </w:r>
      <w:r>
        <w:rPr>
          <w:spacing w:val="-25"/>
        </w:rPr>
      </w:r>
      <w:r>
        <w:rPr/>
        <w:t>异的，确认以前会计期间未确认的递延所得税资产。</w:t>
      </w:r>
    </w:p>
    <w:p>
      <w:pPr>
        <w:pStyle w:val="BodyText"/>
        <w:spacing w:line="357" w:lineRule="auto" w:before="32"/>
        <w:ind w:right="208" w:firstLine="419"/>
        <w:jc w:val="both"/>
      </w:pPr>
      <w:r>
        <w:rPr>
          <w:spacing w:val="-4"/>
        </w:rPr>
        <w:t>（</w:t>
      </w:r>
      <w:r>
        <w:rPr>
          <w:rFonts w:ascii="宋体" w:hAnsi="宋体" w:cs="宋体" w:eastAsia="宋体" w:hint="default"/>
          <w:spacing w:val="-4"/>
        </w:rPr>
        <w:t>3</w:t>
      </w:r>
      <w:r>
        <w:rPr>
          <w:spacing w:val="-4"/>
        </w:rPr>
        <w:t>）资产负债表日，对递延所得税资产的账面价值进行复核，如果未来期间很可能无法获得</w:t>
      </w:r>
      <w:r>
        <w:rPr>
          <w:w w:val="100"/>
        </w:rPr>
        <w:t> </w:t>
      </w:r>
      <w:r>
        <w:rPr>
          <w:spacing w:val="-2"/>
        </w:rPr>
        <w:t>足够的应纳税所得额用以抵扣递延所得税资产的利益，则减记递延所得税资产的账面价值。在很</w:t>
      </w:r>
      <w:r>
        <w:rPr>
          <w:spacing w:val="-25"/>
        </w:rPr>
        <w:t> </w:t>
      </w:r>
      <w:r>
        <w:rPr>
          <w:spacing w:val="-25"/>
        </w:rPr>
      </w:r>
      <w:r>
        <w:rPr/>
        <w:t>可能获得足够的应纳税所得额时，转回减记的金额。</w:t>
      </w:r>
    </w:p>
    <w:p>
      <w:pPr>
        <w:pStyle w:val="BodyText"/>
        <w:spacing w:line="357" w:lineRule="auto" w:before="30"/>
        <w:ind w:right="208" w:firstLine="419"/>
        <w:jc w:val="both"/>
      </w:pPr>
      <w:r>
        <w:rPr>
          <w:spacing w:val="-4"/>
        </w:rPr>
        <w:t>（</w:t>
      </w:r>
      <w:r>
        <w:rPr>
          <w:rFonts w:ascii="宋体" w:hAnsi="宋体" w:cs="宋体" w:eastAsia="宋体" w:hint="default"/>
          <w:spacing w:val="-4"/>
        </w:rPr>
        <w:t>4</w:t>
      </w:r>
      <w:r>
        <w:rPr>
          <w:spacing w:val="-4"/>
        </w:rPr>
        <w:t>）公司当期所得税和递延所得税作为所得税费用或收益计入当期损益，但不包括下列情况</w:t>
      </w:r>
      <w:r>
        <w:rPr>
          <w:w w:val="100"/>
        </w:rPr>
        <w:t> </w:t>
      </w:r>
      <w:r>
        <w:rPr/>
        <w:t>产生的所得税：</w:t>
      </w:r>
      <w:r>
        <w:rPr>
          <w:rFonts w:ascii="宋体" w:hAnsi="宋体" w:cs="宋体" w:eastAsia="宋体" w:hint="default"/>
        </w:rPr>
        <w:t>1) </w:t>
      </w:r>
      <w:r>
        <w:rPr/>
        <w:t>企业合并；</w:t>
      </w:r>
      <w:r>
        <w:rPr>
          <w:rFonts w:ascii="宋体" w:hAnsi="宋体" w:cs="宋体" w:eastAsia="宋体" w:hint="default"/>
        </w:rPr>
        <w:t>2)</w:t>
      </w:r>
      <w:r>
        <w:rPr>
          <w:rFonts w:ascii="宋体" w:hAnsi="宋体" w:cs="宋体" w:eastAsia="宋体" w:hint="default"/>
          <w:spacing w:val="-7"/>
        </w:rPr>
        <w:t> </w:t>
      </w:r>
      <w:r>
        <w:rPr/>
        <w:t>直接在所有者权益中确认的交易或者事项。</w:t>
      </w:r>
    </w:p>
    <w:p>
      <w:pPr>
        <w:spacing w:line="240" w:lineRule="auto" w:before="11"/>
        <w:rPr>
          <w:rFonts w:ascii="宋体" w:hAnsi="宋体" w:cs="宋体" w:eastAsia="宋体" w:hint="default"/>
          <w:sz w:val="27"/>
          <w:szCs w:val="27"/>
        </w:rPr>
      </w:pPr>
    </w:p>
    <w:p>
      <w:pPr>
        <w:pStyle w:val="Heading2"/>
        <w:spacing w:line="290" w:lineRule="auto"/>
        <w:ind w:left="138" w:right="6181"/>
        <w:jc w:val="left"/>
        <w:rPr>
          <w:b w:val="0"/>
          <w:bCs w:val="0"/>
        </w:rPr>
      </w:pPr>
      <w:r>
        <w:rPr>
          <w:rFonts w:ascii="宋体" w:hAnsi="宋体" w:cs="宋体" w:eastAsia="宋体" w:hint="default"/>
        </w:rPr>
        <w:t>31.</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spacing w:line="272" w:lineRule="exact" w:before="42"/>
        <w:ind w:left="558" w:right="98" w:hanging="420"/>
        <w:jc w:val="left"/>
      </w:pPr>
      <w:r>
        <w:rPr/>
        <w:t>√适用</w:t>
      </w:r>
      <w:r>
        <w:rPr>
          <w:spacing w:val="-2"/>
        </w:rPr>
        <w:t> </w:t>
      </w:r>
      <w:r>
        <w:rPr/>
        <w:t>□不适用</w:t>
      </w:r>
      <w:r>
        <w:rPr>
          <w:w w:val="100"/>
        </w:rPr>
        <w:t> </w:t>
      </w:r>
      <w:r>
        <w:rPr>
          <w:spacing w:val="-2"/>
        </w:rPr>
        <w:t>公司为承租人时，在租赁期内各个期间按照直线法将租金计入相关资产成本或确认为当期损</w:t>
      </w:r>
    </w:p>
    <w:p>
      <w:pPr>
        <w:pStyle w:val="BodyText"/>
        <w:spacing w:line="357" w:lineRule="auto" w:before="108"/>
        <w:ind w:left="558" w:right="98" w:hanging="420"/>
        <w:jc w:val="left"/>
      </w:pPr>
      <w:r>
        <w:rPr/>
        <w:t>益，发生的初始直接费用，直接计入当期损益。或有租金在实际发生时计入当期损益。</w:t>
      </w:r>
      <w:r>
        <w:rPr>
          <w:w w:val="100"/>
        </w:rPr>
        <w:t> </w:t>
      </w:r>
      <w:r>
        <w:rPr>
          <w:spacing w:val="-2"/>
        </w:rPr>
        <w:t>公司为出租人时，在租赁期内各个期间按照直线法将租金确认为当期损益，发生的初始直接</w:t>
      </w:r>
    </w:p>
    <w:p>
      <w:pPr>
        <w:pStyle w:val="BodyText"/>
        <w:spacing w:line="357" w:lineRule="auto" w:before="30"/>
        <w:ind w:right="217"/>
        <w:jc w:val="both"/>
      </w:pPr>
      <w:r>
        <w:rPr>
          <w:spacing w:val="-2"/>
        </w:rPr>
        <w:t>费用，除金额较大的予以资本化并分期计入损益外，均直接计入当期损益。或有租金在实际发生</w:t>
      </w:r>
      <w:r>
        <w:rPr>
          <w:spacing w:val="-25"/>
        </w:rPr>
        <w:t> </w:t>
      </w:r>
      <w:r>
        <w:rPr>
          <w:spacing w:val="-25"/>
        </w:rPr>
      </w:r>
      <w:r>
        <w:rPr/>
        <w:t>时计入当期损益。</w:t>
      </w:r>
    </w:p>
    <w:p>
      <w:pPr>
        <w:spacing w:after="0" w:line="357" w:lineRule="auto"/>
        <w:jc w:val="both"/>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5"/>
        <w:ind w:right="3084"/>
        <w:jc w:val="left"/>
        <w:rPr>
          <w:b w:val="0"/>
          <w:bCs w:val="0"/>
        </w:rPr>
      </w:pPr>
      <w:r>
        <w:rPr>
          <w:rFonts w:ascii="宋体" w:hAnsi="宋体" w:cs="宋体" w:eastAsia="宋体" w:hint="default"/>
        </w:rPr>
        <w:t>(2)</w:t>
      </w:r>
      <w:r>
        <w:rPr/>
        <w:t>、融资租赁的会计处理方法</w:t>
      </w:r>
      <w:r>
        <w:rPr>
          <w:b w:val="0"/>
          <w:bCs w:val="0"/>
        </w:rPr>
      </w:r>
    </w:p>
    <w:p>
      <w:pPr>
        <w:pStyle w:val="BodyText"/>
        <w:spacing w:line="240" w:lineRule="auto" w:before="56"/>
        <w:ind w:left="218" w:right="308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3084"/>
        <w:jc w:val="left"/>
        <w:rPr>
          <w:b w:val="0"/>
          <w:bCs w:val="0"/>
        </w:rPr>
      </w:pPr>
      <w:r>
        <w:rPr>
          <w:rFonts w:ascii="宋体" w:hAnsi="宋体" w:cs="宋体" w:eastAsia="宋体" w:hint="default"/>
        </w:rPr>
        <w:t>32. </w:t>
      </w:r>
      <w:r>
        <w:rPr/>
        <w:t>其他重要的会计政策和会计估计</w:t>
      </w:r>
      <w:r>
        <w:rPr>
          <w:b w:val="0"/>
          <w:bCs w:val="0"/>
        </w:rPr>
      </w:r>
    </w:p>
    <w:p>
      <w:pPr>
        <w:pStyle w:val="BodyText"/>
        <w:spacing w:line="240" w:lineRule="auto" w:before="58"/>
        <w:ind w:left="218" w:right="308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ind w:right="5673"/>
        <w:jc w:val="left"/>
        <w:rPr>
          <w:b w:val="0"/>
          <w:bCs w:val="0"/>
        </w:rPr>
      </w:pPr>
      <w:r>
        <w:rPr>
          <w:rFonts w:ascii="宋体" w:hAnsi="宋体" w:cs="宋体" w:eastAsia="宋体" w:hint="default"/>
        </w:rPr>
        <w:t>33.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73" w:lineRule="exact" w:before="14"/>
        <w:ind w:left="218" w:right="3084"/>
        <w:jc w:val="left"/>
      </w:pPr>
      <w:r>
        <w:rPr/>
        <w:t>√适用</w:t>
      </w:r>
      <w:r>
        <w:rPr>
          <w:spacing w:val="-1"/>
        </w:rPr>
        <w:t> </w:t>
      </w:r>
      <w:r>
        <w:rPr/>
        <w:t>□不适用</w:t>
      </w:r>
    </w:p>
    <w:p>
      <w:pPr>
        <w:pStyle w:val="BodyText"/>
        <w:spacing w:line="273" w:lineRule="exact"/>
        <w:ind w:left="638" w:right="0"/>
        <w:jc w:val="left"/>
      </w:pPr>
      <w:r>
        <w:rPr>
          <w:rFonts w:ascii="宋体" w:hAnsi="宋体" w:cs="宋体" w:eastAsia="宋体" w:hint="default"/>
        </w:rPr>
        <w:t>1)</w:t>
      </w:r>
      <w:r>
        <w:rPr>
          <w:rFonts w:ascii="宋体" w:hAnsi="宋体" w:cs="宋体" w:eastAsia="宋体" w:hint="default"/>
          <w:spacing w:val="-2"/>
        </w:rPr>
        <w:t> </w:t>
      </w:r>
      <w:r>
        <w:rPr/>
        <w:t>本公司自</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5</w:t>
      </w:r>
      <w:r>
        <w:rPr>
          <w:rFonts w:ascii="宋体" w:hAnsi="宋体" w:cs="宋体" w:eastAsia="宋体" w:hint="default"/>
          <w:spacing w:val="-56"/>
        </w:rPr>
        <w:t> </w:t>
      </w:r>
      <w:r>
        <w:rPr/>
        <w:t>月</w:t>
      </w:r>
      <w:r>
        <w:rPr>
          <w:spacing w:val="-56"/>
        </w:rPr>
        <w:t> </w:t>
      </w:r>
      <w:r>
        <w:rPr>
          <w:rFonts w:ascii="宋体" w:hAnsi="宋体" w:cs="宋体" w:eastAsia="宋体" w:hint="default"/>
        </w:rPr>
        <w:t>28</w:t>
      </w:r>
      <w:r>
        <w:rPr>
          <w:rFonts w:ascii="宋体" w:hAnsi="宋体" w:cs="宋体" w:eastAsia="宋体" w:hint="default"/>
          <w:spacing w:val="-54"/>
        </w:rPr>
        <w:t> </w:t>
      </w:r>
      <w:r>
        <w:rPr/>
        <w:t>日起执行财政部制定的《企业会计准则第</w:t>
      </w:r>
      <w:r>
        <w:rPr>
          <w:spacing w:val="-54"/>
        </w:rPr>
        <w:t> </w:t>
      </w:r>
      <w:r>
        <w:rPr>
          <w:rFonts w:ascii="宋体" w:hAnsi="宋体" w:cs="宋体" w:eastAsia="宋体" w:hint="default"/>
        </w:rPr>
        <w:t>42</w:t>
      </w:r>
      <w:r>
        <w:rPr>
          <w:rFonts w:ascii="宋体" w:hAnsi="宋体" w:cs="宋体" w:eastAsia="宋体" w:hint="default"/>
          <w:spacing w:val="-53"/>
        </w:rPr>
        <w:t> </w:t>
      </w:r>
      <w:r>
        <w:rPr/>
        <w:t>号——持有待售的</w:t>
      </w:r>
    </w:p>
    <w:p>
      <w:pPr>
        <w:pStyle w:val="BodyText"/>
        <w:spacing w:line="357" w:lineRule="auto" w:before="133"/>
        <w:ind w:left="218" w:right="227"/>
        <w:jc w:val="left"/>
      </w:pPr>
      <w:r>
        <w:rPr/>
        <w:t>非流动资产、处置组和终止经营》，自</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6</w:t>
      </w:r>
      <w:r>
        <w:rPr>
          <w:rFonts w:ascii="宋体" w:hAnsi="宋体" w:cs="宋体" w:eastAsia="宋体" w:hint="default"/>
          <w:spacing w:val="-56"/>
        </w:rPr>
        <w:t> </w:t>
      </w:r>
      <w:r>
        <w:rPr/>
        <w:t>月</w:t>
      </w:r>
      <w:r>
        <w:rPr>
          <w:spacing w:val="-53"/>
        </w:rPr>
        <w:t> </w:t>
      </w:r>
      <w:r>
        <w:rPr>
          <w:rFonts w:ascii="宋体" w:hAnsi="宋体" w:cs="宋体" w:eastAsia="宋体" w:hint="default"/>
        </w:rPr>
        <w:t>12</w:t>
      </w:r>
      <w:r>
        <w:rPr>
          <w:rFonts w:ascii="宋体" w:hAnsi="宋体" w:cs="宋体" w:eastAsia="宋体" w:hint="default"/>
          <w:spacing w:val="-56"/>
        </w:rPr>
        <w:t> </w:t>
      </w:r>
      <w:r>
        <w:rPr/>
        <w:t>日起执行经修订的《企业会计准则第</w:t>
      </w:r>
      <w:r>
        <w:rPr>
          <w:spacing w:val="-54"/>
        </w:rPr>
        <w:t> </w:t>
      </w:r>
      <w:r>
        <w:rPr>
          <w:rFonts w:ascii="宋体" w:hAnsi="宋体" w:cs="宋体" w:eastAsia="宋体" w:hint="default"/>
        </w:rPr>
        <w:t>16</w:t>
      </w:r>
      <w:r>
        <w:rPr>
          <w:rFonts w:ascii="宋体" w:hAnsi="宋体" w:cs="宋体" w:eastAsia="宋体" w:hint="default"/>
          <w:w w:val="100"/>
        </w:rPr>
        <w:t> </w:t>
      </w:r>
      <w:r>
        <w:rPr/>
        <w:t>号——政府补助》。该项会计政策变更采用未来适用法处理。</w:t>
      </w:r>
    </w:p>
    <w:p>
      <w:pPr>
        <w:pStyle w:val="BodyText"/>
        <w:spacing w:line="357" w:lineRule="auto" w:before="30"/>
        <w:ind w:left="218" w:right="227" w:firstLine="419"/>
        <w:jc w:val="both"/>
      </w:pPr>
      <w:r>
        <w:rPr>
          <w:rFonts w:ascii="宋体" w:hAnsi="宋体" w:cs="宋体" w:eastAsia="宋体" w:hint="default"/>
        </w:rPr>
        <w:t>2) </w:t>
      </w:r>
      <w:r>
        <w:rPr/>
        <w:t>本公司编制 </w:t>
      </w:r>
      <w:r>
        <w:rPr>
          <w:rFonts w:ascii="宋体" w:hAnsi="宋体" w:cs="宋体" w:eastAsia="宋体" w:hint="default"/>
        </w:rPr>
        <w:t>2017</w:t>
      </w:r>
      <w:r>
        <w:rPr>
          <w:rFonts w:ascii="宋体" w:hAnsi="宋体" w:cs="宋体" w:eastAsia="宋体" w:hint="default"/>
          <w:spacing w:val="-50"/>
        </w:rPr>
        <w:t> </w:t>
      </w:r>
      <w:r>
        <w:rPr>
          <w:spacing w:val="-5"/>
        </w:rPr>
        <w:t>年度报表执行《财政部关于修订印发一般企业财务报表格式的通知》</w:t>
      </w:r>
      <w:r>
        <w:rPr>
          <w:rFonts w:ascii="宋体" w:hAnsi="宋体" w:cs="宋体" w:eastAsia="宋体" w:hint="default"/>
          <w:spacing w:val="-5"/>
        </w:rPr>
        <w:t>(</w:t>
      </w:r>
      <w:r>
        <w:rPr>
          <w:spacing w:val="-5"/>
        </w:rPr>
        <w:t>财</w:t>
      </w:r>
      <w:r>
        <w:rPr>
          <w:w w:val="100"/>
        </w:rPr>
        <w:t> </w:t>
      </w:r>
      <w:r>
        <w:rPr/>
        <w:t>会〔</w:t>
      </w:r>
      <w:r>
        <w:rPr>
          <w:rFonts w:ascii="宋体" w:hAnsi="宋体" w:cs="宋体" w:eastAsia="宋体" w:hint="default"/>
        </w:rPr>
        <w:t>2017</w:t>
      </w:r>
      <w:r>
        <w:rPr/>
        <w:t>〕</w:t>
      </w:r>
      <w:r>
        <w:rPr>
          <w:rFonts w:ascii="宋体" w:hAnsi="宋体" w:cs="宋体" w:eastAsia="宋体" w:hint="default"/>
        </w:rPr>
        <w:t>30</w:t>
      </w:r>
      <w:r>
        <w:rPr>
          <w:rFonts w:ascii="宋体" w:hAnsi="宋体" w:cs="宋体" w:eastAsia="宋体" w:hint="default"/>
          <w:spacing w:val="-56"/>
        </w:rPr>
        <w:t> </w:t>
      </w:r>
      <w:r>
        <w:rPr/>
        <w:t>号</w:t>
      </w:r>
      <w:r>
        <w:rPr>
          <w:rFonts w:ascii="宋体" w:hAnsi="宋体" w:cs="宋体" w:eastAsia="宋体" w:hint="default"/>
        </w:rPr>
        <w:t>)</w:t>
      </w:r>
      <w:r>
        <w:rPr/>
        <w:t>，将原列报于“营业外收入”和“营业外支出”的非流动资产处置利得和损失</w:t>
      </w:r>
      <w:r>
        <w:rPr>
          <w:w w:val="100"/>
        </w:rPr>
        <w:t> </w:t>
      </w:r>
      <w:r>
        <w:rPr>
          <w:spacing w:val="-2"/>
        </w:rPr>
        <w:t>和非货币性资产交换利得和损失变更为列报于“资产处置收益”。该项会计政策变更采用追溯调</w:t>
      </w:r>
      <w:r>
        <w:rPr>
          <w:spacing w:val="-25"/>
        </w:rPr>
        <w:t> </w:t>
      </w:r>
      <w:r>
        <w:rPr>
          <w:spacing w:val="-25"/>
        </w:rPr>
      </w:r>
      <w:r>
        <w:rPr>
          <w:spacing w:val="-5"/>
        </w:rPr>
        <w:t>整法。由于上期不存在该项会计政策变更所涉及的交易事项，故本次变更对</w:t>
      </w:r>
      <w:r>
        <w:rPr>
          <w:spacing w:val="-27"/>
        </w:rPr>
        <w:t> </w:t>
      </w:r>
      <w:r>
        <w:rPr>
          <w:rFonts w:ascii="宋体" w:hAnsi="宋体" w:cs="宋体" w:eastAsia="宋体" w:hint="default"/>
        </w:rPr>
        <w:t>2017</w:t>
      </w:r>
      <w:r>
        <w:rPr>
          <w:rFonts w:ascii="宋体" w:hAnsi="宋体" w:cs="宋体" w:eastAsia="宋体" w:hint="default"/>
          <w:spacing w:val="-26"/>
        </w:rPr>
        <w:t> </w:t>
      </w:r>
      <w:r>
        <w:rPr/>
        <w:t>年度财务报表的</w:t>
      </w:r>
      <w:r>
        <w:rPr>
          <w:spacing w:val="-95"/>
        </w:rPr>
        <w:t> </w:t>
      </w:r>
      <w:r>
        <w:rPr>
          <w:spacing w:val="-95"/>
        </w:rPr>
      </w:r>
      <w:r>
        <w:rPr/>
        <w:t>可比数据无影响。</w:t>
      </w:r>
    </w:p>
    <w:p>
      <w:pPr>
        <w:spacing w:line="240" w:lineRule="auto" w:before="9"/>
        <w:rPr>
          <w:rFonts w:ascii="宋体" w:hAnsi="宋体" w:cs="宋体" w:eastAsia="宋体" w:hint="default"/>
          <w:sz w:val="27"/>
          <w:szCs w:val="27"/>
        </w:rPr>
      </w:pPr>
    </w:p>
    <w:p>
      <w:pPr>
        <w:pStyle w:val="Heading2"/>
        <w:spacing w:line="240" w:lineRule="auto"/>
        <w:ind w:right="3084"/>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58"/>
        <w:ind w:left="218" w:right="3084"/>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2"/>
        <w:spacing w:line="240" w:lineRule="auto"/>
        <w:ind w:right="3084"/>
        <w:jc w:val="left"/>
        <w:rPr>
          <w:b w:val="0"/>
          <w:bCs w:val="0"/>
        </w:rPr>
      </w:pPr>
      <w:r>
        <w:rPr>
          <w:rFonts w:ascii="宋体" w:hAnsi="宋体" w:cs="宋体" w:eastAsia="宋体" w:hint="default"/>
        </w:rPr>
        <w:t>34.</w:t>
      </w:r>
      <w:r>
        <w:rPr>
          <w:rFonts w:ascii="宋体" w:hAnsi="宋体" w:cs="宋体" w:eastAsia="宋体" w:hint="default"/>
          <w:spacing w:val="2"/>
        </w:rPr>
        <w:t> </w:t>
      </w:r>
      <w:r>
        <w:rPr/>
        <w:t>其他</w:t>
      </w:r>
      <w:r>
        <w:rPr>
          <w:b w:val="0"/>
          <w:bCs w:val="0"/>
        </w:rPr>
      </w:r>
    </w:p>
    <w:p>
      <w:pPr>
        <w:pStyle w:val="BodyText"/>
        <w:spacing w:line="240" w:lineRule="auto" w:before="58"/>
        <w:ind w:left="218" w:right="308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3084"/>
        <w:jc w:val="left"/>
        <w:rPr>
          <w:b w:val="0"/>
          <w:bCs w:val="0"/>
        </w:rPr>
      </w:pPr>
      <w:r>
        <w:rPr/>
        <w:t>六、税项</w:t>
      </w:r>
      <w:r>
        <w:rPr>
          <w:b w:val="0"/>
          <w:bCs w:val="0"/>
        </w:rPr>
      </w:r>
    </w:p>
    <w:p>
      <w:pPr>
        <w:tabs>
          <w:tab w:pos="642" w:val="left" w:leader="none"/>
        </w:tabs>
        <w:spacing w:line="290" w:lineRule="auto" w:before="56"/>
        <w:ind w:left="218" w:right="7163"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p>
    <w:p>
      <w:pPr>
        <w:pStyle w:val="BodyText"/>
        <w:spacing w:line="228" w:lineRule="exact"/>
        <w:ind w:left="218" w:right="3084"/>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82"/>
        <w:gridCol w:w="3147"/>
        <w:gridCol w:w="3121"/>
      </w:tblGrid>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销售货物或提供应税劳务</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6%</w:t>
            </w:r>
            <w:r>
              <w:rPr>
                <w:rFonts w:ascii="宋体" w:hAnsi="宋体" w:cs="宋体" w:eastAsia="宋体" w:hint="default"/>
                <w:spacing w:val="-1"/>
                <w:sz w:val="21"/>
                <w:szCs w:val="21"/>
              </w:rPr>
              <w:t>、</w:t>
            </w:r>
            <w:r>
              <w:rPr>
                <w:rFonts w:ascii="宋体" w:hAnsi="宋体" w:cs="宋体" w:eastAsia="宋体" w:hint="default"/>
                <w:spacing w:val="-1"/>
                <w:sz w:val="21"/>
                <w:szCs w:val="21"/>
              </w:rPr>
              <w:t>17%</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w:t>
            </w:r>
          </w:p>
        </w:tc>
      </w:tr>
      <w:tr>
        <w:trPr>
          <w:trHeight w:val="826"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从价计征的，按房产原值一次减</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除</w:t>
            </w:r>
            <w:r>
              <w:rPr>
                <w:rFonts w:ascii="宋体" w:hAnsi="宋体" w:cs="宋体" w:eastAsia="宋体" w:hint="default"/>
                <w:spacing w:val="-57"/>
                <w:sz w:val="21"/>
                <w:szCs w:val="21"/>
              </w:rPr>
              <w:t> </w:t>
            </w:r>
            <w:r>
              <w:rPr>
                <w:rFonts w:ascii="宋体" w:hAnsi="宋体" w:cs="宋体" w:eastAsia="宋体" w:hint="default"/>
                <w:sz w:val="21"/>
                <w:szCs w:val="21"/>
              </w:rPr>
              <w:t>30%</w:t>
            </w:r>
            <w:r>
              <w:rPr>
                <w:rFonts w:ascii="宋体" w:hAnsi="宋体" w:cs="宋体" w:eastAsia="宋体" w:hint="default"/>
                <w:sz w:val="21"/>
                <w:szCs w:val="21"/>
              </w:rPr>
              <w:t>后余值的</w:t>
            </w:r>
            <w:r>
              <w:rPr>
                <w:rFonts w:ascii="宋体" w:hAnsi="宋体" w:cs="宋体" w:eastAsia="宋体" w:hint="default"/>
                <w:spacing w:val="-59"/>
                <w:sz w:val="21"/>
                <w:szCs w:val="21"/>
              </w:rPr>
              <w:t> </w:t>
            </w:r>
            <w:r>
              <w:rPr>
                <w:rFonts w:ascii="宋体" w:hAnsi="宋体" w:cs="宋体" w:eastAsia="宋体" w:hint="default"/>
                <w:sz w:val="21"/>
                <w:szCs w:val="21"/>
              </w:rPr>
              <w:t>1.2%</w:t>
            </w:r>
            <w:r>
              <w:rPr>
                <w:rFonts w:ascii="宋体" w:hAnsi="宋体" w:cs="宋体" w:eastAsia="宋体" w:hint="default"/>
                <w:sz w:val="21"/>
                <w:szCs w:val="21"/>
              </w:rPr>
              <w:t>计缴；从租</w:t>
            </w:r>
            <w:r>
              <w:rPr>
                <w:rFonts w:ascii="宋体" w:hAnsi="宋体" w:cs="宋体" w:eastAsia="宋体" w:hint="default"/>
                <w:w w:val="100"/>
                <w:sz w:val="21"/>
                <w:szCs w:val="21"/>
              </w:rPr>
              <w:t> </w:t>
            </w:r>
            <w:r>
              <w:rPr>
                <w:rFonts w:ascii="宋体" w:hAnsi="宋体" w:cs="宋体" w:eastAsia="宋体" w:hint="default"/>
                <w:sz w:val="21"/>
                <w:szCs w:val="21"/>
              </w:rPr>
              <w:t>计征的，按租金收入的</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z w:val="21"/>
                <w:szCs w:val="21"/>
              </w:rPr>
              <w:t>计缴</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1.2%</w:t>
            </w:r>
            <w:r>
              <w:rPr>
                <w:rFonts w:ascii="宋体" w:hAnsi="宋体" w:cs="宋体" w:eastAsia="宋体" w:hint="default"/>
                <w:spacing w:val="-1"/>
                <w:sz w:val="21"/>
                <w:szCs w:val="21"/>
              </w:rPr>
              <w:t>、</w:t>
            </w:r>
            <w:r>
              <w:rPr>
                <w:rFonts w:ascii="宋体" w:hAnsi="宋体" w:cs="宋体" w:eastAsia="宋体" w:hint="default"/>
                <w:spacing w:val="-1"/>
                <w:sz w:val="21"/>
                <w:szCs w:val="21"/>
              </w:rPr>
              <w:t>12%</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w:t>
            </w:r>
          </w:p>
        </w:tc>
      </w:tr>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w:t>
            </w:r>
          </w:p>
        </w:tc>
      </w:tr>
      <w:tr>
        <w:trPr>
          <w:trHeight w:val="420"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w:t>
            </w:r>
          </w:p>
        </w:tc>
      </w:tr>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防洪费</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w:t>
            </w:r>
          </w:p>
        </w:tc>
      </w:tr>
      <w:tr>
        <w:trPr>
          <w:trHeight w:val="284"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关税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进出口货物的价格</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5%</w:t>
            </w:r>
          </w:p>
        </w:tc>
      </w:tr>
    </w:tbl>
    <w:p>
      <w:pPr>
        <w:spacing w:after="0" w:line="244" w:lineRule="exact"/>
        <w:jc w:val="right"/>
        <w:rPr>
          <w:rFonts w:ascii="宋体" w:hAnsi="宋体" w:cs="宋体" w:eastAsia="宋体" w:hint="default"/>
          <w:sz w:val="21"/>
          <w:szCs w:val="21"/>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274" w:lineRule="exact" w:before="36"/>
        <w:ind w:right="0"/>
        <w:jc w:val="left"/>
      </w:pPr>
      <w:r>
        <w:rPr/>
        <w:t>存在不同企业所得税税率纳税主体的，披露情况说明</w:t>
      </w:r>
    </w:p>
    <w:p>
      <w:pPr>
        <w:tabs>
          <w:tab w:pos="562" w:val="left" w:leader="none"/>
        </w:tabs>
        <w:spacing w:line="290" w:lineRule="auto" w:before="0"/>
        <w:ind w:left="138" w:right="738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税收优惠</w:t>
      </w:r>
      <w:r>
        <w:rPr>
          <w:rFonts w:ascii="宋体" w:hAnsi="宋体" w:cs="宋体" w:eastAsia="宋体" w:hint="default"/>
          <w:sz w:val="21"/>
          <w:szCs w:val="21"/>
        </w:rPr>
      </w:r>
    </w:p>
    <w:p>
      <w:pPr>
        <w:pStyle w:val="BodyText"/>
        <w:spacing w:line="273" w:lineRule="exact" w:before="14"/>
        <w:ind w:right="0"/>
        <w:jc w:val="left"/>
      </w:pPr>
      <w:r>
        <w:rPr/>
        <w:t>√适用</w:t>
      </w:r>
      <w:r>
        <w:rPr>
          <w:spacing w:val="-1"/>
        </w:rPr>
        <w:t> </w:t>
      </w:r>
      <w:r>
        <w:rPr/>
        <w:t>□不适用</w:t>
      </w:r>
    </w:p>
    <w:p>
      <w:pPr>
        <w:pStyle w:val="BodyText"/>
        <w:spacing w:line="272" w:lineRule="exact"/>
        <w:ind w:left="558" w:right="0"/>
        <w:jc w:val="left"/>
      </w:pPr>
      <w:r>
        <w:rPr/>
        <w:t>（</w:t>
      </w:r>
      <w:r>
        <w:rPr>
          <w:rFonts w:ascii="宋体" w:hAnsi="宋体" w:cs="宋体" w:eastAsia="宋体" w:hint="default"/>
        </w:rPr>
        <w:t>1</w:t>
      </w:r>
      <w:r>
        <w:rPr/>
        <w:t>）增值税</w:t>
      </w:r>
    </w:p>
    <w:p>
      <w:pPr>
        <w:pStyle w:val="BodyText"/>
        <w:spacing w:line="355" w:lineRule="auto"/>
        <w:ind w:right="127" w:firstLine="419"/>
        <w:jc w:val="both"/>
      </w:pPr>
      <w:r>
        <w:rPr>
          <w:spacing w:val="-5"/>
          <w:w w:val="100"/>
        </w:rPr>
        <w:t>根据《关于软件产品增值税政策的通知》（财税</w:t>
      </w:r>
      <w:r>
        <w:rPr>
          <w:rFonts w:ascii="宋体" w:hAnsi="宋体" w:cs="宋体" w:eastAsia="宋体" w:hint="default"/>
          <w:spacing w:val="-5"/>
          <w:w w:val="100"/>
        </w:rPr>
        <w:t>[2011]100</w:t>
      </w:r>
      <w:r>
        <w:rPr>
          <w:rFonts w:ascii="宋体" w:hAnsi="宋体" w:cs="宋体" w:eastAsia="宋体" w:hint="default"/>
          <w:spacing w:val="16"/>
          <w:w w:val="100"/>
        </w:rPr>
        <w:t> </w:t>
      </w:r>
      <w:r>
        <w:rPr>
          <w:spacing w:val="-8"/>
          <w:w w:val="100"/>
        </w:rPr>
        <w:t>号），增值税一般纳税人销售其自</w:t>
      </w:r>
      <w:r>
        <w:rPr>
          <w:w w:val="100"/>
        </w:rPr>
        <w:t> </w:t>
      </w:r>
      <w:r>
        <w:rPr/>
        <w:t>行开发生产的软件产品，按</w:t>
      </w:r>
      <w:r>
        <w:rPr>
          <w:spacing w:val="-50"/>
        </w:rPr>
        <w:t> </w:t>
      </w:r>
      <w:r>
        <w:rPr>
          <w:rFonts w:ascii="宋体" w:hAnsi="宋体" w:cs="宋体" w:eastAsia="宋体" w:hint="default"/>
        </w:rPr>
        <w:t>17%</w:t>
      </w:r>
      <w:r>
        <w:rPr/>
        <w:t>税率征收增值税后，对其增值税实际税负超过</w:t>
      </w:r>
      <w:r>
        <w:rPr>
          <w:spacing w:val="-50"/>
        </w:rPr>
        <w:t> </w:t>
      </w:r>
      <w:r>
        <w:rPr>
          <w:rFonts w:ascii="宋体" w:hAnsi="宋体" w:cs="宋体" w:eastAsia="宋体" w:hint="default"/>
        </w:rPr>
        <w:t>3%</w:t>
      </w:r>
      <w:r>
        <w:rPr/>
        <w:t>的部分实行即征</w:t>
      </w:r>
      <w:r>
        <w:rPr>
          <w:w w:val="100"/>
        </w:rPr>
        <w:t> </w:t>
      </w:r>
      <w:r>
        <w:rPr/>
        <w:t>即退政策。</w:t>
      </w:r>
    </w:p>
    <w:p>
      <w:pPr>
        <w:pStyle w:val="BodyText"/>
        <w:spacing w:line="240" w:lineRule="auto" w:before="32"/>
        <w:ind w:left="558" w:right="0"/>
        <w:jc w:val="left"/>
      </w:pPr>
      <w:r>
        <w:rPr/>
        <w:t>（</w:t>
      </w:r>
      <w:r>
        <w:rPr>
          <w:rFonts w:ascii="宋体" w:hAnsi="宋体" w:cs="宋体" w:eastAsia="宋体" w:hint="default"/>
        </w:rPr>
        <w:t>2</w:t>
      </w:r>
      <w:r>
        <w:rPr/>
        <w:t>）企业所得税</w:t>
      </w:r>
      <w:r>
        <w:rPr>
          <w:w w:val="100"/>
        </w:rPr>
        <w:t> </w:t>
      </w:r>
      <w:r>
        <w:rPr>
          <w:spacing w:val="-2"/>
        </w:rPr>
        <w:t>根据天津市科学技术委员会、天津市财政局、天津市国家税务局、天津市地方税务局联合下</w:t>
      </w:r>
    </w:p>
    <w:p>
      <w:pPr>
        <w:pStyle w:val="BodyText"/>
        <w:spacing w:line="240" w:lineRule="auto" w:before="133"/>
        <w:ind w:right="0"/>
        <w:jc w:val="left"/>
        <w:rPr>
          <w:rFonts w:ascii="宋体" w:hAnsi="宋体" w:cs="宋体" w:eastAsia="宋体" w:hint="default"/>
        </w:rPr>
      </w:pPr>
      <w:r>
        <w:rPr/>
        <w:t>发的《关于公示天津市</w:t>
      </w:r>
      <w:r>
        <w:rPr>
          <w:spacing w:val="-58"/>
        </w:rPr>
        <w:t> </w:t>
      </w:r>
      <w:r>
        <w:rPr>
          <w:rFonts w:ascii="宋体" w:hAnsi="宋体" w:cs="宋体" w:eastAsia="宋体" w:hint="default"/>
        </w:rPr>
        <w:t>2016</w:t>
      </w:r>
      <w:r>
        <w:rPr>
          <w:rFonts w:ascii="宋体" w:hAnsi="宋体" w:cs="宋体" w:eastAsia="宋体" w:hint="default"/>
          <w:spacing w:val="-59"/>
        </w:rPr>
        <w:t> </w:t>
      </w:r>
      <w:r>
        <w:rPr/>
        <w:t>年第二批拟认定高新技术企业名单的通知》（津科高函〔</w:t>
      </w:r>
      <w:r>
        <w:rPr>
          <w:rFonts w:ascii="宋体" w:hAnsi="宋体" w:cs="宋体" w:eastAsia="宋体" w:hint="default"/>
        </w:rPr>
        <w:t>2016</w:t>
      </w:r>
      <w:r>
        <w:rPr/>
        <w:t>〕</w:t>
      </w:r>
      <w:r>
        <w:rPr>
          <w:rFonts w:ascii="宋体" w:hAnsi="宋体" w:cs="宋体" w:eastAsia="宋体" w:hint="default"/>
        </w:rPr>
        <w:t>144</w:t>
      </w:r>
    </w:p>
    <w:p>
      <w:pPr>
        <w:pStyle w:val="BodyText"/>
        <w:spacing w:line="357" w:lineRule="auto" w:before="133"/>
        <w:ind w:right="0"/>
        <w:jc w:val="left"/>
      </w:pPr>
      <w:r>
        <w:rPr>
          <w:spacing w:val="-7"/>
        </w:rPr>
        <w:t>号），公司被认定为高新技术企业。根据《中华人民共和国企业所得税法》的规定，</w:t>
      </w:r>
      <w:r>
        <w:rPr>
          <w:rFonts w:ascii="宋体" w:hAnsi="宋体" w:cs="宋体" w:eastAsia="宋体" w:hint="default"/>
          <w:spacing w:val="-7"/>
        </w:rPr>
        <w:t>2017</w:t>
      </w:r>
      <w:r>
        <w:rPr>
          <w:rFonts w:ascii="宋体" w:hAnsi="宋体" w:cs="宋体" w:eastAsia="宋体" w:hint="default"/>
          <w:spacing w:val="-20"/>
        </w:rPr>
        <w:t> </w:t>
      </w:r>
      <w:r>
        <w:rPr/>
        <w:t>年按</w:t>
      </w:r>
      <w:r>
        <w:rPr>
          <w:spacing w:val="-20"/>
        </w:rPr>
        <w:t> </w:t>
      </w:r>
      <w:r>
        <w:rPr>
          <w:rFonts w:ascii="宋体" w:hAnsi="宋体" w:cs="宋体" w:eastAsia="宋体" w:hint="default"/>
        </w:rPr>
        <w:t>15%</w:t>
      </w:r>
      <w:r>
        <w:rPr>
          <w:rFonts w:ascii="宋体" w:hAnsi="宋体" w:cs="宋体" w:eastAsia="宋体" w:hint="default"/>
          <w:spacing w:val="-91"/>
        </w:rPr>
        <w:t> </w:t>
      </w:r>
      <w:r>
        <w:rPr>
          <w:rFonts w:ascii="宋体" w:hAnsi="宋体" w:cs="宋体" w:eastAsia="宋体" w:hint="default"/>
          <w:spacing w:val="-91"/>
        </w:rPr>
      </w:r>
      <w:r>
        <w:rPr/>
        <w:t>的税率征收企业所得税。</w:t>
      </w:r>
    </w:p>
    <w:p>
      <w:pPr>
        <w:spacing w:line="240" w:lineRule="auto" w:before="8"/>
        <w:rPr>
          <w:rFonts w:ascii="宋体" w:hAnsi="宋体" w:cs="宋体" w:eastAsia="宋体" w:hint="default"/>
          <w:sz w:val="27"/>
          <w:szCs w:val="27"/>
        </w:rPr>
      </w:pPr>
    </w:p>
    <w:p>
      <w:pPr>
        <w:pStyle w:val="Heading2"/>
        <w:tabs>
          <w:tab w:pos="562" w:val="left" w:leader="none"/>
        </w:tabs>
        <w:spacing w:line="240" w:lineRule="auto"/>
        <w:ind w:left="138" w:right="0"/>
        <w:jc w:val="left"/>
        <w:rPr>
          <w:b w:val="0"/>
          <w:bCs w:val="0"/>
        </w:rPr>
      </w:pPr>
      <w:r>
        <w:rPr>
          <w:rFonts w:ascii="宋体" w:hAnsi="宋体" w:cs="宋体" w:eastAsia="宋体" w:hint="default"/>
          <w:w w:val="95"/>
        </w:rPr>
        <w:t>3.</w:t>
        <w:tab/>
      </w:r>
      <w:r>
        <w:rPr/>
        <w:t>其他</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660" w:right="1140"/>
        </w:sectPr>
      </w:pPr>
    </w:p>
    <w:p>
      <w:pPr>
        <w:pStyle w:val="Heading2"/>
        <w:spacing w:line="290" w:lineRule="auto" w:before="36"/>
        <w:ind w:left="138" w:right="-16"/>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pStyle w:val="BodyText"/>
        <w:spacing w:line="240" w:lineRule="auto" w:before="15"/>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40"/>
          <w:cols w:num="2" w:equalWidth="0">
            <w:col w:w="2673" w:space="3849"/>
            <w:col w:w="2588"/>
          </w:cols>
        </w:sectPr>
      </w:pPr>
    </w:p>
    <w:p>
      <w:pPr>
        <w:spacing w:line="240" w:lineRule="auto" w:before="7"/>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2223"/>
        <w:gridCol w:w="3298"/>
        <w:gridCol w:w="3325"/>
      </w:tblGrid>
      <w:tr>
        <w:trPr>
          <w:trHeight w:val="281"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3,849.52</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43,052.50</w:t>
            </w:r>
          </w:p>
        </w:tc>
      </w:tr>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367,217,399.70</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276,154,368.02</w:t>
            </w:r>
          </w:p>
        </w:tc>
      </w:tr>
      <w:tr>
        <w:trPr>
          <w:trHeight w:val="281"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89,071,314.90</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164,685,281.40</w:t>
            </w:r>
          </w:p>
        </w:tc>
      </w:tr>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456,292,564.12</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440,882,701.92</w:t>
            </w:r>
          </w:p>
        </w:tc>
      </w:tr>
      <w:tr>
        <w:trPr>
          <w:trHeight w:val="554"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1" w:right="-3"/>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101"/>
                <w:w w:val="100"/>
                <w:sz w:val="21"/>
                <w:szCs w:val="21"/>
              </w:rPr>
              <w:t>：</w:t>
            </w:r>
            <w:r>
              <w:rPr>
                <w:rFonts w:ascii="宋体" w:hAnsi="宋体" w:cs="宋体" w:eastAsia="宋体" w:hint="default"/>
                <w:w w:val="100"/>
                <w:sz w:val="21"/>
                <w:szCs w:val="21"/>
              </w:rPr>
              <w:t>存</w:t>
            </w:r>
            <w:r>
              <w:rPr>
                <w:rFonts w:ascii="宋体" w:hAnsi="宋体" w:cs="宋体" w:eastAsia="宋体" w:hint="default"/>
                <w:spacing w:val="-3"/>
                <w:w w:val="100"/>
                <w:sz w:val="21"/>
                <w:szCs w:val="21"/>
              </w:rPr>
              <w:t>放</w:t>
            </w:r>
            <w:r>
              <w:rPr>
                <w:rFonts w:ascii="宋体" w:hAnsi="宋体" w:cs="宋体" w:eastAsia="宋体" w:hint="default"/>
                <w:w w:val="100"/>
                <w:sz w:val="21"/>
                <w:szCs w:val="21"/>
              </w:rPr>
              <w:t>在</w:t>
            </w:r>
            <w:r>
              <w:rPr>
                <w:rFonts w:ascii="宋体" w:hAnsi="宋体" w:cs="宋体" w:eastAsia="宋体" w:hint="default"/>
                <w:spacing w:val="-3"/>
                <w:w w:val="100"/>
                <w:sz w:val="21"/>
                <w:szCs w:val="21"/>
              </w:rPr>
              <w:t>境</w:t>
            </w:r>
            <w:r>
              <w:rPr>
                <w:rFonts w:ascii="宋体" w:hAnsi="宋体" w:cs="宋体" w:eastAsia="宋体" w:hint="default"/>
                <w:w w:val="100"/>
                <w:sz w:val="21"/>
                <w:szCs w:val="21"/>
              </w:rPr>
              <w:t>外</w:t>
            </w:r>
            <w:r>
              <w:rPr>
                <w:rFonts w:ascii="宋体" w:hAnsi="宋体" w:cs="宋体" w:eastAsia="宋体" w:hint="default"/>
                <w:spacing w:val="-3"/>
                <w:w w:val="100"/>
                <w:sz w:val="21"/>
                <w:szCs w:val="21"/>
              </w:rPr>
              <w:t>的</w:t>
            </w:r>
            <w:r>
              <w:rPr>
                <w:rFonts w:ascii="宋体" w:hAnsi="宋体" w:cs="宋体" w:eastAsia="宋体" w:hint="default"/>
                <w:w w:val="100"/>
                <w:sz w:val="21"/>
                <w:szCs w:val="21"/>
              </w:rPr>
              <w:t>款</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项总额</w:t>
            </w:r>
          </w:p>
        </w:tc>
        <w:tc>
          <w:tcPr>
            <w:tcW w:w="3298" w:type="dxa"/>
            <w:tcBorders>
              <w:top w:val="single" w:sz="4" w:space="0" w:color="000000"/>
              <w:left w:val="single" w:sz="4" w:space="0" w:color="000000"/>
              <w:bottom w:val="single" w:sz="4" w:space="0" w:color="000000"/>
              <w:right w:val="single" w:sz="4" w:space="0" w:color="000000"/>
            </w:tcBorders>
          </w:tcPr>
          <w:p>
            <w:pPr/>
          </w:p>
        </w:tc>
        <w:tc>
          <w:tcPr>
            <w:tcW w:w="33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25"/>
          <w:szCs w:val="25"/>
        </w:rPr>
      </w:pPr>
    </w:p>
    <w:p>
      <w:pPr>
        <w:pStyle w:val="BodyText"/>
        <w:spacing w:line="240" w:lineRule="auto" w:before="36"/>
        <w:ind w:right="0"/>
        <w:jc w:val="left"/>
      </w:pPr>
      <w:r>
        <w:rPr/>
        <w:t>其他说明</w:t>
      </w:r>
    </w:p>
    <w:p>
      <w:pPr>
        <w:pStyle w:val="BodyText"/>
        <w:spacing w:line="240" w:lineRule="auto" w:before="136"/>
        <w:ind w:left="544" w:right="963"/>
        <w:jc w:val="center"/>
      </w:pPr>
      <w:r>
        <w:rPr/>
        <w:t>期末货币资金使用受限金额为</w:t>
      </w:r>
      <w:r>
        <w:rPr>
          <w:spacing w:val="-52"/>
        </w:rPr>
        <w:t> </w:t>
      </w:r>
      <w:r>
        <w:rPr>
          <w:rFonts w:ascii="宋体" w:hAnsi="宋体" w:cs="宋体" w:eastAsia="宋体" w:hint="default"/>
        </w:rPr>
        <w:t>89,071,314.90</w:t>
      </w:r>
      <w:r>
        <w:rPr>
          <w:rFonts w:ascii="宋体" w:hAnsi="宋体" w:cs="宋体" w:eastAsia="宋体" w:hint="default"/>
          <w:spacing w:val="-55"/>
        </w:rPr>
        <w:t> </w:t>
      </w:r>
      <w:r>
        <w:rPr/>
        <w:t>元，包括其他货币资金中保函保证金</w:t>
      </w:r>
    </w:p>
    <w:p>
      <w:pPr>
        <w:pStyle w:val="BodyText"/>
        <w:spacing w:line="240" w:lineRule="auto" w:before="133"/>
        <w:ind w:right="0"/>
        <w:jc w:val="left"/>
      </w:pPr>
      <w:r>
        <w:rPr>
          <w:rFonts w:ascii="宋体" w:hAnsi="宋体" w:cs="宋体" w:eastAsia="宋体" w:hint="default"/>
        </w:rPr>
        <w:t>169,970.01</w:t>
      </w:r>
      <w:r>
        <w:rPr>
          <w:rFonts w:ascii="宋体" w:hAnsi="宋体" w:cs="宋体" w:eastAsia="宋体" w:hint="default"/>
          <w:spacing w:val="-54"/>
        </w:rPr>
        <w:t> </w:t>
      </w:r>
      <w:r>
        <w:rPr/>
        <w:t>元，信用证保证金</w:t>
      </w:r>
      <w:r>
        <w:rPr>
          <w:spacing w:val="-54"/>
        </w:rPr>
        <w:t> </w:t>
      </w:r>
      <w:r>
        <w:rPr>
          <w:rFonts w:ascii="宋体" w:hAnsi="宋体" w:cs="宋体" w:eastAsia="宋体" w:hint="default"/>
        </w:rPr>
        <w:t>30,352,647.49</w:t>
      </w:r>
      <w:r>
        <w:rPr>
          <w:rFonts w:ascii="宋体" w:hAnsi="宋体" w:cs="宋体" w:eastAsia="宋体" w:hint="default"/>
          <w:spacing w:val="-56"/>
        </w:rPr>
        <w:t> </w:t>
      </w:r>
      <w:r>
        <w:rPr/>
        <w:t>元，银行承兑汇票保证金</w:t>
      </w:r>
      <w:r>
        <w:rPr>
          <w:spacing w:val="-54"/>
        </w:rPr>
        <w:t> </w:t>
      </w:r>
      <w:r>
        <w:rPr>
          <w:rFonts w:ascii="宋体" w:hAnsi="宋体" w:cs="宋体" w:eastAsia="宋体" w:hint="default"/>
        </w:rPr>
        <w:t>58,548,697.40</w:t>
      </w:r>
      <w:r>
        <w:rPr>
          <w:rFonts w:ascii="宋体" w:hAnsi="宋体" w:cs="宋体" w:eastAsia="宋体" w:hint="default"/>
          <w:spacing w:val="-56"/>
        </w:rPr>
        <w:t> </w:t>
      </w:r>
      <w:r>
        <w:rPr/>
        <w:t>元。</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2"/>
        <w:spacing w:line="240" w:lineRule="auto"/>
        <w:ind w:left="138" w:right="0"/>
        <w:jc w:val="left"/>
        <w:rPr>
          <w:b w:val="0"/>
          <w:bCs w:val="0"/>
        </w:rPr>
      </w:pP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40" w:lineRule="auto" w:before="56"/>
        <w:ind w:right="0"/>
        <w:jc w:val="left"/>
      </w:pPr>
      <w:r>
        <w:rPr/>
        <w:t>□适用</w:t>
      </w:r>
      <w:r>
        <w:rPr>
          <w:spacing w:val="-1"/>
        </w:rPr>
        <w:t> </w:t>
      </w:r>
      <w:r>
        <w:rPr/>
        <w:t>√不适用</w:t>
      </w:r>
    </w:p>
    <w:p>
      <w:pPr>
        <w:spacing w:after="0" w:line="240" w:lineRule="auto"/>
        <w:jc w:val="left"/>
        <w:sectPr>
          <w:type w:val="continuous"/>
          <w:pgSz w:w="11910" w:h="16840"/>
          <w:pgMar w:top="1120" w:bottom="1380" w:left="1660" w:right="1140"/>
        </w:sectPr>
      </w:pPr>
    </w:p>
    <w:p>
      <w:pPr>
        <w:spacing w:line="240" w:lineRule="auto" w:before="1"/>
        <w:rPr>
          <w:rFonts w:ascii="宋体" w:hAnsi="宋体" w:cs="宋体" w:eastAsia="宋体" w:hint="default"/>
          <w:sz w:val="25"/>
          <w:szCs w:val="25"/>
        </w:rPr>
      </w:pPr>
    </w:p>
    <w:p>
      <w:pPr>
        <w:pStyle w:val="Heading2"/>
        <w:spacing w:line="240" w:lineRule="auto" w:before="36"/>
        <w:ind w:left="138" w:right="0"/>
        <w:jc w:val="left"/>
        <w:rPr>
          <w:b w:val="0"/>
          <w:bCs w:val="0"/>
        </w:rPr>
      </w:pPr>
      <w:r>
        <w:rPr>
          <w:rFonts w:ascii="宋体" w:hAnsi="宋体" w:cs="宋体" w:eastAsia="宋体" w:hint="default"/>
        </w:rPr>
        <w:t>4</w:t>
      </w:r>
      <w:r>
        <w:rPr/>
        <w:t>、</w:t>
      </w:r>
      <w:r>
        <w:rPr>
          <w:spacing w:val="-2"/>
        </w:rPr>
        <w:t> </w:t>
      </w:r>
      <w:r>
        <w:rPr/>
        <w:t>应收票据</w:t>
      </w:r>
      <w:r>
        <w:rPr>
          <w:b w:val="0"/>
          <w:bCs w:val="0"/>
        </w:rPr>
      </w:r>
    </w:p>
    <w:p>
      <w:pPr>
        <w:pStyle w:val="Heading2"/>
        <w:spacing w:line="240" w:lineRule="auto" w:before="58"/>
        <w:ind w:left="138" w:right="0"/>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56"/>
        <w:ind w:right="0"/>
        <w:jc w:val="left"/>
      </w:pPr>
      <w:r>
        <w:rPr/>
        <w:t>□适用</w:t>
      </w:r>
      <w:r>
        <w:rPr>
          <w:spacing w:val="-1"/>
        </w:rPr>
        <w:t> </w:t>
      </w:r>
      <w:r>
        <w:rPr/>
        <w:t>√不适用</w:t>
      </w:r>
    </w:p>
    <w:p>
      <w:pPr>
        <w:pStyle w:val="Heading2"/>
        <w:spacing w:line="240" w:lineRule="auto" w:before="58"/>
        <w:ind w:left="138" w:right="0"/>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b w:val="0"/>
          <w:bCs w:val="0"/>
        </w:rPr>
      </w:r>
    </w:p>
    <w:p>
      <w:pPr>
        <w:pStyle w:val="BodyText"/>
        <w:spacing w:line="240" w:lineRule="auto" w:before="56"/>
        <w:ind w:right="0"/>
        <w:jc w:val="left"/>
      </w:pPr>
      <w:r>
        <w:rPr/>
        <w:t>□适用</w:t>
      </w:r>
      <w:r>
        <w:rPr>
          <w:spacing w:val="-1"/>
        </w:rPr>
        <w:t> </w:t>
      </w:r>
      <w:r>
        <w:rPr/>
        <w:t>√不适用</w:t>
      </w:r>
    </w:p>
    <w:p>
      <w:pPr>
        <w:pStyle w:val="Heading2"/>
        <w:spacing w:line="240" w:lineRule="auto" w:before="58"/>
        <w:ind w:left="138" w:right="0"/>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6"/>
        <w:ind w:right="0"/>
        <w:jc w:val="left"/>
      </w:pPr>
      <w:r>
        <w:rPr/>
        <w:t>□适用</w:t>
      </w:r>
      <w:r>
        <w:rPr>
          <w:spacing w:val="-1"/>
        </w:rPr>
        <w:t> </w:t>
      </w:r>
      <w:r>
        <w:rPr/>
        <w:t>√不适用</w:t>
      </w:r>
    </w:p>
    <w:p>
      <w:pPr>
        <w:pStyle w:val="Heading2"/>
        <w:spacing w:line="240" w:lineRule="auto" w:before="58"/>
        <w:ind w:left="138" w:right="0"/>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40" w:lineRule="auto" w:before="56"/>
        <w:ind w:right="7394"/>
        <w:jc w:val="left"/>
      </w:pPr>
      <w:r>
        <w:rPr/>
        <w:t>□适用</w:t>
      </w:r>
      <w:r>
        <w:rPr>
          <w:spacing w:val="-1"/>
        </w:rPr>
        <w:t> </w:t>
      </w:r>
      <w:r>
        <w:rPr/>
        <w:t>√不适用</w:t>
      </w:r>
      <w:r>
        <w:rPr>
          <w:w w:val="100"/>
        </w:rPr>
        <w:t> </w:t>
      </w:r>
      <w:r>
        <w:rPr/>
        <w:t>其他说明</w:t>
      </w:r>
    </w:p>
    <w:p>
      <w:pPr>
        <w:pStyle w:val="BodyText"/>
        <w:spacing w:line="272" w:lineRule="exact"/>
        <w:ind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660" w:right="1120"/>
        </w:sectPr>
      </w:pPr>
    </w:p>
    <w:p>
      <w:pPr>
        <w:pStyle w:val="Heading2"/>
        <w:spacing w:line="240" w:lineRule="auto" w:before="36"/>
        <w:ind w:left="138" w:right="-20"/>
        <w:jc w:val="left"/>
        <w:rPr>
          <w:b w:val="0"/>
          <w:bCs w:val="0"/>
        </w:rPr>
      </w:pPr>
      <w:r>
        <w:rPr>
          <w:rFonts w:ascii="宋体" w:hAnsi="宋体" w:cs="宋体" w:eastAsia="宋体" w:hint="default"/>
        </w:rPr>
        <w:t>5</w:t>
      </w:r>
      <w:r>
        <w:rPr/>
        <w:t>、</w:t>
      </w:r>
      <w:r>
        <w:rPr>
          <w:spacing w:val="-2"/>
        </w:rPr>
        <w:t> </w:t>
      </w:r>
      <w:r>
        <w:rPr/>
        <w:t>应收账款</w:t>
      </w:r>
      <w:r>
        <w:rPr>
          <w:b w:val="0"/>
          <w:bCs w:val="0"/>
        </w:rPr>
      </w:r>
    </w:p>
    <w:p>
      <w:pPr>
        <w:pStyle w:val="Heading2"/>
        <w:spacing w:line="240" w:lineRule="auto" w:before="58"/>
        <w:ind w:left="138" w:right="-20"/>
        <w:jc w:val="left"/>
        <w:rPr>
          <w:b w:val="0"/>
          <w:bCs w:val="0"/>
        </w:rPr>
      </w:pPr>
      <w:r>
        <w:rPr>
          <w:rFonts w:ascii="宋体" w:hAnsi="宋体" w:cs="宋体" w:eastAsia="宋体" w:hint="default"/>
        </w:rPr>
        <w:t>(1).</w:t>
      </w:r>
      <w:r>
        <w:rPr>
          <w:rFonts w:ascii="宋体" w:hAnsi="宋体" w:cs="宋体" w:eastAsia="宋体" w:hint="default"/>
          <w:spacing w:val="47"/>
        </w:rPr>
        <w:t> </w:t>
      </w:r>
      <w:r>
        <w:rPr/>
        <w:t>应收账款分类披露</w:t>
      </w:r>
      <w:r>
        <w:rPr>
          <w:b w:val="0"/>
          <w:bCs w:val="0"/>
        </w:rPr>
      </w:r>
    </w:p>
    <w:p>
      <w:pPr>
        <w:pStyle w:val="BodyText"/>
        <w:spacing w:line="240" w:lineRule="auto" w:before="56"/>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2402" w:space="4017"/>
            <w:col w:w="2711"/>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739"/>
        <w:gridCol w:w="703"/>
        <w:gridCol w:w="716"/>
        <w:gridCol w:w="850"/>
        <w:gridCol w:w="569"/>
        <w:gridCol w:w="1133"/>
        <w:gridCol w:w="989"/>
        <w:gridCol w:w="713"/>
        <w:gridCol w:w="994"/>
        <w:gridCol w:w="571"/>
        <w:gridCol w:w="919"/>
      </w:tblGrid>
      <w:tr>
        <w:trPr>
          <w:trHeight w:val="283" w:hRule="exact"/>
        </w:trPr>
        <w:tc>
          <w:tcPr>
            <w:tcW w:w="7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397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739" w:type="dxa"/>
            <w:vMerge/>
            <w:tcBorders>
              <w:left w:val="single" w:sz="4" w:space="0" w:color="000000"/>
              <w:right w:val="single" w:sz="4" w:space="0" w:color="000000"/>
            </w:tcBorders>
          </w:tcPr>
          <w:p>
            <w:pP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50" w:right="348"/>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1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44" w:right="240"/>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828" w:hRule="exact"/>
        </w:trPr>
        <w:tc>
          <w:tcPr>
            <w:tcW w:w="739" w:type="dxa"/>
            <w:vMerge/>
            <w:tcBorders>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4" w:right="140"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7"/>
              <w:ind w:left="122" w:right="65"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133" w:type="dxa"/>
            <w:vMerge/>
            <w:tcBorders>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7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4" w:right="13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7"/>
              <w:ind w:left="122" w:right="6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919" w:type="dxa"/>
            <w:vMerge/>
            <w:tcBorders>
              <w:left w:val="single" w:sz="4" w:space="0" w:color="000000"/>
              <w:bottom w:val="single" w:sz="4" w:space="0" w:color="000000"/>
              <w:right w:val="single" w:sz="4" w:space="0" w:color="000000"/>
            </w:tcBorders>
          </w:tcPr>
          <w:p>
            <w:pPr/>
          </w:p>
        </w:tc>
      </w:tr>
      <w:tr>
        <w:trPr>
          <w:trHeight w:val="1916"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w:t>
            </w:r>
          </w:p>
          <w:p>
            <w:pPr>
              <w:pStyle w:val="TableParagraph"/>
              <w:spacing w:line="237" w:lineRule="auto" w:before="2"/>
              <w:ind w:left="26" w:right="67"/>
              <w:jc w:val="both"/>
              <w:rPr>
                <w:rFonts w:ascii="宋体" w:hAnsi="宋体" w:cs="宋体" w:eastAsia="宋体" w:hint="default"/>
                <w:sz w:val="21"/>
                <w:szCs w:val="21"/>
              </w:rPr>
            </w:pPr>
            <w:r>
              <w:rPr>
                <w:rFonts w:ascii="宋体" w:hAnsi="宋体" w:cs="宋体" w:eastAsia="宋体" w:hint="default"/>
                <w:sz w:val="21"/>
                <w:szCs w:val="21"/>
              </w:rPr>
              <w:t>额重大</w:t>
            </w:r>
            <w:r>
              <w:rPr>
                <w:rFonts w:ascii="宋体" w:hAnsi="宋体" w:cs="宋体" w:eastAsia="宋体" w:hint="default"/>
                <w:spacing w:val="-102"/>
                <w:sz w:val="21"/>
                <w:szCs w:val="21"/>
              </w:rPr>
              <w:t> </w:t>
            </w:r>
            <w:r>
              <w:rPr>
                <w:rFonts w:ascii="宋体" w:hAnsi="宋体" w:cs="宋体" w:eastAsia="宋体" w:hint="default"/>
                <w:sz w:val="21"/>
                <w:szCs w:val="21"/>
              </w:rPr>
              <w:t>并单独</w:t>
            </w:r>
            <w:r>
              <w:rPr>
                <w:rFonts w:ascii="宋体" w:hAnsi="宋体" w:cs="宋体" w:eastAsia="宋体" w:hint="default"/>
                <w:spacing w:val="-102"/>
                <w:sz w:val="21"/>
                <w:szCs w:val="21"/>
              </w:rPr>
              <w:t> </w:t>
            </w:r>
            <w:r>
              <w:rPr>
                <w:rFonts w:ascii="宋体" w:hAnsi="宋体" w:cs="宋体" w:eastAsia="宋体" w:hint="default"/>
                <w:sz w:val="21"/>
                <w:szCs w:val="21"/>
              </w:rPr>
              <w:t>计提坏</w:t>
            </w:r>
            <w:r>
              <w:rPr>
                <w:rFonts w:ascii="宋体" w:hAnsi="宋体" w:cs="宋体" w:eastAsia="宋体" w:hint="default"/>
                <w:spacing w:val="-102"/>
                <w:sz w:val="21"/>
                <w:szCs w:val="21"/>
              </w:rPr>
              <w:t> </w:t>
            </w:r>
            <w:r>
              <w:rPr>
                <w:rFonts w:ascii="宋体" w:hAnsi="宋体" w:cs="宋体" w:eastAsia="宋体" w:hint="default"/>
                <w:sz w:val="21"/>
                <w:szCs w:val="21"/>
              </w:rPr>
              <w:t>账准备</w:t>
            </w:r>
            <w:r>
              <w:rPr>
                <w:rFonts w:ascii="宋体" w:hAnsi="宋体" w:cs="宋体" w:eastAsia="宋体" w:hint="default"/>
                <w:spacing w:val="-102"/>
                <w:sz w:val="21"/>
                <w:szCs w:val="21"/>
              </w:rPr>
              <w:t> </w:t>
            </w:r>
            <w:r>
              <w:rPr>
                <w:rFonts w:ascii="宋体" w:hAnsi="宋体" w:cs="宋体" w:eastAsia="宋体" w:hint="default"/>
                <w:sz w:val="21"/>
                <w:szCs w:val="21"/>
              </w:rPr>
              <w:t>的应收</w:t>
            </w:r>
            <w:r>
              <w:rPr>
                <w:rFonts w:ascii="宋体" w:hAnsi="宋体" w:cs="宋体" w:eastAsia="宋体" w:hint="default"/>
                <w:spacing w:val="-102"/>
                <w:sz w:val="21"/>
                <w:szCs w:val="21"/>
              </w:rPr>
              <w:t> </w:t>
            </w:r>
            <w:r>
              <w:rPr>
                <w:rFonts w:ascii="宋体" w:hAnsi="宋体" w:cs="宋体" w:eastAsia="宋体" w:hint="default"/>
                <w:sz w:val="21"/>
                <w:szCs w:val="21"/>
              </w:rPr>
              <w:t>账款</w:t>
            </w:r>
          </w:p>
        </w:tc>
        <w:tc>
          <w:tcPr>
            <w:tcW w:w="703"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both"/>
              <w:rPr>
                <w:rFonts w:ascii="宋体" w:hAnsi="宋体" w:cs="宋体" w:eastAsia="宋体" w:hint="default"/>
                <w:sz w:val="21"/>
                <w:szCs w:val="21"/>
              </w:rPr>
            </w:pPr>
            <w:r>
              <w:rPr>
                <w:rFonts w:ascii="宋体" w:hAnsi="宋体" w:cs="宋体" w:eastAsia="宋体" w:hint="default"/>
                <w:sz w:val="21"/>
                <w:szCs w:val="21"/>
              </w:rPr>
              <w:t>按信用</w:t>
            </w:r>
          </w:p>
          <w:p>
            <w:pPr>
              <w:pStyle w:val="TableParagraph"/>
              <w:spacing w:line="237" w:lineRule="auto"/>
              <w:ind w:left="26" w:right="67"/>
              <w:jc w:val="both"/>
              <w:rPr>
                <w:rFonts w:ascii="宋体" w:hAnsi="宋体" w:cs="宋体" w:eastAsia="宋体" w:hint="default"/>
                <w:sz w:val="21"/>
                <w:szCs w:val="21"/>
              </w:rPr>
            </w:pPr>
            <w:r>
              <w:rPr>
                <w:rFonts w:ascii="宋体" w:hAnsi="宋体" w:cs="宋体" w:eastAsia="宋体" w:hint="default"/>
                <w:sz w:val="21"/>
                <w:szCs w:val="21"/>
              </w:rPr>
              <w:t>风险特</w:t>
            </w:r>
            <w:r>
              <w:rPr>
                <w:rFonts w:ascii="宋体" w:hAnsi="宋体" w:cs="宋体" w:eastAsia="宋体" w:hint="default"/>
                <w:spacing w:val="-102"/>
                <w:sz w:val="21"/>
                <w:szCs w:val="21"/>
              </w:rPr>
              <w:t> </w:t>
            </w:r>
            <w:r>
              <w:rPr>
                <w:rFonts w:ascii="宋体" w:hAnsi="宋体" w:cs="宋体" w:eastAsia="宋体" w:hint="default"/>
                <w:sz w:val="21"/>
                <w:szCs w:val="21"/>
              </w:rPr>
              <w:t>征组合</w:t>
            </w:r>
            <w:r>
              <w:rPr>
                <w:rFonts w:ascii="宋体" w:hAnsi="宋体" w:cs="宋体" w:eastAsia="宋体" w:hint="default"/>
                <w:spacing w:val="-102"/>
                <w:sz w:val="21"/>
                <w:szCs w:val="21"/>
              </w:rPr>
              <w:t> </w:t>
            </w:r>
            <w:r>
              <w:rPr>
                <w:rFonts w:ascii="宋体" w:hAnsi="宋体" w:cs="宋体" w:eastAsia="宋体" w:hint="default"/>
                <w:sz w:val="21"/>
                <w:szCs w:val="21"/>
              </w:rPr>
              <w:t>计提坏</w:t>
            </w:r>
            <w:r>
              <w:rPr>
                <w:rFonts w:ascii="宋体" w:hAnsi="宋体" w:cs="宋体" w:eastAsia="宋体" w:hint="default"/>
                <w:spacing w:val="-102"/>
                <w:sz w:val="21"/>
                <w:szCs w:val="21"/>
              </w:rPr>
              <w:t> </w:t>
            </w:r>
            <w:r>
              <w:rPr>
                <w:rFonts w:ascii="宋体" w:hAnsi="宋体" w:cs="宋体" w:eastAsia="宋体" w:hint="default"/>
                <w:sz w:val="21"/>
                <w:szCs w:val="21"/>
              </w:rPr>
              <w:t>账准备</w:t>
            </w:r>
            <w:r>
              <w:rPr>
                <w:rFonts w:ascii="宋体" w:hAnsi="宋体" w:cs="宋体" w:eastAsia="宋体" w:hint="default"/>
                <w:spacing w:val="-102"/>
                <w:sz w:val="21"/>
                <w:szCs w:val="21"/>
              </w:rPr>
              <w:t> </w:t>
            </w:r>
            <w:r>
              <w:rPr>
                <w:rFonts w:ascii="宋体" w:hAnsi="宋体" w:cs="宋体" w:eastAsia="宋体" w:hint="default"/>
                <w:sz w:val="21"/>
                <w:szCs w:val="21"/>
              </w:rPr>
              <w:t>的应收</w:t>
            </w:r>
            <w:r>
              <w:rPr>
                <w:rFonts w:ascii="宋体" w:hAnsi="宋体" w:cs="宋体" w:eastAsia="宋体" w:hint="default"/>
                <w:spacing w:val="-102"/>
                <w:sz w:val="21"/>
                <w:szCs w:val="21"/>
              </w:rPr>
              <w:t> </w:t>
            </w:r>
            <w:r>
              <w:rPr>
                <w:rFonts w:ascii="宋体" w:hAnsi="宋体" w:cs="宋体" w:eastAsia="宋体" w:hint="default"/>
                <w:sz w:val="21"/>
                <w:szCs w:val="21"/>
              </w:rPr>
              <w:t>账款</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 w:right="0"/>
              <w:jc w:val="left"/>
              <w:rPr>
                <w:rFonts w:ascii="宋体" w:hAnsi="宋体" w:cs="宋体" w:eastAsia="宋体" w:hint="default"/>
                <w:sz w:val="21"/>
                <w:szCs w:val="21"/>
              </w:rPr>
            </w:pPr>
            <w:r>
              <w:rPr>
                <w:rFonts w:ascii="宋体"/>
                <w:sz w:val="21"/>
              </w:rPr>
              <w:t>527,47</w:t>
            </w:r>
          </w:p>
          <w:p>
            <w:pPr>
              <w:pStyle w:val="TableParagraph"/>
              <w:spacing w:line="272" w:lineRule="exact"/>
              <w:ind w:left="35" w:right="0"/>
              <w:jc w:val="left"/>
              <w:rPr>
                <w:rFonts w:ascii="宋体" w:hAnsi="宋体" w:cs="宋体" w:eastAsia="宋体" w:hint="default"/>
                <w:sz w:val="21"/>
                <w:szCs w:val="21"/>
              </w:rPr>
            </w:pPr>
            <w:r>
              <w:rPr>
                <w:rFonts w:ascii="宋体"/>
                <w:sz w:val="21"/>
              </w:rPr>
              <w:t>5,663.</w:t>
            </w:r>
          </w:p>
          <w:p>
            <w:pPr>
              <w:pStyle w:val="TableParagraph"/>
              <w:spacing w:line="274" w:lineRule="exact"/>
              <w:ind w:left="455" w:right="0"/>
              <w:jc w:val="left"/>
              <w:rPr>
                <w:rFonts w:ascii="宋体" w:hAnsi="宋体" w:cs="宋体" w:eastAsia="宋体" w:hint="default"/>
                <w:sz w:val="21"/>
                <w:szCs w:val="21"/>
              </w:rPr>
            </w:pPr>
            <w:r>
              <w:rPr>
                <w:rFonts w:ascii="宋体"/>
                <w:sz w:val="21"/>
              </w:rPr>
              <w:t>50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 w:right="0"/>
              <w:jc w:val="left"/>
              <w:rPr>
                <w:rFonts w:ascii="宋体" w:hAnsi="宋体" w:cs="宋体" w:eastAsia="宋体" w:hint="default"/>
                <w:sz w:val="21"/>
                <w:szCs w:val="21"/>
              </w:rPr>
            </w:pPr>
            <w:r>
              <w:rPr>
                <w:rFonts w:ascii="宋体"/>
                <w:sz w:val="21"/>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sz w:val="21"/>
              </w:rPr>
              <w:t>8,349,4</w:t>
            </w:r>
          </w:p>
          <w:p>
            <w:pPr>
              <w:pStyle w:val="TableParagraph"/>
              <w:spacing w:line="273" w:lineRule="exact"/>
              <w:ind w:left="287" w:right="0"/>
              <w:jc w:val="left"/>
              <w:rPr>
                <w:rFonts w:ascii="宋体" w:hAnsi="宋体" w:cs="宋体" w:eastAsia="宋体" w:hint="default"/>
                <w:sz w:val="21"/>
                <w:szCs w:val="21"/>
              </w:rPr>
            </w:pPr>
            <w:r>
              <w:rPr>
                <w:rFonts w:ascii="宋体"/>
                <w:sz w:val="21"/>
              </w:rPr>
              <w:t>08.57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8" w:right="0"/>
              <w:jc w:val="center"/>
              <w:rPr>
                <w:rFonts w:ascii="宋体" w:hAnsi="宋体" w:cs="宋体" w:eastAsia="宋体" w:hint="default"/>
                <w:sz w:val="21"/>
                <w:szCs w:val="21"/>
              </w:rPr>
            </w:pPr>
            <w:r>
              <w:rPr>
                <w:rFonts w:ascii="宋体"/>
                <w:sz w:val="21"/>
              </w:rPr>
              <w:t>1.58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 w:right="0"/>
              <w:jc w:val="left"/>
              <w:rPr>
                <w:rFonts w:ascii="宋体" w:hAnsi="宋体" w:cs="宋体" w:eastAsia="宋体" w:hint="default"/>
                <w:sz w:val="21"/>
                <w:szCs w:val="21"/>
              </w:rPr>
            </w:pPr>
            <w:r>
              <w:rPr>
                <w:rFonts w:ascii="宋体"/>
                <w:sz w:val="21"/>
              </w:rPr>
              <w:t>519,126,25</w:t>
            </w:r>
          </w:p>
          <w:p>
            <w:pPr>
              <w:pStyle w:val="TableParagraph"/>
              <w:spacing w:line="273" w:lineRule="exact"/>
              <w:ind w:left="676" w:right="0"/>
              <w:jc w:val="left"/>
              <w:rPr>
                <w:rFonts w:ascii="宋体" w:hAnsi="宋体" w:cs="宋体" w:eastAsia="宋体" w:hint="default"/>
                <w:sz w:val="21"/>
                <w:szCs w:val="21"/>
              </w:rPr>
            </w:pPr>
            <w:r>
              <w:rPr>
                <w:rFonts w:ascii="宋体"/>
                <w:sz w:val="21"/>
              </w:rPr>
              <w:t>4.93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sz w:val="21"/>
              </w:rPr>
              <w:t>447,113,</w:t>
            </w:r>
          </w:p>
          <w:p>
            <w:pPr>
              <w:pStyle w:val="TableParagraph"/>
              <w:spacing w:line="273" w:lineRule="exact"/>
              <w:ind w:left="321" w:right="0"/>
              <w:jc w:val="left"/>
              <w:rPr>
                <w:rFonts w:ascii="宋体" w:hAnsi="宋体" w:cs="宋体" w:eastAsia="宋体" w:hint="default"/>
                <w:sz w:val="21"/>
                <w:szCs w:val="21"/>
              </w:rPr>
            </w:pPr>
            <w:r>
              <w:rPr>
                <w:rFonts w:ascii="宋体"/>
                <w:sz w:val="21"/>
              </w:rPr>
              <w:t>654.59</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center"/>
              <w:rPr>
                <w:rFonts w:ascii="宋体" w:hAnsi="宋体" w:cs="宋体" w:eastAsia="宋体" w:hint="default"/>
                <w:sz w:val="21"/>
                <w:szCs w:val="21"/>
              </w:rPr>
            </w:pPr>
            <w:r>
              <w:rPr>
                <w:rFonts w:ascii="宋体"/>
                <w:sz w:val="21"/>
              </w:rPr>
              <w:t>100.00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4,659,74</w:t>
            </w:r>
          </w:p>
          <w:p>
            <w:pPr>
              <w:pStyle w:val="TableParagraph"/>
              <w:spacing w:line="273" w:lineRule="exact"/>
              <w:ind w:left="537" w:right="0"/>
              <w:jc w:val="left"/>
              <w:rPr>
                <w:rFonts w:ascii="宋体" w:hAnsi="宋体" w:cs="宋体" w:eastAsia="宋体" w:hint="default"/>
                <w:sz w:val="21"/>
                <w:szCs w:val="21"/>
              </w:rPr>
            </w:pPr>
            <w:r>
              <w:rPr>
                <w:rFonts w:ascii="宋体"/>
                <w:sz w:val="21"/>
              </w:rPr>
              <w:t>6.65</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1" w:right="0"/>
              <w:jc w:val="center"/>
              <w:rPr>
                <w:rFonts w:ascii="宋体" w:hAnsi="宋体" w:cs="宋体" w:eastAsia="宋体" w:hint="default"/>
                <w:sz w:val="21"/>
                <w:szCs w:val="21"/>
              </w:rPr>
            </w:pPr>
            <w:r>
              <w:rPr>
                <w:rFonts w:ascii="宋体"/>
                <w:sz w:val="21"/>
              </w:rPr>
              <w:t>1.04</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 w:right="0"/>
              <w:jc w:val="left"/>
              <w:rPr>
                <w:rFonts w:ascii="宋体" w:hAnsi="宋体" w:cs="宋体" w:eastAsia="宋体" w:hint="default"/>
                <w:sz w:val="21"/>
                <w:szCs w:val="21"/>
              </w:rPr>
            </w:pPr>
            <w:r>
              <w:rPr>
                <w:rFonts w:ascii="宋体"/>
                <w:sz w:val="21"/>
              </w:rPr>
              <w:t>442,453,</w:t>
            </w:r>
          </w:p>
          <w:p>
            <w:pPr>
              <w:pStyle w:val="TableParagraph"/>
              <w:spacing w:line="273" w:lineRule="exact"/>
              <w:ind w:left="251" w:right="0"/>
              <w:jc w:val="left"/>
              <w:rPr>
                <w:rFonts w:ascii="宋体" w:hAnsi="宋体" w:cs="宋体" w:eastAsia="宋体" w:hint="default"/>
                <w:sz w:val="21"/>
                <w:szCs w:val="21"/>
              </w:rPr>
            </w:pPr>
            <w:r>
              <w:rPr>
                <w:rFonts w:ascii="宋体"/>
                <w:sz w:val="21"/>
              </w:rPr>
              <w:t>907.94</w:t>
            </w:r>
          </w:p>
        </w:tc>
      </w:tr>
      <w:tr>
        <w:trPr>
          <w:trHeight w:val="1915"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w:t>
            </w:r>
          </w:p>
          <w:p>
            <w:pPr>
              <w:pStyle w:val="TableParagraph"/>
              <w:spacing w:line="237" w:lineRule="auto" w:before="2"/>
              <w:ind w:left="26" w:right="67"/>
              <w:jc w:val="both"/>
              <w:rPr>
                <w:rFonts w:ascii="宋体" w:hAnsi="宋体" w:cs="宋体" w:eastAsia="宋体" w:hint="default"/>
                <w:sz w:val="21"/>
                <w:szCs w:val="21"/>
              </w:rPr>
            </w:pPr>
            <w:r>
              <w:rPr>
                <w:rFonts w:ascii="宋体" w:hAnsi="宋体" w:cs="宋体" w:eastAsia="宋体" w:hint="default"/>
                <w:sz w:val="21"/>
                <w:szCs w:val="21"/>
              </w:rPr>
              <w:t>额不重</w:t>
            </w:r>
            <w:r>
              <w:rPr>
                <w:rFonts w:ascii="宋体" w:hAnsi="宋体" w:cs="宋体" w:eastAsia="宋体" w:hint="default"/>
                <w:spacing w:val="-102"/>
                <w:sz w:val="21"/>
                <w:szCs w:val="21"/>
              </w:rPr>
              <w:t> </w:t>
            </w:r>
            <w:r>
              <w:rPr>
                <w:rFonts w:ascii="宋体" w:hAnsi="宋体" w:cs="宋体" w:eastAsia="宋体" w:hint="default"/>
                <w:sz w:val="21"/>
                <w:szCs w:val="21"/>
              </w:rPr>
              <w:t>大但单</w:t>
            </w:r>
            <w:r>
              <w:rPr>
                <w:rFonts w:ascii="宋体" w:hAnsi="宋体" w:cs="宋体" w:eastAsia="宋体" w:hint="default"/>
                <w:spacing w:val="-102"/>
                <w:sz w:val="21"/>
                <w:szCs w:val="21"/>
              </w:rPr>
              <w:t> </w:t>
            </w:r>
            <w:r>
              <w:rPr>
                <w:rFonts w:ascii="宋体" w:hAnsi="宋体" w:cs="宋体" w:eastAsia="宋体" w:hint="default"/>
                <w:sz w:val="21"/>
                <w:szCs w:val="21"/>
              </w:rPr>
              <w:t>独计提</w:t>
            </w:r>
            <w:r>
              <w:rPr>
                <w:rFonts w:ascii="宋体" w:hAnsi="宋体" w:cs="宋体" w:eastAsia="宋体" w:hint="default"/>
                <w:spacing w:val="-102"/>
                <w:sz w:val="21"/>
                <w:szCs w:val="21"/>
              </w:rPr>
              <w:t> </w:t>
            </w:r>
            <w:r>
              <w:rPr>
                <w:rFonts w:ascii="宋体" w:hAnsi="宋体" w:cs="宋体" w:eastAsia="宋体" w:hint="default"/>
                <w:sz w:val="21"/>
                <w:szCs w:val="21"/>
              </w:rPr>
              <w:t>坏账准</w:t>
            </w:r>
            <w:r>
              <w:rPr>
                <w:rFonts w:ascii="宋体" w:hAnsi="宋体" w:cs="宋体" w:eastAsia="宋体" w:hint="default"/>
                <w:spacing w:val="-102"/>
                <w:sz w:val="21"/>
                <w:szCs w:val="21"/>
              </w:rPr>
              <w:t> </w:t>
            </w:r>
            <w:r>
              <w:rPr>
                <w:rFonts w:ascii="宋体" w:hAnsi="宋体" w:cs="宋体" w:eastAsia="宋体" w:hint="default"/>
                <w:sz w:val="21"/>
                <w:szCs w:val="21"/>
              </w:rPr>
              <w:t>备的应</w:t>
            </w:r>
            <w:r>
              <w:rPr>
                <w:rFonts w:ascii="宋体" w:hAnsi="宋体" w:cs="宋体" w:eastAsia="宋体" w:hint="default"/>
                <w:spacing w:val="-102"/>
                <w:sz w:val="21"/>
                <w:szCs w:val="21"/>
              </w:rPr>
              <w:t> </w:t>
            </w:r>
            <w:r>
              <w:rPr>
                <w:rFonts w:ascii="宋体" w:hAnsi="宋体" w:cs="宋体" w:eastAsia="宋体" w:hint="default"/>
                <w:sz w:val="21"/>
                <w:szCs w:val="21"/>
              </w:rPr>
              <w:t>收账款</w:t>
            </w:r>
          </w:p>
        </w:tc>
        <w:tc>
          <w:tcPr>
            <w:tcW w:w="703"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5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5" w:right="0"/>
              <w:jc w:val="left"/>
              <w:rPr>
                <w:rFonts w:ascii="宋体" w:hAnsi="宋体" w:cs="宋体" w:eastAsia="宋体" w:hint="default"/>
                <w:sz w:val="18"/>
                <w:szCs w:val="18"/>
              </w:rPr>
            </w:pPr>
            <w:r>
              <w:rPr>
                <w:rFonts w:ascii="宋体"/>
                <w:sz w:val="18"/>
              </w:rPr>
              <w:t>527,475</w:t>
            </w:r>
          </w:p>
          <w:p>
            <w:pPr>
              <w:pStyle w:val="TableParagraph"/>
              <w:spacing w:line="234" w:lineRule="exact"/>
              <w:ind w:left="35" w:right="0"/>
              <w:jc w:val="left"/>
              <w:rPr>
                <w:rFonts w:ascii="宋体" w:hAnsi="宋体" w:cs="宋体" w:eastAsia="宋体" w:hint="default"/>
                <w:sz w:val="18"/>
                <w:szCs w:val="18"/>
              </w:rPr>
            </w:pPr>
            <w:r>
              <w:rPr>
                <w:rFonts w:ascii="宋体"/>
                <w:sz w:val="18"/>
              </w:rPr>
              <w:t>,663.50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1" w:right="0"/>
              <w:jc w:val="left"/>
              <w:rPr>
                <w:rFonts w:ascii="宋体" w:hAnsi="宋体" w:cs="宋体" w:eastAsia="宋体" w:hint="default"/>
                <w:sz w:val="18"/>
                <w:szCs w:val="18"/>
              </w:rPr>
            </w:pPr>
            <w:r>
              <w:rPr>
                <w:rFonts w:ascii="宋体"/>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93" w:right="0"/>
              <w:jc w:val="left"/>
              <w:rPr>
                <w:rFonts w:ascii="宋体" w:hAnsi="宋体" w:cs="宋体" w:eastAsia="宋体" w:hint="default"/>
                <w:sz w:val="18"/>
                <w:szCs w:val="18"/>
              </w:rPr>
            </w:pPr>
            <w:r>
              <w:rPr>
                <w:rFonts w:ascii="宋体"/>
                <w:sz w:val="18"/>
              </w:rPr>
              <w:t>8,349,40</w:t>
            </w:r>
          </w:p>
          <w:p>
            <w:pPr>
              <w:pStyle w:val="TableParagraph"/>
              <w:spacing w:line="234" w:lineRule="exact"/>
              <w:ind w:left="453" w:right="0"/>
              <w:jc w:val="left"/>
              <w:rPr>
                <w:rFonts w:ascii="宋体" w:hAnsi="宋体" w:cs="宋体" w:eastAsia="宋体" w:hint="default"/>
                <w:sz w:val="18"/>
                <w:szCs w:val="18"/>
              </w:rPr>
            </w:pPr>
            <w:r>
              <w:rPr>
                <w:rFonts w:ascii="宋体"/>
                <w:sz w:val="18"/>
              </w:rPr>
              <w:t>8.57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1.58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pacing w:val="-1"/>
                <w:sz w:val="18"/>
              </w:rPr>
              <w:t>519,126,254</w:t>
            </w:r>
          </w:p>
          <w:p>
            <w:pPr>
              <w:pStyle w:val="TableParagraph"/>
              <w:spacing w:line="234" w:lineRule="exact"/>
              <w:ind w:right="22"/>
              <w:jc w:val="right"/>
              <w:rPr>
                <w:rFonts w:ascii="宋体" w:hAnsi="宋体" w:cs="宋体" w:eastAsia="宋体" w:hint="default"/>
                <w:sz w:val="18"/>
                <w:szCs w:val="18"/>
              </w:rPr>
            </w:pPr>
            <w:r>
              <w:rPr>
                <w:rFonts w:ascii="宋体"/>
                <w:sz w:val="18"/>
              </w:rPr>
              <w:t>.93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2" w:right="0"/>
              <w:jc w:val="left"/>
              <w:rPr>
                <w:rFonts w:ascii="宋体" w:hAnsi="宋体" w:cs="宋体" w:eastAsia="宋体" w:hint="default"/>
                <w:sz w:val="18"/>
                <w:szCs w:val="18"/>
              </w:rPr>
            </w:pPr>
            <w:r>
              <w:rPr>
                <w:rFonts w:ascii="宋体"/>
                <w:sz w:val="18"/>
              </w:rPr>
              <w:t>447,113,65</w:t>
            </w:r>
          </w:p>
          <w:p>
            <w:pPr>
              <w:pStyle w:val="TableParagraph"/>
              <w:spacing w:line="234" w:lineRule="exact"/>
              <w:ind w:left="592" w:right="0"/>
              <w:jc w:val="left"/>
              <w:rPr>
                <w:rFonts w:ascii="宋体" w:hAnsi="宋体" w:cs="宋体" w:eastAsia="宋体" w:hint="default"/>
                <w:sz w:val="18"/>
                <w:szCs w:val="18"/>
              </w:rPr>
            </w:pPr>
            <w:r>
              <w:rPr>
                <w:rFonts w:ascii="宋体"/>
                <w:sz w:val="18"/>
              </w:rPr>
              <w:t>4.59</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100.00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pacing w:val="-1"/>
                <w:sz w:val="18"/>
              </w:rPr>
              <w:t>4,659,746.</w:t>
            </w:r>
          </w:p>
          <w:p>
            <w:pPr>
              <w:pStyle w:val="TableParagraph"/>
              <w:spacing w:line="234" w:lineRule="exact"/>
              <w:ind w:right="23"/>
              <w:jc w:val="right"/>
              <w:rPr>
                <w:rFonts w:ascii="宋体" w:hAnsi="宋体" w:cs="宋体" w:eastAsia="宋体" w:hint="default"/>
                <w:sz w:val="18"/>
                <w:szCs w:val="18"/>
              </w:rPr>
            </w:pPr>
            <w:r>
              <w:rPr>
                <w:rFonts w:ascii="宋体"/>
                <w:sz w:val="18"/>
              </w:rPr>
              <w:t>65</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1.04</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sz w:val="18"/>
              </w:rPr>
              <w:t>442,453,9</w:t>
            </w:r>
          </w:p>
          <w:p>
            <w:pPr>
              <w:pStyle w:val="TableParagraph"/>
              <w:spacing w:line="234" w:lineRule="exact"/>
              <w:ind w:left="26" w:right="0"/>
              <w:jc w:val="left"/>
              <w:rPr>
                <w:rFonts w:ascii="宋体" w:hAnsi="宋体" w:cs="宋体" w:eastAsia="宋体" w:hint="default"/>
                <w:sz w:val="18"/>
                <w:szCs w:val="18"/>
              </w:rPr>
            </w:pPr>
            <w:r>
              <w:rPr>
                <w:rFonts w:ascii="宋体"/>
                <w:sz w:val="18"/>
              </w:rPr>
              <w:t>07.94</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74" w:lineRule="exact" w:before="36"/>
        <w:ind w:right="0"/>
        <w:jc w:val="left"/>
      </w:pPr>
      <w:r>
        <w:rPr/>
        <w:t>期末单项金额重大并单项计提坏帐准备的应收账款</w:t>
      </w:r>
    </w:p>
    <w:p>
      <w:pPr>
        <w:pStyle w:val="BodyText"/>
        <w:spacing w:line="274" w:lineRule="exact"/>
        <w:ind w:right="0"/>
        <w:jc w:val="left"/>
      </w:pPr>
      <w:r>
        <w:rPr/>
        <w:t>□适用</w:t>
      </w:r>
      <w:r>
        <w:rPr>
          <w:spacing w:val="-1"/>
        </w:rPr>
        <w:t> </w:t>
      </w:r>
      <w:r>
        <w:rPr/>
        <w:t>√不适用</w:t>
      </w:r>
    </w:p>
    <w:p>
      <w:pPr>
        <w:spacing w:after="0" w:line="274" w:lineRule="exact"/>
        <w:jc w:val="left"/>
        <w:sectPr>
          <w:type w:val="continuous"/>
          <w:pgSz w:w="11910" w:h="16840"/>
          <w:pgMar w:top="1120" w:bottom="1380" w:left="1660" w:right="11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660" w:right="1120"/>
        </w:sectPr>
      </w:pPr>
    </w:p>
    <w:p>
      <w:pPr>
        <w:pStyle w:val="BodyText"/>
        <w:spacing w:line="274" w:lineRule="exact" w:before="36"/>
        <w:ind w:right="0"/>
        <w:jc w:val="left"/>
      </w:pPr>
      <w:r>
        <w:rPr>
          <w:spacing w:val="-2"/>
        </w:rPr>
        <w:t>组合中，按账龄分析法计提坏账准备的应收账款：</w:t>
      </w:r>
    </w:p>
    <w:p>
      <w:pPr>
        <w:pStyle w:val="BodyText"/>
        <w:spacing w:line="274"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4764" w:space="1758"/>
            <w:col w:w="260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048"/>
        <w:gridCol w:w="2282"/>
        <w:gridCol w:w="2316"/>
        <w:gridCol w:w="2249"/>
      </w:tblGrid>
      <w:tr>
        <w:trPr>
          <w:trHeight w:val="281"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048" w:type="dxa"/>
            <w:vMerge/>
            <w:tcBorders>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1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36"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451,742,416.79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2,258,712.08</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0.50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451,742,416.79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2,258,712.08</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0.50</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66,336,188.67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3,316,809.43</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4,973,489.21</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497,348.92</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10.00</w:t>
            </w:r>
          </w:p>
        </w:tc>
      </w:tr>
      <w:tr>
        <w:trPr>
          <w:trHeight w:val="284"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2,110,164.79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633,049.44</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30.00</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1,339,830.69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669,915.35</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973,573.35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973,573.35</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527,475,663.50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8,349,408.57</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1.58</w:t>
            </w:r>
          </w:p>
        </w:tc>
      </w:tr>
    </w:tbl>
    <w:p>
      <w:pPr>
        <w:spacing w:line="240" w:lineRule="auto" w:before="5"/>
        <w:rPr>
          <w:rFonts w:ascii="宋体" w:hAnsi="宋体" w:cs="宋体" w:eastAsia="宋体" w:hint="default"/>
          <w:sz w:val="15"/>
          <w:szCs w:val="15"/>
        </w:rPr>
      </w:pPr>
    </w:p>
    <w:p>
      <w:pPr>
        <w:pStyle w:val="BodyText"/>
        <w:spacing w:line="240" w:lineRule="auto" w:before="36"/>
        <w:ind w:left="558" w:right="0" w:hanging="420"/>
        <w:jc w:val="left"/>
      </w:pPr>
      <w:r>
        <w:rPr/>
        <w:t>确定该组合依据的说明：</w:t>
      </w:r>
      <w:r>
        <w:rPr>
          <w:w w:val="100"/>
        </w:rPr>
        <w:t> </w:t>
      </w:r>
      <w:r>
        <w:rPr>
          <w:spacing w:val="-2"/>
        </w:rPr>
        <w:t>除单独计提减值准备的应收账款外，公司根据以前年度与之相同或相类似的、按账龄段划分</w:t>
      </w:r>
    </w:p>
    <w:p>
      <w:pPr>
        <w:pStyle w:val="BodyText"/>
        <w:spacing w:line="274" w:lineRule="exact" w:before="22"/>
        <w:ind w:right="0"/>
        <w:jc w:val="left"/>
      </w:pPr>
      <w:r>
        <w:rPr>
          <w:spacing w:val="-2"/>
        </w:rPr>
        <w:t>的具有类似信用风险特征的应收账款组合的实际损失率为基础，结合现时情况分析法确定坏账准</w:t>
      </w:r>
      <w:r>
        <w:rPr>
          <w:spacing w:val="-25"/>
        </w:rPr>
        <w:t> </w:t>
      </w:r>
      <w:r>
        <w:rPr>
          <w:spacing w:val="-25"/>
        </w:rPr>
      </w:r>
      <w:r>
        <w:rPr/>
        <w:t>备计提的比例。</w:t>
      </w:r>
    </w:p>
    <w:p>
      <w:pPr>
        <w:spacing w:line="240" w:lineRule="auto" w:before="9"/>
        <w:rPr>
          <w:rFonts w:ascii="宋体" w:hAnsi="宋体" w:cs="宋体" w:eastAsia="宋体" w:hint="default"/>
          <w:sz w:val="18"/>
          <w:szCs w:val="18"/>
        </w:rPr>
      </w:pPr>
    </w:p>
    <w:p>
      <w:pPr>
        <w:pStyle w:val="BodyText"/>
        <w:spacing w:line="273" w:lineRule="exact"/>
        <w:ind w:right="0"/>
        <w:jc w:val="left"/>
      </w:pPr>
      <w:r>
        <w:rPr/>
        <w:t>组合中，采用余额百分比法计提坏账准备的应收账款：</w:t>
      </w:r>
    </w:p>
    <w:p>
      <w:pPr>
        <w:pStyle w:val="BodyText"/>
        <w:spacing w:line="273" w:lineRule="exact"/>
        <w:ind w:right="0"/>
        <w:jc w:val="left"/>
      </w:pPr>
      <w:r>
        <w:rPr/>
        <w:t>□适用</w:t>
      </w:r>
      <w:r>
        <w:rPr>
          <w:spacing w:val="-1"/>
        </w:rPr>
        <w:t> </w:t>
      </w:r>
      <w:r>
        <w:rPr/>
        <w:t>√不适用</w:t>
      </w:r>
    </w:p>
    <w:p>
      <w:pPr>
        <w:spacing w:line="240" w:lineRule="auto" w:before="9"/>
        <w:rPr>
          <w:rFonts w:ascii="宋体" w:hAnsi="宋体" w:cs="宋体" w:eastAsia="宋体" w:hint="default"/>
          <w:sz w:val="20"/>
          <w:szCs w:val="20"/>
        </w:rPr>
      </w:pPr>
    </w:p>
    <w:p>
      <w:pPr>
        <w:pStyle w:val="BodyText"/>
        <w:spacing w:line="273" w:lineRule="exact"/>
        <w:ind w:right="0"/>
        <w:jc w:val="left"/>
      </w:pPr>
      <w:r>
        <w:rPr/>
        <w:t>组合中，采用其他方法计提坏账准备的应收账款：</w:t>
      </w:r>
    </w:p>
    <w:p>
      <w:pPr>
        <w:pStyle w:val="BodyText"/>
        <w:spacing w:line="273" w:lineRule="exact"/>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(2).</w:t>
      </w:r>
      <w:r>
        <w:rPr>
          <w:rFonts w:ascii="宋体" w:hAnsi="宋体" w:cs="宋体" w:eastAsia="宋体" w:hint="default"/>
          <w:spacing w:val="44"/>
        </w:rPr>
        <w:t> </w:t>
      </w:r>
      <w:r>
        <w:rPr/>
        <w:t>本期计提、收回或转回的坏账准备情况：</w:t>
      </w:r>
      <w:r>
        <w:rPr>
          <w:b w:val="0"/>
          <w:bCs w:val="0"/>
        </w:rPr>
      </w:r>
    </w:p>
    <w:p>
      <w:pPr>
        <w:pStyle w:val="BodyText"/>
        <w:spacing w:line="240" w:lineRule="auto" w:before="58"/>
        <w:ind w:right="0"/>
        <w:jc w:val="left"/>
      </w:pPr>
      <w:r>
        <w:rPr/>
        <w:t>本期计提坏账准备金额</w:t>
      </w:r>
      <w:r>
        <w:rPr>
          <w:spacing w:val="-55"/>
        </w:rPr>
        <w:t> </w:t>
      </w:r>
      <w:r>
        <w:rPr>
          <w:rFonts w:ascii="宋体" w:hAnsi="宋体" w:cs="宋体" w:eastAsia="宋体" w:hint="default"/>
        </w:rPr>
        <w:t>3,689,661.92</w:t>
      </w:r>
      <w:r>
        <w:rPr>
          <w:rFonts w:ascii="宋体" w:hAnsi="宋体" w:cs="宋体" w:eastAsia="宋体" w:hint="default"/>
          <w:spacing w:val="-56"/>
        </w:rPr>
        <w:t> </w:t>
      </w:r>
      <w:r>
        <w:rPr/>
        <w:t>元；本期收回或转回坏账准备金额</w:t>
      </w:r>
      <w:r>
        <w:rPr>
          <w:spacing w:val="-56"/>
        </w:rPr>
        <w:t> </w:t>
      </w:r>
      <w:r>
        <w:rPr>
          <w:rFonts w:ascii="宋体" w:hAnsi="宋体" w:cs="宋体" w:eastAsia="宋体" w:hint="default"/>
        </w:rPr>
        <w:t>0.00</w:t>
      </w:r>
      <w:r>
        <w:rPr>
          <w:rFonts w:ascii="宋体" w:hAnsi="宋体" w:cs="宋体" w:eastAsia="宋体" w:hint="default"/>
          <w:spacing w:val="-58"/>
        </w:rPr>
        <w:t> </w:t>
      </w:r>
      <w:r>
        <w:rPr/>
        <w:t>元。</w:t>
      </w:r>
    </w:p>
    <w:p>
      <w:pPr>
        <w:spacing w:line="240" w:lineRule="auto" w:before="8"/>
        <w:rPr>
          <w:rFonts w:ascii="宋体" w:hAnsi="宋体" w:cs="宋体" w:eastAsia="宋体" w:hint="default"/>
          <w:sz w:val="20"/>
          <w:szCs w:val="20"/>
        </w:rPr>
      </w:pPr>
    </w:p>
    <w:p>
      <w:pPr>
        <w:pStyle w:val="BodyText"/>
        <w:spacing w:line="273" w:lineRule="exact"/>
        <w:ind w:right="0"/>
        <w:jc w:val="left"/>
      </w:pPr>
      <w:r>
        <w:rPr/>
        <w:t>其中本期坏账准备收回或转回金额重要的：</w:t>
      </w:r>
    </w:p>
    <w:p>
      <w:pPr>
        <w:pStyle w:val="BodyText"/>
        <w:spacing w:line="273" w:lineRule="exact"/>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(3).</w:t>
      </w:r>
      <w:r>
        <w:rPr>
          <w:rFonts w:ascii="宋体" w:hAnsi="宋体" w:cs="宋体" w:eastAsia="宋体" w:hint="default"/>
          <w:spacing w:val="44"/>
        </w:rPr>
        <w:t> </w:t>
      </w:r>
      <w:r>
        <w:rPr/>
        <w:t>本期实际核销的应收账款情况</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(4).</w:t>
      </w:r>
      <w:r>
        <w:rPr>
          <w:rFonts w:ascii="宋体" w:hAnsi="宋体" w:cs="宋体" w:eastAsia="宋体" w:hint="default"/>
          <w:spacing w:val="43"/>
        </w:rPr>
        <w:t> </w:t>
      </w:r>
      <w:r>
        <w:rPr/>
        <w:t>按欠款方归集的期末余额前五名的应收账款情况：</w:t>
      </w:r>
      <w:r>
        <w:rPr>
          <w:b w:val="0"/>
          <w:bCs w:val="0"/>
        </w:rPr>
      </w:r>
    </w:p>
    <w:p>
      <w:pPr>
        <w:pStyle w:val="BodyText"/>
        <w:spacing w:line="274" w:lineRule="exact" w:before="56"/>
        <w:ind w:right="0"/>
        <w:jc w:val="left"/>
      </w:pPr>
      <w:r>
        <w:rPr/>
        <w:t>√适用</w:t>
      </w:r>
      <w:r>
        <w:rPr>
          <w:spacing w:val="-1"/>
        </w:rPr>
        <w:t> </w:t>
      </w:r>
      <w:r>
        <w:rPr/>
        <w:t>□不适用</w:t>
      </w:r>
    </w:p>
    <w:p>
      <w:pPr>
        <w:pStyle w:val="BodyText"/>
        <w:spacing w:line="278" w:lineRule="exact" w:before="22"/>
        <w:ind w:right="0" w:firstLine="419"/>
        <w:jc w:val="left"/>
      </w:pPr>
      <w:r>
        <w:rPr>
          <w:spacing w:val="-2"/>
          <w:w w:val="100"/>
        </w:rPr>
        <w:t>期末余额前</w:t>
      </w:r>
      <w:r>
        <w:rPr>
          <w:spacing w:val="-51"/>
          <w:w w:val="100"/>
        </w:rPr>
        <w:t> </w:t>
      </w:r>
      <w:r>
        <w:rPr>
          <w:rFonts w:ascii="宋体" w:hAnsi="宋体" w:cs="宋体" w:eastAsia="宋体" w:hint="default"/>
          <w:w w:val="100"/>
        </w:rPr>
        <w:t>5</w:t>
      </w:r>
      <w:r>
        <w:rPr>
          <w:rFonts w:ascii="宋体" w:hAnsi="宋体" w:cs="宋体" w:eastAsia="宋体" w:hint="default"/>
          <w:spacing w:val="-51"/>
          <w:w w:val="100"/>
        </w:rPr>
        <w:t> </w:t>
      </w:r>
      <w:r>
        <w:rPr>
          <w:spacing w:val="-2"/>
          <w:w w:val="100"/>
        </w:rPr>
        <w:t>名的应收账款合计数为</w:t>
      </w:r>
      <w:r>
        <w:rPr>
          <w:spacing w:val="-50"/>
          <w:w w:val="100"/>
        </w:rPr>
        <w:t> </w:t>
      </w:r>
      <w:r>
        <w:rPr>
          <w:rFonts w:ascii="宋体" w:hAnsi="宋体" w:cs="宋体" w:eastAsia="宋体" w:hint="default"/>
          <w:spacing w:val="-1"/>
          <w:w w:val="100"/>
        </w:rPr>
        <w:t>467,651,765.01</w:t>
      </w:r>
      <w:r>
        <w:rPr>
          <w:rFonts w:ascii="宋体" w:hAnsi="宋体" w:cs="宋体" w:eastAsia="宋体" w:hint="default"/>
          <w:spacing w:val="-51"/>
          <w:w w:val="100"/>
        </w:rPr>
        <w:t> </w:t>
      </w:r>
      <w:r>
        <w:rPr>
          <w:spacing w:val="-7"/>
          <w:w w:val="100"/>
        </w:rPr>
        <w:t>元，占应收账款期末余额合计数的比例</w:t>
      </w:r>
      <w:r>
        <w:rPr>
          <w:w w:val="100"/>
        </w:rPr>
        <w:t> </w:t>
      </w:r>
      <w:r>
        <w:rPr/>
        <w:t>为</w:t>
      </w:r>
      <w:r>
        <w:rPr>
          <w:spacing w:val="-54"/>
        </w:rPr>
        <w:t> </w:t>
      </w:r>
      <w:r>
        <w:rPr>
          <w:rFonts w:ascii="宋体" w:hAnsi="宋体" w:cs="宋体" w:eastAsia="宋体" w:hint="default"/>
          <w:sz w:val="22"/>
          <w:szCs w:val="22"/>
        </w:rPr>
        <w:t>88.66</w:t>
      </w:r>
      <w:r>
        <w:rPr>
          <w:rFonts w:ascii="宋体" w:hAnsi="宋体" w:cs="宋体" w:eastAsia="宋体" w:hint="default"/>
        </w:rPr>
        <w:t>%</w:t>
      </w:r>
      <w:r>
        <w:rPr/>
        <w:t>，相应计提的坏账准备合计数为</w:t>
      </w:r>
      <w:r>
        <w:rPr>
          <w:spacing w:val="-54"/>
        </w:rPr>
        <w:t> </w:t>
      </w:r>
      <w:r>
        <w:rPr>
          <w:rFonts w:ascii="宋体" w:hAnsi="宋体" w:cs="宋体" w:eastAsia="宋体" w:hint="default"/>
        </w:rPr>
        <w:t>5,196,694.27</w:t>
      </w:r>
      <w:r>
        <w:rPr>
          <w:rFonts w:ascii="宋体" w:hAnsi="宋体" w:cs="宋体" w:eastAsia="宋体" w:hint="default"/>
          <w:spacing w:val="-56"/>
        </w:rPr>
        <w:t> </w:t>
      </w:r>
      <w:r>
        <w:rPr/>
        <w:t>元。</w:t>
      </w:r>
    </w:p>
    <w:p>
      <w:pPr>
        <w:spacing w:line="240" w:lineRule="auto" w:before="10"/>
        <w:rPr>
          <w:rFonts w:ascii="宋体" w:hAnsi="宋体" w:cs="宋体" w:eastAsia="宋体" w:hint="default"/>
          <w:sz w:val="23"/>
          <w:szCs w:val="23"/>
        </w:rPr>
      </w:pPr>
    </w:p>
    <w:p>
      <w:pPr>
        <w:pStyle w:val="Heading2"/>
        <w:spacing w:line="240" w:lineRule="auto"/>
        <w:ind w:left="138" w:right="0"/>
        <w:jc w:val="left"/>
        <w:rPr>
          <w:b w:val="0"/>
          <w:bCs w:val="0"/>
        </w:rPr>
      </w:pPr>
      <w:r>
        <w:rPr>
          <w:rFonts w:ascii="宋体" w:hAnsi="宋体" w:cs="宋体" w:eastAsia="宋体" w:hint="default"/>
        </w:rPr>
        <w:t>(5).</w:t>
      </w:r>
      <w:r>
        <w:rPr>
          <w:rFonts w:ascii="宋体" w:hAnsi="宋体" w:cs="宋体" w:eastAsia="宋体" w:hint="default"/>
          <w:spacing w:val="44"/>
        </w:rPr>
        <w:t> </w:t>
      </w:r>
      <w:r>
        <w:rPr/>
        <w:t>因金融资产转移而终止确认的应收账款：</w:t>
      </w:r>
      <w:r>
        <w:rPr>
          <w:b w:val="0"/>
          <w:bCs w:val="0"/>
        </w:rPr>
      </w:r>
    </w:p>
    <w:p>
      <w:pPr>
        <w:pStyle w:val="BodyText"/>
        <w:spacing w:line="240" w:lineRule="auto" w:before="56"/>
        <w:ind w:right="0"/>
        <w:jc w:val="left"/>
      </w:pPr>
      <w:r>
        <w:rPr/>
        <w:t>□适用</w:t>
      </w:r>
      <w:r>
        <w:rPr>
          <w:spacing w:val="-1"/>
        </w:rPr>
        <w:t> </w:t>
      </w:r>
      <w:r>
        <w:rPr/>
        <w:t>√不适用</w:t>
      </w:r>
    </w:p>
    <w:p>
      <w:pPr>
        <w:spacing w:line="240" w:lineRule="auto" w:before="11"/>
        <w:rPr>
          <w:rFonts w:ascii="宋体" w:hAnsi="宋体" w:cs="宋体" w:eastAsia="宋体" w:hint="default"/>
          <w:sz w:val="22"/>
          <w:szCs w:val="22"/>
        </w:rPr>
      </w:pPr>
    </w:p>
    <w:p>
      <w:pPr>
        <w:pStyle w:val="Heading2"/>
        <w:spacing w:line="240" w:lineRule="auto"/>
        <w:ind w:left="138" w:right="0"/>
        <w:jc w:val="left"/>
        <w:rPr>
          <w:b w:val="0"/>
          <w:bCs w:val="0"/>
        </w:rPr>
      </w:pPr>
      <w:r>
        <w:rPr>
          <w:rFonts w:ascii="宋体" w:hAnsi="宋体" w:cs="宋体" w:eastAsia="宋体" w:hint="default"/>
        </w:rPr>
        <w:t>(6).</w:t>
      </w:r>
      <w:r>
        <w:rPr>
          <w:rFonts w:ascii="宋体" w:hAnsi="宋体" w:cs="宋体" w:eastAsia="宋体" w:hint="default"/>
          <w:spacing w:val="43"/>
        </w:rPr>
        <w:t> </w:t>
      </w:r>
      <w:r>
        <w:rPr/>
        <w:t>转移应收账款且继续涉入形成的资产、负债金额：</w:t>
      </w:r>
      <w:r>
        <w:rPr>
          <w:b w:val="0"/>
          <w:bCs w:val="0"/>
        </w:rPr>
      </w:r>
    </w:p>
    <w:p>
      <w:pPr>
        <w:pStyle w:val="BodyText"/>
        <w:spacing w:line="240" w:lineRule="auto" w:before="59"/>
        <w:ind w:right="0"/>
        <w:jc w:val="left"/>
      </w:pPr>
      <w:r>
        <w:rPr/>
        <w:t>□适用</w:t>
      </w:r>
      <w:r>
        <w:rPr>
          <w:spacing w:val="-1"/>
        </w:rPr>
        <w:t> </w:t>
      </w:r>
      <w:r>
        <w:rPr/>
        <w:t>√不适用</w:t>
      </w:r>
    </w:p>
    <w:p>
      <w:pPr>
        <w:spacing w:line="240" w:lineRule="auto" w:before="3"/>
        <w:rPr>
          <w:rFonts w:ascii="宋体" w:hAnsi="宋体" w:cs="宋体" w:eastAsia="宋体" w:hint="default"/>
          <w:sz w:val="18"/>
          <w:szCs w:val="18"/>
        </w:rPr>
      </w:pPr>
    </w:p>
    <w:p>
      <w:pPr>
        <w:pStyle w:val="BodyText"/>
        <w:spacing w:line="240" w:lineRule="auto"/>
        <w:ind w:right="0"/>
        <w:jc w:val="left"/>
      </w:pPr>
      <w:r>
        <w:rPr/>
        <w:t>其他说明：</w:t>
      </w:r>
    </w:p>
    <w:p>
      <w:pPr>
        <w:spacing w:after="0" w:line="240" w:lineRule="auto"/>
        <w:jc w:val="left"/>
        <w:sectPr>
          <w:type w:val="continuous"/>
          <w:pgSz w:w="11910" w:h="16840"/>
          <w:pgMar w:top="1120" w:bottom="1380" w:left="1660" w:right="1120"/>
        </w:sectPr>
      </w:pPr>
    </w:p>
    <w:p>
      <w:pPr>
        <w:spacing w:line="240" w:lineRule="auto" w:before="1"/>
        <w:rPr>
          <w:rFonts w:ascii="宋体" w:hAnsi="宋体" w:cs="宋体" w:eastAsia="宋体" w:hint="default"/>
          <w:sz w:val="25"/>
          <w:szCs w:val="25"/>
        </w:rPr>
      </w:pPr>
    </w:p>
    <w:p>
      <w:pPr>
        <w:pStyle w:val="BodyText"/>
        <w:spacing w:line="240" w:lineRule="auto" w:before="36"/>
        <w:ind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48"/>
          <w:pgSz w:w="11910" w:h="16840"/>
          <w:pgMar w:footer="1195" w:header="882" w:top="1120" w:bottom="1380" w:left="1660" w:right="1120"/>
        </w:sectPr>
      </w:pPr>
    </w:p>
    <w:p>
      <w:pPr>
        <w:pStyle w:val="Heading2"/>
        <w:spacing w:line="240" w:lineRule="auto" w:before="36"/>
        <w:ind w:left="138" w:right="-19"/>
        <w:jc w:val="left"/>
        <w:rPr>
          <w:b w:val="0"/>
          <w:bCs w:val="0"/>
        </w:rPr>
      </w:pPr>
      <w:r>
        <w:rPr>
          <w:rFonts w:ascii="宋体" w:hAnsi="宋体" w:cs="宋体" w:eastAsia="宋体" w:hint="default"/>
        </w:rPr>
        <w:t>6</w:t>
      </w:r>
      <w:r>
        <w:rPr/>
        <w:t>、</w:t>
      </w:r>
      <w:r>
        <w:rPr>
          <w:spacing w:val="-2"/>
        </w:rPr>
        <w:t> </w:t>
      </w:r>
      <w:r>
        <w:rPr/>
        <w:t>预付款项</w:t>
      </w:r>
      <w:r>
        <w:rPr>
          <w:b w:val="0"/>
          <w:bCs w:val="0"/>
        </w:rPr>
      </w:r>
    </w:p>
    <w:p>
      <w:pPr>
        <w:pStyle w:val="Heading2"/>
        <w:spacing w:line="240" w:lineRule="auto" w:before="58"/>
        <w:ind w:left="138" w:right="-19"/>
        <w:jc w:val="left"/>
        <w:rPr>
          <w:b w:val="0"/>
          <w:bCs w:val="0"/>
        </w:rPr>
      </w:pPr>
      <w:r>
        <w:rPr>
          <w:rFonts w:ascii="宋体" w:hAnsi="宋体" w:cs="宋体" w:eastAsia="宋体" w:hint="default"/>
        </w:rPr>
        <w:t>(1).</w:t>
      </w:r>
      <w:r>
        <w:rPr>
          <w:rFonts w:ascii="宋体" w:hAnsi="宋体" w:cs="宋体" w:eastAsia="宋体" w:hint="default"/>
          <w:spacing w:val="90"/>
        </w:rPr>
        <w:t> </w:t>
      </w:r>
      <w:r>
        <w:rPr/>
        <w:t>预付款项按账龄列示</w:t>
      </w:r>
      <w:r>
        <w:rPr>
          <w:b w:val="0"/>
          <w:bCs w:val="0"/>
        </w:rPr>
      </w:r>
    </w:p>
    <w:p>
      <w:pPr>
        <w:pStyle w:val="BodyText"/>
        <w:spacing w:line="240" w:lineRule="auto" w:before="56"/>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2656" w:space="3866"/>
            <w:col w:w="260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361"/>
        <w:gridCol w:w="1892"/>
        <w:gridCol w:w="1877"/>
        <w:gridCol w:w="1874"/>
        <w:gridCol w:w="1892"/>
      </w:tblGrid>
      <w:tr>
        <w:trPr>
          <w:trHeight w:val="283" w:hRule="exact"/>
        </w:trPr>
        <w:tc>
          <w:tcPr>
            <w:tcW w:w="1361"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361" w:type="dxa"/>
            <w:vMerge/>
            <w:tcBorders>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28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9,991,266.38</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z w:val="21"/>
              </w:rPr>
              <w:t>97.45</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32,839,767.98</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99.42</w:t>
            </w:r>
          </w:p>
        </w:tc>
      </w:tr>
      <w:tr>
        <w:trPr>
          <w:trHeight w:val="28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205,759.97</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2.01</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190,881.08</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0.58</w:t>
            </w:r>
          </w:p>
        </w:tc>
      </w:tr>
      <w:tr>
        <w:trPr>
          <w:trHeight w:val="28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54,851.38</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0.54</w:t>
            </w:r>
          </w:p>
        </w:tc>
        <w:tc>
          <w:tcPr>
            <w:tcW w:w="1874"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7"/>
              <w:jc w:val="right"/>
              <w:rPr>
                <w:rFonts w:ascii="宋体" w:hAnsi="宋体" w:cs="宋体" w:eastAsia="宋体" w:hint="default"/>
                <w:sz w:val="21"/>
                <w:szCs w:val="21"/>
              </w:rPr>
            </w:pPr>
            <w:r>
              <w:rPr>
                <w:rFonts w:ascii="宋体"/>
                <w:spacing w:val="-1"/>
                <w:sz w:val="21"/>
              </w:rPr>
              <w:t>10,251,877.73</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7"/>
              <w:jc w:val="right"/>
              <w:rPr>
                <w:rFonts w:ascii="宋体" w:hAnsi="宋体" w:cs="宋体" w:eastAsia="宋体" w:hint="default"/>
                <w:sz w:val="21"/>
                <w:szCs w:val="21"/>
              </w:rPr>
            </w:pPr>
            <w:r>
              <w:rPr>
                <w:rFonts w:ascii="宋体"/>
                <w:sz w:val="21"/>
              </w:rPr>
              <w:t>100.00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6"/>
              <w:jc w:val="right"/>
              <w:rPr>
                <w:rFonts w:ascii="宋体" w:hAnsi="宋体" w:cs="宋体" w:eastAsia="宋体" w:hint="default"/>
                <w:sz w:val="21"/>
                <w:szCs w:val="21"/>
              </w:rPr>
            </w:pPr>
            <w:r>
              <w:rPr>
                <w:rFonts w:ascii="宋体"/>
                <w:spacing w:val="-1"/>
                <w:sz w:val="21"/>
              </w:rPr>
              <w:t>33,030,649.06</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6"/>
              <w:jc w:val="right"/>
              <w:rPr>
                <w:rFonts w:ascii="宋体" w:hAnsi="宋体" w:cs="宋体" w:eastAsia="宋体" w:hint="default"/>
                <w:sz w:val="21"/>
                <w:szCs w:val="21"/>
              </w:rPr>
            </w:pPr>
            <w:r>
              <w:rPr>
                <w:rFonts w:ascii="宋体"/>
                <w:sz w:val="21"/>
              </w:rPr>
              <w:t>100.00</w:t>
            </w:r>
          </w:p>
        </w:tc>
      </w:tr>
    </w:tbl>
    <w:p>
      <w:pPr>
        <w:spacing w:line="240" w:lineRule="auto" w:before="7"/>
        <w:rPr>
          <w:rFonts w:ascii="宋体" w:hAnsi="宋体" w:cs="宋体" w:eastAsia="宋体" w:hint="default"/>
          <w:sz w:val="15"/>
          <w:szCs w:val="15"/>
        </w:rPr>
      </w:pPr>
    </w:p>
    <w:p>
      <w:pPr>
        <w:pStyle w:val="BodyText"/>
        <w:spacing w:line="273" w:lineRule="exact" w:before="36"/>
        <w:ind w:right="0"/>
        <w:jc w:val="left"/>
      </w:pPr>
      <w:r>
        <w:rPr/>
        <w:t>账龄超过</w:t>
      </w:r>
      <w:r>
        <w:rPr>
          <w:spacing w:val="-53"/>
        </w:rPr>
        <w:t> </w:t>
      </w:r>
      <w:r>
        <w:rPr>
          <w:rFonts w:ascii="宋体" w:hAnsi="宋体" w:cs="宋体" w:eastAsia="宋体" w:hint="default"/>
        </w:rPr>
        <w:t>1</w:t>
      </w:r>
      <w:r>
        <w:rPr>
          <w:rFonts w:ascii="宋体" w:hAnsi="宋体" w:cs="宋体" w:eastAsia="宋体" w:hint="default"/>
          <w:spacing w:val="-55"/>
        </w:rPr>
        <w:t> </w:t>
      </w:r>
      <w:r>
        <w:rPr/>
        <w:t>年且金额重要的预付款项未及时结算原因的说明：</w:t>
      </w:r>
    </w:p>
    <w:p>
      <w:pPr>
        <w:pStyle w:val="BodyText"/>
        <w:spacing w:line="273" w:lineRule="exact"/>
        <w:ind w:left="558" w:right="0"/>
        <w:jc w:val="left"/>
      </w:pPr>
      <w:r>
        <w:rPr/>
        <w:t>公司无账龄超过 </w:t>
      </w:r>
      <w:r>
        <w:rPr>
          <w:rFonts w:ascii="宋体" w:hAnsi="宋体" w:cs="宋体" w:eastAsia="宋体" w:hint="default"/>
        </w:rPr>
        <w:t>1</w:t>
      </w:r>
      <w:r>
        <w:rPr>
          <w:rFonts w:ascii="宋体" w:hAnsi="宋体" w:cs="宋体" w:eastAsia="宋体" w:hint="default"/>
          <w:spacing w:val="-3"/>
        </w:rPr>
        <w:t> </w:t>
      </w:r>
      <w:r>
        <w:rPr/>
        <w:t>年且金额重要的预付款项。</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(2).</w:t>
      </w:r>
      <w:r>
        <w:rPr>
          <w:rFonts w:ascii="宋体" w:hAnsi="宋体" w:cs="宋体" w:eastAsia="宋体" w:hint="default"/>
          <w:spacing w:val="86"/>
        </w:rPr>
        <w:t> </w:t>
      </w:r>
      <w:r>
        <w:rPr/>
        <w:t>按预付对象归集的期末余额前五名的预付款情况：</w:t>
      </w:r>
      <w:r>
        <w:rPr>
          <w:b w:val="0"/>
          <w:bCs w:val="0"/>
        </w:rPr>
      </w:r>
    </w:p>
    <w:p>
      <w:pPr>
        <w:pStyle w:val="BodyText"/>
        <w:spacing w:line="273" w:lineRule="exact" w:before="58"/>
        <w:ind w:right="0"/>
        <w:jc w:val="left"/>
      </w:pPr>
      <w:r>
        <w:rPr/>
        <w:t>√适用</w:t>
      </w:r>
      <w:r>
        <w:rPr>
          <w:spacing w:val="-1"/>
        </w:rPr>
        <w:t> </w:t>
      </w:r>
      <w:r>
        <w:rPr/>
        <w:t>□不适用</w:t>
      </w:r>
    </w:p>
    <w:p>
      <w:pPr>
        <w:pStyle w:val="BodyText"/>
        <w:spacing w:line="240" w:lineRule="auto"/>
        <w:ind w:right="0" w:firstLine="419"/>
        <w:jc w:val="left"/>
      </w:pPr>
      <w:r>
        <w:rPr>
          <w:spacing w:val="-2"/>
          <w:w w:val="100"/>
        </w:rPr>
        <w:t>期末余额前</w:t>
      </w:r>
      <w:r>
        <w:rPr>
          <w:spacing w:val="-49"/>
          <w:w w:val="100"/>
        </w:rPr>
        <w:t> </w:t>
      </w:r>
      <w:r>
        <w:rPr>
          <w:rFonts w:ascii="宋体" w:hAnsi="宋体" w:cs="宋体" w:eastAsia="宋体" w:hint="default"/>
          <w:w w:val="100"/>
        </w:rPr>
        <w:t>5</w:t>
      </w:r>
      <w:r>
        <w:rPr>
          <w:rFonts w:ascii="宋体" w:hAnsi="宋体" w:cs="宋体" w:eastAsia="宋体" w:hint="default"/>
          <w:spacing w:val="-49"/>
          <w:w w:val="100"/>
        </w:rPr>
        <w:t> </w:t>
      </w:r>
      <w:r>
        <w:rPr>
          <w:spacing w:val="-2"/>
          <w:w w:val="100"/>
        </w:rPr>
        <w:t>名的预付款项合计数为</w:t>
      </w:r>
      <w:r>
        <w:rPr>
          <w:spacing w:val="-48"/>
          <w:w w:val="100"/>
        </w:rPr>
        <w:t> </w:t>
      </w:r>
      <w:r>
        <w:rPr>
          <w:rFonts w:ascii="宋体" w:hAnsi="宋体" w:cs="宋体" w:eastAsia="宋体" w:hint="default"/>
          <w:spacing w:val="-1"/>
          <w:w w:val="100"/>
        </w:rPr>
        <w:t>6,388,342.82</w:t>
      </w:r>
      <w:r>
        <w:rPr>
          <w:rFonts w:ascii="宋体" w:hAnsi="宋体" w:cs="宋体" w:eastAsia="宋体" w:hint="default"/>
          <w:spacing w:val="-51"/>
          <w:w w:val="100"/>
        </w:rPr>
        <w:t> </w:t>
      </w:r>
      <w:r>
        <w:rPr>
          <w:spacing w:val="-7"/>
          <w:w w:val="100"/>
        </w:rPr>
        <w:t>元，占预付款项期末余额合计数的比例为</w:t>
      </w:r>
      <w:r>
        <w:rPr>
          <w:w w:val="100"/>
        </w:rPr>
        <w:t> </w:t>
      </w:r>
      <w:r>
        <w:rPr>
          <w:rFonts w:ascii="宋体" w:hAnsi="宋体" w:cs="宋体" w:eastAsia="宋体" w:hint="default"/>
        </w:rPr>
        <w:t>62.32%</w:t>
      </w:r>
      <w:r>
        <w:rPr/>
        <w:t>。</w:t>
      </w:r>
    </w:p>
    <w:p>
      <w:pPr>
        <w:spacing w:line="240" w:lineRule="auto" w:before="8"/>
        <w:rPr>
          <w:rFonts w:ascii="宋体" w:hAnsi="宋体" w:cs="宋体" w:eastAsia="宋体" w:hint="default"/>
          <w:sz w:val="20"/>
          <w:szCs w:val="20"/>
        </w:rPr>
      </w:pPr>
    </w:p>
    <w:p>
      <w:pPr>
        <w:pStyle w:val="BodyText"/>
        <w:spacing w:line="273" w:lineRule="exact"/>
        <w:ind w:right="0"/>
        <w:jc w:val="left"/>
      </w:pPr>
      <w:r>
        <w:rPr/>
        <w:t>其他说明</w:t>
      </w:r>
    </w:p>
    <w:p>
      <w:pPr>
        <w:pStyle w:val="BodyText"/>
        <w:spacing w:line="273" w:lineRule="exact"/>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7</w:t>
      </w:r>
      <w:r>
        <w:rPr/>
        <w:t>、</w:t>
      </w:r>
      <w:r>
        <w:rPr>
          <w:spacing w:val="-2"/>
        </w:rPr>
        <w:t> </w:t>
      </w:r>
      <w:r>
        <w:rPr/>
        <w:t>应收利息</w:t>
      </w:r>
      <w:r>
        <w:rPr>
          <w:b w:val="0"/>
          <w:bCs w:val="0"/>
        </w:rPr>
      </w:r>
    </w:p>
    <w:p>
      <w:pPr>
        <w:pStyle w:val="Heading2"/>
        <w:spacing w:line="240" w:lineRule="auto" w:before="56"/>
        <w:ind w:left="138" w:right="0"/>
        <w:jc w:val="left"/>
        <w:rPr>
          <w:b w:val="0"/>
          <w:bCs w:val="0"/>
        </w:rPr>
      </w:pPr>
      <w:r>
        <w:rPr>
          <w:rFonts w:ascii="宋体" w:hAnsi="宋体" w:cs="宋体" w:eastAsia="宋体" w:hint="default"/>
        </w:rPr>
        <w:t>(1).</w:t>
      </w:r>
      <w:r>
        <w:rPr>
          <w:rFonts w:ascii="宋体" w:hAnsi="宋体" w:cs="宋体" w:eastAsia="宋体" w:hint="default"/>
          <w:spacing w:val="19"/>
        </w:rPr>
        <w:t> </w:t>
      </w:r>
      <w:r>
        <w:rPr/>
        <w:t>应收利息分类</w:t>
      </w:r>
      <w:r>
        <w:rPr>
          <w:b w:val="0"/>
          <w:bCs w:val="0"/>
        </w:rPr>
      </w:r>
    </w:p>
    <w:p>
      <w:pPr>
        <w:spacing w:line="290" w:lineRule="auto" w:before="58"/>
        <w:ind w:left="138" w:right="715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19"/>
          <w:sz w:val="21"/>
          <w:szCs w:val="21"/>
        </w:rPr>
        <w:t> </w:t>
      </w:r>
      <w:r>
        <w:rPr>
          <w:rFonts w:ascii="宋体" w:hAnsi="宋体" w:cs="宋体" w:eastAsia="宋体" w:hint="default"/>
          <w:b/>
          <w:bCs/>
          <w:sz w:val="21"/>
          <w:szCs w:val="21"/>
        </w:rPr>
        <w:t>重要逾期利息</w:t>
      </w:r>
      <w:r>
        <w:rPr>
          <w:rFonts w:ascii="宋体" w:hAnsi="宋体" w:cs="宋体" w:eastAsia="宋体" w:hint="default"/>
          <w:sz w:val="21"/>
          <w:szCs w:val="21"/>
        </w:rPr>
      </w:r>
    </w:p>
    <w:p>
      <w:pPr>
        <w:pStyle w:val="BodyText"/>
        <w:spacing w:line="272" w:lineRule="exact" w:before="42"/>
        <w:ind w:right="7394"/>
        <w:jc w:val="left"/>
      </w:pPr>
      <w:r>
        <w:rPr/>
        <w:t>□适用</w:t>
      </w:r>
      <w:r>
        <w:rPr>
          <w:spacing w:val="-1"/>
        </w:rPr>
        <w:t> </w:t>
      </w:r>
      <w:r>
        <w:rPr/>
        <w:t>√不适用</w:t>
      </w:r>
      <w:r>
        <w:rPr>
          <w:w w:val="100"/>
        </w:rPr>
        <w:t> </w:t>
      </w:r>
      <w:r>
        <w:rPr/>
        <w:t>其他说明：</w:t>
      </w:r>
    </w:p>
    <w:p>
      <w:pPr>
        <w:pStyle w:val="BodyText"/>
        <w:spacing w:line="249" w:lineRule="exact"/>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ind w:left="138" w:right="7566"/>
        <w:jc w:val="left"/>
        <w:rPr>
          <w:b w:val="0"/>
          <w:bCs w:val="0"/>
        </w:rPr>
      </w:pPr>
      <w:r>
        <w:rPr>
          <w:rFonts w:ascii="宋体" w:hAnsi="宋体" w:cs="宋体" w:eastAsia="宋体" w:hint="default"/>
        </w:rPr>
        <w:t>8</w:t>
      </w:r>
      <w:r>
        <w:rPr/>
        <w:t>、</w:t>
      </w:r>
      <w:r>
        <w:rPr>
          <w:spacing w:val="-3"/>
        </w:rPr>
        <w:t> </w:t>
      </w:r>
      <w:r>
        <w:rPr/>
        <w:t>应收股利</w:t>
      </w:r>
      <w:r>
        <w:rPr>
          <w:w w:val="100"/>
        </w:rPr>
        <w:t> </w:t>
      </w:r>
      <w:r>
        <w:rPr>
          <w:rFonts w:ascii="宋体" w:hAnsi="宋体" w:cs="宋体" w:eastAsia="宋体" w:hint="default"/>
        </w:rPr>
        <w:t>(1).</w:t>
      </w:r>
      <w:r>
        <w:rPr>
          <w:rFonts w:ascii="宋体" w:hAnsi="宋体" w:cs="宋体" w:eastAsia="宋体" w:hint="default"/>
          <w:spacing w:val="30"/>
        </w:rPr>
        <w:t> </w:t>
      </w:r>
      <w:r>
        <w:rPr/>
        <w:t>应收股利</w:t>
      </w:r>
      <w:r>
        <w:rPr>
          <w:b w:val="0"/>
          <w:bCs w:val="0"/>
        </w:rPr>
      </w:r>
    </w:p>
    <w:p>
      <w:pPr>
        <w:pStyle w:val="BodyText"/>
        <w:spacing w:line="240" w:lineRule="auto" w:before="14"/>
        <w:ind w:right="0"/>
        <w:jc w:val="left"/>
      </w:pPr>
      <w:r>
        <w:rPr/>
        <w:t>□适用</w:t>
      </w:r>
      <w:r>
        <w:rPr>
          <w:spacing w:val="-1"/>
        </w:rPr>
        <w:t> </w:t>
      </w:r>
      <w:r>
        <w:rPr/>
        <w:t>√不适用</w:t>
      </w:r>
    </w:p>
    <w:p>
      <w:pPr>
        <w:pStyle w:val="Heading2"/>
        <w:spacing w:line="240" w:lineRule="auto" w:before="56"/>
        <w:ind w:left="138" w:right="0"/>
        <w:jc w:val="left"/>
        <w:rPr>
          <w:b w:val="0"/>
          <w:bCs w:val="0"/>
        </w:rPr>
      </w:pPr>
      <w:r>
        <w:rPr>
          <w:rFonts w:ascii="宋体" w:hAnsi="宋体" w:cs="宋体" w:eastAsia="宋体" w:hint="default"/>
        </w:rPr>
        <w:t>(2). </w:t>
      </w:r>
      <w:r>
        <w:rPr/>
        <w:t>重要的账龄超过 </w:t>
      </w:r>
      <w:r>
        <w:rPr>
          <w:rFonts w:ascii="Cambria" w:hAnsi="Cambria" w:cs="Cambria" w:eastAsia="Cambria" w:hint="default"/>
        </w:rPr>
        <w:t>1</w:t>
      </w:r>
      <w:r>
        <w:rPr>
          <w:rFonts w:ascii="Cambria" w:hAnsi="Cambria" w:cs="Cambria" w:eastAsia="Cambria" w:hint="default"/>
          <w:spacing w:val="-18"/>
        </w:rPr>
        <w:t> </w:t>
      </w:r>
      <w:r>
        <w:rPr/>
        <w:t>年的应收股利：</w:t>
      </w:r>
      <w:r>
        <w:rPr>
          <w:b w:val="0"/>
          <w:bCs w:val="0"/>
        </w:rPr>
      </w:r>
    </w:p>
    <w:p>
      <w:pPr>
        <w:pStyle w:val="BodyText"/>
        <w:spacing w:line="272" w:lineRule="exact" w:before="69"/>
        <w:ind w:right="7394"/>
        <w:jc w:val="left"/>
      </w:pPr>
      <w:r>
        <w:rPr/>
        <w:t>□适用</w:t>
      </w:r>
      <w:r>
        <w:rPr>
          <w:spacing w:val="-1"/>
        </w:rPr>
        <w:t> </w:t>
      </w:r>
      <w:r>
        <w:rPr/>
        <w:t>√不适用</w:t>
      </w:r>
      <w:r>
        <w:rPr>
          <w:w w:val="100"/>
        </w:rPr>
        <w:t> </w:t>
      </w:r>
      <w:r>
        <w:rPr/>
        <w:t>其他说明：</w:t>
      </w:r>
    </w:p>
    <w:p>
      <w:pPr>
        <w:pStyle w:val="BodyText"/>
        <w:spacing w:line="249" w:lineRule="exact"/>
        <w:ind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660" w:right="1120"/>
        </w:sectPr>
      </w:pPr>
    </w:p>
    <w:p>
      <w:pPr>
        <w:pStyle w:val="Heading2"/>
        <w:spacing w:line="240" w:lineRule="auto" w:before="36"/>
        <w:ind w:left="138" w:right="-19"/>
        <w:jc w:val="left"/>
        <w:rPr>
          <w:b w:val="0"/>
          <w:bCs w:val="0"/>
        </w:rPr>
      </w:pPr>
      <w:r>
        <w:rPr>
          <w:rFonts w:ascii="宋体" w:hAnsi="宋体" w:cs="宋体" w:eastAsia="宋体" w:hint="default"/>
        </w:rPr>
        <w:t>9</w:t>
      </w:r>
      <w:r>
        <w:rPr/>
        <w:t>、</w:t>
      </w:r>
      <w:r>
        <w:rPr>
          <w:spacing w:val="-1"/>
        </w:rPr>
        <w:t> </w:t>
      </w:r>
      <w:r>
        <w:rPr/>
        <w:t>其他应收款</w:t>
      </w:r>
      <w:r>
        <w:rPr>
          <w:b w:val="0"/>
          <w:bCs w:val="0"/>
        </w:rPr>
      </w:r>
    </w:p>
    <w:p>
      <w:pPr>
        <w:pStyle w:val="Heading2"/>
        <w:spacing w:line="240" w:lineRule="auto" w:before="56"/>
        <w:ind w:left="138" w:right="-19"/>
        <w:jc w:val="left"/>
        <w:rPr>
          <w:b w:val="0"/>
          <w:bCs w:val="0"/>
        </w:rPr>
      </w:pPr>
      <w:r>
        <w:rPr>
          <w:rFonts w:ascii="宋体" w:hAnsi="宋体" w:cs="宋体" w:eastAsia="宋体" w:hint="default"/>
        </w:rPr>
        <w:t>(1).</w:t>
      </w:r>
      <w:r>
        <w:rPr>
          <w:rFonts w:ascii="宋体" w:hAnsi="宋体" w:cs="宋体" w:eastAsia="宋体" w:hint="default"/>
          <w:spacing w:val="61"/>
        </w:rPr>
        <w:t> </w:t>
      </w:r>
      <w:r>
        <w:rPr/>
        <w:t>其他应收款分类披露</w:t>
      </w:r>
      <w:r>
        <w:rPr>
          <w:b w:val="0"/>
          <w:bCs w:val="0"/>
        </w:rPr>
      </w:r>
    </w:p>
    <w:p>
      <w:pPr>
        <w:pStyle w:val="BodyText"/>
        <w:spacing w:line="240" w:lineRule="auto" w:before="58"/>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2627" w:space="3791"/>
            <w:col w:w="2712"/>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308"/>
        <w:gridCol w:w="1419"/>
        <w:gridCol w:w="1558"/>
        <w:gridCol w:w="994"/>
        <w:gridCol w:w="1562"/>
        <w:gridCol w:w="1136"/>
        <w:gridCol w:w="919"/>
      </w:tblGrid>
      <w:tr>
        <w:trPr>
          <w:trHeight w:val="293" w:hRule="exact"/>
        </w:trPr>
        <w:tc>
          <w:tcPr>
            <w:tcW w:w="1308" w:type="dxa"/>
            <w:vMerge w:val="restart"/>
            <w:tcBorders>
              <w:top w:val="single" w:sz="4" w:space="0" w:color="000000"/>
              <w:left w:val="single" w:sz="4" w:space="0" w:color="000000"/>
              <w:right w:val="single" w:sz="4" w:space="0" w:color="000000"/>
            </w:tcBorders>
          </w:tcPr>
          <w:p>
            <w:pPr>
              <w:pStyle w:val="TableParagraph"/>
              <w:spacing w:line="240" w:lineRule="auto" w:before="112"/>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39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308"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0" w:right="0"/>
              <w:jc w:val="left"/>
              <w:rPr>
                <w:rFonts w:ascii="宋体" w:hAnsi="宋体" w:cs="宋体" w:eastAsia="宋体" w:hint="default"/>
                <w:sz w:val="21"/>
                <w:szCs w:val="21"/>
              </w:rPr>
            </w:pPr>
            <w:r>
              <w:rPr>
                <w:rFonts w:ascii="宋体" w:hAnsi="宋体" w:cs="宋体" w:eastAsia="宋体" w:hint="default"/>
                <w:sz w:val="21"/>
                <w:szCs w:val="21"/>
              </w:rPr>
              <w:t>账面</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4" w:right="0"/>
              <w:jc w:val="left"/>
              <w:rPr>
                <w:rFonts w:ascii="宋体" w:hAnsi="宋体" w:cs="宋体" w:eastAsia="宋体" w:hint="default"/>
                <w:sz w:val="21"/>
                <w:szCs w:val="21"/>
              </w:rPr>
            </w:pPr>
            <w:r>
              <w:rPr>
                <w:rFonts w:ascii="宋体" w:hAnsi="宋体" w:cs="宋体" w:eastAsia="宋体" w:hint="default"/>
                <w:sz w:val="21"/>
                <w:szCs w:val="21"/>
              </w:rPr>
              <w:t>账面</w:t>
            </w:r>
          </w:p>
        </w:tc>
      </w:tr>
    </w:tbl>
    <w:p>
      <w:pPr>
        <w:spacing w:after="0" w:line="241" w:lineRule="exact"/>
        <w:jc w:val="left"/>
        <w:rPr>
          <w:rFonts w:ascii="宋体" w:hAnsi="宋体" w:cs="宋体" w:eastAsia="宋体"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308"/>
        <w:gridCol w:w="989"/>
        <w:gridCol w:w="430"/>
        <w:gridCol w:w="991"/>
        <w:gridCol w:w="566"/>
        <w:gridCol w:w="994"/>
        <w:gridCol w:w="994"/>
        <w:gridCol w:w="569"/>
        <w:gridCol w:w="711"/>
        <w:gridCol w:w="425"/>
        <w:gridCol w:w="919"/>
      </w:tblGrid>
      <w:tr>
        <w:trPr>
          <w:trHeight w:val="1373"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7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50" w:right="50" w:firstLine="50"/>
              <w:jc w:val="both"/>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7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67" w:right="65"/>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80"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22" w:right="65"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ind w:left="50" w:right="47" w:firstLine="50"/>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4" w:right="0"/>
              <w:jc w:val="left"/>
              <w:rPr>
                <w:rFonts w:ascii="宋体" w:hAnsi="宋体" w:cs="宋体" w:eastAsia="宋体" w:hint="default"/>
                <w:sz w:val="21"/>
                <w:szCs w:val="21"/>
              </w:rPr>
            </w:pPr>
            <w:r>
              <w:rPr>
                <w:rFonts w:ascii="宋体" w:hAnsi="宋体" w:cs="宋体" w:eastAsia="宋体" w:hint="default"/>
                <w:sz w:val="21"/>
                <w:szCs w:val="21"/>
              </w:rPr>
              <w:t>价值</w:t>
            </w:r>
          </w:p>
        </w:tc>
      </w:tr>
      <w:tr>
        <w:trPr>
          <w:trHeight w:val="137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单项金额重</w:t>
            </w:r>
          </w:p>
          <w:p>
            <w:pPr>
              <w:pStyle w:val="TableParagraph"/>
              <w:spacing w:line="237" w:lineRule="auto" w:before="2"/>
              <w:ind w:left="26" w:right="216"/>
              <w:jc w:val="both"/>
              <w:rPr>
                <w:rFonts w:ascii="宋体" w:hAnsi="宋体" w:cs="宋体" w:eastAsia="宋体" w:hint="default"/>
                <w:sz w:val="21"/>
                <w:szCs w:val="21"/>
              </w:rPr>
            </w:pPr>
            <w:r>
              <w:rPr>
                <w:rFonts w:ascii="宋体" w:hAnsi="宋体" w:cs="宋体" w:eastAsia="宋体" w:hint="default"/>
                <w:sz w:val="21"/>
                <w:szCs w:val="21"/>
              </w:rPr>
              <w:t>大并单独计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提坏账准备</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的其他应收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款</w:t>
            </w:r>
          </w:p>
        </w:tc>
        <w:tc>
          <w:tcPr>
            <w:tcW w:w="989"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按信用风险</w:t>
            </w:r>
          </w:p>
          <w:p>
            <w:pPr>
              <w:pStyle w:val="TableParagraph"/>
              <w:spacing w:line="237" w:lineRule="auto"/>
              <w:ind w:left="26" w:right="216"/>
              <w:jc w:val="both"/>
              <w:rPr>
                <w:rFonts w:ascii="宋体" w:hAnsi="宋体" w:cs="宋体" w:eastAsia="宋体" w:hint="default"/>
                <w:sz w:val="21"/>
                <w:szCs w:val="21"/>
              </w:rPr>
            </w:pPr>
            <w:r>
              <w:rPr>
                <w:rFonts w:ascii="宋体" w:hAnsi="宋体" w:cs="宋体" w:eastAsia="宋体" w:hint="default"/>
                <w:sz w:val="21"/>
                <w:szCs w:val="21"/>
              </w:rPr>
              <w:t>特征组合计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提坏账准备</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的其他应收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款</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20,049,4</w:t>
            </w:r>
          </w:p>
          <w:p>
            <w:pPr>
              <w:pStyle w:val="TableParagraph"/>
              <w:spacing w:line="273" w:lineRule="exact"/>
              <w:ind w:left="424" w:right="0"/>
              <w:jc w:val="left"/>
              <w:rPr>
                <w:rFonts w:ascii="宋体" w:hAnsi="宋体" w:cs="宋体" w:eastAsia="宋体" w:hint="default"/>
                <w:sz w:val="21"/>
                <w:szCs w:val="21"/>
              </w:rPr>
            </w:pPr>
            <w:r>
              <w:rPr>
                <w:rFonts w:ascii="宋体"/>
                <w:sz w:val="21"/>
              </w:rPr>
              <w:t>29.41</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6" w:right="0"/>
              <w:jc w:val="left"/>
              <w:rPr>
                <w:rFonts w:ascii="宋体" w:hAnsi="宋体" w:cs="宋体" w:eastAsia="宋体" w:hint="default"/>
                <w:sz w:val="21"/>
                <w:szCs w:val="21"/>
              </w:rPr>
            </w:pPr>
            <w:r>
              <w:rPr>
                <w:rFonts w:ascii="宋体"/>
                <w:sz w:val="21"/>
              </w:rPr>
              <w:t>100</w:t>
            </w:r>
          </w:p>
          <w:p>
            <w:pPr>
              <w:pStyle w:val="TableParagraph"/>
              <w:spacing w:line="273" w:lineRule="exact"/>
              <w:ind w:left="76" w:right="0"/>
              <w:jc w:val="left"/>
              <w:rPr>
                <w:rFonts w:ascii="宋体" w:hAnsi="宋体" w:cs="宋体" w:eastAsia="宋体" w:hint="default"/>
                <w:sz w:val="21"/>
                <w:szCs w:val="21"/>
              </w:rPr>
            </w:pPr>
            <w:r>
              <w:rPr>
                <w:rFonts w:ascii="宋体"/>
                <w:sz w:val="21"/>
              </w:rPr>
              <w:t>.00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sz w:val="21"/>
              </w:rPr>
              <w:t>1,972,58</w:t>
            </w:r>
          </w:p>
          <w:p>
            <w:pPr>
              <w:pStyle w:val="TableParagraph"/>
              <w:spacing w:line="273" w:lineRule="exact"/>
              <w:ind w:left="535" w:right="0"/>
              <w:jc w:val="left"/>
              <w:rPr>
                <w:rFonts w:ascii="宋体" w:hAnsi="宋体" w:cs="宋体" w:eastAsia="宋体" w:hint="default"/>
                <w:sz w:val="21"/>
                <w:szCs w:val="21"/>
              </w:rPr>
            </w:pPr>
            <w:r>
              <w:rPr>
                <w:rFonts w:ascii="宋体"/>
                <w:sz w:val="21"/>
              </w:rPr>
              <w:t>6.41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9.84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18,076,8</w:t>
            </w:r>
          </w:p>
          <w:p>
            <w:pPr>
              <w:pStyle w:val="TableParagraph"/>
              <w:spacing w:line="273" w:lineRule="exact"/>
              <w:ind w:left="432" w:right="0"/>
              <w:jc w:val="left"/>
              <w:rPr>
                <w:rFonts w:ascii="宋体" w:hAnsi="宋体" w:cs="宋体" w:eastAsia="宋体" w:hint="default"/>
                <w:sz w:val="21"/>
                <w:szCs w:val="21"/>
              </w:rPr>
            </w:pPr>
            <w:r>
              <w:rPr>
                <w:rFonts w:ascii="宋体"/>
                <w:sz w:val="21"/>
              </w:rPr>
              <w:t>43.00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18,091,1</w:t>
            </w:r>
          </w:p>
          <w:p>
            <w:pPr>
              <w:pStyle w:val="TableParagraph"/>
              <w:spacing w:line="273" w:lineRule="exact"/>
              <w:ind w:left="432" w:right="0"/>
              <w:jc w:val="left"/>
              <w:rPr>
                <w:rFonts w:ascii="宋体" w:hAnsi="宋体" w:cs="宋体" w:eastAsia="宋体" w:hint="default"/>
                <w:sz w:val="21"/>
                <w:szCs w:val="21"/>
              </w:rPr>
            </w:pPr>
            <w:r>
              <w:rPr>
                <w:rFonts w:ascii="宋体"/>
                <w:sz w:val="21"/>
              </w:rPr>
              <w:t>27.53</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sz w:val="21"/>
              </w:rPr>
              <w:t>100.</w:t>
            </w:r>
          </w:p>
          <w:p>
            <w:pPr>
              <w:pStyle w:val="TableParagraph"/>
              <w:spacing w:line="273" w:lineRule="exact"/>
              <w:ind w:left="321" w:right="0"/>
              <w:jc w:val="left"/>
              <w:rPr>
                <w:rFonts w:ascii="宋体" w:hAnsi="宋体" w:cs="宋体" w:eastAsia="宋体" w:hint="default"/>
                <w:sz w:val="21"/>
                <w:szCs w:val="21"/>
              </w:rPr>
            </w:pPr>
            <w:r>
              <w:rPr>
                <w:rFonts w:ascii="宋体"/>
                <w:sz w:val="21"/>
              </w:rPr>
              <w:t>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3" w:right="0"/>
              <w:jc w:val="left"/>
              <w:rPr>
                <w:rFonts w:ascii="宋体" w:hAnsi="宋体" w:cs="宋体" w:eastAsia="宋体" w:hint="default"/>
                <w:sz w:val="21"/>
                <w:szCs w:val="21"/>
              </w:rPr>
            </w:pPr>
            <w:r>
              <w:rPr>
                <w:rFonts w:ascii="宋体"/>
                <w:sz w:val="21"/>
              </w:rPr>
              <w:t>646,50</w:t>
            </w:r>
          </w:p>
          <w:p>
            <w:pPr>
              <w:pStyle w:val="TableParagraph"/>
              <w:spacing w:line="273" w:lineRule="exact"/>
              <w:ind w:left="254" w:right="0"/>
              <w:jc w:val="left"/>
              <w:rPr>
                <w:rFonts w:ascii="宋体" w:hAnsi="宋体" w:cs="宋体" w:eastAsia="宋体" w:hint="default"/>
                <w:sz w:val="21"/>
                <w:szCs w:val="21"/>
              </w:rPr>
            </w:pPr>
            <w:r>
              <w:rPr>
                <w:rFonts w:ascii="宋体"/>
                <w:sz w:val="21"/>
              </w:rPr>
              <w:t>1.17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3"/>
              <w:jc w:val="right"/>
              <w:rPr>
                <w:rFonts w:ascii="宋体" w:hAnsi="宋体" w:cs="宋体" w:eastAsia="宋体" w:hint="default"/>
                <w:sz w:val="21"/>
                <w:szCs w:val="21"/>
              </w:rPr>
            </w:pPr>
            <w:r>
              <w:rPr>
                <w:rFonts w:ascii="宋体"/>
                <w:sz w:val="21"/>
              </w:rPr>
              <w:t>3.5</w:t>
            </w:r>
          </w:p>
          <w:p>
            <w:pPr>
              <w:pStyle w:val="TableParagraph"/>
              <w:spacing w:line="273" w:lineRule="exact"/>
              <w:ind w:right="24"/>
              <w:jc w:val="right"/>
              <w:rPr>
                <w:rFonts w:ascii="宋体" w:hAnsi="宋体" w:cs="宋体" w:eastAsia="宋体" w:hint="default"/>
                <w:sz w:val="21"/>
                <w:szCs w:val="21"/>
              </w:rPr>
            </w:pPr>
            <w:r>
              <w:rPr>
                <w:rFonts w:ascii="宋体"/>
                <w:w w:val="100"/>
                <w:sz w:val="21"/>
              </w:rPr>
              <w:t>7</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3" w:right="0"/>
              <w:jc w:val="left"/>
              <w:rPr>
                <w:rFonts w:ascii="宋体" w:hAnsi="宋体" w:cs="宋体" w:eastAsia="宋体" w:hint="default"/>
                <w:sz w:val="21"/>
                <w:szCs w:val="21"/>
              </w:rPr>
            </w:pPr>
            <w:r>
              <w:rPr>
                <w:rFonts w:ascii="宋体"/>
                <w:sz w:val="21"/>
              </w:rPr>
              <w:t>17,444,6</w:t>
            </w:r>
          </w:p>
          <w:p>
            <w:pPr>
              <w:pStyle w:val="TableParagraph"/>
              <w:spacing w:line="273" w:lineRule="exact"/>
              <w:ind w:left="357" w:right="0"/>
              <w:jc w:val="left"/>
              <w:rPr>
                <w:rFonts w:ascii="宋体" w:hAnsi="宋体" w:cs="宋体" w:eastAsia="宋体" w:hint="default"/>
                <w:sz w:val="21"/>
                <w:szCs w:val="21"/>
              </w:rPr>
            </w:pPr>
            <w:r>
              <w:rPr>
                <w:rFonts w:ascii="宋体"/>
                <w:sz w:val="21"/>
              </w:rPr>
              <w:t>26.36</w:t>
            </w:r>
          </w:p>
        </w:tc>
      </w:tr>
      <w:tr>
        <w:trPr>
          <w:trHeight w:val="137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单项金额不</w:t>
            </w:r>
          </w:p>
          <w:p>
            <w:pPr>
              <w:pStyle w:val="TableParagraph"/>
              <w:spacing w:line="237" w:lineRule="auto" w:before="2"/>
              <w:ind w:left="26" w:right="216"/>
              <w:jc w:val="both"/>
              <w:rPr>
                <w:rFonts w:ascii="宋体" w:hAnsi="宋体" w:cs="宋体" w:eastAsia="宋体" w:hint="default"/>
                <w:sz w:val="21"/>
                <w:szCs w:val="21"/>
              </w:rPr>
            </w:pPr>
            <w:r>
              <w:rPr>
                <w:rFonts w:ascii="宋体" w:hAnsi="宋体" w:cs="宋体" w:eastAsia="宋体" w:hint="default"/>
                <w:sz w:val="21"/>
                <w:szCs w:val="21"/>
              </w:rPr>
              <w:t>重大但单独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计提坏账准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备的其他应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收款</w:t>
            </w:r>
          </w:p>
        </w:tc>
        <w:tc>
          <w:tcPr>
            <w:tcW w:w="989"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20,049,4</w:t>
            </w:r>
          </w:p>
          <w:p>
            <w:pPr>
              <w:pStyle w:val="TableParagraph"/>
              <w:spacing w:line="273" w:lineRule="exact"/>
              <w:ind w:left="424" w:right="0"/>
              <w:jc w:val="left"/>
              <w:rPr>
                <w:rFonts w:ascii="宋体" w:hAnsi="宋体" w:cs="宋体" w:eastAsia="宋体" w:hint="default"/>
                <w:sz w:val="21"/>
                <w:szCs w:val="21"/>
              </w:rPr>
            </w:pPr>
            <w:r>
              <w:rPr>
                <w:rFonts w:ascii="宋体"/>
                <w:sz w:val="21"/>
              </w:rPr>
              <w:t>29.41</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0" w:right="0"/>
              <w:jc w:val="left"/>
              <w:rPr>
                <w:rFonts w:ascii="宋体" w:hAnsi="宋体" w:cs="宋体" w:eastAsia="宋体" w:hint="default"/>
                <w:sz w:val="21"/>
                <w:szCs w:val="21"/>
              </w:rPr>
            </w:pPr>
            <w:r>
              <w:rPr>
                <w:rFonts w:ascii="宋体"/>
                <w:sz w:val="21"/>
              </w:rPr>
              <w:t>100</w:t>
            </w:r>
          </w:p>
          <w:p>
            <w:pPr>
              <w:pStyle w:val="TableParagraph"/>
              <w:spacing w:line="273" w:lineRule="exact"/>
              <w:ind w:left="50" w:right="0"/>
              <w:jc w:val="left"/>
              <w:rPr>
                <w:rFonts w:ascii="宋体" w:hAnsi="宋体" w:cs="宋体" w:eastAsia="宋体" w:hint="default"/>
                <w:sz w:val="21"/>
                <w:szCs w:val="21"/>
              </w:rPr>
            </w:pPr>
            <w:r>
              <w:rPr>
                <w:rFonts w:ascii="宋体"/>
                <w:sz w:val="21"/>
              </w:rPr>
              <w:t>.00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sz w:val="21"/>
              </w:rPr>
              <w:t>1,972,58</w:t>
            </w:r>
          </w:p>
          <w:p>
            <w:pPr>
              <w:pStyle w:val="TableParagraph"/>
              <w:spacing w:line="273" w:lineRule="exact"/>
              <w:ind w:left="535" w:right="0"/>
              <w:jc w:val="left"/>
              <w:rPr>
                <w:rFonts w:ascii="宋体" w:hAnsi="宋体" w:cs="宋体" w:eastAsia="宋体" w:hint="default"/>
                <w:sz w:val="21"/>
                <w:szCs w:val="21"/>
              </w:rPr>
            </w:pPr>
            <w:r>
              <w:rPr>
                <w:rFonts w:ascii="宋体"/>
                <w:sz w:val="21"/>
              </w:rPr>
              <w:t>6.41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sz w:val="21"/>
              </w:rPr>
              <w:t>9.84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18,076,8</w:t>
            </w:r>
          </w:p>
          <w:p>
            <w:pPr>
              <w:pStyle w:val="TableParagraph"/>
              <w:spacing w:line="273" w:lineRule="exact"/>
              <w:ind w:left="432" w:right="0"/>
              <w:jc w:val="left"/>
              <w:rPr>
                <w:rFonts w:ascii="宋体" w:hAnsi="宋体" w:cs="宋体" w:eastAsia="宋体" w:hint="default"/>
                <w:sz w:val="21"/>
                <w:szCs w:val="21"/>
              </w:rPr>
            </w:pPr>
            <w:r>
              <w:rPr>
                <w:rFonts w:ascii="宋体"/>
                <w:sz w:val="21"/>
              </w:rPr>
              <w:t>43.00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18,091,1</w:t>
            </w:r>
          </w:p>
          <w:p>
            <w:pPr>
              <w:pStyle w:val="TableParagraph"/>
              <w:spacing w:line="273" w:lineRule="exact"/>
              <w:ind w:left="432" w:right="0"/>
              <w:jc w:val="left"/>
              <w:rPr>
                <w:rFonts w:ascii="宋体" w:hAnsi="宋体" w:cs="宋体" w:eastAsia="宋体" w:hint="default"/>
                <w:sz w:val="21"/>
                <w:szCs w:val="21"/>
              </w:rPr>
            </w:pPr>
            <w:r>
              <w:rPr>
                <w:rFonts w:ascii="宋体"/>
                <w:sz w:val="21"/>
              </w:rPr>
              <w:t>27.53</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sz w:val="21"/>
              </w:rPr>
              <w:t>100.</w:t>
            </w:r>
          </w:p>
          <w:p>
            <w:pPr>
              <w:pStyle w:val="TableParagraph"/>
              <w:spacing w:line="273" w:lineRule="exact"/>
              <w:ind w:right="0"/>
              <w:jc w:val="center"/>
              <w:rPr>
                <w:rFonts w:ascii="宋体" w:hAnsi="宋体" w:cs="宋体" w:eastAsia="宋体" w:hint="default"/>
                <w:sz w:val="21"/>
                <w:szCs w:val="21"/>
              </w:rPr>
            </w:pPr>
            <w:r>
              <w:rPr>
                <w:rFonts w:ascii="宋体"/>
                <w:sz w:val="21"/>
              </w:rPr>
              <w:t>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3" w:right="0"/>
              <w:jc w:val="left"/>
              <w:rPr>
                <w:rFonts w:ascii="宋体" w:hAnsi="宋体" w:cs="宋体" w:eastAsia="宋体" w:hint="default"/>
                <w:sz w:val="21"/>
                <w:szCs w:val="21"/>
              </w:rPr>
            </w:pPr>
            <w:r>
              <w:rPr>
                <w:rFonts w:ascii="宋体"/>
                <w:sz w:val="21"/>
              </w:rPr>
              <w:t>646,50</w:t>
            </w:r>
          </w:p>
          <w:p>
            <w:pPr>
              <w:pStyle w:val="TableParagraph"/>
              <w:spacing w:line="273" w:lineRule="exact"/>
              <w:ind w:left="254" w:right="0"/>
              <w:jc w:val="left"/>
              <w:rPr>
                <w:rFonts w:ascii="宋体" w:hAnsi="宋体" w:cs="宋体" w:eastAsia="宋体" w:hint="default"/>
                <w:sz w:val="21"/>
                <w:szCs w:val="21"/>
              </w:rPr>
            </w:pPr>
            <w:r>
              <w:rPr>
                <w:rFonts w:ascii="宋体"/>
                <w:sz w:val="21"/>
              </w:rPr>
              <w:t>1.17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sz w:val="21"/>
              </w:rPr>
              <w:t>3.5</w:t>
            </w:r>
          </w:p>
          <w:p>
            <w:pPr>
              <w:pStyle w:val="TableParagraph"/>
              <w:spacing w:line="273" w:lineRule="exact"/>
              <w:ind w:right="0"/>
              <w:jc w:val="center"/>
              <w:rPr>
                <w:rFonts w:ascii="宋体" w:hAnsi="宋体" w:cs="宋体" w:eastAsia="宋体" w:hint="default"/>
                <w:sz w:val="21"/>
                <w:szCs w:val="21"/>
              </w:rPr>
            </w:pPr>
            <w:r>
              <w:rPr>
                <w:rFonts w:ascii="宋体"/>
                <w:w w:val="100"/>
                <w:sz w:val="21"/>
              </w:rPr>
              <w:t>7</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sz w:val="21"/>
              </w:rPr>
              <w:t>17,444,6</w:t>
            </w:r>
          </w:p>
          <w:p>
            <w:pPr>
              <w:pStyle w:val="TableParagraph"/>
              <w:spacing w:line="273" w:lineRule="exact"/>
              <w:ind w:left="26" w:right="0"/>
              <w:jc w:val="left"/>
              <w:rPr>
                <w:rFonts w:ascii="宋体" w:hAnsi="宋体" w:cs="宋体" w:eastAsia="宋体" w:hint="default"/>
                <w:sz w:val="21"/>
                <w:szCs w:val="21"/>
              </w:rPr>
            </w:pPr>
            <w:r>
              <w:rPr>
                <w:rFonts w:ascii="宋体"/>
                <w:sz w:val="21"/>
              </w:rPr>
              <w:t>26.36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49"/>
          <w:pgSz w:w="11910" w:h="16840"/>
          <w:pgMar w:footer="1589" w:header="882" w:top="1120" w:bottom="1780" w:left="1660" w:right="1120"/>
          <w:pgNumType w:start="91"/>
        </w:sectPr>
      </w:pPr>
    </w:p>
    <w:p>
      <w:pPr>
        <w:pStyle w:val="BodyText"/>
        <w:spacing w:line="274" w:lineRule="exact" w:before="36"/>
        <w:ind w:right="0"/>
        <w:jc w:val="left"/>
      </w:pPr>
      <w:r>
        <w:rPr>
          <w:spacing w:val="-2"/>
        </w:rPr>
        <w:t>期末单项金额重大并单项计提坏帐准备的其他应收款</w:t>
      </w:r>
    </w:p>
    <w:p>
      <w:pPr>
        <w:pStyle w:val="BodyText"/>
        <w:spacing w:line="272" w:lineRule="exact" w:before="27"/>
        <w:ind w:right="0"/>
        <w:jc w:val="left"/>
      </w:pPr>
      <w:r>
        <w:rPr/>
        <w:t>□适用</w:t>
      </w:r>
      <w:r>
        <w:rPr>
          <w:spacing w:val="-2"/>
        </w:rPr>
        <w:t> </w:t>
      </w:r>
      <w:r>
        <w:rPr/>
        <w:t>√不适用</w:t>
      </w:r>
      <w:r>
        <w:rPr>
          <w:w w:val="100"/>
        </w:rPr>
        <w:t> </w:t>
      </w:r>
      <w:r>
        <w:rPr>
          <w:spacing w:val="-2"/>
        </w:rPr>
        <w:t>组合中，按账龄分析法计提坏账准备的其他应收款：</w:t>
      </w:r>
    </w:p>
    <w:p>
      <w:pPr>
        <w:pStyle w:val="BodyText"/>
        <w:spacing w:line="249"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4973" w:space="1549"/>
            <w:col w:w="260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374"/>
        <w:gridCol w:w="2203"/>
        <w:gridCol w:w="2131"/>
        <w:gridCol w:w="2187"/>
      </w:tblGrid>
      <w:tr>
        <w:trPr>
          <w:trHeight w:val="281"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374" w:type="dxa"/>
            <w:vMerge/>
            <w:tcBorders>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7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03"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522" w:type="dxa"/>
            <w:gridSpan w:val="3"/>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88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4,767,502.92</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23,837.51</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0.50</w:t>
            </w:r>
          </w:p>
        </w:tc>
      </w:tr>
      <w:tr>
        <w:trPr>
          <w:trHeight w:val="28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4,767,502.92</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23,837.51</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0.50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8,288,676.18</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414,433.81</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2,849,400.00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284,940.00</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4,124,250.31</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1,237,275.09</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30.00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15,000.00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7,500.00</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4,600.00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4,600.00</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20,049,429.41</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1,972,586.41</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9.84</w:t>
            </w:r>
          </w:p>
        </w:tc>
      </w:tr>
    </w:tbl>
    <w:p>
      <w:pPr>
        <w:spacing w:line="240" w:lineRule="auto" w:before="5"/>
        <w:rPr>
          <w:rFonts w:ascii="宋体" w:hAnsi="宋体" w:cs="宋体" w:eastAsia="宋体" w:hint="default"/>
          <w:sz w:val="15"/>
          <w:szCs w:val="15"/>
        </w:rPr>
      </w:pPr>
    </w:p>
    <w:p>
      <w:pPr>
        <w:pStyle w:val="BodyText"/>
        <w:spacing w:line="240" w:lineRule="auto" w:before="36"/>
        <w:ind w:left="558" w:right="0" w:hanging="420"/>
        <w:jc w:val="left"/>
      </w:pPr>
      <w:r>
        <w:rPr/>
        <w:t>确定该组合依据的说明：</w:t>
      </w:r>
      <w:r>
        <w:rPr>
          <w:w w:val="100"/>
        </w:rPr>
        <w:t> </w:t>
      </w:r>
      <w:r>
        <w:rPr>
          <w:spacing w:val="-2"/>
        </w:rPr>
        <w:t>除单独计提减值准备的其他应收款外，公司根据以前年度与之相同或相类似的、按账龄段划</w:t>
      </w:r>
    </w:p>
    <w:p>
      <w:pPr>
        <w:pStyle w:val="BodyText"/>
        <w:spacing w:line="274" w:lineRule="exact" w:before="22"/>
        <w:ind w:right="0"/>
        <w:jc w:val="left"/>
      </w:pPr>
      <w:r>
        <w:rPr>
          <w:spacing w:val="-2"/>
        </w:rPr>
        <w:t>分的具有类似信用风险特征的其他应收款组合的实际损失率为基础，结合现时情况分析法确定坏</w:t>
      </w:r>
      <w:r>
        <w:rPr>
          <w:spacing w:val="-25"/>
        </w:rPr>
        <w:t> </w:t>
      </w:r>
      <w:r>
        <w:rPr>
          <w:spacing w:val="-25"/>
        </w:rPr>
      </w:r>
      <w:r>
        <w:rPr/>
        <w:t>账准备计提的比例。</w:t>
      </w:r>
    </w:p>
    <w:p>
      <w:pPr>
        <w:spacing w:line="240" w:lineRule="auto" w:before="7"/>
        <w:rPr>
          <w:rFonts w:ascii="宋体" w:hAnsi="宋体" w:cs="宋体" w:eastAsia="宋体" w:hint="default"/>
          <w:sz w:val="18"/>
          <w:szCs w:val="18"/>
        </w:rPr>
      </w:pPr>
    </w:p>
    <w:p>
      <w:pPr>
        <w:pStyle w:val="BodyText"/>
        <w:spacing w:line="240" w:lineRule="auto"/>
        <w:ind w:right="0"/>
        <w:jc w:val="left"/>
      </w:pPr>
      <w:r>
        <w:rPr/>
        <w:t>组合中，采用余额百分比法计提坏账准备的其他应收款：</w:t>
      </w:r>
    </w:p>
    <w:p>
      <w:pPr>
        <w:spacing w:after="0" w:line="240" w:lineRule="auto"/>
        <w:jc w:val="left"/>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73" w:lineRule="exact" w:before="36"/>
        <w:ind w:left="218" w:right="3084"/>
        <w:jc w:val="left"/>
      </w:pPr>
      <w:r>
        <w:rPr/>
        <w:t>组合中，采用其他方法计提坏账准备的其他应收款：</w:t>
      </w:r>
    </w:p>
    <w:p>
      <w:pPr>
        <w:pStyle w:val="BodyText"/>
        <w:spacing w:line="273" w:lineRule="exact"/>
        <w:ind w:left="218" w:right="308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3084"/>
        <w:jc w:val="left"/>
        <w:rPr>
          <w:b w:val="0"/>
          <w:bCs w:val="0"/>
        </w:rPr>
      </w:pPr>
      <w:r>
        <w:rPr>
          <w:rFonts w:ascii="宋体" w:hAnsi="宋体" w:cs="宋体" w:eastAsia="宋体" w:hint="default"/>
        </w:rPr>
        <w:t>(2).</w:t>
      </w:r>
      <w:r>
        <w:rPr>
          <w:rFonts w:ascii="宋体" w:hAnsi="宋体" w:cs="宋体" w:eastAsia="宋体" w:hint="default"/>
          <w:spacing w:val="58"/>
        </w:rPr>
        <w:t> </w:t>
      </w:r>
      <w:r>
        <w:rPr/>
        <w:t>本期计提、收回或转回的坏账准备情况：</w:t>
      </w:r>
      <w:r>
        <w:rPr>
          <w:b w:val="0"/>
          <w:bCs w:val="0"/>
        </w:rPr>
      </w:r>
    </w:p>
    <w:p>
      <w:pPr>
        <w:pStyle w:val="BodyText"/>
        <w:spacing w:line="272" w:lineRule="exact" w:before="86"/>
        <w:ind w:left="218" w:right="1500"/>
        <w:jc w:val="left"/>
      </w:pPr>
      <w:r>
        <w:rPr/>
        <w:t>本期计提坏账准备金额</w:t>
      </w:r>
      <w:r>
        <w:rPr>
          <w:spacing w:val="-55"/>
        </w:rPr>
        <w:t> </w:t>
      </w:r>
      <w:r>
        <w:rPr>
          <w:rFonts w:ascii="宋体" w:hAnsi="宋体" w:cs="宋体" w:eastAsia="宋体" w:hint="default"/>
        </w:rPr>
        <w:t>1,326,085.24</w:t>
      </w:r>
      <w:r>
        <w:rPr>
          <w:rFonts w:ascii="宋体" w:hAnsi="宋体" w:cs="宋体" w:eastAsia="宋体" w:hint="default"/>
          <w:spacing w:val="-55"/>
        </w:rPr>
        <w:t> </w:t>
      </w:r>
      <w:r>
        <w:rPr/>
        <w:t>元；本期收回或转回坏账准备金额</w:t>
      </w:r>
      <w:r>
        <w:rPr>
          <w:spacing w:val="-55"/>
        </w:rPr>
        <w:t> </w:t>
      </w:r>
      <w:r>
        <w:rPr>
          <w:rFonts w:ascii="宋体" w:hAnsi="宋体" w:cs="宋体" w:eastAsia="宋体" w:hint="default"/>
        </w:rPr>
        <w:t>0.00</w:t>
      </w:r>
      <w:r>
        <w:rPr>
          <w:rFonts w:ascii="宋体" w:hAnsi="宋体" w:cs="宋体" w:eastAsia="宋体" w:hint="default"/>
          <w:spacing w:val="-57"/>
        </w:rPr>
        <w:t> </w:t>
      </w:r>
      <w:r>
        <w:rPr/>
        <w:t>元。</w:t>
      </w:r>
      <w:r>
        <w:rPr>
          <w:w w:val="100"/>
        </w:rPr>
        <w:t> </w:t>
      </w:r>
      <w:r>
        <w:rPr/>
        <w:t>其中本期坏账准备转回或收回金额重要的：</w:t>
      </w:r>
    </w:p>
    <w:p>
      <w:pPr>
        <w:pStyle w:val="BodyText"/>
        <w:spacing w:line="249" w:lineRule="exact"/>
        <w:ind w:left="218" w:right="3084"/>
        <w:jc w:val="left"/>
      </w:pPr>
      <w:r>
        <w:rPr/>
        <w:t>□适用</w:t>
      </w:r>
      <w:r>
        <w:rPr>
          <w:spacing w:val="-1"/>
        </w:rPr>
        <w:t> </w:t>
      </w:r>
      <w:r>
        <w:rPr/>
        <w:t>√不适用</w:t>
      </w:r>
    </w:p>
    <w:p>
      <w:pPr>
        <w:pStyle w:val="Heading2"/>
        <w:spacing w:line="240" w:lineRule="auto" w:before="56"/>
        <w:ind w:right="3084"/>
        <w:jc w:val="left"/>
        <w:rPr>
          <w:b w:val="0"/>
          <w:bCs w:val="0"/>
        </w:rPr>
      </w:pPr>
      <w:r>
        <w:rPr>
          <w:rFonts w:ascii="宋体" w:hAnsi="宋体" w:cs="宋体" w:eastAsia="宋体" w:hint="default"/>
        </w:rPr>
        <w:t>(3).</w:t>
      </w:r>
      <w:r>
        <w:rPr>
          <w:rFonts w:ascii="宋体" w:hAnsi="宋体" w:cs="宋体" w:eastAsia="宋体" w:hint="default"/>
          <w:spacing w:val="57"/>
        </w:rPr>
        <w:t> </w:t>
      </w:r>
      <w:r>
        <w:rPr/>
        <w:t>本期实际核销的其他应收款情况</w:t>
      </w:r>
      <w:r>
        <w:rPr>
          <w:b w:val="0"/>
          <w:bCs w:val="0"/>
        </w:rPr>
      </w:r>
    </w:p>
    <w:p>
      <w:pPr>
        <w:pStyle w:val="BodyText"/>
        <w:spacing w:line="272" w:lineRule="exact" w:before="86"/>
        <w:ind w:left="218" w:right="4408"/>
        <w:jc w:val="left"/>
      </w:pPr>
      <w:r>
        <w:rPr/>
        <w:t>□适用</w:t>
      </w:r>
      <w:r>
        <w:rPr>
          <w:spacing w:val="-2"/>
        </w:rPr>
        <w:t> </w:t>
      </w:r>
      <w:r>
        <w:rPr/>
        <w:t>√不适用</w:t>
      </w:r>
      <w:r>
        <w:rPr>
          <w:w w:val="100"/>
        </w:rPr>
        <w:t> </w:t>
      </w:r>
      <w:r>
        <w:rPr>
          <w:spacing w:val="-2"/>
        </w:rPr>
        <w:t>其中重要的其他应收款核销情况：</w:t>
      </w:r>
    </w:p>
    <w:p>
      <w:pPr>
        <w:pStyle w:val="BodyText"/>
        <w:spacing w:line="272" w:lineRule="exact" w:before="2"/>
        <w:ind w:left="218" w:right="6940"/>
        <w:jc w:val="left"/>
      </w:pPr>
      <w:r>
        <w:rPr/>
        <w:t>□适用</w:t>
      </w:r>
      <w:r>
        <w:rPr>
          <w:spacing w:val="-2"/>
        </w:rPr>
        <w:t> </w:t>
      </w:r>
      <w:r>
        <w:rPr/>
        <w:t>√不适用</w:t>
      </w:r>
      <w:r>
        <w:rPr>
          <w:w w:val="100"/>
        </w:rPr>
        <w:t> </w:t>
      </w:r>
      <w:r>
        <w:rPr>
          <w:spacing w:val="-2"/>
        </w:rPr>
        <w:t>其他应收款核销说明：</w:t>
      </w:r>
    </w:p>
    <w:p>
      <w:pPr>
        <w:pStyle w:val="BodyText"/>
        <w:spacing w:line="249" w:lineRule="exact"/>
        <w:ind w:left="218" w:right="3084"/>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589" w:top="1120" w:bottom="1780" w:left="1580" w:right="1040"/>
        </w:sectPr>
      </w:pPr>
    </w:p>
    <w:p>
      <w:pPr>
        <w:pStyle w:val="Heading2"/>
        <w:spacing w:line="240" w:lineRule="auto" w:before="36"/>
        <w:ind w:right="-18"/>
        <w:jc w:val="left"/>
        <w:rPr>
          <w:b w:val="0"/>
          <w:bCs w:val="0"/>
        </w:rPr>
      </w:pPr>
      <w:r>
        <w:rPr>
          <w:rFonts w:ascii="宋体" w:hAnsi="宋体" w:cs="宋体" w:eastAsia="宋体" w:hint="default"/>
        </w:rPr>
        <w:t>(4).</w:t>
      </w:r>
      <w:r>
        <w:rPr>
          <w:rFonts w:ascii="宋体" w:hAnsi="宋体" w:cs="宋体" w:eastAsia="宋体" w:hint="default"/>
          <w:spacing w:val="57"/>
        </w:rPr>
        <w:t> </w:t>
      </w:r>
      <w:r>
        <w:rPr/>
        <w:t>其他应收款按款项性质分类情况</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759" w:space="2753"/>
            <w:col w:w="277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19,325,787.23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17,397,347.43</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452,135.43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554,000.35</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271,506.75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139,779.75</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20,049,429.41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18,091,127.53</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before="36"/>
        <w:ind w:right="-16"/>
        <w:jc w:val="left"/>
        <w:rPr>
          <w:b w:val="0"/>
          <w:bCs w:val="0"/>
        </w:rPr>
      </w:pPr>
      <w:r>
        <w:rPr>
          <w:rFonts w:ascii="宋体" w:hAnsi="宋体" w:cs="宋体" w:eastAsia="宋体" w:hint="default"/>
        </w:rPr>
        <w:t>(5).</w:t>
      </w:r>
      <w:r>
        <w:rPr>
          <w:rFonts w:ascii="宋体" w:hAnsi="宋体" w:cs="宋体" w:eastAsia="宋体" w:hint="default"/>
          <w:spacing w:val="54"/>
        </w:rPr>
        <w:t> </w:t>
      </w:r>
      <w:r>
        <w:rPr/>
        <w:t>按欠款方归集的期末余额前五名的其他应收款情况：</w:t>
      </w:r>
      <w:r>
        <w:rPr>
          <w:b w:val="0"/>
          <w:bCs w:val="0"/>
        </w:rPr>
      </w:r>
    </w:p>
    <w:p>
      <w:pPr>
        <w:pStyle w:val="BodyText"/>
        <w:spacing w:line="240" w:lineRule="auto" w:before="56"/>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655" w:space="867"/>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86"/>
        <w:gridCol w:w="1301"/>
        <w:gridCol w:w="1500"/>
        <w:gridCol w:w="1275"/>
        <w:gridCol w:w="1712"/>
        <w:gridCol w:w="1622"/>
      </w:tblGrid>
      <w:tr>
        <w:trPr>
          <w:trHeight w:val="828"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81"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2"/>
              <w:jc w:val="center"/>
              <w:rPr>
                <w:rFonts w:ascii="宋体" w:hAnsi="宋体" w:cs="宋体" w:eastAsia="宋体" w:hint="default"/>
                <w:sz w:val="21"/>
                <w:szCs w:val="21"/>
              </w:rPr>
            </w:pPr>
            <w:r>
              <w:rPr>
                <w:rFonts w:ascii="宋体" w:hAnsi="宋体" w:cs="宋体" w:eastAsia="宋体" w:hint="default"/>
                <w:sz w:val="21"/>
                <w:szCs w:val="21"/>
              </w:rPr>
              <w:t>账龄</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7"/>
              <w:ind w:left="482" w:right="111" w:hanging="368"/>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3" w:right="384"/>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283" w:hRule="exact"/>
        </w:trPr>
        <w:tc>
          <w:tcPr>
            <w:tcW w:w="1486" w:type="dxa"/>
            <w:vMerge w:val="restart"/>
            <w:tcBorders>
              <w:top w:val="single" w:sz="4" w:space="0" w:color="000000"/>
              <w:left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中国邮政集团</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01" w:type="dxa"/>
            <w:vMerge w:val="restart"/>
            <w:tcBorders>
              <w:top w:val="single" w:sz="4" w:space="0" w:color="000000"/>
              <w:left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2,241,100.00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11.18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11,205.50</w:t>
            </w:r>
          </w:p>
        </w:tc>
      </w:tr>
      <w:tr>
        <w:trPr>
          <w:trHeight w:val="346" w:hRule="exact"/>
        </w:trPr>
        <w:tc>
          <w:tcPr>
            <w:tcW w:w="1486" w:type="dxa"/>
            <w:vMerge/>
            <w:tcBorders>
              <w:left w:val="single" w:sz="4" w:space="0" w:color="000000"/>
              <w:bottom w:val="single" w:sz="4" w:space="0" w:color="000000"/>
              <w:right w:val="single" w:sz="4" w:space="0" w:color="000000"/>
            </w:tcBorders>
          </w:tcPr>
          <w:p>
            <w:pPr/>
          </w:p>
        </w:tc>
        <w:tc>
          <w:tcPr>
            <w:tcW w:w="1301" w:type="dxa"/>
            <w:vMerge/>
            <w:tcBorders>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7,750,867.50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38.66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387,543.38</w:t>
            </w:r>
          </w:p>
        </w:tc>
      </w:tr>
      <w:tr>
        <w:trPr>
          <w:trHeight w:val="281" w:hRule="exact"/>
        </w:trPr>
        <w:tc>
          <w:tcPr>
            <w:tcW w:w="1486" w:type="dxa"/>
            <w:vMerge w:val="restart"/>
            <w:tcBorders>
              <w:top w:val="single" w:sz="4" w:space="0" w:color="000000"/>
              <w:left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海南省农村信</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用社联合社</w:t>
            </w:r>
          </w:p>
        </w:tc>
        <w:tc>
          <w:tcPr>
            <w:tcW w:w="1301" w:type="dxa"/>
            <w:vMerge w:val="restart"/>
            <w:tcBorders>
              <w:top w:val="single" w:sz="4" w:space="0" w:color="000000"/>
              <w:left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48,236.93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0.24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2,411.85</w:t>
            </w:r>
          </w:p>
        </w:tc>
      </w:tr>
      <w:tr>
        <w:trPr>
          <w:trHeight w:val="284" w:hRule="exact"/>
        </w:trPr>
        <w:tc>
          <w:tcPr>
            <w:tcW w:w="1486" w:type="dxa"/>
            <w:vMerge/>
            <w:tcBorders>
              <w:left w:val="single" w:sz="4" w:space="0" w:color="000000"/>
              <w:right w:val="single" w:sz="4" w:space="0" w:color="000000"/>
            </w:tcBorders>
          </w:tcPr>
          <w:p>
            <w:pPr/>
          </w:p>
        </w:tc>
        <w:tc>
          <w:tcPr>
            <w:tcW w:w="1301" w:type="dxa"/>
            <w:vMerge/>
            <w:tcBorders>
              <w:left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2,430,000.00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2"/>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z w:val="21"/>
              </w:rPr>
              <w:t>12.12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243,000.00</w:t>
            </w:r>
          </w:p>
        </w:tc>
      </w:tr>
      <w:tr>
        <w:trPr>
          <w:trHeight w:val="283" w:hRule="exact"/>
        </w:trPr>
        <w:tc>
          <w:tcPr>
            <w:tcW w:w="1486" w:type="dxa"/>
            <w:vMerge/>
            <w:tcBorders>
              <w:left w:val="single" w:sz="4" w:space="0" w:color="000000"/>
              <w:bottom w:val="single" w:sz="4" w:space="0" w:color="000000"/>
              <w:right w:val="single" w:sz="4" w:space="0" w:color="000000"/>
            </w:tcBorders>
          </w:tcPr>
          <w:p>
            <w:pPr/>
          </w:p>
        </w:tc>
        <w:tc>
          <w:tcPr>
            <w:tcW w:w="1301" w:type="dxa"/>
            <w:vMerge/>
            <w:tcBorders>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center"/>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14.96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900,000.00</w:t>
            </w:r>
          </w:p>
        </w:tc>
      </w:tr>
      <w:tr>
        <w:trPr>
          <w:trHeight w:val="554"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山西三公招标</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代理有限公司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center"/>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4.49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270,000.00</w:t>
            </w:r>
          </w:p>
        </w:tc>
      </w:tr>
      <w:tr>
        <w:trPr>
          <w:trHeight w:val="826"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广东省机电设</w:t>
            </w:r>
          </w:p>
          <w:p>
            <w:pPr>
              <w:pStyle w:val="TableParagraph"/>
              <w:spacing w:line="240" w:lineRule="auto"/>
              <w:ind w:left="26" w:right="184"/>
              <w:jc w:val="left"/>
              <w:rPr>
                <w:rFonts w:ascii="宋体" w:hAnsi="宋体" w:cs="宋体" w:eastAsia="宋体" w:hint="default"/>
                <w:sz w:val="21"/>
                <w:szCs w:val="21"/>
              </w:rPr>
            </w:pPr>
            <w:r>
              <w:rPr>
                <w:rFonts w:ascii="宋体" w:hAnsi="宋体" w:cs="宋体" w:eastAsia="宋体" w:hint="default"/>
                <w:sz w:val="21"/>
                <w:szCs w:val="21"/>
              </w:rPr>
              <w:t>备招标中心有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230,386.00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1.15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1,151.93</w:t>
            </w:r>
          </w:p>
        </w:tc>
      </w:tr>
      <w:tr>
        <w:trPr>
          <w:trHeight w:val="554"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贵州省农村信</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用社联合社</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4"/>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z w:val="21"/>
              </w:rPr>
              <w:t>1.00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1,000.00</w:t>
            </w:r>
          </w:p>
        </w:tc>
      </w:tr>
      <w:tr>
        <w:trPr>
          <w:trHeight w:val="283"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130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16,800,590.43</w:t>
            </w:r>
          </w:p>
        </w:tc>
        <w:tc>
          <w:tcPr>
            <w:tcW w:w="1275"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z w:val="21"/>
              </w:rPr>
              <w:t>83.80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pacing w:val="-1"/>
                <w:sz w:val="21"/>
              </w:rPr>
              <w:t>1,816,312.66</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before="36"/>
        <w:ind w:right="3084"/>
        <w:jc w:val="left"/>
        <w:rPr>
          <w:b w:val="0"/>
          <w:bCs w:val="0"/>
        </w:rPr>
      </w:pPr>
      <w:r>
        <w:rPr>
          <w:rFonts w:ascii="宋体" w:hAnsi="宋体" w:cs="宋体" w:eastAsia="宋体" w:hint="default"/>
        </w:rPr>
        <w:t>(6).</w:t>
      </w:r>
      <w:r>
        <w:rPr>
          <w:rFonts w:ascii="宋体" w:hAnsi="宋体" w:cs="宋体" w:eastAsia="宋体" w:hint="default"/>
          <w:spacing w:val="59"/>
        </w:rPr>
        <w:t> </w:t>
      </w:r>
      <w:r>
        <w:rPr/>
        <w:t>涉及政府补助的应收款项</w:t>
      </w:r>
      <w:r>
        <w:rPr>
          <w:b w:val="0"/>
          <w:bCs w:val="0"/>
        </w:rPr>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2"/>
        <w:spacing w:line="240" w:lineRule="auto" w:before="175"/>
        <w:ind w:left="918" w:right="0"/>
        <w:jc w:val="left"/>
        <w:rPr>
          <w:b w:val="0"/>
          <w:bCs w:val="0"/>
        </w:rPr>
      </w:pPr>
      <w:r>
        <w:rPr>
          <w:rFonts w:ascii="宋体" w:hAnsi="宋体" w:cs="宋体" w:eastAsia="宋体" w:hint="default"/>
        </w:rPr>
        <w:t>(7).</w:t>
      </w:r>
      <w:r>
        <w:rPr>
          <w:rFonts w:ascii="宋体" w:hAnsi="宋体" w:cs="宋体" w:eastAsia="宋体" w:hint="default"/>
          <w:spacing w:val="59"/>
        </w:rPr>
        <w:t> </w:t>
      </w:r>
      <w:r>
        <w:rPr/>
        <w:t>因金融资产转移而终止确认的其他应收款：</w:t>
      </w:r>
      <w:r>
        <w:rPr>
          <w:b w:val="0"/>
          <w:bCs w:val="0"/>
        </w:rPr>
      </w:r>
    </w:p>
    <w:p>
      <w:pPr>
        <w:pStyle w:val="BodyText"/>
        <w:spacing w:line="240" w:lineRule="auto" w:before="56"/>
        <w:ind w:left="91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918" w:right="0"/>
        <w:jc w:val="left"/>
        <w:rPr>
          <w:b w:val="0"/>
          <w:bCs w:val="0"/>
        </w:rPr>
      </w:pPr>
      <w:r>
        <w:rPr>
          <w:rFonts w:ascii="宋体" w:hAnsi="宋体" w:cs="宋体" w:eastAsia="宋体" w:hint="default"/>
        </w:rPr>
        <w:t>(8).</w:t>
      </w:r>
      <w:r>
        <w:rPr>
          <w:rFonts w:ascii="宋体" w:hAnsi="宋体" w:cs="宋体" w:eastAsia="宋体" w:hint="default"/>
          <w:spacing w:val="55"/>
        </w:rPr>
        <w:t> </w:t>
      </w:r>
      <w:r>
        <w:rPr/>
        <w:t>转移其他应收款且继续涉入形成的资产、负债的金额：</w:t>
      </w:r>
      <w:r>
        <w:rPr>
          <w:b w:val="0"/>
          <w:bCs w:val="0"/>
        </w:rPr>
      </w:r>
    </w:p>
    <w:p>
      <w:pPr>
        <w:pStyle w:val="BodyText"/>
        <w:spacing w:line="240" w:lineRule="auto" w:before="58"/>
        <w:ind w:left="918" w:right="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left="918" w:right="0"/>
        <w:jc w:val="left"/>
      </w:pPr>
      <w:r>
        <w:rPr/>
        <w:t>其他说明：</w:t>
      </w:r>
    </w:p>
    <w:p>
      <w:pPr>
        <w:pStyle w:val="BodyText"/>
        <w:spacing w:line="273" w:lineRule="exact"/>
        <w:ind w:left="91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50"/>
          <w:pgSz w:w="11910" w:h="16840"/>
          <w:pgMar w:footer="1195" w:header="882" w:top="1120" w:bottom="1380" w:left="880" w:right="360"/>
          <w:pgNumType w:start="93"/>
        </w:sectPr>
      </w:pPr>
    </w:p>
    <w:p>
      <w:pPr>
        <w:pStyle w:val="Heading2"/>
        <w:tabs>
          <w:tab w:pos="1549" w:val="left" w:leader="none"/>
          <w:tab w:pos="1757" w:val="left" w:leader="none"/>
        </w:tabs>
        <w:spacing w:line="292" w:lineRule="auto" w:before="36"/>
        <w:ind w:left="918" w:right="98"/>
        <w:jc w:val="left"/>
        <w:rPr>
          <w:b w:val="0"/>
          <w:bCs w:val="0"/>
        </w:rPr>
      </w:pPr>
      <w:r>
        <w:rPr>
          <w:rFonts w:ascii="宋体" w:hAnsi="宋体" w:cs="宋体" w:eastAsia="宋体" w:hint="default"/>
          <w:spacing w:val="-1"/>
        </w:rPr>
        <w:t>10</w:t>
      </w:r>
      <w:r>
        <w:rPr>
          <w:spacing w:val="-1"/>
        </w:rPr>
        <w:t>、</w:t>
        <w:tab/>
        <w:tab/>
      </w:r>
      <w:r>
        <w:rPr/>
        <w:t>存货</w:t>
      </w:r>
      <w:r>
        <w:rPr>
          <w:w w:val="100"/>
        </w:rPr>
        <w:t> </w:t>
      </w:r>
      <w:r>
        <w:rPr>
          <w:rFonts w:ascii="宋体" w:hAnsi="宋体" w:cs="宋体" w:eastAsia="宋体" w:hint="default"/>
          <w:w w:val="95"/>
        </w:rPr>
        <w:t>(1).</w:t>
        <w:tab/>
      </w:r>
      <w:r>
        <w:rPr/>
        <w:t>存货分类</w:t>
      </w:r>
      <w:r>
        <w:rPr>
          <w:b w:val="0"/>
          <w:bCs w:val="0"/>
        </w:rPr>
      </w:r>
    </w:p>
    <w:p>
      <w:pPr>
        <w:pStyle w:val="BodyText"/>
        <w:spacing w:line="240" w:lineRule="auto" w:before="10"/>
        <w:ind w:left="9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969" w:val="left" w:leader="none"/>
        </w:tabs>
        <w:spacing w:line="240" w:lineRule="auto"/>
        <w:ind w:left="918" w:right="0"/>
        <w:jc w:val="left"/>
      </w:pPr>
      <w:r>
        <w:rPr>
          <w:spacing w:val="-1"/>
        </w:rPr>
        <w:t>单位：元</w:t>
        <w:tab/>
      </w:r>
      <w:r>
        <w:rPr>
          <w:spacing w:val="-2"/>
        </w:rPr>
        <w:t>币种：人民币</w:t>
      </w:r>
    </w:p>
    <w:p>
      <w:pPr>
        <w:spacing w:after="0" w:line="240" w:lineRule="auto"/>
        <w:jc w:val="left"/>
        <w:sectPr>
          <w:type w:val="continuous"/>
          <w:pgSz w:w="11910" w:h="16840"/>
          <w:pgMar w:top="1120" w:bottom="1380" w:left="880" w:right="360"/>
          <w:cols w:num="2" w:equalWidth="0">
            <w:col w:w="2495" w:space="4026"/>
            <w:col w:w="4149"/>
          </w:cols>
        </w:sectPr>
      </w:pP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023"/>
        <w:gridCol w:w="1560"/>
        <w:gridCol w:w="1561"/>
        <w:gridCol w:w="1558"/>
        <w:gridCol w:w="1663"/>
        <w:gridCol w:w="1517"/>
        <w:gridCol w:w="1553"/>
      </w:tblGrid>
      <w:tr>
        <w:trPr>
          <w:trHeight w:val="283" w:hRule="exact"/>
        </w:trPr>
        <w:tc>
          <w:tcPr>
            <w:tcW w:w="1023" w:type="dxa"/>
            <w:vMerge w:val="restart"/>
            <w:tcBorders>
              <w:top w:val="single" w:sz="4" w:space="0" w:color="000000"/>
              <w:left w:val="single" w:sz="4" w:space="0" w:color="000000"/>
              <w:right w:val="single" w:sz="4" w:space="0" w:color="000000"/>
            </w:tcBorders>
          </w:tcPr>
          <w:p>
            <w:pPr>
              <w:pStyle w:val="TableParagraph"/>
              <w:spacing w:line="240" w:lineRule="auto" w:before="107"/>
              <w:ind w:left="29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6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7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023"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3"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8"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5"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9" w:right="0"/>
              <w:jc w:val="center"/>
              <w:rPr>
                <w:rFonts w:ascii="宋体" w:hAnsi="宋体" w:cs="宋体" w:eastAsia="宋体" w:hint="default"/>
                <w:sz w:val="21"/>
                <w:szCs w:val="21"/>
              </w:rPr>
            </w:pPr>
            <w:r>
              <w:rPr>
                <w:rFonts w:ascii="宋体"/>
                <w:sz w:val="21"/>
              </w:rPr>
              <w:t>151,446,414.38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spacing w:val="-1"/>
                <w:sz w:val="21"/>
              </w:rPr>
              <w:t>5,642,136.72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6" w:right="0"/>
              <w:jc w:val="center"/>
              <w:rPr>
                <w:rFonts w:ascii="宋体" w:hAnsi="宋体" w:cs="宋体" w:eastAsia="宋体" w:hint="default"/>
                <w:sz w:val="21"/>
                <w:szCs w:val="21"/>
              </w:rPr>
            </w:pPr>
            <w:r>
              <w:rPr>
                <w:rFonts w:ascii="宋体"/>
                <w:sz w:val="21"/>
              </w:rPr>
              <w:t>145,804,277.66</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spacing w:val="-1"/>
                <w:sz w:val="21"/>
              </w:rPr>
              <w:t>140,993,369.16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
              <w:jc w:val="right"/>
              <w:rPr>
                <w:rFonts w:ascii="宋体" w:hAnsi="宋体" w:cs="宋体" w:eastAsia="宋体" w:hint="default"/>
                <w:sz w:val="21"/>
                <w:szCs w:val="21"/>
              </w:rPr>
            </w:pPr>
            <w:r>
              <w:rPr>
                <w:rFonts w:ascii="宋体"/>
                <w:spacing w:val="-1"/>
                <w:sz w:val="21"/>
              </w:rPr>
              <w:t>6,024,041.76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
              <w:jc w:val="right"/>
              <w:rPr>
                <w:rFonts w:ascii="宋体" w:hAnsi="宋体" w:cs="宋体" w:eastAsia="宋体" w:hint="default"/>
                <w:sz w:val="21"/>
                <w:szCs w:val="21"/>
              </w:rPr>
            </w:pPr>
            <w:r>
              <w:rPr>
                <w:rFonts w:ascii="宋体"/>
                <w:spacing w:val="-1"/>
                <w:sz w:val="21"/>
              </w:rPr>
              <w:t>134,969,327.40</w:t>
            </w:r>
          </w:p>
        </w:tc>
      </w:tr>
      <w:tr>
        <w:trPr>
          <w:trHeight w:val="283"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center"/>
              <w:rPr>
                <w:rFonts w:ascii="宋体" w:hAnsi="宋体" w:cs="宋体" w:eastAsia="宋体" w:hint="default"/>
                <w:sz w:val="21"/>
                <w:szCs w:val="21"/>
              </w:rPr>
            </w:pPr>
            <w:r>
              <w:rPr>
                <w:rFonts w:ascii="宋体"/>
                <w:sz w:val="21"/>
              </w:rPr>
              <w:t>42,436,240.47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3,608,951.02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center"/>
              <w:rPr>
                <w:rFonts w:ascii="宋体" w:hAnsi="宋体" w:cs="宋体" w:eastAsia="宋体" w:hint="default"/>
                <w:sz w:val="21"/>
                <w:szCs w:val="21"/>
              </w:rPr>
            </w:pPr>
            <w:r>
              <w:rPr>
                <w:rFonts w:ascii="宋体"/>
                <w:sz w:val="21"/>
              </w:rPr>
              <w:t>38,827,289.45</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32,774,255.85</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32,774,255.85</w:t>
            </w:r>
          </w:p>
        </w:tc>
      </w:tr>
      <w:tr>
        <w:trPr>
          <w:trHeight w:val="281"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center"/>
              <w:rPr>
                <w:rFonts w:ascii="宋体" w:hAnsi="宋体" w:cs="宋体" w:eastAsia="宋体" w:hint="default"/>
                <w:sz w:val="21"/>
                <w:szCs w:val="21"/>
              </w:rPr>
            </w:pPr>
            <w:r>
              <w:rPr>
                <w:rFonts w:ascii="宋体"/>
                <w:sz w:val="21"/>
              </w:rPr>
              <w:t>55,395,510.91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2,522,302.50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center"/>
              <w:rPr>
                <w:rFonts w:ascii="宋体" w:hAnsi="宋体" w:cs="宋体" w:eastAsia="宋体" w:hint="default"/>
                <w:sz w:val="21"/>
                <w:szCs w:val="21"/>
              </w:rPr>
            </w:pPr>
            <w:r>
              <w:rPr>
                <w:rFonts w:ascii="宋体"/>
                <w:sz w:val="21"/>
              </w:rPr>
              <w:t>52,873,208.41</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46,985,815.00</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46,985,815.00</w:t>
            </w:r>
          </w:p>
        </w:tc>
      </w:tr>
      <w:tr>
        <w:trPr>
          <w:trHeight w:val="283"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 w:right="0"/>
              <w:jc w:val="center"/>
              <w:rPr>
                <w:rFonts w:ascii="宋体" w:hAnsi="宋体" w:cs="宋体" w:eastAsia="宋体" w:hint="default"/>
                <w:sz w:val="21"/>
                <w:szCs w:val="21"/>
              </w:rPr>
            </w:pPr>
            <w:r>
              <w:rPr>
                <w:rFonts w:ascii="宋体"/>
                <w:sz w:val="21"/>
              </w:rPr>
              <w:t>338,043,940.12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10,371,960.82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327,671,979.30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498,476,382.49</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5,479,568.93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492,996,813.56</w:t>
            </w:r>
          </w:p>
        </w:tc>
      </w:tr>
      <w:tr>
        <w:trPr>
          <w:trHeight w:val="283"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center"/>
              <w:rPr>
                <w:rFonts w:ascii="宋体" w:hAnsi="宋体" w:cs="宋体" w:eastAsia="宋体" w:hint="default"/>
                <w:sz w:val="21"/>
                <w:szCs w:val="21"/>
              </w:rPr>
            </w:pPr>
            <w:r>
              <w:rPr>
                <w:rFonts w:ascii="宋体"/>
                <w:sz w:val="21"/>
              </w:rPr>
              <w:t>587,322,105.88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22,145,351.06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center"/>
              <w:rPr>
                <w:rFonts w:ascii="宋体" w:hAnsi="宋体" w:cs="宋体" w:eastAsia="宋体" w:hint="default"/>
                <w:sz w:val="21"/>
                <w:szCs w:val="21"/>
              </w:rPr>
            </w:pPr>
            <w:r>
              <w:rPr>
                <w:rFonts w:ascii="宋体"/>
                <w:sz w:val="21"/>
              </w:rPr>
              <w:t>565,176,754.82</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719,229,822.50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11,503,610.69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
              <w:jc w:val="right"/>
              <w:rPr>
                <w:rFonts w:ascii="宋体" w:hAnsi="宋体" w:cs="宋体" w:eastAsia="宋体" w:hint="default"/>
                <w:sz w:val="21"/>
                <w:szCs w:val="21"/>
              </w:rPr>
            </w:pPr>
            <w:r>
              <w:rPr>
                <w:rFonts w:ascii="宋体"/>
                <w:spacing w:val="-1"/>
                <w:sz w:val="21"/>
              </w:rPr>
              <w:t>707,726,211.81</w:t>
            </w: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880" w:right="360"/>
        </w:sectPr>
      </w:pPr>
    </w:p>
    <w:p>
      <w:pPr>
        <w:pStyle w:val="Heading2"/>
        <w:tabs>
          <w:tab w:pos="1549" w:val="left" w:leader="none"/>
        </w:tabs>
        <w:spacing w:line="240" w:lineRule="auto" w:before="36"/>
        <w:ind w:left="918" w:right="-18"/>
        <w:jc w:val="left"/>
        <w:rPr>
          <w:b w:val="0"/>
          <w:bCs w:val="0"/>
        </w:rPr>
      </w:pPr>
      <w:r>
        <w:rPr>
          <w:rFonts w:ascii="宋体" w:hAnsi="宋体" w:cs="宋体" w:eastAsia="宋体" w:hint="default"/>
          <w:w w:val="95"/>
        </w:rPr>
        <w:t>(2).</w:t>
        <w:tab/>
      </w:r>
      <w:r>
        <w:rPr/>
        <w:t>存货跌价准备</w:t>
      </w:r>
      <w:r>
        <w:rPr>
          <w:b w:val="0"/>
          <w:bCs w:val="0"/>
        </w:rPr>
      </w:r>
    </w:p>
    <w:p>
      <w:pPr>
        <w:pStyle w:val="BodyText"/>
        <w:spacing w:line="240" w:lineRule="auto" w:before="58"/>
        <w:ind w:left="9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969" w:val="left" w:leader="none"/>
        </w:tabs>
        <w:spacing w:line="240" w:lineRule="auto"/>
        <w:ind w:left="918" w:right="0"/>
        <w:jc w:val="left"/>
      </w:pPr>
      <w:r>
        <w:rPr>
          <w:spacing w:val="-1"/>
        </w:rPr>
        <w:t>单位：元</w:t>
        <w:tab/>
      </w:r>
      <w:r>
        <w:rPr>
          <w:spacing w:val="-2"/>
        </w:rPr>
        <w:t>币种：人民币</w:t>
      </w:r>
    </w:p>
    <w:p>
      <w:pPr>
        <w:spacing w:after="0" w:line="240" w:lineRule="auto"/>
        <w:jc w:val="left"/>
        <w:sectPr>
          <w:type w:val="continuous"/>
          <w:pgSz w:w="11910" w:h="16840"/>
          <w:pgMar w:top="1120" w:bottom="1380" w:left="880" w:right="360"/>
          <w:cols w:num="2" w:equalWidth="0">
            <w:col w:w="2817" w:space="3705"/>
            <w:col w:w="4148"/>
          </w:cols>
        </w:sectPr>
      </w:pPr>
    </w:p>
    <w:p>
      <w:pPr>
        <w:spacing w:line="240" w:lineRule="auto" w:before="7"/>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1913"/>
        <w:gridCol w:w="1597"/>
        <w:gridCol w:w="1627"/>
        <w:gridCol w:w="708"/>
        <w:gridCol w:w="1320"/>
        <w:gridCol w:w="1277"/>
        <w:gridCol w:w="1961"/>
      </w:tblGrid>
      <w:tr>
        <w:trPr>
          <w:trHeight w:val="281" w:hRule="exact"/>
        </w:trPr>
        <w:tc>
          <w:tcPr>
            <w:tcW w:w="1913" w:type="dxa"/>
            <w:vMerge w:val="restart"/>
            <w:tcBorders>
              <w:top w:val="single" w:sz="4" w:space="0" w:color="000000"/>
              <w:left w:val="single" w:sz="4" w:space="0" w:color="000000"/>
              <w:right w:val="single" w:sz="4" w:space="0" w:color="000000"/>
            </w:tcBorders>
          </w:tcPr>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7" w:type="dxa"/>
            <w:vMerge w:val="restart"/>
            <w:tcBorders>
              <w:top w:val="single" w:sz="4" w:space="0" w:color="000000"/>
              <w:left w:val="single" w:sz="4" w:space="0" w:color="000000"/>
              <w:right w:val="single" w:sz="4" w:space="0" w:color="000000"/>
            </w:tcBorders>
          </w:tcPr>
          <w:p>
            <w:pPr>
              <w:pStyle w:val="TableParagraph"/>
              <w:spacing w:line="240" w:lineRule="auto" w:before="122"/>
              <w:ind w:left="37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5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2"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961" w:type="dxa"/>
            <w:vMerge w:val="restart"/>
            <w:tcBorders>
              <w:top w:val="single" w:sz="4" w:space="0" w:color="000000"/>
              <w:left w:val="single" w:sz="4" w:space="0" w:color="000000"/>
              <w:right w:val="single" w:sz="4" w:space="0" w:color="000000"/>
            </w:tcBorders>
          </w:tcPr>
          <w:p>
            <w:pPr>
              <w:pStyle w:val="TableParagraph"/>
              <w:spacing w:line="240" w:lineRule="auto" w:before="122"/>
              <w:ind w:left="55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12" w:hRule="exact"/>
        </w:trPr>
        <w:tc>
          <w:tcPr>
            <w:tcW w:w="1913" w:type="dxa"/>
            <w:vMerge/>
            <w:tcBorders>
              <w:left w:val="single" w:sz="4" w:space="0" w:color="000000"/>
              <w:bottom w:val="single" w:sz="4" w:space="0" w:color="000000"/>
              <w:right w:val="single" w:sz="4" w:space="0" w:color="000000"/>
            </w:tcBorders>
          </w:tcPr>
          <w:p>
            <w:pPr/>
          </w:p>
        </w:tc>
        <w:tc>
          <w:tcPr>
            <w:tcW w:w="1597" w:type="dxa"/>
            <w:vMerge/>
            <w:tcBorders>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3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转回或转销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61" w:type="dxa"/>
            <w:vMerge/>
            <w:tcBorders>
              <w:left w:val="single" w:sz="4" w:space="0" w:color="000000"/>
              <w:bottom w:val="single" w:sz="4" w:space="0" w:color="000000"/>
              <w:right w:val="single" w:sz="4" w:space="0" w:color="000000"/>
            </w:tcBorders>
          </w:tcPr>
          <w:p>
            <w:pPr/>
          </w:p>
        </w:tc>
      </w:tr>
      <w:tr>
        <w:trPr>
          <w:trHeight w:val="28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6,024,041.76</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387,308.37</w:t>
            </w:r>
          </w:p>
        </w:tc>
        <w:tc>
          <w:tcPr>
            <w:tcW w:w="70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 w:right="0"/>
              <w:jc w:val="center"/>
              <w:rPr>
                <w:rFonts w:ascii="宋体" w:hAnsi="宋体" w:cs="宋体" w:eastAsia="宋体" w:hint="default"/>
                <w:sz w:val="21"/>
                <w:szCs w:val="21"/>
              </w:rPr>
            </w:pPr>
            <w:r>
              <w:rPr>
                <w:rFonts w:ascii="宋体"/>
                <w:sz w:val="21"/>
              </w:rPr>
              <w:t>769,213.41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5,642,136.72</w:t>
            </w:r>
          </w:p>
        </w:tc>
      </w:tr>
      <w:tr>
        <w:trPr>
          <w:trHeight w:val="28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59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3,608,951.02</w:t>
            </w:r>
          </w:p>
        </w:tc>
        <w:tc>
          <w:tcPr>
            <w:tcW w:w="70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3,608,951.02</w:t>
            </w:r>
          </w:p>
        </w:tc>
      </w:tr>
      <w:tr>
        <w:trPr>
          <w:trHeight w:val="28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59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2,522,302.50</w:t>
            </w:r>
          </w:p>
        </w:tc>
        <w:tc>
          <w:tcPr>
            <w:tcW w:w="70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2,522,302.50</w:t>
            </w:r>
          </w:p>
        </w:tc>
      </w:tr>
      <w:tr>
        <w:trPr>
          <w:trHeight w:val="28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59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消耗性生物资产</w:t>
            </w:r>
          </w:p>
        </w:tc>
        <w:tc>
          <w:tcPr>
            <w:tcW w:w="159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建造合同形成的已</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完工未结算资产</w:t>
            </w:r>
          </w:p>
        </w:tc>
        <w:tc>
          <w:tcPr>
            <w:tcW w:w="159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5,479,568.93</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4,892,391.89</w:t>
            </w:r>
          </w:p>
        </w:tc>
        <w:tc>
          <w:tcPr>
            <w:tcW w:w="70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10,371,960.82</w:t>
            </w:r>
          </w:p>
        </w:tc>
      </w:tr>
      <w:tr>
        <w:trPr>
          <w:trHeight w:val="28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11,503,610.69</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11,410,953.78</w:t>
            </w:r>
          </w:p>
        </w:tc>
        <w:tc>
          <w:tcPr>
            <w:tcW w:w="70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 w:right="0"/>
              <w:jc w:val="center"/>
              <w:rPr>
                <w:rFonts w:ascii="宋体" w:hAnsi="宋体" w:cs="宋体" w:eastAsia="宋体" w:hint="default"/>
                <w:sz w:val="21"/>
                <w:szCs w:val="21"/>
              </w:rPr>
            </w:pPr>
            <w:r>
              <w:rPr>
                <w:rFonts w:ascii="宋体"/>
                <w:sz w:val="21"/>
              </w:rPr>
              <w:t>769,213.41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22,145,351.06</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tabs>
          <w:tab w:pos="1549" w:val="left" w:leader="none"/>
        </w:tabs>
        <w:spacing w:line="240" w:lineRule="auto" w:before="36"/>
        <w:ind w:left="918" w:right="0"/>
        <w:jc w:val="left"/>
        <w:rPr>
          <w:b w:val="0"/>
          <w:bCs w:val="0"/>
        </w:rPr>
      </w:pPr>
      <w:r>
        <w:rPr>
          <w:rFonts w:ascii="宋体" w:hAnsi="宋体" w:cs="宋体" w:eastAsia="宋体" w:hint="default"/>
          <w:w w:val="95"/>
        </w:rPr>
        <w:t>(3).</w:t>
        <w:tab/>
      </w:r>
      <w:r>
        <w:rPr/>
        <w:t>存货期末余额含有借款费用资本化金额的说明：</w:t>
      </w:r>
      <w:r>
        <w:rPr>
          <w:b w:val="0"/>
          <w:bCs w:val="0"/>
        </w:rPr>
      </w:r>
    </w:p>
    <w:p>
      <w:pPr>
        <w:pStyle w:val="BodyText"/>
        <w:spacing w:line="240" w:lineRule="auto" w:before="56"/>
        <w:ind w:left="91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1549" w:val="left" w:leader="none"/>
        </w:tabs>
        <w:spacing w:line="240" w:lineRule="auto"/>
        <w:ind w:left="918" w:right="0"/>
        <w:jc w:val="left"/>
        <w:rPr>
          <w:b w:val="0"/>
          <w:bCs w:val="0"/>
        </w:rPr>
      </w:pPr>
      <w:r>
        <w:rPr>
          <w:rFonts w:ascii="宋体" w:hAnsi="宋体" w:cs="宋体" w:eastAsia="宋体" w:hint="default"/>
          <w:w w:val="95"/>
        </w:rPr>
        <w:t>(4).</w:t>
        <w:tab/>
      </w:r>
      <w:r>
        <w:rPr/>
        <w:t>期末建造合同形成的已完工未结算资产情况：</w:t>
      </w:r>
      <w:r>
        <w:rPr>
          <w:b w:val="0"/>
          <w:bCs w:val="0"/>
        </w:rPr>
      </w:r>
    </w:p>
    <w:p>
      <w:pPr>
        <w:pStyle w:val="BodyText"/>
        <w:spacing w:line="272" w:lineRule="exact" w:before="86"/>
        <w:ind w:left="918" w:right="8154"/>
        <w:jc w:val="left"/>
      </w:pPr>
      <w:r>
        <w:rPr/>
        <w:t>□适用</w:t>
      </w:r>
      <w:r>
        <w:rPr>
          <w:spacing w:val="-1"/>
        </w:rPr>
        <w:t> </w:t>
      </w:r>
      <w:r>
        <w:rPr/>
        <w:t>√不适用</w:t>
      </w:r>
      <w:r>
        <w:rPr>
          <w:w w:val="100"/>
        </w:rPr>
        <w:t> </w:t>
      </w:r>
      <w:r>
        <w:rPr/>
        <w:t>其他说明</w:t>
      </w:r>
    </w:p>
    <w:p>
      <w:pPr>
        <w:pStyle w:val="BodyText"/>
        <w:spacing w:line="247" w:lineRule="exact"/>
        <w:ind w:left="918" w:right="0"/>
        <w:jc w:val="left"/>
      </w:pPr>
      <w:r>
        <w:rPr/>
        <w:t>□适用</w:t>
      </w:r>
      <w:r>
        <w:rPr>
          <w:spacing w:val="-1"/>
        </w:rPr>
        <w:t> </w:t>
      </w:r>
      <w:r>
        <w:rPr/>
        <w:t>√不适用</w:t>
      </w:r>
    </w:p>
    <w:p>
      <w:pPr>
        <w:spacing w:after="0" w:line="247" w:lineRule="exact"/>
        <w:jc w:val="left"/>
        <w:sectPr>
          <w:type w:val="continuous"/>
          <w:pgSz w:w="11910" w:h="16840"/>
          <w:pgMar w:top="1120" w:bottom="1380" w:left="880" w:right="360"/>
        </w:sectPr>
      </w:pPr>
    </w:p>
    <w:p>
      <w:pPr>
        <w:spacing w:line="240" w:lineRule="auto" w:before="1"/>
        <w:rPr>
          <w:rFonts w:ascii="宋体" w:hAnsi="宋体" w:cs="宋体" w:eastAsia="宋体" w:hint="default"/>
          <w:sz w:val="25"/>
          <w:szCs w:val="25"/>
        </w:rPr>
      </w:pPr>
    </w:p>
    <w:p>
      <w:pPr>
        <w:pStyle w:val="Heading2"/>
        <w:spacing w:line="240" w:lineRule="auto" w:before="36"/>
        <w:ind w:right="3084"/>
        <w:jc w:val="left"/>
        <w:rPr>
          <w:b w:val="0"/>
          <w:bCs w:val="0"/>
        </w:rPr>
      </w:pPr>
      <w:r>
        <w:rPr>
          <w:rFonts w:ascii="宋体" w:hAnsi="宋体" w:cs="宋体" w:eastAsia="宋体" w:hint="default"/>
        </w:rPr>
        <w:t>11</w:t>
      </w:r>
      <w:r>
        <w:rPr/>
        <w:t>、</w:t>
      </w:r>
      <w:r>
        <w:rPr>
          <w:spacing w:val="-24"/>
        </w:rPr>
        <w:t> </w:t>
      </w:r>
      <w:r>
        <w:rPr/>
        <w:t>持有待售资产</w:t>
      </w:r>
      <w:r>
        <w:rPr>
          <w:b w:val="0"/>
          <w:bCs w:val="0"/>
        </w:rPr>
      </w:r>
    </w:p>
    <w:p>
      <w:pPr>
        <w:pStyle w:val="BodyText"/>
        <w:spacing w:line="240" w:lineRule="auto" w:before="58"/>
        <w:ind w:left="218" w:right="3084"/>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2"/>
        <w:spacing w:line="240" w:lineRule="auto"/>
        <w:ind w:right="3084"/>
        <w:jc w:val="left"/>
        <w:rPr>
          <w:b w:val="0"/>
          <w:bCs w:val="0"/>
        </w:rPr>
      </w:pPr>
      <w:r>
        <w:rPr>
          <w:rFonts w:ascii="宋体" w:hAnsi="宋体" w:cs="宋体" w:eastAsia="宋体" w:hint="default"/>
        </w:rPr>
        <w:t>12</w:t>
      </w:r>
      <w:r>
        <w:rPr/>
        <w:t>、</w:t>
      </w:r>
      <w:r>
        <w:rPr>
          <w:spacing w:val="-25"/>
        </w:rPr>
        <w:t> </w:t>
      </w:r>
      <w:r>
        <w:rPr/>
        <w:t>一年内到期的非流动资产</w:t>
      </w:r>
      <w:r>
        <w:rPr>
          <w:b w:val="0"/>
          <w:bCs w:val="0"/>
        </w:rPr>
      </w:r>
    </w:p>
    <w:p>
      <w:pPr>
        <w:pStyle w:val="BodyText"/>
        <w:spacing w:line="240" w:lineRule="auto" w:before="58"/>
        <w:ind w:left="218" w:right="3084"/>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pStyle w:val="Heading2"/>
        <w:spacing w:line="240" w:lineRule="auto" w:before="36"/>
        <w:ind w:right="-18"/>
        <w:jc w:val="left"/>
        <w:rPr>
          <w:b w:val="0"/>
          <w:bCs w:val="0"/>
        </w:rPr>
      </w:pPr>
      <w:r>
        <w:rPr>
          <w:rFonts w:ascii="宋体" w:hAnsi="宋体" w:cs="宋体" w:eastAsia="宋体" w:hint="default"/>
        </w:rPr>
        <w:t>13</w:t>
      </w:r>
      <w:r>
        <w:rPr/>
        <w:t>、</w:t>
      </w:r>
      <w:r>
        <w:rPr>
          <w:spacing w:val="-24"/>
        </w:rPr>
        <w:t> </w:t>
      </w:r>
      <w:r>
        <w:rPr/>
        <w:t>其他流动资产</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9"/>
        <w:gridCol w:w="2916"/>
        <w:gridCol w:w="2845"/>
      </w:tblGrid>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51"/>
                <w:sz w:val="21"/>
                <w:szCs w:val="21"/>
              </w:rPr>
              <w:t> </w:t>
            </w:r>
            <w:r>
              <w:rPr>
                <w:rFonts w:ascii="宋体" w:hAnsi="宋体" w:cs="宋体" w:eastAsia="宋体" w:hint="default"/>
                <w:sz w:val="21"/>
                <w:szCs w:val="21"/>
              </w:rPr>
              <w:t>中介费</w:t>
            </w:r>
          </w:p>
        </w:tc>
        <w:tc>
          <w:tcPr>
            <w:tcW w:w="291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1,132,075.48</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一年内到期保本型理财产品</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310,000,000.00</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一年内到期非保本型理财产品</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227,810,486.11</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537,810,486.11</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1,132,075.48</w:t>
            </w:r>
          </w:p>
        </w:tc>
      </w:tr>
    </w:tbl>
    <w:p>
      <w:pPr>
        <w:spacing w:line="240" w:lineRule="auto" w:before="7"/>
        <w:rPr>
          <w:rFonts w:ascii="宋体" w:hAnsi="宋体" w:cs="宋体" w:eastAsia="宋体" w:hint="default"/>
          <w:sz w:val="15"/>
          <w:szCs w:val="15"/>
        </w:rPr>
      </w:pPr>
    </w:p>
    <w:p>
      <w:pPr>
        <w:pStyle w:val="BodyText"/>
        <w:spacing w:line="272" w:lineRule="exact" w:before="64"/>
        <w:ind w:left="218" w:right="8208"/>
        <w:jc w:val="left"/>
      </w:pPr>
      <w:r>
        <w:rPr/>
        <w:t>其他说明</w:t>
      </w:r>
      <w:r>
        <w:rPr>
          <w:w w:val="100"/>
        </w:rPr>
        <w:t> </w:t>
      </w:r>
      <w:r>
        <w:rPr/>
        <w:t>无</w:t>
      </w:r>
    </w:p>
    <w:p>
      <w:pPr>
        <w:spacing w:line="240" w:lineRule="auto" w:before="4"/>
        <w:rPr>
          <w:rFonts w:ascii="宋体" w:hAnsi="宋体" w:cs="宋体" w:eastAsia="宋体" w:hint="default"/>
          <w:sz w:val="23"/>
          <w:szCs w:val="23"/>
        </w:rPr>
      </w:pPr>
    </w:p>
    <w:p>
      <w:pPr>
        <w:pStyle w:val="Heading2"/>
        <w:spacing w:line="240" w:lineRule="auto"/>
        <w:ind w:right="3084"/>
        <w:jc w:val="left"/>
        <w:rPr>
          <w:b w:val="0"/>
          <w:bCs w:val="0"/>
        </w:rPr>
      </w:pPr>
      <w:r>
        <w:rPr>
          <w:rFonts w:ascii="宋体" w:hAnsi="宋体" w:cs="宋体" w:eastAsia="宋体" w:hint="default"/>
        </w:rPr>
        <w:t>14</w:t>
      </w:r>
      <w:r>
        <w:rPr/>
        <w:t>、</w:t>
      </w:r>
      <w:r>
        <w:rPr>
          <w:spacing w:val="-24"/>
        </w:rPr>
        <w:t> </w:t>
      </w:r>
      <w:r>
        <w:rPr/>
        <w:t>可供出售金融资产</w:t>
      </w:r>
      <w:r>
        <w:rPr>
          <w:b w:val="0"/>
          <w:bCs w:val="0"/>
        </w:rPr>
      </w:r>
    </w:p>
    <w:p>
      <w:pPr>
        <w:pStyle w:val="Heading2"/>
        <w:tabs>
          <w:tab w:pos="861" w:val="left" w:leader="none"/>
        </w:tabs>
        <w:spacing w:line="240" w:lineRule="auto" w:before="56"/>
        <w:ind w:right="3084"/>
        <w:jc w:val="left"/>
        <w:rPr>
          <w:b w:val="0"/>
          <w:bCs w:val="0"/>
        </w:rPr>
      </w:pPr>
      <w:r>
        <w:rPr>
          <w:rFonts w:ascii="宋体" w:hAnsi="宋体" w:cs="宋体" w:eastAsia="宋体" w:hint="default"/>
          <w:w w:val="95"/>
        </w:rPr>
        <w:t>(1).</w:t>
        <w:tab/>
      </w:r>
      <w:r>
        <w:rPr/>
        <w:t>可供出售金融资产情况</w:t>
      </w:r>
      <w:r>
        <w:rPr>
          <w:b w:val="0"/>
          <w:bCs w:val="0"/>
        </w:rPr>
      </w:r>
    </w:p>
    <w:p>
      <w:pPr>
        <w:pStyle w:val="BodyText"/>
        <w:spacing w:line="240" w:lineRule="auto" w:before="59"/>
        <w:ind w:left="218" w:right="3084"/>
        <w:jc w:val="left"/>
      </w:pPr>
      <w:r>
        <w:rPr/>
        <w:t>□适用</w:t>
      </w:r>
      <w:r>
        <w:rPr>
          <w:spacing w:val="-1"/>
        </w:rPr>
        <w:t> </w:t>
      </w:r>
      <w:r>
        <w:rPr/>
        <w:t>√不适用</w:t>
      </w:r>
    </w:p>
    <w:p>
      <w:pPr>
        <w:pStyle w:val="Heading2"/>
        <w:tabs>
          <w:tab w:pos="861" w:val="left" w:leader="none"/>
        </w:tabs>
        <w:spacing w:line="240" w:lineRule="auto" w:before="56"/>
        <w:ind w:right="3084"/>
        <w:jc w:val="left"/>
        <w:rPr>
          <w:b w:val="0"/>
          <w:bCs w:val="0"/>
        </w:rPr>
      </w:pPr>
      <w:r>
        <w:rPr>
          <w:rFonts w:ascii="宋体" w:hAnsi="宋体" w:cs="宋体" w:eastAsia="宋体" w:hint="default"/>
          <w:w w:val="95"/>
        </w:rPr>
        <w:t>(2).</w:t>
        <w:tab/>
      </w:r>
      <w:r>
        <w:rPr/>
        <w:t>期末按公允价值计量的可供出售金融资产</w:t>
      </w:r>
      <w:r>
        <w:rPr>
          <w:b w:val="0"/>
          <w:bCs w:val="0"/>
        </w:rPr>
      </w:r>
    </w:p>
    <w:p>
      <w:pPr>
        <w:pStyle w:val="BodyText"/>
        <w:spacing w:line="240" w:lineRule="auto" w:before="58"/>
        <w:ind w:left="218" w:right="3084"/>
        <w:jc w:val="left"/>
      </w:pPr>
      <w:r>
        <w:rPr/>
        <w:t>□适用</w:t>
      </w:r>
      <w:r>
        <w:rPr>
          <w:spacing w:val="-1"/>
        </w:rPr>
        <w:t> </w:t>
      </w:r>
      <w:r>
        <w:rPr/>
        <w:t>√不适用</w:t>
      </w:r>
    </w:p>
    <w:p>
      <w:pPr>
        <w:pStyle w:val="Heading2"/>
        <w:tabs>
          <w:tab w:pos="861" w:val="left" w:leader="none"/>
        </w:tabs>
        <w:spacing w:line="240" w:lineRule="auto" w:before="56"/>
        <w:ind w:right="3084"/>
        <w:jc w:val="left"/>
        <w:rPr>
          <w:b w:val="0"/>
          <w:bCs w:val="0"/>
        </w:rPr>
      </w:pPr>
      <w:r>
        <w:rPr>
          <w:rFonts w:ascii="宋体" w:hAnsi="宋体" w:cs="宋体" w:eastAsia="宋体" w:hint="default"/>
          <w:w w:val="95"/>
        </w:rPr>
        <w:t>(3).</w:t>
        <w:tab/>
      </w:r>
      <w:r>
        <w:rPr/>
        <w:t>期末按成本计量的可供出售金融资产</w:t>
      </w:r>
      <w:r>
        <w:rPr>
          <w:b w:val="0"/>
          <w:bCs w:val="0"/>
        </w:rPr>
      </w:r>
    </w:p>
    <w:p>
      <w:pPr>
        <w:pStyle w:val="BodyText"/>
        <w:spacing w:line="240" w:lineRule="auto" w:before="58"/>
        <w:ind w:left="218" w:right="3084"/>
        <w:jc w:val="left"/>
      </w:pPr>
      <w:r>
        <w:rPr/>
        <w:t>□适用</w:t>
      </w:r>
      <w:r>
        <w:rPr>
          <w:spacing w:val="-1"/>
        </w:rPr>
        <w:t> </w:t>
      </w:r>
      <w:r>
        <w:rPr/>
        <w:t>√不适用</w:t>
      </w:r>
    </w:p>
    <w:p>
      <w:pPr>
        <w:pStyle w:val="Heading2"/>
        <w:tabs>
          <w:tab w:pos="861" w:val="left" w:leader="none"/>
        </w:tabs>
        <w:spacing w:line="240" w:lineRule="auto" w:before="56"/>
        <w:ind w:right="3084"/>
        <w:jc w:val="left"/>
        <w:rPr>
          <w:b w:val="0"/>
          <w:bCs w:val="0"/>
        </w:rPr>
      </w:pPr>
      <w:r>
        <w:rPr>
          <w:rFonts w:ascii="宋体" w:hAnsi="宋体" w:cs="宋体" w:eastAsia="宋体" w:hint="default"/>
          <w:w w:val="95"/>
        </w:rPr>
        <w:t>(4).</w:t>
        <w:tab/>
      </w:r>
      <w:r>
        <w:rPr/>
        <w:t>报告期内可供出售金融资产减值的变动情况</w:t>
      </w:r>
      <w:r>
        <w:rPr>
          <w:b w:val="0"/>
          <w:bCs w:val="0"/>
        </w:rPr>
      </w:r>
    </w:p>
    <w:p>
      <w:pPr>
        <w:pStyle w:val="BodyText"/>
        <w:spacing w:line="240" w:lineRule="auto" w:before="58"/>
        <w:ind w:left="218" w:right="3084"/>
        <w:jc w:val="left"/>
      </w:pPr>
      <w:r>
        <w:rPr/>
        <w:t>□适用</w:t>
      </w:r>
      <w:r>
        <w:rPr>
          <w:spacing w:val="-1"/>
        </w:rPr>
        <w:t> </w:t>
      </w:r>
      <w:r>
        <w:rPr/>
        <w:t>√不适用</w:t>
      </w:r>
    </w:p>
    <w:p>
      <w:pPr>
        <w:pStyle w:val="Heading2"/>
        <w:tabs>
          <w:tab w:pos="861" w:val="left" w:leader="none"/>
        </w:tabs>
        <w:spacing w:line="240" w:lineRule="auto" w:before="56"/>
        <w:ind w:right="0"/>
        <w:jc w:val="left"/>
        <w:rPr>
          <w:b w:val="0"/>
          <w:bCs w:val="0"/>
        </w:rPr>
      </w:pPr>
      <w:r>
        <w:rPr>
          <w:rFonts w:ascii="宋体" w:hAnsi="宋体" w:cs="宋体" w:eastAsia="宋体" w:hint="default"/>
          <w:w w:val="95"/>
        </w:rPr>
        <w:t>(5).</w:t>
        <w:tab/>
      </w:r>
      <w:r>
        <w:rPr/>
        <w:t>可供出售权益工具期末公允价值严重下跌或非暂时性下跌但未计提减值准备的相关说明：</w:t>
      </w:r>
      <w:r>
        <w:rPr>
          <w:b w:val="0"/>
          <w:bCs w:val="0"/>
        </w:rPr>
      </w:r>
    </w:p>
    <w:p>
      <w:pPr>
        <w:pStyle w:val="BodyText"/>
        <w:spacing w:line="272" w:lineRule="exact" w:before="86"/>
        <w:ind w:left="218" w:right="7474"/>
        <w:jc w:val="left"/>
      </w:pPr>
      <w:r>
        <w:rPr/>
        <w:t>□适用</w:t>
      </w:r>
      <w:r>
        <w:rPr>
          <w:spacing w:val="-1"/>
        </w:rPr>
        <w:t> </w:t>
      </w:r>
      <w:r>
        <w:rPr/>
        <w:t>√不适用</w:t>
      </w:r>
      <w:r>
        <w:rPr>
          <w:w w:val="100"/>
        </w:rPr>
        <w:t> </w:t>
      </w:r>
      <w:r>
        <w:rPr/>
        <w:t>其他说明</w:t>
      </w:r>
    </w:p>
    <w:p>
      <w:pPr>
        <w:pStyle w:val="BodyText"/>
        <w:spacing w:line="249" w:lineRule="exact"/>
        <w:ind w:left="218" w:right="308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ind w:right="6516"/>
        <w:jc w:val="left"/>
        <w:rPr>
          <w:b w:val="0"/>
          <w:bCs w:val="0"/>
        </w:rPr>
      </w:pPr>
      <w:r>
        <w:rPr>
          <w:rFonts w:ascii="宋体" w:hAnsi="宋体" w:cs="宋体" w:eastAsia="宋体" w:hint="default"/>
        </w:rPr>
        <w:t>15</w:t>
      </w:r>
      <w:r>
        <w:rPr/>
        <w:t>、</w:t>
      </w:r>
      <w:r>
        <w:rPr>
          <w:spacing w:val="-25"/>
        </w:rPr>
        <w:t> </w:t>
      </w:r>
      <w:r>
        <w:rPr/>
        <w:t>持有至到期投资</w:t>
      </w:r>
      <w:r>
        <w:rPr>
          <w:w w:val="100"/>
        </w:rPr>
        <w:t> </w:t>
      </w:r>
      <w:r>
        <w:rPr>
          <w:rFonts w:ascii="宋体" w:hAnsi="宋体" w:cs="宋体" w:eastAsia="宋体" w:hint="default"/>
        </w:rPr>
        <w:t>(1).</w:t>
      </w:r>
      <w:r>
        <w:rPr/>
        <w:t>持有至到期投资情况：</w:t>
      </w:r>
      <w:r>
        <w:rPr>
          <w:b w:val="0"/>
          <w:bCs w:val="0"/>
        </w:rPr>
      </w:r>
    </w:p>
    <w:p>
      <w:pPr>
        <w:pStyle w:val="BodyText"/>
        <w:spacing w:line="228" w:lineRule="exact"/>
        <w:ind w:left="218" w:right="3084"/>
        <w:jc w:val="left"/>
      </w:pPr>
      <w:r>
        <w:rPr/>
        <w:t>□适用</w:t>
      </w:r>
      <w:r>
        <w:rPr>
          <w:spacing w:val="-1"/>
        </w:rPr>
        <w:t> </w:t>
      </w:r>
      <w:r>
        <w:rPr/>
        <w:t>√不适用</w:t>
      </w:r>
    </w:p>
    <w:p>
      <w:pPr>
        <w:pStyle w:val="Heading2"/>
        <w:spacing w:line="272" w:lineRule="exact"/>
        <w:ind w:right="3084"/>
        <w:jc w:val="left"/>
        <w:rPr>
          <w:b w:val="0"/>
          <w:bCs w:val="0"/>
        </w:rPr>
      </w:pPr>
      <w:r>
        <w:rPr>
          <w:rFonts w:ascii="宋体" w:hAnsi="宋体" w:cs="宋体" w:eastAsia="宋体" w:hint="default"/>
        </w:rPr>
        <w:t>(2).</w:t>
      </w:r>
      <w:r>
        <w:rPr/>
        <w:t>期末重要的持有至到期投资：</w:t>
      </w:r>
      <w:r>
        <w:rPr>
          <w:b w:val="0"/>
          <w:bCs w:val="0"/>
        </w:rPr>
      </w:r>
    </w:p>
    <w:p>
      <w:pPr>
        <w:spacing w:line="272" w:lineRule="exact" w:before="27"/>
        <w:ind w:left="218" w:right="567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本期重分类的持有至到期投资：</w:t>
      </w:r>
      <w:r>
        <w:rPr>
          <w:rFonts w:ascii="宋体" w:hAnsi="宋体" w:cs="宋体" w:eastAsia="宋体" w:hint="default"/>
          <w:sz w:val="21"/>
          <w:szCs w:val="21"/>
        </w:rPr>
      </w:r>
    </w:p>
    <w:p>
      <w:pPr>
        <w:pStyle w:val="BodyText"/>
        <w:spacing w:line="246" w:lineRule="exact"/>
        <w:ind w:left="218" w:right="3084"/>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left="218" w:right="3084"/>
        <w:jc w:val="left"/>
      </w:pPr>
      <w:r>
        <w:rPr/>
        <w:t>其他说明：</w:t>
      </w:r>
    </w:p>
    <w:p>
      <w:pPr>
        <w:pStyle w:val="BodyText"/>
        <w:spacing w:line="274" w:lineRule="exact"/>
        <w:ind w:left="218" w:right="3084"/>
        <w:jc w:val="left"/>
      </w:pPr>
      <w:r>
        <w:rPr/>
        <w:t>□适用</w:t>
      </w:r>
      <w:r>
        <w:rPr>
          <w:spacing w:val="-1"/>
        </w:rPr>
        <w:t> </w:t>
      </w:r>
      <w:r>
        <w:rPr/>
        <w:t>√不适用</w:t>
      </w:r>
    </w:p>
    <w:p>
      <w:pPr>
        <w:spacing w:after="0" w:line="274" w:lineRule="exact"/>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2"/>
        <w:spacing w:line="240" w:lineRule="auto" w:before="36"/>
        <w:ind w:left="958" w:right="0"/>
        <w:jc w:val="left"/>
        <w:rPr>
          <w:b w:val="0"/>
          <w:bCs w:val="0"/>
        </w:rPr>
      </w:pPr>
      <w:r>
        <w:rPr>
          <w:rFonts w:ascii="宋体" w:hAnsi="宋体" w:cs="宋体" w:eastAsia="宋体" w:hint="default"/>
        </w:rPr>
        <w:t>16</w:t>
      </w:r>
      <w:r>
        <w:rPr/>
        <w:t>、</w:t>
      </w:r>
      <w:r>
        <w:rPr>
          <w:spacing w:val="-25"/>
        </w:rPr>
        <w:t> </w:t>
      </w:r>
      <w:r>
        <w:rPr/>
        <w:t>长期应收款</w:t>
      </w:r>
      <w:r>
        <w:rPr>
          <w:b w:val="0"/>
          <w:bCs w:val="0"/>
        </w:rPr>
      </w:r>
    </w:p>
    <w:p>
      <w:pPr>
        <w:pStyle w:val="Heading2"/>
        <w:spacing w:line="240" w:lineRule="auto" w:before="58"/>
        <w:ind w:left="958" w:right="0"/>
        <w:jc w:val="left"/>
        <w:rPr>
          <w:b w:val="0"/>
          <w:bCs w:val="0"/>
        </w:rPr>
      </w:pPr>
      <w:r>
        <w:rPr>
          <w:rFonts w:ascii="宋体" w:hAnsi="宋体" w:cs="宋体" w:eastAsia="宋体" w:hint="default"/>
        </w:rPr>
        <w:t>(1)</w:t>
      </w:r>
      <w:r>
        <w:rPr>
          <w:rFonts w:ascii="宋体" w:hAnsi="宋体" w:cs="宋体" w:eastAsia="宋体" w:hint="default"/>
          <w:spacing w:val="4"/>
        </w:rPr>
        <w:t> </w:t>
      </w:r>
      <w:r>
        <w:rPr/>
        <w:t>长期应收款情况：</w:t>
      </w:r>
      <w:r>
        <w:rPr>
          <w:b w:val="0"/>
          <w:bCs w:val="0"/>
        </w:rPr>
      </w:r>
    </w:p>
    <w:p>
      <w:pPr>
        <w:pStyle w:val="BodyText"/>
        <w:spacing w:line="240" w:lineRule="auto" w:before="56"/>
        <w:ind w:left="958" w:right="0"/>
        <w:jc w:val="left"/>
      </w:pPr>
      <w:r>
        <w:rPr/>
        <w:t>□适用</w:t>
      </w:r>
      <w:r>
        <w:rPr>
          <w:spacing w:val="-1"/>
        </w:rPr>
        <w:t> </w:t>
      </w:r>
      <w:r>
        <w:rPr/>
        <w:t>√不适用</w:t>
      </w:r>
    </w:p>
    <w:p>
      <w:pPr>
        <w:pStyle w:val="Heading2"/>
        <w:spacing w:line="240" w:lineRule="auto" w:before="58"/>
        <w:ind w:left="958" w:right="0"/>
        <w:jc w:val="left"/>
        <w:rPr>
          <w:b w:val="0"/>
          <w:bCs w:val="0"/>
        </w:rPr>
      </w:pPr>
      <w:r>
        <w:rPr>
          <w:rFonts w:ascii="宋体" w:hAnsi="宋体" w:cs="宋体" w:eastAsia="宋体" w:hint="default"/>
        </w:rPr>
        <w:t>(2)</w:t>
      </w:r>
      <w:r>
        <w:rPr>
          <w:rFonts w:ascii="宋体" w:hAnsi="宋体" w:cs="宋体" w:eastAsia="宋体" w:hint="default"/>
          <w:spacing w:val="2"/>
        </w:rPr>
        <w:t> </w:t>
      </w:r>
      <w:r>
        <w:rPr/>
        <w:t>因金融资产转移而终止确认的长期应收款</w:t>
      </w:r>
      <w:r>
        <w:rPr>
          <w:b w:val="0"/>
          <w:bCs w:val="0"/>
        </w:rPr>
      </w:r>
    </w:p>
    <w:p>
      <w:pPr>
        <w:pStyle w:val="BodyText"/>
        <w:spacing w:line="240" w:lineRule="auto" w:before="56"/>
        <w:ind w:left="95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958" w:right="0"/>
        <w:jc w:val="left"/>
        <w:rPr>
          <w:b w:val="0"/>
          <w:bCs w:val="0"/>
        </w:rPr>
      </w:pPr>
      <w:r>
        <w:rPr>
          <w:rFonts w:ascii="宋体" w:hAnsi="宋体" w:cs="宋体" w:eastAsia="宋体" w:hint="default"/>
        </w:rPr>
        <w:t>(3) </w:t>
      </w:r>
      <w:r>
        <w:rPr/>
        <w:t>转移长期应收款且继续涉入形成的资产、负债金额</w:t>
      </w:r>
      <w:r>
        <w:rPr>
          <w:b w:val="0"/>
          <w:bCs w:val="0"/>
        </w:rPr>
      </w:r>
    </w:p>
    <w:p>
      <w:pPr>
        <w:pStyle w:val="BodyText"/>
        <w:spacing w:line="240" w:lineRule="auto" w:before="58"/>
        <w:ind w:left="958" w:right="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left="958" w:right="0"/>
        <w:jc w:val="left"/>
      </w:pPr>
      <w:r>
        <w:rPr/>
        <w:t>其他说明</w:t>
      </w:r>
    </w:p>
    <w:p>
      <w:pPr>
        <w:pStyle w:val="BodyText"/>
        <w:spacing w:line="273" w:lineRule="exact"/>
        <w:ind w:left="95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958" w:right="0"/>
        <w:jc w:val="left"/>
        <w:rPr>
          <w:b w:val="0"/>
          <w:bCs w:val="0"/>
        </w:rPr>
      </w:pPr>
      <w:r>
        <w:rPr>
          <w:rFonts w:ascii="宋体" w:hAnsi="宋体" w:cs="宋体" w:eastAsia="宋体" w:hint="default"/>
        </w:rPr>
        <w:t>17</w:t>
      </w:r>
      <w:r>
        <w:rPr/>
        <w:t>、</w:t>
      </w:r>
      <w:r>
        <w:rPr>
          <w:spacing w:val="-24"/>
        </w:rPr>
        <w:t> </w:t>
      </w:r>
      <w:r>
        <w:rPr/>
        <w:t>长期股权投资</w:t>
      </w:r>
      <w:r>
        <w:rPr>
          <w:b w:val="0"/>
          <w:bCs w:val="0"/>
        </w:rPr>
      </w:r>
    </w:p>
    <w:p>
      <w:pPr>
        <w:pStyle w:val="BodyText"/>
        <w:spacing w:line="240" w:lineRule="auto" w:before="58"/>
        <w:ind w:left="95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2"/>
        <w:spacing w:line="240" w:lineRule="auto"/>
        <w:ind w:left="958" w:right="0"/>
        <w:jc w:val="left"/>
        <w:rPr>
          <w:b w:val="0"/>
          <w:bCs w:val="0"/>
        </w:rPr>
      </w:pPr>
      <w:r>
        <w:rPr>
          <w:rFonts w:ascii="宋体" w:hAnsi="宋体" w:cs="宋体" w:eastAsia="宋体" w:hint="default"/>
        </w:rPr>
        <w:t>18</w:t>
      </w:r>
      <w:r>
        <w:rPr/>
        <w:t>、</w:t>
      </w:r>
      <w:r>
        <w:rPr>
          <w:spacing w:val="-24"/>
        </w:rPr>
        <w:t> </w:t>
      </w:r>
      <w:r>
        <w:rPr/>
        <w:t>投资性房地产</w:t>
      </w:r>
      <w:r>
        <w:rPr>
          <w:b w:val="0"/>
          <w:bCs w:val="0"/>
        </w:rPr>
      </w:r>
    </w:p>
    <w:p>
      <w:pPr>
        <w:pStyle w:val="BodyText"/>
        <w:spacing w:line="272" w:lineRule="exact" w:before="86"/>
        <w:ind w:left="958" w:right="7118"/>
        <w:jc w:val="left"/>
      </w:pPr>
      <w:r>
        <w:rPr>
          <w:spacing w:val="-2"/>
        </w:rPr>
        <w:t>投资性房地产计量模式</w:t>
      </w:r>
      <w:r>
        <w:rPr>
          <w:spacing w:val="-86"/>
        </w:rPr>
        <w:t> </w:t>
      </w:r>
      <w:r>
        <w:rPr>
          <w:spacing w:val="-86"/>
        </w:rPr>
      </w:r>
      <w:r>
        <w:rPr/>
        <w:t>不适用</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840" w:right="300"/>
        </w:sectPr>
      </w:pPr>
    </w:p>
    <w:p>
      <w:pPr>
        <w:pStyle w:val="Heading2"/>
        <w:spacing w:line="240" w:lineRule="auto" w:before="36"/>
        <w:ind w:left="958" w:right="-19"/>
        <w:jc w:val="left"/>
        <w:rPr>
          <w:b w:val="0"/>
          <w:bCs w:val="0"/>
        </w:rPr>
      </w:pPr>
      <w:r>
        <w:rPr>
          <w:rFonts w:ascii="宋体" w:hAnsi="宋体" w:cs="宋体" w:eastAsia="宋体" w:hint="default"/>
        </w:rPr>
        <w:t>19</w:t>
      </w:r>
      <w:r>
        <w:rPr/>
        <w:t>、</w:t>
      </w:r>
      <w:r>
        <w:rPr>
          <w:spacing w:val="-25"/>
        </w:rPr>
        <w:t> </w:t>
      </w:r>
      <w:r>
        <w:rPr/>
        <w:t>固定资产</w:t>
      </w:r>
      <w:r>
        <w:rPr>
          <w:b w:val="0"/>
          <w:bCs w:val="0"/>
        </w:rPr>
      </w:r>
    </w:p>
    <w:p>
      <w:pPr>
        <w:pStyle w:val="Heading2"/>
        <w:spacing w:line="240" w:lineRule="auto" w:before="56"/>
        <w:ind w:left="958" w:right="-19"/>
        <w:jc w:val="left"/>
        <w:rPr>
          <w:b w:val="0"/>
          <w:bCs w:val="0"/>
        </w:rPr>
      </w:pPr>
      <w:r>
        <w:rPr>
          <w:rFonts w:ascii="宋体" w:hAnsi="宋体" w:cs="宋体" w:eastAsia="宋体" w:hint="default"/>
        </w:rPr>
        <w:t>(1).</w:t>
      </w:r>
      <w:r>
        <w:rPr>
          <w:rFonts w:ascii="宋体" w:hAnsi="宋体" w:cs="宋体" w:eastAsia="宋体" w:hint="default"/>
          <w:spacing w:val="60"/>
        </w:rPr>
        <w:t> </w:t>
      </w:r>
      <w:r>
        <w:rPr/>
        <w:t>固定资产情况</w:t>
      </w:r>
      <w:r>
        <w:rPr>
          <w:b w:val="0"/>
          <w:bCs w:val="0"/>
        </w:rPr>
      </w:r>
    </w:p>
    <w:p>
      <w:pPr>
        <w:pStyle w:val="BodyText"/>
        <w:spacing w:line="240" w:lineRule="auto" w:before="58"/>
        <w:ind w:left="95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2009" w:val="left" w:leader="none"/>
        </w:tabs>
        <w:spacing w:line="240" w:lineRule="auto"/>
        <w:ind w:left="958" w:right="0"/>
        <w:jc w:val="left"/>
      </w:pPr>
      <w:r>
        <w:rPr>
          <w:spacing w:val="-1"/>
        </w:rPr>
        <w:t>单位：元</w:t>
        <w:tab/>
      </w:r>
      <w:r>
        <w:rPr>
          <w:spacing w:val="-2"/>
        </w:rPr>
        <w:t>币种：人民币</w:t>
      </w:r>
    </w:p>
    <w:p>
      <w:pPr>
        <w:spacing w:after="0" w:line="240" w:lineRule="auto"/>
        <w:jc w:val="left"/>
        <w:sectPr>
          <w:type w:val="continuous"/>
          <w:pgSz w:w="11910" w:h="16840"/>
          <w:pgMar w:top="1120" w:bottom="1380" w:left="840" w:right="300"/>
          <w:cols w:num="2" w:equalWidth="0">
            <w:col w:w="2814" w:space="3708"/>
            <w:col w:w="424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448"/>
        <w:gridCol w:w="1390"/>
        <w:gridCol w:w="1277"/>
        <w:gridCol w:w="1274"/>
        <w:gridCol w:w="1277"/>
        <w:gridCol w:w="1275"/>
        <w:gridCol w:w="1277"/>
        <w:gridCol w:w="1323"/>
      </w:tblGrid>
      <w:tr>
        <w:trPr>
          <w:trHeight w:val="269"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4"/>
              <w:jc w:val="center"/>
              <w:rPr>
                <w:rFonts w:ascii="宋体" w:hAnsi="宋体" w:cs="宋体" w:eastAsia="宋体" w:hint="default"/>
                <w:sz w:val="20"/>
                <w:szCs w:val="20"/>
              </w:rPr>
            </w:pPr>
            <w:r>
              <w:rPr>
                <w:rFonts w:ascii="宋体" w:hAnsi="宋体" w:cs="宋体" w:eastAsia="宋体" w:hint="default"/>
                <w:sz w:val="20"/>
                <w:szCs w:val="20"/>
              </w:rPr>
              <w:t>项目</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1"/>
              <w:jc w:val="right"/>
              <w:rPr>
                <w:rFonts w:ascii="宋体" w:hAnsi="宋体" w:cs="宋体" w:eastAsia="宋体" w:hint="default"/>
                <w:sz w:val="20"/>
                <w:szCs w:val="20"/>
              </w:rPr>
            </w:pPr>
            <w:r>
              <w:rPr>
                <w:rFonts w:ascii="宋体" w:hAnsi="宋体" w:cs="宋体" w:eastAsia="宋体" w:hint="default"/>
                <w:w w:val="95"/>
                <w:sz w:val="20"/>
                <w:szCs w:val="20"/>
              </w:rPr>
              <w:t>房屋及建筑物</w:t>
            </w:r>
            <w:r>
              <w:rPr>
                <w:rFonts w:ascii="宋体" w:hAnsi="宋体" w:cs="宋体" w:eastAsia="宋体" w:hint="default"/>
                <w:sz w:val="20"/>
                <w:szCs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3" w:right="0"/>
              <w:jc w:val="left"/>
              <w:rPr>
                <w:rFonts w:ascii="宋体" w:hAnsi="宋体" w:cs="宋体" w:eastAsia="宋体" w:hint="default"/>
                <w:sz w:val="20"/>
                <w:szCs w:val="20"/>
              </w:rPr>
            </w:pPr>
            <w:r>
              <w:rPr>
                <w:rFonts w:ascii="宋体" w:hAnsi="宋体" w:cs="宋体" w:eastAsia="宋体" w:hint="default"/>
                <w:sz w:val="20"/>
                <w:szCs w:val="20"/>
              </w:rPr>
              <w:t>运输设备</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0" w:right="0"/>
              <w:jc w:val="left"/>
              <w:rPr>
                <w:rFonts w:ascii="宋体" w:hAnsi="宋体" w:cs="宋体" w:eastAsia="宋体" w:hint="default"/>
                <w:sz w:val="20"/>
                <w:szCs w:val="20"/>
              </w:rPr>
            </w:pPr>
            <w:r>
              <w:rPr>
                <w:rFonts w:ascii="宋体" w:hAnsi="宋体" w:cs="宋体" w:eastAsia="宋体" w:hint="default"/>
                <w:sz w:val="20"/>
                <w:szCs w:val="20"/>
              </w:rPr>
              <w:t>电子设备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3"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2" w:right="0"/>
              <w:jc w:val="left"/>
              <w:rPr>
                <w:rFonts w:ascii="宋体" w:hAnsi="宋体" w:cs="宋体" w:eastAsia="宋体" w:hint="default"/>
                <w:sz w:val="20"/>
                <w:szCs w:val="20"/>
              </w:rPr>
            </w:pPr>
            <w:r>
              <w:rPr>
                <w:rFonts w:ascii="宋体" w:hAnsi="宋体" w:cs="宋体" w:eastAsia="宋体" w:hint="default"/>
                <w:sz w:val="20"/>
                <w:szCs w:val="20"/>
              </w:rPr>
              <w:t>运营设备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合计</w:t>
            </w:r>
          </w:p>
        </w:tc>
      </w:tr>
      <w:tr>
        <w:trPr>
          <w:trHeight w:val="269"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4" w:right="0"/>
              <w:jc w:val="left"/>
              <w:rPr>
                <w:rFonts w:ascii="宋体" w:hAnsi="宋体" w:cs="宋体" w:eastAsia="宋体" w:hint="default"/>
                <w:sz w:val="20"/>
                <w:szCs w:val="20"/>
              </w:rPr>
            </w:pPr>
            <w:r>
              <w:rPr>
                <w:rFonts w:ascii="宋体" w:hAnsi="宋体" w:cs="宋体" w:eastAsia="宋体" w:hint="default"/>
                <w:sz w:val="20"/>
                <w:szCs w:val="20"/>
              </w:rPr>
              <w:t>一、账面原值：</w:t>
            </w:r>
          </w:p>
        </w:tc>
        <w:tc>
          <w:tcPr>
            <w:tcW w:w="139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25"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期初余</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额</w:t>
            </w:r>
            <w:r>
              <w:rPr>
                <w:rFonts w:ascii="宋体" w:hAnsi="宋体" w:cs="宋体" w:eastAsia="宋体" w:hint="default"/>
                <w:sz w:val="20"/>
                <w:szCs w:val="20"/>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4"/>
              <w:jc w:val="right"/>
              <w:rPr>
                <w:rFonts w:ascii="宋体" w:hAnsi="宋体" w:cs="宋体" w:eastAsia="宋体" w:hint="default"/>
                <w:sz w:val="18"/>
                <w:szCs w:val="18"/>
              </w:rPr>
            </w:pPr>
            <w:r>
              <w:rPr>
                <w:rFonts w:ascii="宋体"/>
                <w:spacing w:val="-1"/>
                <w:sz w:val="18"/>
              </w:rPr>
              <w:t>188,434,339.00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4"/>
              <w:jc w:val="right"/>
              <w:rPr>
                <w:rFonts w:ascii="宋体" w:hAnsi="宋体" w:cs="宋体" w:eastAsia="宋体" w:hint="default"/>
                <w:sz w:val="18"/>
                <w:szCs w:val="18"/>
              </w:rPr>
            </w:pPr>
            <w:r>
              <w:rPr>
                <w:rFonts w:ascii="宋体"/>
                <w:spacing w:val="-1"/>
                <w:sz w:val="18"/>
              </w:rPr>
              <w:t>5,173,069.42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4"/>
              <w:jc w:val="right"/>
              <w:rPr>
                <w:rFonts w:ascii="宋体" w:hAnsi="宋体" w:cs="宋体" w:eastAsia="宋体" w:hint="default"/>
                <w:sz w:val="18"/>
                <w:szCs w:val="18"/>
              </w:rPr>
            </w:pPr>
            <w:r>
              <w:rPr>
                <w:rFonts w:ascii="宋体"/>
                <w:spacing w:val="-1"/>
                <w:sz w:val="18"/>
              </w:rPr>
              <w:t>2,536,190.94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4"/>
              <w:jc w:val="right"/>
              <w:rPr>
                <w:rFonts w:ascii="宋体" w:hAnsi="宋体" w:cs="宋体" w:eastAsia="宋体" w:hint="default"/>
                <w:sz w:val="18"/>
                <w:szCs w:val="18"/>
              </w:rPr>
            </w:pPr>
            <w:r>
              <w:rPr>
                <w:rFonts w:ascii="宋体"/>
                <w:spacing w:val="-1"/>
                <w:sz w:val="18"/>
              </w:rPr>
              <w:t>2,498,863.52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2"/>
              <w:jc w:val="right"/>
              <w:rPr>
                <w:rFonts w:ascii="宋体" w:hAnsi="宋体" w:cs="宋体" w:eastAsia="宋体" w:hint="default"/>
                <w:sz w:val="18"/>
                <w:szCs w:val="18"/>
              </w:rPr>
            </w:pPr>
            <w:r>
              <w:rPr>
                <w:rFonts w:ascii="宋体"/>
                <w:spacing w:val="-1"/>
                <w:sz w:val="18"/>
              </w:rPr>
              <w:t>13,852,905.72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宋体" w:hAnsi="宋体" w:cs="宋体" w:eastAsia="宋体" w:hint="default"/>
                <w:sz w:val="18"/>
                <w:szCs w:val="18"/>
              </w:rPr>
            </w:pPr>
            <w:r>
              <w:rPr>
                <w:rFonts w:ascii="宋体"/>
                <w:spacing w:val="-1"/>
                <w:sz w:val="18"/>
              </w:rPr>
              <w:t>3,337,413.50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4"/>
              <w:jc w:val="right"/>
              <w:rPr>
                <w:rFonts w:ascii="宋体" w:hAnsi="宋体" w:cs="宋体" w:eastAsia="宋体" w:hint="default"/>
                <w:sz w:val="18"/>
                <w:szCs w:val="18"/>
              </w:rPr>
            </w:pPr>
            <w:r>
              <w:rPr>
                <w:rFonts w:ascii="宋体"/>
                <w:spacing w:val="-1"/>
                <w:sz w:val="18"/>
              </w:rPr>
              <w:t>215,832,782.10</w:t>
            </w:r>
          </w:p>
        </w:tc>
      </w:tr>
      <w:tr>
        <w:trPr>
          <w:trHeight w:val="52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25"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本期增</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加金额</w:t>
            </w:r>
          </w:p>
        </w:tc>
        <w:tc>
          <w:tcPr>
            <w:tcW w:w="139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4"/>
              <w:jc w:val="right"/>
              <w:rPr>
                <w:rFonts w:ascii="宋体" w:hAnsi="宋体" w:cs="宋体" w:eastAsia="宋体" w:hint="default"/>
                <w:sz w:val="18"/>
                <w:szCs w:val="18"/>
              </w:rPr>
            </w:pPr>
            <w:r>
              <w:rPr>
                <w:rFonts w:ascii="宋体"/>
                <w:spacing w:val="-1"/>
                <w:sz w:val="18"/>
              </w:rPr>
              <w:t>275,156.45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3"/>
              <w:jc w:val="right"/>
              <w:rPr>
                <w:rFonts w:ascii="宋体" w:hAnsi="宋体" w:cs="宋体" w:eastAsia="宋体" w:hint="default"/>
                <w:sz w:val="18"/>
                <w:szCs w:val="18"/>
              </w:rPr>
            </w:pPr>
            <w:r>
              <w:rPr>
                <w:rFonts w:ascii="宋体"/>
                <w:spacing w:val="-1"/>
                <w:sz w:val="18"/>
              </w:rPr>
              <w:t>14,273.50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2"/>
              <w:jc w:val="right"/>
              <w:rPr>
                <w:rFonts w:ascii="宋体" w:hAnsi="宋体" w:cs="宋体" w:eastAsia="宋体" w:hint="default"/>
                <w:sz w:val="18"/>
                <w:szCs w:val="18"/>
              </w:rPr>
            </w:pPr>
            <w:r>
              <w:rPr>
                <w:rFonts w:ascii="宋体"/>
                <w:spacing w:val="-1"/>
                <w:sz w:val="18"/>
              </w:rPr>
              <w:t>5,480,324.57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4"/>
              <w:jc w:val="right"/>
              <w:rPr>
                <w:rFonts w:ascii="宋体" w:hAnsi="宋体" w:cs="宋体" w:eastAsia="宋体" w:hint="default"/>
                <w:sz w:val="18"/>
                <w:szCs w:val="18"/>
              </w:rPr>
            </w:pPr>
            <w:r>
              <w:rPr>
                <w:rFonts w:ascii="宋体"/>
                <w:spacing w:val="-1"/>
                <w:sz w:val="18"/>
              </w:rPr>
              <w:t>5,769,754.52</w:t>
            </w:r>
          </w:p>
        </w:tc>
      </w:tr>
      <w:tr>
        <w:trPr>
          <w:trHeight w:val="52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624"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1</w:t>
            </w:r>
            <w:r>
              <w:rPr>
                <w:rFonts w:ascii="宋体" w:hAnsi="宋体" w:cs="宋体" w:eastAsia="宋体" w:hint="default"/>
                <w:sz w:val="20"/>
                <w:szCs w:val="20"/>
              </w:rPr>
              <w:t>）购</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置</w:t>
            </w:r>
            <w:r>
              <w:rPr>
                <w:rFonts w:ascii="宋体" w:hAnsi="宋体" w:cs="宋体" w:eastAsia="宋体" w:hint="default"/>
                <w:sz w:val="20"/>
                <w:szCs w:val="20"/>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4"/>
              <w:jc w:val="right"/>
              <w:rPr>
                <w:rFonts w:ascii="宋体" w:hAnsi="宋体" w:cs="宋体" w:eastAsia="宋体" w:hint="default"/>
                <w:sz w:val="18"/>
                <w:szCs w:val="18"/>
              </w:rPr>
            </w:pPr>
            <w:r>
              <w:rPr>
                <w:rFonts w:ascii="宋体"/>
                <w:spacing w:val="-1"/>
                <w:sz w:val="18"/>
              </w:rPr>
              <w:t>275,156.45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3"/>
              <w:jc w:val="right"/>
              <w:rPr>
                <w:rFonts w:ascii="宋体" w:hAnsi="宋体" w:cs="宋体" w:eastAsia="宋体" w:hint="default"/>
                <w:sz w:val="18"/>
                <w:szCs w:val="18"/>
              </w:rPr>
            </w:pPr>
            <w:r>
              <w:rPr>
                <w:rFonts w:ascii="宋体"/>
                <w:spacing w:val="-1"/>
                <w:sz w:val="18"/>
              </w:rPr>
              <w:t>14,273.50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4"/>
              <w:jc w:val="right"/>
              <w:rPr>
                <w:rFonts w:ascii="宋体" w:hAnsi="宋体" w:cs="宋体" w:eastAsia="宋体" w:hint="default"/>
                <w:sz w:val="18"/>
                <w:szCs w:val="18"/>
              </w:rPr>
            </w:pPr>
            <w:r>
              <w:rPr>
                <w:rFonts w:ascii="宋体"/>
                <w:spacing w:val="-1"/>
                <w:sz w:val="18"/>
              </w:rPr>
              <w:t>289,429.95</w:t>
            </w:r>
          </w:p>
        </w:tc>
      </w:tr>
      <w:tr>
        <w:trPr>
          <w:trHeight w:val="53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24"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2</w:t>
            </w:r>
            <w:r>
              <w:rPr>
                <w:rFonts w:ascii="宋体" w:hAnsi="宋体" w:cs="宋体" w:eastAsia="宋体" w:hint="default"/>
                <w:sz w:val="20"/>
                <w:szCs w:val="20"/>
              </w:rPr>
              <w:t>）在</w:t>
            </w:r>
          </w:p>
          <w:p>
            <w:pPr>
              <w:pStyle w:val="TableParagraph"/>
              <w:spacing w:line="240" w:lineRule="auto"/>
              <w:ind w:left="24" w:right="0"/>
              <w:jc w:val="left"/>
              <w:rPr>
                <w:rFonts w:ascii="宋体" w:hAnsi="宋体" w:cs="宋体" w:eastAsia="宋体" w:hint="default"/>
                <w:sz w:val="20"/>
                <w:szCs w:val="20"/>
              </w:rPr>
            </w:pPr>
            <w:r>
              <w:rPr>
                <w:rFonts w:ascii="宋体" w:hAnsi="宋体" w:cs="宋体" w:eastAsia="宋体" w:hint="default"/>
                <w:sz w:val="20"/>
                <w:szCs w:val="20"/>
              </w:rPr>
              <w:t>建工程转入</w:t>
            </w:r>
          </w:p>
        </w:tc>
        <w:tc>
          <w:tcPr>
            <w:tcW w:w="139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624"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3</w:t>
            </w:r>
            <w:r>
              <w:rPr>
                <w:rFonts w:ascii="宋体" w:hAnsi="宋体" w:cs="宋体" w:eastAsia="宋体" w:hint="default"/>
                <w:sz w:val="20"/>
                <w:szCs w:val="20"/>
              </w:rPr>
              <w:t>）企</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业合并增加</w:t>
            </w:r>
          </w:p>
        </w:tc>
        <w:tc>
          <w:tcPr>
            <w:tcW w:w="139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624"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4</w:t>
            </w:r>
            <w:r>
              <w:rPr>
                <w:rFonts w:ascii="宋体" w:hAnsi="宋体" w:cs="宋体" w:eastAsia="宋体" w:hint="default"/>
                <w:sz w:val="20"/>
                <w:szCs w:val="20"/>
              </w:rPr>
              <w:t>）从</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库存商品转入</w:t>
            </w:r>
          </w:p>
        </w:tc>
        <w:tc>
          <w:tcPr>
            <w:tcW w:w="139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2"/>
              <w:jc w:val="right"/>
              <w:rPr>
                <w:rFonts w:ascii="宋体" w:hAnsi="宋体" w:cs="宋体" w:eastAsia="宋体" w:hint="default"/>
                <w:sz w:val="18"/>
                <w:szCs w:val="18"/>
              </w:rPr>
            </w:pPr>
            <w:r>
              <w:rPr>
                <w:rFonts w:ascii="宋体"/>
                <w:spacing w:val="-1"/>
                <w:sz w:val="18"/>
              </w:rPr>
              <w:t>5,480,324.57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4"/>
              <w:jc w:val="right"/>
              <w:rPr>
                <w:rFonts w:ascii="宋体" w:hAnsi="宋体" w:cs="宋体" w:eastAsia="宋体" w:hint="default"/>
                <w:sz w:val="18"/>
                <w:szCs w:val="18"/>
              </w:rPr>
            </w:pPr>
            <w:r>
              <w:rPr>
                <w:rFonts w:ascii="宋体"/>
                <w:spacing w:val="-1"/>
                <w:sz w:val="18"/>
              </w:rPr>
              <w:t>5,480,324.57</w:t>
            </w:r>
          </w:p>
        </w:tc>
      </w:tr>
      <w:tr>
        <w:trPr>
          <w:trHeight w:val="530"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523"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本期减</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少金额</w:t>
            </w:r>
          </w:p>
        </w:tc>
        <w:tc>
          <w:tcPr>
            <w:tcW w:w="139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624"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1</w:t>
            </w:r>
            <w:r>
              <w:rPr>
                <w:rFonts w:ascii="宋体" w:hAnsi="宋体" w:cs="宋体" w:eastAsia="宋体" w:hint="default"/>
                <w:sz w:val="20"/>
                <w:szCs w:val="20"/>
              </w:rPr>
              <w:t>）处</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置或报废</w:t>
            </w:r>
          </w:p>
        </w:tc>
        <w:tc>
          <w:tcPr>
            <w:tcW w:w="139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25" w:right="0"/>
              <w:jc w:val="left"/>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z w:val="20"/>
                <w:szCs w:val="20"/>
              </w:rPr>
              <w:t>期末余</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额</w:t>
            </w:r>
            <w:r>
              <w:rPr>
                <w:rFonts w:ascii="宋体" w:hAnsi="宋体" w:cs="宋体" w:eastAsia="宋体" w:hint="default"/>
                <w:sz w:val="20"/>
                <w:szCs w:val="20"/>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4"/>
              <w:jc w:val="right"/>
              <w:rPr>
                <w:rFonts w:ascii="宋体" w:hAnsi="宋体" w:cs="宋体" w:eastAsia="宋体" w:hint="default"/>
                <w:sz w:val="18"/>
                <w:szCs w:val="18"/>
              </w:rPr>
            </w:pPr>
            <w:r>
              <w:rPr>
                <w:rFonts w:ascii="宋体"/>
                <w:spacing w:val="-1"/>
                <w:sz w:val="18"/>
              </w:rPr>
              <w:t>188,434,339.00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4"/>
              <w:jc w:val="right"/>
              <w:rPr>
                <w:rFonts w:ascii="宋体" w:hAnsi="宋体" w:cs="宋体" w:eastAsia="宋体" w:hint="default"/>
                <w:sz w:val="18"/>
                <w:szCs w:val="18"/>
              </w:rPr>
            </w:pPr>
            <w:r>
              <w:rPr>
                <w:rFonts w:ascii="宋体"/>
                <w:spacing w:val="-1"/>
                <w:sz w:val="18"/>
              </w:rPr>
              <w:t>5,173,069.42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4"/>
              <w:jc w:val="right"/>
              <w:rPr>
                <w:rFonts w:ascii="宋体" w:hAnsi="宋体" w:cs="宋体" w:eastAsia="宋体" w:hint="default"/>
                <w:sz w:val="18"/>
                <w:szCs w:val="18"/>
              </w:rPr>
            </w:pPr>
            <w:r>
              <w:rPr>
                <w:rFonts w:ascii="宋体"/>
                <w:spacing w:val="-1"/>
                <w:sz w:val="18"/>
              </w:rPr>
              <w:t>2,811,347.39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4"/>
              <w:jc w:val="right"/>
              <w:rPr>
                <w:rFonts w:ascii="宋体" w:hAnsi="宋体" w:cs="宋体" w:eastAsia="宋体" w:hint="default"/>
                <w:sz w:val="18"/>
                <w:szCs w:val="18"/>
              </w:rPr>
            </w:pPr>
            <w:r>
              <w:rPr>
                <w:rFonts w:ascii="宋体"/>
                <w:spacing w:val="-1"/>
                <w:sz w:val="18"/>
              </w:rPr>
              <w:t>2,513,137.02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2"/>
              <w:jc w:val="right"/>
              <w:rPr>
                <w:rFonts w:ascii="宋体" w:hAnsi="宋体" w:cs="宋体" w:eastAsia="宋体" w:hint="default"/>
                <w:sz w:val="18"/>
                <w:szCs w:val="18"/>
              </w:rPr>
            </w:pPr>
            <w:r>
              <w:rPr>
                <w:rFonts w:ascii="宋体"/>
                <w:spacing w:val="-1"/>
                <w:sz w:val="18"/>
              </w:rPr>
              <w:t>19,333,230.29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宋体" w:hAnsi="宋体" w:cs="宋体" w:eastAsia="宋体" w:hint="default"/>
                <w:sz w:val="18"/>
                <w:szCs w:val="18"/>
              </w:rPr>
            </w:pPr>
            <w:r>
              <w:rPr>
                <w:rFonts w:ascii="宋体"/>
                <w:spacing w:val="-1"/>
                <w:sz w:val="18"/>
              </w:rPr>
              <w:t>3,337,413.50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4"/>
              <w:jc w:val="right"/>
              <w:rPr>
                <w:rFonts w:ascii="宋体" w:hAnsi="宋体" w:cs="宋体" w:eastAsia="宋体" w:hint="default"/>
                <w:sz w:val="18"/>
                <w:szCs w:val="18"/>
              </w:rPr>
            </w:pPr>
            <w:r>
              <w:rPr>
                <w:rFonts w:ascii="宋体"/>
                <w:spacing w:val="-1"/>
                <w:sz w:val="18"/>
              </w:rPr>
              <w:t>221,602,536.62</w:t>
            </w:r>
          </w:p>
        </w:tc>
      </w:tr>
      <w:tr>
        <w:trPr>
          <w:trHeight w:val="269"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4" w:right="0"/>
              <w:jc w:val="left"/>
              <w:rPr>
                <w:rFonts w:ascii="宋体" w:hAnsi="宋体" w:cs="宋体" w:eastAsia="宋体" w:hint="default"/>
                <w:sz w:val="20"/>
                <w:szCs w:val="20"/>
              </w:rPr>
            </w:pPr>
            <w:r>
              <w:rPr>
                <w:rFonts w:ascii="宋体" w:hAnsi="宋体" w:cs="宋体" w:eastAsia="宋体" w:hint="default"/>
                <w:sz w:val="20"/>
                <w:szCs w:val="20"/>
              </w:rPr>
              <w:t>二、累计折旧</w:t>
            </w:r>
          </w:p>
        </w:tc>
        <w:tc>
          <w:tcPr>
            <w:tcW w:w="139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r>
      <w:tr>
        <w:trPr>
          <w:trHeight w:val="53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25"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期初余</w:t>
            </w:r>
          </w:p>
          <w:p>
            <w:pPr>
              <w:pStyle w:val="TableParagraph"/>
              <w:spacing w:line="261"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额</w:t>
            </w:r>
            <w:r>
              <w:rPr>
                <w:rFonts w:ascii="宋体" w:hAnsi="宋体" w:cs="宋体" w:eastAsia="宋体" w:hint="default"/>
                <w:sz w:val="20"/>
                <w:szCs w:val="20"/>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4"/>
              <w:jc w:val="right"/>
              <w:rPr>
                <w:rFonts w:ascii="宋体" w:hAnsi="宋体" w:cs="宋体" w:eastAsia="宋体" w:hint="default"/>
                <w:sz w:val="18"/>
                <w:szCs w:val="18"/>
              </w:rPr>
            </w:pPr>
            <w:r>
              <w:rPr>
                <w:rFonts w:ascii="宋体"/>
                <w:spacing w:val="-1"/>
                <w:sz w:val="18"/>
              </w:rPr>
              <w:t>31,713,441.00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4"/>
              <w:jc w:val="right"/>
              <w:rPr>
                <w:rFonts w:ascii="宋体" w:hAnsi="宋体" w:cs="宋体" w:eastAsia="宋体" w:hint="default"/>
                <w:sz w:val="18"/>
                <w:szCs w:val="18"/>
              </w:rPr>
            </w:pPr>
            <w:r>
              <w:rPr>
                <w:rFonts w:ascii="宋体"/>
                <w:spacing w:val="-1"/>
                <w:sz w:val="18"/>
              </w:rPr>
              <w:t>3,017,692.44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4"/>
              <w:jc w:val="right"/>
              <w:rPr>
                <w:rFonts w:ascii="宋体" w:hAnsi="宋体" w:cs="宋体" w:eastAsia="宋体" w:hint="default"/>
                <w:sz w:val="18"/>
                <w:szCs w:val="18"/>
              </w:rPr>
            </w:pPr>
            <w:r>
              <w:rPr>
                <w:rFonts w:ascii="宋体"/>
                <w:spacing w:val="-1"/>
                <w:sz w:val="18"/>
              </w:rPr>
              <w:t>1,525,797.51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4"/>
              <w:jc w:val="right"/>
              <w:rPr>
                <w:rFonts w:ascii="宋体" w:hAnsi="宋体" w:cs="宋体" w:eastAsia="宋体" w:hint="default"/>
                <w:sz w:val="18"/>
                <w:szCs w:val="18"/>
              </w:rPr>
            </w:pPr>
            <w:r>
              <w:rPr>
                <w:rFonts w:ascii="宋体"/>
                <w:spacing w:val="-1"/>
                <w:sz w:val="18"/>
              </w:rPr>
              <w:t>1,267,361.02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宋体" w:hAnsi="宋体" w:cs="宋体" w:eastAsia="宋体" w:hint="default"/>
                <w:sz w:val="18"/>
                <w:szCs w:val="18"/>
              </w:rPr>
            </w:pPr>
            <w:r>
              <w:rPr>
                <w:rFonts w:ascii="宋体"/>
                <w:spacing w:val="-1"/>
                <w:sz w:val="18"/>
              </w:rPr>
              <w:t>7,469,302.90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宋体" w:hAnsi="宋体" w:cs="宋体" w:eastAsia="宋体" w:hint="default"/>
                <w:sz w:val="18"/>
                <w:szCs w:val="18"/>
              </w:rPr>
            </w:pPr>
            <w:r>
              <w:rPr>
                <w:rFonts w:ascii="宋体"/>
                <w:spacing w:val="-1"/>
                <w:sz w:val="18"/>
              </w:rPr>
              <w:t>3,157,033.57</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4"/>
              <w:jc w:val="right"/>
              <w:rPr>
                <w:rFonts w:ascii="宋体" w:hAnsi="宋体" w:cs="宋体" w:eastAsia="宋体" w:hint="default"/>
                <w:sz w:val="18"/>
                <w:szCs w:val="18"/>
              </w:rPr>
            </w:pPr>
            <w:r>
              <w:rPr>
                <w:rFonts w:ascii="宋体"/>
                <w:spacing w:val="-1"/>
                <w:sz w:val="18"/>
              </w:rPr>
              <w:t>48,150,628.44</w:t>
            </w:r>
          </w:p>
        </w:tc>
      </w:tr>
      <w:tr>
        <w:trPr>
          <w:trHeight w:val="269"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25"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本期增</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24"/>
              <w:jc w:val="right"/>
              <w:rPr>
                <w:rFonts w:ascii="宋体" w:hAnsi="宋体" w:cs="宋体" w:eastAsia="宋体" w:hint="default"/>
                <w:sz w:val="18"/>
                <w:szCs w:val="18"/>
              </w:rPr>
            </w:pPr>
            <w:r>
              <w:rPr>
                <w:rFonts w:ascii="宋体"/>
                <w:spacing w:val="-1"/>
                <w:sz w:val="18"/>
              </w:rPr>
              <w:t>6,342,688.56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24"/>
              <w:jc w:val="right"/>
              <w:rPr>
                <w:rFonts w:ascii="宋体" w:hAnsi="宋体" w:cs="宋体" w:eastAsia="宋体" w:hint="default"/>
                <w:sz w:val="18"/>
                <w:szCs w:val="18"/>
              </w:rPr>
            </w:pPr>
            <w:r>
              <w:rPr>
                <w:rFonts w:ascii="宋体"/>
                <w:spacing w:val="-1"/>
                <w:sz w:val="18"/>
              </w:rPr>
              <w:t>787,521.54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24"/>
              <w:jc w:val="right"/>
              <w:rPr>
                <w:rFonts w:ascii="宋体" w:hAnsi="宋体" w:cs="宋体" w:eastAsia="宋体" w:hint="default"/>
                <w:sz w:val="18"/>
                <w:szCs w:val="18"/>
              </w:rPr>
            </w:pPr>
            <w:r>
              <w:rPr>
                <w:rFonts w:ascii="宋体"/>
                <w:spacing w:val="-1"/>
                <w:sz w:val="18"/>
              </w:rPr>
              <w:t>265,379.47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24"/>
              <w:jc w:val="right"/>
              <w:rPr>
                <w:rFonts w:ascii="宋体" w:hAnsi="宋体" w:cs="宋体" w:eastAsia="宋体" w:hint="default"/>
                <w:sz w:val="18"/>
                <w:szCs w:val="18"/>
              </w:rPr>
            </w:pPr>
            <w:r>
              <w:rPr>
                <w:rFonts w:ascii="宋体"/>
                <w:spacing w:val="-1"/>
                <w:sz w:val="18"/>
              </w:rPr>
              <w:t>225,368.70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22"/>
              <w:jc w:val="right"/>
              <w:rPr>
                <w:rFonts w:ascii="宋体" w:hAnsi="宋体" w:cs="宋体" w:eastAsia="宋体" w:hint="default"/>
                <w:sz w:val="18"/>
                <w:szCs w:val="18"/>
              </w:rPr>
            </w:pPr>
            <w:r>
              <w:rPr>
                <w:rFonts w:ascii="宋体"/>
                <w:spacing w:val="-1"/>
                <w:sz w:val="18"/>
              </w:rPr>
              <w:t>2,693,337.13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21"/>
              <w:jc w:val="right"/>
              <w:rPr>
                <w:rFonts w:ascii="宋体" w:hAnsi="宋体" w:cs="宋体" w:eastAsia="宋体" w:hint="default"/>
                <w:sz w:val="18"/>
                <w:szCs w:val="18"/>
              </w:rPr>
            </w:pPr>
            <w:r>
              <w:rPr>
                <w:rFonts w:ascii="宋体"/>
                <w:spacing w:val="-1"/>
                <w:sz w:val="18"/>
              </w:rPr>
              <w:t>11,489.43</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24"/>
              <w:jc w:val="right"/>
              <w:rPr>
                <w:rFonts w:ascii="宋体" w:hAnsi="宋体" w:cs="宋体" w:eastAsia="宋体" w:hint="default"/>
                <w:sz w:val="18"/>
                <w:szCs w:val="18"/>
              </w:rPr>
            </w:pPr>
            <w:r>
              <w:rPr>
                <w:rFonts w:ascii="宋体"/>
                <w:spacing w:val="-1"/>
                <w:sz w:val="18"/>
              </w:rPr>
              <w:t>10,325,784.83</w:t>
            </w:r>
          </w:p>
        </w:tc>
      </w:tr>
    </w:tbl>
    <w:p>
      <w:pPr>
        <w:spacing w:after="0" w:line="217" w:lineRule="exact"/>
        <w:jc w:val="right"/>
        <w:rPr>
          <w:rFonts w:ascii="宋体" w:hAnsi="宋体" w:cs="宋体" w:eastAsia="宋体" w:hint="default"/>
          <w:sz w:val="18"/>
          <w:szCs w:val="18"/>
        </w:rPr>
        <w:sectPr>
          <w:type w:val="continuous"/>
          <w:pgSz w:w="11910" w:h="16840"/>
          <w:pgMar w:top="1120" w:bottom="1380" w:left="840" w:right="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1448"/>
        <w:gridCol w:w="1390"/>
        <w:gridCol w:w="1277"/>
        <w:gridCol w:w="1274"/>
        <w:gridCol w:w="1277"/>
        <w:gridCol w:w="1275"/>
        <w:gridCol w:w="1277"/>
        <w:gridCol w:w="1323"/>
      </w:tblGrid>
      <w:tr>
        <w:trPr>
          <w:trHeight w:val="27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4" w:right="0"/>
              <w:jc w:val="left"/>
              <w:rPr>
                <w:rFonts w:ascii="宋体" w:hAnsi="宋体" w:cs="宋体" w:eastAsia="宋体" w:hint="default"/>
                <w:sz w:val="20"/>
                <w:szCs w:val="20"/>
              </w:rPr>
            </w:pPr>
            <w:r>
              <w:rPr>
                <w:rFonts w:ascii="宋体" w:hAnsi="宋体" w:cs="宋体" w:eastAsia="宋体" w:hint="default"/>
                <w:sz w:val="20"/>
                <w:szCs w:val="20"/>
              </w:rPr>
              <w:t>加金额</w:t>
            </w:r>
          </w:p>
        </w:tc>
        <w:tc>
          <w:tcPr>
            <w:tcW w:w="139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624"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1</w:t>
            </w:r>
            <w:r>
              <w:rPr>
                <w:rFonts w:ascii="宋体" w:hAnsi="宋体" w:cs="宋体" w:eastAsia="宋体" w:hint="default"/>
                <w:sz w:val="20"/>
                <w:szCs w:val="20"/>
              </w:rPr>
              <w:t>）计</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提</w:t>
            </w:r>
            <w:r>
              <w:rPr>
                <w:rFonts w:ascii="宋体" w:hAnsi="宋体" w:cs="宋体" w:eastAsia="宋体" w:hint="default"/>
                <w:sz w:val="20"/>
                <w:szCs w:val="20"/>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4"/>
              <w:jc w:val="right"/>
              <w:rPr>
                <w:rFonts w:ascii="宋体" w:hAnsi="宋体" w:cs="宋体" w:eastAsia="宋体" w:hint="default"/>
                <w:sz w:val="18"/>
                <w:szCs w:val="18"/>
              </w:rPr>
            </w:pPr>
            <w:r>
              <w:rPr>
                <w:rFonts w:ascii="宋体"/>
                <w:spacing w:val="-1"/>
                <w:sz w:val="18"/>
              </w:rPr>
              <w:t>6,342,688.56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4"/>
              <w:jc w:val="right"/>
              <w:rPr>
                <w:rFonts w:ascii="宋体" w:hAnsi="宋体" w:cs="宋体" w:eastAsia="宋体" w:hint="default"/>
                <w:sz w:val="18"/>
                <w:szCs w:val="18"/>
              </w:rPr>
            </w:pPr>
            <w:r>
              <w:rPr>
                <w:rFonts w:ascii="宋体"/>
                <w:spacing w:val="-1"/>
                <w:sz w:val="18"/>
              </w:rPr>
              <w:t>787,521.54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4"/>
              <w:jc w:val="right"/>
              <w:rPr>
                <w:rFonts w:ascii="宋体" w:hAnsi="宋体" w:cs="宋体" w:eastAsia="宋体" w:hint="default"/>
                <w:sz w:val="18"/>
                <w:szCs w:val="18"/>
              </w:rPr>
            </w:pPr>
            <w:r>
              <w:rPr>
                <w:rFonts w:ascii="宋体"/>
                <w:spacing w:val="-1"/>
                <w:sz w:val="18"/>
              </w:rPr>
              <w:t>265,379.47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4"/>
              <w:jc w:val="right"/>
              <w:rPr>
                <w:rFonts w:ascii="宋体" w:hAnsi="宋体" w:cs="宋体" w:eastAsia="宋体" w:hint="default"/>
                <w:sz w:val="18"/>
                <w:szCs w:val="18"/>
              </w:rPr>
            </w:pPr>
            <w:r>
              <w:rPr>
                <w:rFonts w:ascii="宋体"/>
                <w:spacing w:val="-1"/>
                <w:sz w:val="18"/>
              </w:rPr>
              <w:t>225,368.70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2"/>
              <w:jc w:val="right"/>
              <w:rPr>
                <w:rFonts w:ascii="宋体" w:hAnsi="宋体" w:cs="宋体" w:eastAsia="宋体" w:hint="default"/>
                <w:sz w:val="18"/>
                <w:szCs w:val="18"/>
              </w:rPr>
            </w:pPr>
            <w:r>
              <w:rPr>
                <w:rFonts w:ascii="宋体"/>
                <w:spacing w:val="-1"/>
                <w:sz w:val="18"/>
              </w:rPr>
              <w:t>2,693,337.13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宋体" w:hAnsi="宋体" w:cs="宋体" w:eastAsia="宋体" w:hint="default"/>
                <w:sz w:val="18"/>
                <w:szCs w:val="18"/>
              </w:rPr>
            </w:pPr>
            <w:r>
              <w:rPr>
                <w:rFonts w:ascii="宋体"/>
                <w:spacing w:val="-1"/>
                <w:sz w:val="18"/>
              </w:rPr>
              <w:t>11,489.43</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4"/>
              <w:jc w:val="right"/>
              <w:rPr>
                <w:rFonts w:ascii="宋体" w:hAnsi="宋体" w:cs="宋体" w:eastAsia="宋体" w:hint="default"/>
                <w:sz w:val="18"/>
                <w:szCs w:val="18"/>
              </w:rPr>
            </w:pPr>
            <w:r>
              <w:rPr>
                <w:rFonts w:ascii="宋体"/>
                <w:spacing w:val="-1"/>
                <w:sz w:val="18"/>
              </w:rPr>
              <w:t>10,325,784.83</w:t>
            </w:r>
          </w:p>
        </w:tc>
      </w:tr>
      <w:tr>
        <w:trPr>
          <w:trHeight w:val="52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25"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本期减</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少金额</w:t>
            </w:r>
          </w:p>
        </w:tc>
        <w:tc>
          <w:tcPr>
            <w:tcW w:w="139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24"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1</w:t>
            </w:r>
            <w:r>
              <w:rPr>
                <w:rFonts w:ascii="宋体" w:hAnsi="宋体" w:cs="宋体" w:eastAsia="宋体" w:hint="default"/>
                <w:sz w:val="20"/>
                <w:szCs w:val="20"/>
              </w:rPr>
              <w:t>）处</w:t>
            </w:r>
          </w:p>
          <w:p>
            <w:pPr>
              <w:pStyle w:val="TableParagraph"/>
              <w:spacing w:line="240" w:lineRule="auto"/>
              <w:ind w:left="24" w:right="0"/>
              <w:jc w:val="left"/>
              <w:rPr>
                <w:rFonts w:ascii="宋体" w:hAnsi="宋体" w:cs="宋体" w:eastAsia="宋体" w:hint="default"/>
                <w:sz w:val="20"/>
                <w:szCs w:val="20"/>
              </w:rPr>
            </w:pPr>
            <w:r>
              <w:rPr>
                <w:rFonts w:ascii="宋体" w:hAnsi="宋体" w:cs="宋体" w:eastAsia="宋体" w:hint="default"/>
                <w:sz w:val="20"/>
                <w:szCs w:val="20"/>
              </w:rPr>
              <w:t>置或报废</w:t>
            </w:r>
          </w:p>
        </w:tc>
        <w:tc>
          <w:tcPr>
            <w:tcW w:w="139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25" w:right="0"/>
              <w:jc w:val="left"/>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z w:val="20"/>
                <w:szCs w:val="20"/>
              </w:rPr>
              <w:t>期末余</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额</w:t>
            </w:r>
            <w:r>
              <w:rPr>
                <w:rFonts w:ascii="宋体" w:hAnsi="宋体" w:cs="宋体" w:eastAsia="宋体" w:hint="default"/>
                <w:sz w:val="20"/>
                <w:szCs w:val="20"/>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4"/>
              <w:jc w:val="right"/>
              <w:rPr>
                <w:rFonts w:ascii="宋体" w:hAnsi="宋体" w:cs="宋体" w:eastAsia="宋体" w:hint="default"/>
                <w:sz w:val="18"/>
                <w:szCs w:val="18"/>
              </w:rPr>
            </w:pPr>
            <w:r>
              <w:rPr>
                <w:rFonts w:ascii="宋体"/>
                <w:spacing w:val="-1"/>
                <w:sz w:val="18"/>
              </w:rPr>
              <w:t>38,056,129.56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4"/>
              <w:jc w:val="right"/>
              <w:rPr>
                <w:rFonts w:ascii="宋体" w:hAnsi="宋体" w:cs="宋体" w:eastAsia="宋体" w:hint="default"/>
                <w:sz w:val="18"/>
                <w:szCs w:val="18"/>
              </w:rPr>
            </w:pPr>
            <w:r>
              <w:rPr>
                <w:rFonts w:ascii="宋体"/>
                <w:spacing w:val="-1"/>
                <w:sz w:val="18"/>
              </w:rPr>
              <w:t>3,805,213.98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4"/>
              <w:jc w:val="right"/>
              <w:rPr>
                <w:rFonts w:ascii="宋体" w:hAnsi="宋体" w:cs="宋体" w:eastAsia="宋体" w:hint="default"/>
                <w:sz w:val="18"/>
                <w:szCs w:val="18"/>
              </w:rPr>
            </w:pPr>
            <w:r>
              <w:rPr>
                <w:rFonts w:ascii="宋体"/>
                <w:spacing w:val="-1"/>
                <w:sz w:val="18"/>
              </w:rPr>
              <w:t>1,791,176.98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4"/>
              <w:jc w:val="right"/>
              <w:rPr>
                <w:rFonts w:ascii="宋体" w:hAnsi="宋体" w:cs="宋体" w:eastAsia="宋体" w:hint="default"/>
                <w:sz w:val="18"/>
                <w:szCs w:val="18"/>
              </w:rPr>
            </w:pPr>
            <w:r>
              <w:rPr>
                <w:rFonts w:ascii="宋体"/>
                <w:spacing w:val="-1"/>
                <w:sz w:val="18"/>
              </w:rPr>
              <w:t>1,492,729.72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2"/>
              <w:jc w:val="right"/>
              <w:rPr>
                <w:rFonts w:ascii="宋体" w:hAnsi="宋体" w:cs="宋体" w:eastAsia="宋体" w:hint="default"/>
                <w:sz w:val="18"/>
                <w:szCs w:val="18"/>
              </w:rPr>
            </w:pPr>
            <w:r>
              <w:rPr>
                <w:rFonts w:ascii="宋体"/>
                <w:spacing w:val="-1"/>
                <w:sz w:val="18"/>
              </w:rPr>
              <w:t>10,162,640.03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宋体" w:hAnsi="宋体" w:cs="宋体" w:eastAsia="宋体" w:hint="default"/>
                <w:sz w:val="18"/>
                <w:szCs w:val="18"/>
              </w:rPr>
            </w:pPr>
            <w:r>
              <w:rPr>
                <w:rFonts w:ascii="宋体"/>
                <w:spacing w:val="-1"/>
                <w:sz w:val="18"/>
              </w:rPr>
              <w:t>3,168,523.00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4"/>
              <w:jc w:val="right"/>
              <w:rPr>
                <w:rFonts w:ascii="宋体" w:hAnsi="宋体" w:cs="宋体" w:eastAsia="宋体" w:hint="default"/>
                <w:sz w:val="18"/>
                <w:szCs w:val="18"/>
              </w:rPr>
            </w:pPr>
            <w:r>
              <w:rPr>
                <w:rFonts w:ascii="宋体"/>
                <w:spacing w:val="-1"/>
                <w:sz w:val="18"/>
              </w:rPr>
              <w:t>58,476,413.27</w:t>
            </w:r>
          </w:p>
        </w:tc>
      </w:tr>
      <w:tr>
        <w:trPr>
          <w:trHeight w:val="269"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4" w:right="0"/>
              <w:jc w:val="left"/>
              <w:rPr>
                <w:rFonts w:ascii="宋体" w:hAnsi="宋体" w:cs="宋体" w:eastAsia="宋体" w:hint="default"/>
                <w:sz w:val="20"/>
                <w:szCs w:val="20"/>
              </w:rPr>
            </w:pPr>
            <w:r>
              <w:rPr>
                <w:rFonts w:ascii="宋体" w:hAnsi="宋体" w:cs="宋体" w:eastAsia="宋体" w:hint="default"/>
                <w:sz w:val="20"/>
                <w:szCs w:val="20"/>
              </w:rPr>
              <w:t>三、减值准备</w:t>
            </w:r>
          </w:p>
        </w:tc>
        <w:tc>
          <w:tcPr>
            <w:tcW w:w="139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25"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期初余</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额</w:t>
            </w:r>
            <w:r>
              <w:rPr>
                <w:rFonts w:ascii="宋体" w:hAnsi="宋体" w:cs="宋体" w:eastAsia="宋体" w:hint="default"/>
                <w:sz w:val="20"/>
                <w:szCs w:val="20"/>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r>
      <w:tr>
        <w:trPr>
          <w:trHeight w:val="53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25"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本期增</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加金额</w:t>
            </w:r>
          </w:p>
        </w:tc>
        <w:tc>
          <w:tcPr>
            <w:tcW w:w="139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624"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1</w:t>
            </w:r>
            <w:r>
              <w:rPr>
                <w:rFonts w:ascii="宋体" w:hAnsi="宋体" w:cs="宋体" w:eastAsia="宋体" w:hint="default"/>
                <w:sz w:val="20"/>
                <w:szCs w:val="20"/>
              </w:rPr>
              <w:t>）计</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提</w:t>
            </w:r>
            <w:r>
              <w:rPr>
                <w:rFonts w:ascii="宋体" w:hAnsi="宋体" w:cs="宋体" w:eastAsia="宋体" w:hint="default"/>
                <w:sz w:val="20"/>
                <w:szCs w:val="20"/>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25"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本期减</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少金额</w:t>
            </w:r>
          </w:p>
        </w:tc>
        <w:tc>
          <w:tcPr>
            <w:tcW w:w="139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624"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1</w:t>
            </w:r>
            <w:r>
              <w:rPr>
                <w:rFonts w:ascii="宋体" w:hAnsi="宋体" w:cs="宋体" w:eastAsia="宋体" w:hint="default"/>
                <w:sz w:val="20"/>
                <w:szCs w:val="20"/>
              </w:rPr>
              <w:t>）处</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置或报废</w:t>
            </w:r>
          </w:p>
        </w:tc>
        <w:tc>
          <w:tcPr>
            <w:tcW w:w="139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25" w:right="0"/>
              <w:jc w:val="left"/>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z w:val="20"/>
                <w:szCs w:val="20"/>
              </w:rPr>
              <w:t>期末余</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额</w:t>
            </w:r>
            <w:r>
              <w:rPr>
                <w:rFonts w:ascii="宋体" w:hAnsi="宋体" w:cs="宋体" w:eastAsia="宋体" w:hint="default"/>
                <w:sz w:val="20"/>
                <w:szCs w:val="20"/>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4" w:right="0"/>
              <w:jc w:val="left"/>
              <w:rPr>
                <w:rFonts w:ascii="宋体" w:hAnsi="宋体" w:cs="宋体" w:eastAsia="宋体" w:hint="default"/>
                <w:sz w:val="20"/>
                <w:szCs w:val="20"/>
              </w:rPr>
            </w:pPr>
            <w:r>
              <w:rPr>
                <w:rFonts w:ascii="宋体" w:hAnsi="宋体" w:cs="宋体" w:eastAsia="宋体" w:hint="default"/>
                <w:sz w:val="20"/>
                <w:szCs w:val="20"/>
              </w:rPr>
              <w:t>四、账面价值</w:t>
            </w:r>
          </w:p>
        </w:tc>
        <w:tc>
          <w:tcPr>
            <w:tcW w:w="139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r>
      <w:tr>
        <w:trPr>
          <w:trHeight w:val="53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25"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期末账</w:t>
            </w:r>
          </w:p>
          <w:p>
            <w:pPr>
              <w:pStyle w:val="TableParagraph"/>
              <w:spacing w:line="240" w:lineRule="auto"/>
              <w:ind w:left="24" w:right="0"/>
              <w:jc w:val="left"/>
              <w:rPr>
                <w:rFonts w:ascii="宋体" w:hAnsi="宋体" w:cs="宋体" w:eastAsia="宋体" w:hint="default"/>
                <w:sz w:val="20"/>
                <w:szCs w:val="20"/>
              </w:rPr>
            </w:pPr>
            <w:r>
              <w:rPr>
                <w:rFonts w:ascii="宋体" w:hAnsi="宋体" w:cs="宋体" w:eastAsia="宋体" w:hint="default"/>
                <w:sz w:val="20"/>
                <w:szCs w:val="20"/>
              </w:rPr>
              <w:t>面价值</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4"/>
              <w:jc w:val="right"/>
              <w:rPr>
                <w:rFonts w:ascii="宋体" w:hAnsi="宋体" w:cs="宋体" w:eastAsia="宋体" w:hint="default"/>
                <w:sz w:val="18"/>
                <w:szCs w:val="18"/>
              </w:rPr>
            </w:pPr>
            <w:r>
              <w:rPr>
                <w:rFonts w:ascii="宋体"/>
                <w:spacing w:val="-1"/>
                <w:sz w:val="18"/>
              </w:rPr>
              <w:t>150,378,209.44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4"/>
              <w:jc w:val="right"/>
              <w:rPr>
                <w:rFonts w:ascii="宋体" w:hAnsi="宋体" w:cs="宋体" w:eastAsia="宋体" w:hint="default"/>
                <w:sz w:val="18"/>
                <w:szCs w:val="18"/>
              </w:rPr>
            </w:pPr>
            <w:r>
              <w:rPr>
                <w:rFonts w:ascii="宋体"/>
                <w:spacing w:val="-1"/>
                <w:sz w:val="18"/>
              </w:rPr>
              <w:t>1,367,855.44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4"/>
              <w:jc w:val="right"/>
              <w:rPr>
                <w:rFonts w:ascii="宋体" w:hAnsi="宋体" w:cs="宋体" w:eastAsia="宋体" w:hint="default"/>
                <w:sz w:val="18"/>
                <w:szCs w:val="18"/>
              </w:rPr>
            </w:pPr>
            <w:r>
              <w:rPr>
                <w:rFonts w:ascii="宋体"/>
                <w:spacing w:val="-1"/>
                <w:sz w:val="18"/>
              </w:rPr>
              <w:t>1,020,170.41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4"/>
              <w:jc w:val="right"/>
              <w:rPr>
                <w:rFonts w:ascii="宋体" w:hAnsi="宋体" w:cs="宋体" w:eastAsia="宋体" w:hint="default"/>
                <w:sz w:val="18"/>
                <w:szCs w:val="18"/>
              </w:rPr>
            </w:pPr>
            <w:r>
              <w:rPr>
                <w:rFonts w:ascii="宋体"/>
                <w:spacing w:val="-1"/>
                <w:sz w:val="18"/>
              </w:rPr>
              <w:t>1,020,407.30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2"/>
              <w:jc w:val="right"/>
              <w:rPr>
                <w:rFonts w:ascii="宋体" w:hAnsi="宋体" w:cs="宋体" w:eastAsia="宋体" w:hint="default"/>
                <w:sz w:val="18"/>
                <w:szCs w:val="18"/>
              </w:rPr>
            </w:pPr>
            <w:r>
              <w:rPr>
                <w:rFonts w:ascii="宋体"/>
                <w:spacing w:val="-1"/>
                <w:sz w:val="18"/>
              </w:rPr>
              <w:t>9,170,590.26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宋体" w:hAnsi="宋体" w:cs="宋体" w:eastAsia="宋体" w:hint="default"/>
                <w:sz w:val="18"/>
                <w:szCs w:val="18"/>
              </w:rPr>
            </w:pPr>
            <w:r>
              <w:rPr>
                <w:rFonts w:ascii="宋体"/>
                <w:spacing w:val="-1"/>
                <w:sz w:val="18"/>
              </w:rPr>
              <w:t>168,890.50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4"/>
              <w:jc w:val="right"/>
              <w:rPr>
                <w:rFonts w:ascii="宋体" w:hAnsi="宋体" w:cs="宋体" w:eastAsia="宋体" w:hint="default"/>
                <w:sz w:val="18"/>
                <w:szCs w:val="18"/>
              </w:rPr>
            </w:pPr>
            <w:r>
              <w:rPr>
                <w:rFonts w:ascii="宋体"/>
                <w:spacing w:val="-1"/>
                <w:sz w:val="18"/>
              </w:rPr>
              <w:t>163,126,123.35</w:t>
            </w:r>
          </w:p>
        </w:tc>
      </w:tr>
      <w:tr>
        <w:trPr>
          <w:trHeight w:val="52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25"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期初账</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面价值</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4"/>
              <w:jc w:val="right"/>
              <w:rPr>
                <w:rFonts w:ascii="宋体" w:hAnsi="宋体" w:cs="宋体" w:eastAsia="宋体" w:hint="default"/>
                <w:sz w:val="18"/>
                <w:szCs w:val="18"/>
              </w:rPr>
            </w:pPr>
            <w:r>
              <w:rPr>
                <w:rFonts w:ascii="宋体"/>
                <w:spacing w:val="-1"/>
                <w:sz w:val="18"/>
              </w:rPr>
              <w:t>156,720,898.00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4"/>
              <w:jc w:val="right"/>
              <w:rPr>
                <w:rFonts w:ascii="宋体" w:hAnsi="宋体" w:cs="宋体" w:eastAsia="宋体" w:hint="default"/>
                <w:sz w:val="18"/>
                <w:szCs w:val="18"/>
              </w:rPr>
            </w:pPr>
            <w:r>
              <w:rPr>
                <w:rFonts w:ascii="宋体"/>
                <w:spacing w:val="-1"/>
                <w:sz w:val="18"/>
              </w:rPr>
              <w:t>2,155,376.98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4"/>
              <w:jc w:val="right"/>
              <w:rPr>
                <w:rFonts w:ascii="宋体" w:hAnsi="宋体" w:cs="宋体" w:eastAsia="宋体" w:hint="default"/>
                <w:sz w:val="18"/>
                <w:szCs w:val="18"/>
              </w:rPr>
            </w:pPr>
            <w:r>
              <w:rPr>
                <w:rFonts w:ascii="宋体"/>
                <w:spacing w:val="-1"/>
                <w:sz w:val="18"/>
              </w:rPr>
              <w:t>1,010,393.43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4"/>
              <w:jc w:val="right"/>
              <w:rPr>
                <w:rFonts w:ascii="宋体" w:hAnsi="宋体" w:cs="宋体" w:eastAsia="宋体" w:hint="default"/>
                <w:sz w:val="18"/>
                <w:szCs w:val="18"/>
              </w:rPr>
            </w:pPr>
            <w:r>
              <w:rPr>
                <w:rFonts w:ascii="宋体"/>
                <w:spacing w:val="-1"/>
                <w:sz w:val="18"/>
              </w:rPr>
              <w:t>1,231,502.50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2"/>
              <w:jc w:val="right"/>
              <w:rPr>
                <w:rFonts w:ascii="宋体" w:hAnsi="宋体" w:cs="宋体" w:eastAsia="宋体" w:hint="default"/>
                <w:sz w:val="18"/>
                <w:szCs w:val="18"/>
              </w:rPr>
            </w:pPr>
            <w:r>
              <w:rPr>
                <w:rFonts w:ascii="宋体"/>
                <w:spacing w:val="-1"/>
                <w:sz w:val="18"/>
              </w:rPr>
              <w:t>6,383,602.82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宋体" w:hAnsi="宋体" w:cs="宋体" w:eastAsia="宋体" w:hint="default"/>
                <w:sz w:val="18"/>
                <w:szCs w:val="18"/>
              </w:rPr>
            </w:pPr>
            <w:r>
              <w:rPr>
                <w:rFonts w:ascii="宋体"/>
                <w:spacing w:val="-1"/>
                <w:sz w:val="18"/>
              </w:rPr>
              <w:t>180,379.93</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4"/>
              <w:jc w:val="right"/>
              <w:rPr>
                <w:rFonts w:ascii="宋体" w:hAnsi="宋体" w:cs="宋体" w:eastAsia="宋体" w:hint="default"/>
                <w:sz w:val="18"/>
                <w:szCs w:val="18"/>
              </w:rPr>
            </w:pPr>
            <w:r>
              <w:rPr>
                <w:rFonts w:ascii="宋体"/>
                <w:spacing w:val="-1"/>
                <w:sz w:val="18"/>
              </w:rPr>
              <w:t>167,682,153.66</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840" w:right="300"/>
        </w:sectPr>
      </w:pPr>
    </w:p>
    <w:p>
      <w:pPr>
        <w:pStyle w:val="Heading2"/>
        <w:spacing w:line="240" w:lineRule="auto" w:before="36"/>
        <w:ind w:left="958" w:right="-18"/>
        <w:jc w:val="left"/>
        <w:rPr>
          <w:b w:val="0"/>
          <w:bCs w:val="0"/>
        </w:rPr>
      </w:pPr>
      <w:r>
        <w:rPr>
          <w:rFonts w:ascii="宋体" w:hAnsi="宋体" w:cs="宋体" w:eastAsia="宋体" w:hint="default"/>
        </w:rPr>
        <w:t>(2).</w:t>
      </w:r>
      <w:r>
        <w:rPr>
          <w:rFonts w:ascii="宋体" w:hAnsi="宋体" w:cs="宋体" w:eastAsia="宋体" w:hint="default"/>
          <w:spacing w:val="59"/>
        </w:rPr>
        <w:t> </w:t>
      </w:r>
      <w:r>
        <w:rPr/>
        <w:t>暂时闲置的固定资产情况</w:t>
      </w:r>
      <w:r>
        <w:rPr>
          <w:b w:val="0"/>
          <w:bCs w:val="0"/>
        </w:rPr>
      </w:r>
    </w:p>
    <w:p>
      <w:pPr>
        <w:pStyle w:val="BodyText"/>
        <w:spacing w:line="240" w:lineRule="auto" w:before="56"/>
        <w:ind w:left="958" w:right="-18"/>
        <w:jc w:val="left"/>
      </w:pPr>
      <w:r>
        <w:rPr/>
        <w:t>□适用</w:t>
      </w:r>
      <w:r>
        <w:rPr>
          <w:spacing w:val="-1"/>
        </w:rPr>
        <w:t> </w:t>
      </w:r>
      <w:r>
        <w:rPr/>
        <w:t>√不适用</w:t>
      </w:r>
    </w:p>
    <w:p>
      <w:pPr>
        <w:pStyle w:val="Heading2"/>
        <w:spacing w:line="240" w:lineRule="auto" w:before="58"/>
        <w:ind w:left="958" w:right="-18"/>
        <w:jc w:val="left"/>
        <w:rPr>
          <w:b w:val="0"/>
          <w:bCs w:val="0"/>
        </w:rPr>
      </w:pPr>
      <w:r>
        <w:rPr>
          <w:rFonts w:ascii="宋体" w:hAnsi="宋体" w:cs="宋体" w:eastAsia="宋体" w:hint="default"/>
        </w:rPr>
        <w:t>(3).</w:t>
      </w:r>
      <w:r>
        <w:rPr>
          <w:rFonts w:ascii="宋体" w:hAnsi="宋体" w:cs="宋体" w:eastAsia="宋体" w:hint="default"/>
          <w:spacing w:val="57"/>
        </w:rPr>
        <w:t> </w:t>
      </w:r>
      <w:r>
        <w:rPr/>
        <w:t>通过融资租赁租入的固定资产情况</w:t>
      </w:r>
      <w:r>
        <w:rPr>
          <w:b w:val="0"/>
          <w:bCs w:val="0"/>
        </w:rPr>
      </w:r>
    </w:p>
    <w:p>
      <w:pPr>
        <w:pStyle w:val="BodyText"/>
        <w:spacing w:line="240" w:lineRule="auto" w:before="56"/>
        <w:ind w:left="958" w:right="-18"/>
        <w:jc w:val="left"/>
      </w:pPr>
      <w:r>
        <w:rPr/>
        <w:t>□适用</w:t>
      </w:r>
      <w:r>
        <w:rPr>
          <w:spacing w:val="-1"/>
        </w:rPr>
        <w:t> </w:t>
      </w:r>
      <w:r>
        <w:rPr/>
        <w:t>√不适用</w:t>
      </w:r>
    </w:p>
    <w:p>
      <w:pPr>
        <w:pStyle w:val="Heading2"/>
        <w:spacing w:line="240" w:lineRule="auto" w:before="58"/>
        <w:ind w:left="958" w:right="-18"/>
        <w:jc w:val="left"/>
        <w:rPr>
          <w:b w:val="0"/>
          <w:bCs w:val="0"/>
        </w:rPr>
      </w:pPr>
      <w:r>
        <w:rPr>
          <w:rFonts w:ascii="宋体" w:hAnsi="宋体" w:cs="宋体" w:eastAsia="宋体" w:hint="default"/>
        </w:rPr>
        <w:t>(4).</w:t>
      </w:r>
      <w:r>
        <w:rPr>
          <w:rFonts w:ascii="宋体" w:hAnsi="宋体" w:cs="宋体" w:eastAsia="宋体" w:hint="default"/>
          <w:spacing w:val="56"/>
        </w:rPr>
        <w:t> </w:t>
      </w:r>
      <w:r>
        <w:rPr/>
        <w:t>通过经营租赁租出的固定资产</w:t>
      </w:r>
      <w:r>
        <w:rPr>
          <w:b w:val="0"/>
          <w:bCs w:val="0"/>
        </w:rPr>
      </w:r>
    </w:p>
    <w:p>
      <w:pPr>
        <w:pStyle w:val="BodyText"/>
        <w:spacing w:line="240" w:lineRule="auto" w:before="56"/>
        <w:ind w:left="9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2009" w:val="left" w:leader="none"/>
        </w:tabs>
        <w:spacing w:line="240" w:lineRule="auto" w:before="139"/>
        <w:ind w:left="958" w:right="0"/>
        <w:jc w:val="left"/>
      </w:pPr>
      <w:r>
        <w:rPr>
          <w:spacing w:val="-1"/>
        </w:rPr>
        <w:t>单位：元</w:t>
        <w:tab/>
      </w:r>
      <w:r>
        <w:rPr>
          <w:spacing w:val="-2"/>
        </w:rPr>
        <w:t>币种：人民币</w:t>
      </w:r>
    </w:p>
    <w:p>
      <w:pPr>
        <w:spacing w:after="0" w:line="240" w:lineRule="auto"/>
        <w:jc w:val="left"/>
        <w:sectPr>
          <w:type w:val="continuous"/>
          <w:pgSz w:w="11910" w:h="16840"/>
          <w:pgMar w:top="1120" w:bottom="1380" w:left="840" w:right="300"/>
          <w:cols w:num="2" w:equalWidth="0">
            <w:col w:w="4710" w:space="1812"/>
            <w:col w:w="4248"/>
          </w:cols>
        </w:sectPr>
      </w:pPr>
    </w:p>
    <w:p>
      <w:pPr>
        <w:spacing w:line="240" w:lineRule="auto" w:before="4"/>
        <w:rPr>
          <w:rFonts w:ascii="宋体" w:hAnsi="宋体" w:cs="宋体" w:eastAsia="宋体" w:hint="default"/>
          <w:sz w:val="2"/>
          <w:szCs w:val="2"/>
        </w:rPr>
      </w:pPr>
    </w:p>
    <w:tbl>
      <w:tblPr>
        <w:tblW w:w="0" w:type="auto"/>
        <w:jc w:val="left"/>
        <w:tblInd w:w="845" w:type="dxa"/>
        <w:tblLayout w:type="fixed"/>
        <w:tblCellMar>
          <w:top w:w="0" w:type="dxa"/>
          <w:left w:w="0" w:type="dxa"/>
          <w:bottom w:w="0" w:type="dxa"/>
          <w:right w:w="0" w:type="dxa"/>
        </w:tblCellMar>
        <w:tblLook w:val="01E0"/>
      </w:tblPr>
      <w:tblGrid>
        <w:gridCol w:w="4153"/>
        <w:gridCol w:w="4897"/>
      </w:tblGrid>
      <w:tr>
        <w:trPr>
          <w:trHeight w:val="283"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期末账面价值</w:t>
            </w:r>
          </w:p>
        </w:tc>
      </w:tr>
      <w:tr>
        <w:trPr>
          <w:trHeight w:val="283"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运营设备</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9,170,590.26</w:t>
            </w:r>
          </w:p>
        </w:tc>
      </w:tr>
    </w:tbl>
    <w:p>
      <w:pPr>
        <w:spacing w:line="240" w:lineRule="auto" w:before="12"/>
        <w:rPr>
          <w:rFonts w:ascii="宋体" w:hAnsi="宋体" w:cs="宋体" w:eastAsia="宋体" w:hint="default"/>
          <w:sz w:val="19"/>
          <w:szCs w:val="19"/>
        </w:rPr>
      </w:pPr>
    </w:p>
    <w:p>
      <w:pPr>
        <w:pStyle w:val="Heading2"/>
        <w:spacing w:line="240" w:lineRule="auto" w:before="36"/>
        <w:ind w:left="958" w:right="0"/>
        <w:jc w:val="left"/>
        <w:rPr>
          <w:b w:val="0"/>
          <w:bCs w:val="0"/>
        </w:rPr>
      </w:pPr>
      <w:r>
        <w:rPr>
          <w:rFonts w:ascii="宋体" w:hAnsi="宋体" w:cs="宋体" w:eastAsia="宋体" w:hint="default"/>
        </w:rPr>
        <w:t>(5).</w:t>
      </w:r>
      <w:r>
        <w:rPr>
          <w:rFonts w:ascii="宋体" w:hAnsi="宋体" w:cs="宋体" w:eastAsia="宋体" w:hint="default"/>
          <w:spacing w:val="57"/>
        </w:rPr>
        <w:t> </w:t>
      </w:r>
      <w:r>
        <w:rPr/>
        <w:t>未办妥产权证书的固定资产情况</w:t>
      </w:r>
      <w:r>
        <w:rPr>
          <w:b w:val="0"/>
          <w:bCs w:val="0"/>
        </w:rPr>
      </w:r>
    </w:p>
    <w:p>
      <w:pPr>
        <w:pStyle w:val="BodyText"/>
        <w:spacing w:line="272" w:lineRule="exact" w:before="86"/>
        <w:ind w:left="958" w:right="8214"/>
        <w:jc w:val="left"/>
      </w:pPr>
      <w:r>
        <w:rPr/>
        <w:t>□适用</w:t>
      </w:r>
      <w:r>
        <w:rPr>
          <w:spacing w:val="-1"/>
        </w:rPr>
        <w:t> </w:t>
      </w:r>
      <w:r>
        <w:rPr/>
        <w:t>√不适用</w:t>
      </w:r>
      <w:r>
        <w:rPr>
          <w:w w:val="100"/>
        </w:rPr>
        <w:t> </w:t>
      </w:r>
      <w:r>
        <w:rPr/>
        <w:t>其他说明：</w:t>
      </w:r>
    </w:p>
    <w:p>
      <w:pPr>
        <w:pStyle w:val="BodyText"/>
        <w:spacing w:line="249" w:lineRule="exact"/>
        <w:ind w:left="95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840" w:right="300"/>
        </w:sectPr>
      </w:pPr>
    </w:p>
    <w:p>
      <w:pPr>
        <w:pStyle w:val="Heading2"/>
        <w:spacing w:line="240" w:lineRule="auto" w:before="36"/>
        <w:ind w:left="958" w:right="-19"/>
        <w:jc w:val="left"/>
        <w:rPr>
          <w:b w:val="0"/>
          <w:bCs w:val="0"/>
        </w:rPr>
      </w:pPr>
      <w:r>
        <w:rPr>
          <w:rFonts w:ascii="宋体" w:hAnsi="宋体" w:cs="宋体" w:eastAsia="宋体" w:hint="default"/>
        </w:rPr>
        <w:t>20</w:t>
      </w:r>
      <w:r>
        <w:rPr/>
        <w:t>、</w:t>
      </w:r>
      <w:r>
        <w:rPr>
          <w:spacing w:val="-25"/>
        </w:rPr>
        <w:t> </w:t>
      </w:r>
      <w:r>
        <w:rPr/>
        <w:t>在建工程</w:t>
      </w:r>
      <w:r>
        <w:rPr>
          <w:b w:val="0"/>
          <w:bCs w:val="0"/>
        </w:rPr>
      </w:r>
    </w:p>
    <w:p>
      <w:pPr>
        <w:pStyle w:val="Heading2"/>
        <w:spacing w:line="240" w:lineRule="auto" w:before="56"/>
        <w:ind w:left="958" w:right="-19"/>
        <w:jc w:val="left"/>
        <w:rPr>
          <w:b w:val="0"/>
          <w:bCs w:val="0"/>
        </w:rPr>
      </w:pPr>
      <w:r>
        <w:rPr>
          <w:rFonts w:ascii="宋体" w:hAnsi="宋体" w:cs="宋体" w:eastAsia="宋体" w:hint="default"/>
        </w:rPr>
        <w:t>(1).</w:t>
      </w:r>
      <w:r>
        <w:rPr>
          <w:rFonts w:ascii="宋体" w:hAnsi="宋体" w:cs="宋体" w:eastAsia="宋体" w:hint="default"/>
          <w:spacing w:val="60"/>
        </w:rPr>
        <w:t> </w:t>
      </w:r>
      <w:r>
        <w:rPr/>
        <w:t>在建工程情况</w:t>
      </w:r>
      <w:r>
        <w:rPr>
          <w:b w:val="0"/>
          <w:bCs w:val="0"/>
        </w:rPr>
      </w:r>
    </w:p>
    <w:p>
      <w:pPr>
        <w:pStyle w:val="BodyText"/>
        <w:spacing w:line="240" w:lineRule="auto" w:before="59"/>
        <w:ind w:left="95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2009" w:val="left" w:leader="none"/>
        </w:tabs>
        <w:spacing w:line="240" w:lineRule="auto"/>
        <w:ind w:left="958" w:right="0"/>
        <w:jc w:val="left"/>
      </w:pPr>
      <w:r>
        <w:rPr>
          <w:spacing w:val="-1"/>
        </w:rPr>
        <w:t>单位：元</w:t>
        <w:tab/>
      </w:r>
      <w:r>
        <w:rPr>
          <w:spacing w:val="-2"/>
        </w:rPr>
        <w:t>币种：人民币</w:t>
      </w:r>
    </w:p>
    <w:p>
      <w:pPr>
        <w:spacing w:after="0" w:line="240" w:lineRule="auto"/>
        <w:jc w:val="left"/>
        <w:sectPr>
          <w:type w:val="continuous"/>
          <w:pgSz w:w="11910" w:h="16840"/>
          <w:pgMar w:top="1120" w:bottom="1380" w:left="840" w:right="300"/>
          <w:cols w:num="2" w:equalWidth="0">
            <w:col w:w="2814" w:space="3708"/>
            <w:col w:w="4248"/>
          </w:cols>
        </w:sectPr>
      </w:pPr>
    </w:p>
    <w:p>
      <w:pPr>
        <w:spacing w:line="240" w:lineRule="auto" w:before="7"/>
        <w:rPr>
          <w:rFonts w:ascii="宋体" w:hAnsi="宋体" w:cs="宋体" w:eastAsia="宋体" w:hint="default"/>
          <w:sz w:val="2"/>
          <w:szCs w:val="2"/>
        </w:rPr>
      </w:pPr>
    </w:p>
    <w:tbl>
      <w:tblPr>
        <w:tblW w:w="0" w:type="auto"/>
        <w:jc w:val="left"/>
        <w:tblInd w:w="922" w:type="dxa"/>
        <w:tblLayout w:type="fixed"/>
        <w:tblCellMar>
          <w:top w:w="0" w:type="dxa"/>
          <w:left w:w="0" w:type="dxa"/>
          <w:bottom w:w="0" w:type="dxa"/>
          <w:right w:w="0" w:type="dxa"/>
        </w:tblCellMar>
        <w:tblLook w:val="01E0"/>
      </w:tblPr>
      <w:tblGrid>
        <w:gridCol w:w="1838"/>
        <w:gridCol w:w="3567"/>
        <w:gridCol w:w="3490"/>
      </w:tblGrid>
      <w:tr>
        <w:trPr>
          <w:trHeight w:val="281"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1" w:lineRule="exact"/>
        <w:jc w:val="center"/>
        <w:rPr>
          <w:rFonts w:ascii="宋体" w:hAnsi="宋体" w:cs="宋体" w:eastAsia="宋体" w:hint="default"/>
          <w:sz w:val="21"/>
          <w:szCs w:val="21"/>
        </w:rPr>
        <w:sectPr>
          <w:type w:val="continuous"/>
          <w:pgSz w:w="11910" w:h="16840"/>
          <w:pgMar w:top="1120" w:bottom="1380" w:left="840" w:right="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838"/>
        <w:gridCol w:w="1217"/>
        <w:gridCol w:w="1164"/>
        <w:gridCol w:w="1186"/>
        <w:gridCol w:w="1150"/>
        <w:gridCol w:w="1165"/>
        <w:gridCol w:w="1176"/>
      </w:tblGrid>
      <w:tr>
        <w:trPr>
          <w:trHeight w:val="284" w:hRule="exact"/>
        </w:trPr>
        <w:tc>
          <w:tcPr>
            <w:tcW w:w="183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55"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63"/>
              <w:jc w:val="right"/>
              <w:rPr>
                <w:rFonts w:ascii="宋体" w:hAnsi="宋体" w:cs="宋体" w:eastAsia="宋体" w:hint="default"/>
                <w:sz w:val="21"/>
                <w:szCs w:val="21"/>
              </w:rPr>
            </w:pPr>
            <w:r>
              <w:rPr>
                <w:rFonts w:ascii="宋体" w:hAnsi="宋体" w:cs="宋体" w:eastAsia="宋体" w:hint="default"/>
                <w:spacing w:val="-1"/>
                <w:sz w:val="21"/>
                <w:szCs w:val="21"/>
              </w:rPr>
              <w:t>账面价值</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4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53"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60"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建筑工程</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center"/>
              <w:rPr>
                <w:rFonts w:ascii="宋体" w:hAnsi="宋体" w:cs="宋体" w:eastAsia="宋体" w:hint="default"/>
                <w:sz w:val="21"/>
                <w:szCs w:val="21"/>
              </w:rPr>
            </w:pPr>
            <w:r>
              <w:rPr>
                <w:rFonts w:ascii="宋体"/>
                <w:sz w:val="21"/>
              </w:rPr>
              <w:t>217,403.77</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217,403.77</w:t>
            </w:r>
          </w:p>
        </w:tc>
        <w:tc>
          <w:tcPr>
            <w:tcW w:w="1150"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center"/>
              <w:rPr>
                <w:rFonts w:ascii="宋体" w:hAnsi="宋体" w:cs="宋体" w:eastAsia="宋体" w:hint="default"/>
                <w:sz w:val="21"/>
                <w:szCs w:val="21"/>
              </w:rPr>
            </w:pPr>
            <w:r>
              <w:rPr>
                <w:rFonts w:ascii="宋体"/>
                <w:sz w:val="21"/>
              </w:rPr>
              <w:t>217,403.77</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217,403.77</w:t>
            </w:r>
          </w:p>
        </w:tc>
        <w:tc>
          <w:tcPr>
            <w:tcW w:w="1150"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1660" w:right="1060"/>
        </w:sectPr>
      </w:pPr>
    </w:p>
    <w:p>
      <w:pPr>
        <w:pStyle w:val="Heading2"/>
        <w:spacing w:line="240" w:lineRule="auto" w:before="36"/>
        <w:ind w:left="138" w:right="-18"/>
        <w:jc w:val="left"/>
        <w:rPr>
          <w:b w:val="0"/>
          <w:bCs w:val="0"/>
        </w:rPr>
      </w:pPr>
      <w:r>
        <w:rPr>
          <w:rFonts w:ascii="宋体" w:hAnsi="宋体" w:cs="宋体" w:eastAsia="宋体" w:hint="default"/>
        </w:rPr>
        <w:t>(2).</w:t>
      </w:r>
      <w:r>
        <w:rPr>
          <w:rFonts w:ascii="宋体" w:hAnsi="宋体" w:cs="宋体" w:eastAsia="宋体" w:hint="default"/>
          <w:spacing w:val="57"/>
        </w:rPr>
        <w:t> </w:t>
      </w:r>
      <w:r>
        <w:rPr/>
        <w:t>重要在建工程项目本期变动情况</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060"/>
          <w:cols w:num="2" w:equalWidth="0">
            <w:col w:w="3679" w:space="2843"/>
            <w:col w:w="266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739"/>
        <w:gridCol w:w="1493"/>
        <w:gridCol w:w="401"/>
        <w:gridCol w:w="1186"/>
        <w:gridCol w:w="494"/>
        <w:gridCol w:w="497"/>
        <w:gridCol w:w="1111"/>
        <w:gridCol w:w="499"/>
        <w:gridCol w:w="497"/>
        <w:gridCol w:w="497"/>
        <w:gridCol w:w="487"/>
        <w:gridCol w:w="506"/>
        <w:gridCol w:w="554"/>
      </w:tblGrid>
      <w:tr>
        <w:trPr>
          <w:trHeight w:val="2734"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3" w:right="201"/>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pacing w:val="-103"/>
                <w:sz w:val="21"/>
                <w:szCs w:val="21"/>
              </w:rPr>
              <w:t> </w:t>
            </w:r>
            <w:r>
              <w:rPr>
                <w:rFonts w:ascii="宋体" w:hAnsi="宋体" w:cs="宋体" w:eastAsia="宋体" w:hint="default"/>
                <w:sz w:val="21"/>
                <w:szCs w:val="21"/>
              </w:rPr>
              <w:t>名称</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371" w:right="0"/>
              <w:jc w:val="left"/>
              <w:rPr>
                <w:rFonts w:ascii="宋体" w:hAnsi="宋体" w:cs="宋体" w:eastAsia="宋体" w:hint="default"/>
                <w:sz w:val="21"/>
                <w:szCs w:val="21"/>
              </w:rPr>
            </w:pPr>
            <w:r>
              <w:rPr>
                <w:rFonts w:ascii="宋体" w:hAnsi="宋体" w:cs="宋体" w:eastAsia="宋体" w:hint="default"/>
                <w:sz w:val="21"/>
                <w:szCs w:val="21"/>
              </w:rPr>
              <w:t>预算数</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left="35" w:right="143"/>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初</w:t>
            </w:r>
            <w:r>
              <w:rPr>
                <w:rFonts w:ascii="宋体" w:hAnsi="宋体" w:cs="宋体" w:eastAsia="宋体" w:hint="default"/>
                <w:w w:val="100"/>
                <w:sz w:val="21"/>
                <w:szCs w:val="21"/>
              </w:rPr>
              <w:t> </w:t>
            </w:r>
            <w:r>
              <w:rPr>
                <w:rFonts w:ascii="宋体" w:hAnsi="宋体" w:cs="宋体" w:eastAsia="宋体" w:hint="default"/>
                <w:sz w:val="21"/>
                <w:szCs w:val="21"/>
              </w:rPr>
              <w:t>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323" w:right="216" w:hanging="209"/>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37" w:lineRule="auto"/>
              <w:ind w:left="100" w:right="170"/>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入</w:t>
            </w:r>
            <w:r>
              <w:rPr>
                <w:rFonts w:ascii="宋体" w:hAnsi="宋体" w:cs="宋体" w:eastAsia="宋体" w:hint="default"/>
                <w:w w:val="100"/>
                <w:sz w:val="21"/>
                <w:szCs w:val="21"/>
              </w:rPr>
              <w:t> </w:t>
            </w:r>
            <w:r>
              <w:rPr>
                <w:rFonts w:ascii="宋体" w:hAnsi="宋体" w:cs="宋体" w:eastAsia="宋体" w:hint="default"/>
                <w:sz w:val="21"/>
                <w:szCs w:val="21"/>
              </w:rPr>
              <w:t>固</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0" w:right="173"/>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340" w:right="336"/>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33" w:right="31"/>
              <w:jc w:val="center"/>
              <w:rPr>
                <w:rFonts w:ascii="宋体" w:hAnsi="宋体" w:cs="宋体" w:eastAsia="宋体" w:hint="default"/>
                <w:sz w:val="21"/>
                <w:szCs w:val="21"/>
              </w:rPr>
            </w:pPr>
            <w:r>
              <w:rPr>
                <w:rFonts w:ascii="宋体" w:hAnsi="宋体" w:cs="宋体" w:eastAsia="宋体" w:hint="default"/>
                <w:sz w:val="21"/>
                <w:szCs w:val="21"/>
              </w:rPr>
              <w:t>工程</w:t>
            </w:r>
            <w:r>
              <w:rPr>
                <w:rFonts w:ascii="宋体" w:hAnsi="宋体" w:cs="宋体" w:eastAsia="宋体" w:hint="default"/>
                <w:w w:val="100"/>
                <w:sz w:val="21"/>
                <w:szCs w:val="21"/>
              </w:rPr>
              <w:t> </w:t>
            </w:r>
            <w:r>
              <w:rPr>
                <w:rFonts w:ascii="宋体" w:hAnsi="宋体" w:cs="宋体" w:eastAsia="宋体" w:hint="default"/>
                <w:sz w:val="21"/>
                <w:szCs w:val="21"/>
              </w:rPr>
              <w:t>累计</w:t>
            </w:r>
            <w:r>
              <w:rPr>
                <w:rFonts w:ascii="宋体" w:hAnsi="宋体" w:cs="宋体" w:eastAsia="宋体" w:hint="default"/>
                <w:w w:val="100"/>
                <w:sz w:val="21"/>
                <w:szCs w:val="21"/>
              </w:rPr>
              <w:t> </w:t>
            </w:r>
            <w:r>
              <w:rPr>
                <w:rFonts w:ascii="宋体" w:hAnsi="宋体" w:cs="宋体" w:eastAsia="宋体" w:hint="default"/>
                <w:sz w:val="21"/>
                <w:szCs w:val="21"/>
              </w:rPr>
              <w:t>投入</w:t>
            </w:r>
            <w:r>
              <w:rPr>
                <w:rFonts w:ascii="宋体" w:hAnsi="宋体" w:cs="宋体" w:eastAsia="宋体" w:hint="default"/>
                <w:w w:val="100"/>
                <w:sz w:val="21"/>
                <w:szCs w:val="21"/>
              </w:rPr>
              <w:t> </w:t>
            </w:r>
            <w:r>
              <w:rPr>
                <w:rFonts w:ascii="宋体" w:hAnsi="宋体" w:cs="宋体" w:eastAsia="宋体" w:hint="default"/>
                <w:sz w:val="21"/>
                <w:szCs w:val="21"/>
              </w:rPr>
              <w:t>占预</w:t>
            </w:r>
            <w:r>
              <w:rPr>
                <w:rFonts w:ascii="宋体" w:hAnsi="宋体" w:cs="宋体" w:eastAsia="宋体" w:hint="default"/>
                <w:w w:val="100"/>
                <w:sz w:val="21"/>
                <w:szCs w:val="21"/>
              </w:rPr>
              <w:t> </w:t>
            </w:r>
            <w:r>
              <w:rPr>
                <w:rFonts w:ascii="宋体" w:hAnsi="宋体" w:cs="宋体" w:eastAsia="宋体" w:hint="default"/>
                <w:sz w:val="21"/>
                <w:szCs w:val="21"/>
              </w:rPr>
              <w:t>算比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33" w:right="29"/>
              <w:jc w:val="left"/>
              <w:rPr>
                <w:rFonts w:ascii="宋体" w:hAnsi="宋体" w:cs="宋体" w:eastAsia="宋体" w:hint="default"/>
                <w:sz w:val="21"/>
                <w:szCs w:val="21"/>
              </w:rPr>
            </w:pPr>
            <w:r>
              <w:rPr>
                <w:rFonts w:ascii="宋体" w:hAnsi="宋体" w:cs="宋体" w:eastAsia="宋体" w:hint="default"/>
                <w:sz w:val="21"/>
                <w:szCs w:val="21"/>
              </w:rPr>
              <w:t>工程</w:t>
            </w:r>
            <w:r>
              <w:rPr>
                <w:rFonts w:ascii="宋体" w:hAnsi="宋体" w:cs="宋体" w:eastAsia="宋体" w:hint="default"/>
                <w:spacing w:val="-103"/>
                <w:sz w:val="21"/>
                <w:szCs w:val="21"/>
              </w:rPr>
              <w:t> </w:t>
            </w:r>
            <w:r>
              <w:rPr>
                <w:rFonts w:ascii="宋体" w:hAnsi="宋体" w:cs="宋体" w:eastAsia="宋体" w:hint="default"/>
                <w:sz w:val="21"/>
                <w:szCs w:val="21"/>
              </w:rPr>
              <w:t>进度</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31" w:right="32"/>
              <w:jc w:val="both"/>
              <w:rPr>
                <w:rFonts w:ascii="宋体" w:hAnsi="宋体" w:cs="宋体" w:eastAsia="宋体" w:hint="default"/>
                <w:sz w:val="21"/>
                <w:szCs w:val="21"/>
              </w:rPr>
            </w:pPr>
            <w:r>
              <w:rPr>
                <w:rFonts w:ascii="宋体" w:hAnsi="宋体" w:cs="宋体" w:eastAsia="宋体" w:hint="default"/>
                <w:sz w:val="21"/>
                <w:szCs w:val="21"/>
              </w:rPr>
              <w:t>利息</w:t>
            </w:r>
            <w:r>
              <w:rPr>
                <w:rFonts w:ascii="宋体" w:hAnsi="宋体" w:cs="宋体" w:eastAsia="宋体" w:hint="default"/>
                <w:spacing w:val="-103"/>
                <w:sz w:val="21"/>
                <w:szCs w:val="21"/>
              </w:rPr>
              <w:t> </w:t>
            </w:r>
            <w:r>
              <w:rPr>
                <w:rFonts w:ascii="宋体" w:hAnsi="宋体" w:cs="宋体" w:eastAsia="宋体" w:hint="default"/>
                <w:sz w:val="21"/>
                <w:szCs w:val="21"/>
              </w:rPr>
              <w:t>资本</w:t>
            </w:r>
            <w:r>
              <w:rPr>
                <w:rFonts w:ascii="宋体" w:hAnsi="宋体" w:cs="宋体" w:eastAsia="宋体" w:hint="default"/>
                <w:spacing w:val="-103"/>
                <w:sz w:val="21"/>
                <w:szCs w:val="21"/>
              </w:rPr>
              <w:t> </w:t>
            </w:r>
            <w:r>
              <w:rPr>
                <w:rFonts w:ascii="宋体" w:hAnsi="宋体" w:cs="宋体" w:eastAsia="宋体" w:hint="default"/>
                <w:sz w:val="21"/>
                <w:szCs w:val="21"/>
              </w:rPr>
              <w:t>化累</w:t>
            </w:r>
            <w:r>
              <w:rPr>
                <w:rFonts w:ascii="宋体" w:hAnsi="宋体" w:cs="宋体" w:eastAsia="宋体" w:hint="default"/>
                <w:spacing w:val="-103"/>
                <w:sz w:val="21"/>
                <w:szCs w:val="21"/>
              </w:rPr>
              <w:t> </w:t>
            </w:r>
            <w:r>
              <w:rPr>
                <w:rFonts w:ascii="宋体" w:hAnsi="宋体" w:cs="宋体" w:eastAsia="宋体" w:hint="default"/>
                <w:sz w:val="21"/>
                <w:szCs w:val="21"/>
              </w:rPr>
              <w:t>计金</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28" w:right="24" w:hanging="5"/>
              <w:jc w:val="center"/>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w w:val="100"/>
                <w:sz w:val="21"/>
                <w:szCs w:val="21"/>
              </w:rPr>
              <w:t> </w:t>
            </w: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利息</w:t>
            </w:r>
            <w:r>
              <w:rPr>
                <w:rFonts w:ascii="宋体" w:hAnsi="宋体" w:cs="宋体" w:eastAsia="宋体" w:hint="default"/>
                <w:w w:val="100"/>
                <w:sz w:val="21"/>
                <w:szCs w:val="21"/>
              </w:rPr>
              <w:t> </w:t>
            </w:r>
            <w:r>
              <w:rPr>
                <w:rFonts w:ascii="宋体" w:hAnsi="宋体" w:cs="宋体" w:eastAsia="宋体" w:hint="default"/>
                <w:sz w:val="21"/>
                <w:szCs w:val="21"/>
              </w:rPr>
              <w:t>资本</w:t>
            </w:r>
            <w:r>
              <w:rPr>
                <w:rFonts w:ascii="宋体" w:hAnsi="宋体" w:cs="宋体" w:eastAsia="宋体" w:hint="default"/>
                <w:w w:val="100"/>
                <w:sz w:val="21"/>
                <w:szCs w:val="21"/>
              </w:rPr>
              <w:t> </w:t>
            </w:r>
            <w:r>
              <w:rPr>
                <w:rFonts w:ascii="宋体" w:hAnsi="宋体" w:cs="宋体" w:eastAsia="宋体" w:hint="default"/>
                <w:sz w:val="21"/>
                <w:szCs w:val="21"/>
              </w:rPr>
              <w:t>化金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35" w:right="36"/>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利息</w:t>
            </w:r>
            <w:r>
              <w:rPr>
                <w:rFonts w:ascii="宋体" w:hAnsi="宋体" w:cs="宋体" w:eastAsia="宋体" w:hint="default"/>
                <w:spacing w:val="-103"/>
                <w:sz w:val="21"/>
                <w:szCs w:val="21"/>
              </w:rPr>
              <w:t> </w:t>
            </w:r>
            <w:r>
              <w:rPr>
                <w:rFonts w:ascii="宋体" w:hAnsi="宋体" w:cs="宋体" w:eastAsia="宋体" w:hint="default"/>
                <w:sz w:val="21"/>
                <w:szCs w:val="21"/>
              </w:rPr>
              <w:t>资本</w:t>
            </w:r>
            <w:r>
              <w:rPr>
                <w:rFonts w:ascii="宋体" w:hAnsi="宋体" w:cs="宋体" w:eastAsia="宋体" w:hint="default"/>
                <w:spacing w:val="-103"/>
                <w:sz w:val="21"/>
                <w:szCs w:val="21"/>
              </w:rPr>
              <w:t> </w:t>
            </w:r>
            <w:r>
              <w:rPr>
                <w:rFonts w:ascii="宋体" w:hAnsi="宋体" w:cs="宋体" w:eastAsia="宋体" w:hint="default"/>
                <w:sz w:val="21"/>
                <w:szCs w:val="21"/>
              </w:rPr>
              <w:t>化率</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60" w:right="60"/>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来源</w:t>
            </w:r>
          </w:p>
        </w:tc>
      </w:tr>
      <w:tr>
        <w:trPr>
          <w:trHeight w:val="554"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生产用</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厂房</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pacing w:val="-1"/>
                <w:sz w:val="21"/>
              </w:rPr>
              <w:t>100,000,000.</w:t>
            </w:r>
          </w:p>
          <w:p>
            <w:pPr>
              <w:pStyle w:val="TableParagraph"/>
              <w:spacing w:line="274" w:lineRule="exact"/>
              <w:ind w:right="130"/>
              <w:jc w:val="right"/>
              <w:rPr>
                <w:rFonts w:ascii="宋体" w:hAnsi="宋体" w:cs="宋体" w:eastAsia="宋体" w:hint="default"/>
                <w:sz w:val="21"/>
                <w:szCs w:val="21"/>
              </w:rPr>
            </w:pPr>
            <w:r>
              <w:rPr>
                <w:rFonts w:ascii="宋体"/>
                <w:sz w:val="21"/>
              </w:rPr>
              <w:t>00</w:t>
            </w:r>
          </w:p>
        </w:tc>
        <w:tc>
          <w:tcPr>
            <w:tcW w:w="401"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217,403.77</w:t>
            </w:r>
          </w:p>
        </w:tc>
        <w:tc>
          <w:tcPr>
            <w:tcW w:w="49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217,403.77</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0.22</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center"/>
              <w:rPr>
                <w:rFonts w:ascii="宋体" w:hAnsi="宋体" w:cs="宋体" w:eastAsia="宋体" w:hint="default"/>
                <w:sz w:val="21"/>
                <w:szCs w:val="21"/>
              </w:rPr>
            </w:pPr>
            <w:r>
              <w:rPr>
                <w:rFonts w:ascii="宋体"/>
                <w:sz w:val="21"/>
              </w:rPr>
              <w:t>0.22</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 w:right="0"/>
              <w:jc w:val="left"/>
              <w:rPr>
                <w:rFonts w:ascii="宋体" w:hAnsi="宋体" w:cs="宋体" w:eastAsia="宋体" w:hint="default"/>
                <w:sz w:val="21"/>
                <w:szCs w:val="21"/>
              </w:rPr>
            </w:pPr>
            <w:r>
              <w:rPr>
                <w:rFonts w:ascii="宋体"/>
                <w:sz w:val="21"/>
              </w:rPr>
              <w:t>0.00</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0.00</w:t>
            </w:r>
          </w:p>
        </w:tc>
        <w:tc>
          <w:tcPr>
            <w:tcW w:w="506"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募集</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资金</w:t>
            </w:r>
          </w:p>
        </w:tc>
      </w:tr>
      <w:tr>
        <w:trPr>
          <w:trHeight w:val="557"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
              <w:jc w:val="right"/>
              <w:rPr>
                <w:rFonts w:ascii="宋体" w:hAnsi="宋体" w:cs="宋体" w:eastAsia="宋体" w:hint="default"/>
                <w:sz w:val="21"/>
                <w:szCs w:val="21"/>
              </w:rPr>
            </w:pPr>
            <w:r>
              <w:rPr>
                <w:rFonts w:ascii="宋体"/>
                <w:spacing w:val="-1"/>
                <w:sz w:val="21"/>
              </w:rPr>
              <w:t>100,000,000.</w:t>
            </w:r>
          </w:p>
          <w:p>
            <w:pPr>
              <w:pStyle w:val="TableParagraph"/>
              <w:spacing w:line="273" w:lineRule="exact"/>
              <w:ind w:right="130"/>
              <w:jc w:val="right"/>
              <w:rPr>
                <w:rFonts w:ascii="宋体" w:hAnsi="宋体" w:cs="宋体" w:eastAsia="宋体" w:hint="default"/>
                <w:sz w:val="21"/>
                <w:szCs w:val="21"/>
              </w:rPr>
            </w:pPr>
            <w:r>
              <w:rPr>
                <w:rFonts w:ascii="宋体"/>
                <w:sz w:val="21"/>
              </w:rPr>
              <w:t>00</w:t>
            </w:r>
          </w:p>
        </w:tc>
        <w:tc>
          <w:tcPr>
            <w:tcW w:w="401"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217,403.77</w:t>
            </w:r>
          </w:p>
        </w:tc>
        <w:tc>
          <w:tcPr>
            <w:tcW w:w="49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217,403.77</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1"/>
              <w:jc w:val="right"/>
              <w:rPr>
                <w:rFonts w:ascii="宋体" w:hAnsi="宋体" w:cs="宋体" w:eastAsia="宋体" w:hint="default"/>
                <w:sz w:val="21"/>
                <w:szCs w:val="21"/>
              </w:rPr>
            </w:pPr>
            <w:r>
              <w:rPr>
                <w:rFonts w:ascii="宋体"/>
                <w:sz w:val="21"/>
              </w:rPr>
              <w:t>0.22</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0.22</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8" w:right="0"/>
              <w:jc w:val="left"/>
              <w:rPr>
                <w:rFonts w:ascii="宋体" w:hAnsi="宋体" w:cs="宋体" w:eastAsia="宋体" w:hint="default"/>
                <w:sz w:val="21"/>
                <w:szCs w:val="21"/>
              </w:rPr>
            </w:pPr>
            <w:r>
              <w:rPr>
                <w:rFonts w:ascii="宋体"/>
                <w:sz w:val="21"/>
              </w:rPr>
              <w:t>0.00</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sz w:val="21"/>
              </w:rPr>
              <w:t>0.00</w:t>
            </w:r>
          </w:p>
        </w:tc>
        <w:tc>
          <w:tcPr>
            <w:tcW w:w="506"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募集</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资金</w:t>
            </w:r>
          </w:p>
        </w:tc>
      </w:tr>
    </w:tbl>
    <w:p>
      <w:pPr>
        <w:spacing w:line="240" w:lineRule="auto" w:before="13"/>
        <w:rPr>
          <w:rFonts w:ascii="宋体" w:hAnsi="宋体" w:cs="宋体" w:eastAsia="宋体" w:hint="default"/>
          <w:sz w:val="19"/>
          <w:szCs w:val="19"/>
        </w:rPr>
      </w:pPr>
    </w:p>
    <w:p>
      <w:pPr>
        <w:pStyle w:val="Heading2"/>
        <w:spacing w:line="240" w:lineRule="auto" w:before="36"/>
        <w:ind w:left="138" w:right="98"/>
        <w:jc w:val="left"/>
        <w:rPr>
          <w:b w:val="0"/>
          <w:bCs w:val="0"/>
        </w:rPr>
      </w:pPr>
      <w:r>
        <w:rPr>
          <w:rFonts w:ascii="宋体" w:hAnsi="宋体" w:cs="宋体" w:eastAsia="宋体" w:hint="default"/>
        </w:rPr>
        <w:t>(3).</w:t>
      </w:r>
      <w:r>
        <w:rPr>
          <w:rFonts w:ascii="宋体" w:hAnsi="宋体" w:cs="宋体" w:eastAsia="宋体" w:hint="default"/>
          <w:spacing w:val="57"/>
        </w:rPr>
        <w:t> </w:t>
      </w:r>
      <w:r>
        <w:rPr/>
        <w:t>本期计提在建工程减值准备情况：</w:t>
      </w:r>
      <w:r>
        <w:rPr>
          <w:b w:val="0"/>
          <w:bCs w:val="0"/>
        </w:rPr>
      </w:r>
    </w:p>
    <w:p>
      <w:pPr>
        <w:pStyle w:val="BodyText"/>
        <w:spacing w:line="272" w:lineRule="exact" w:before="86"/>
        <w:ind w:right="7454"/>
        <w:jc w:val="left"/>
      </w:pPr>
      <w:r>
        <w:rPr/>
        <w:t>□适用</w:t>
      </w:r>
      <w:r>
        <w:rPr>
          <w:spacing w:val="-1"/>
        </w:rPr>
        <w:t> </w:t>
      </w:r>
      <w:r>
        <w:rPr/>
        <w:t>√不适用</w:t>
      </w:r>
      <w:r>
        <w:rPr>
          <w:w w:val="100"/>
        </w:rPr>
        <w:t> </w:t>
      </w:r>
      <w:r>
        <w:rPr/>
        <w:t>其他说明</w:t>
      </w:r>
    </w:p>
    <w:p>
      <w:pPr>
        <w:pStyle w:val="BodyText"/>
        <w:spacing w:line="249" w:lineRule="exact"/>
        <w:ind w:right="98"/>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98"/>
        <w:jc w:val="left"/>
        <w:rPr>
          <w:b w:val="0"/>
          <w:bCs w:val="0"/>
        </w:rPr>
      </w:pPr>
      <w:r>
        <w:rPr>
          <w:rFonts w:ascii="宋体" w:hAnsi="宋体" w:cs="宋体" w:eastAsia="宋体" w:hint="default"/>
        </w:rPr>
        <w:t>21</w:t>
      </w:r>
      <w:r>
        <w:rPr/>
        <w:t>、</w:t>
      </w:r>
      <w:r>
        <w:rPr>
          <w:spacing w:val="-25"/>
        </w:rPr>
        <w:t> </w:t>
      </w:r>
      <w:r>
        <w:rPr/>
        <w:t>工程物资</w:t>
      </w:r>
      <w:r>
        <w:rPr>
          <w:b w:val="0"/>
          <w:bCs w:val="0"/>
        </w:rPr>
      </w:r>
    </w:p>
    <w:p>
      <w:pPr>
        <w:pStyle w:val="BodyText"/>
        <w:spacing w:line="240" w:lineRule="auto" w:before="56"/>
        <w:ind w:right="98"/>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98"/>
        <w:jc w:val="left"/>
        <w:rPr>
          <w:b w:val="0"/>
          <w:bCs w:val="0"/>
        </w:rPr>
      </w:pPr>
      <w:r>
        <w:rPr>
          <w:rFonts w:ascii="宋体" w:hAnsi="宋体" w:cs="宋体" w:eastAsia="宋体" w:hint="default"/>
        </w:rPr>
        <w:t>22</w:t>
      </w:r>
      <w:r>
        <w:rPr/>
        <w:t>、</w:t>
      </w:r>
      <w:r>
        <w:rPr>
          <w:spacing w:val="-24"/>
        </w:rPr>
        <w:t> </w:t>
      </w:r>
      <w:r>
        <w:rPr/>
        <w:t>固定资产清理</w:t>
      </w:r>
      <w:r>
        <w:rPr>
          <w:b w:val="0"/>
          <w:bCs w:val="0"/>
        </w:rPr>
      </w:r>
    </w:p>
    <w:p>
      <w:pPr>
        <w:pStyle w:val="BodyText"/>
        <w:spacing w:line="240" w:lineRule="auto" w:before="56"/>
        <w:ind w:right="98"/>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98"/>
        <w:jc w:val="left"/>
        <w:rPr>
          <w:b w:val="0"/>
          <w:bCs w:val="0"/>
        </w:rPr>
      </w:pPr>
      <w:r>
        <w:rPr>
          <w:rFonts w:ascii="宋体" w:hAnsi="宋体" w:cs="宋体" w:eastAsia="宋体" w:hint="default"/>
        </w:rPr>
        <w:t>23</w:t>
      </w:r>
      <w:r>
        <w:rPr/>
        <w:t>、</w:t>
      </w:r>
      <w:r>
        <w:rPr>
          <w:spacing w:val="-24"/>
        </w:rPr>
        <w:t> </w:t>
      </w:r>
      <w:r>
        <w:rPr/>
        <w:t>生产性生物资产</w:t>
      </w:r>
      <w:r>
        <w:rPr>
          <w:b w:val="0"/>
          <w:bCs w:val="0"/>
        </w:rPr>
      </w:r>
    </w:p>
    <w:p>
      <w:pPr>
        <w:pStyle w:val="Heading2"/>
        <w:spacing w:line="240" w:lineRule="auto" w:before="58"/>
        <w:ind w:left="138" w:right="98"/>
        <w:jc w:val="left"/>
        <w:rPr>
          <w:b w:val="0"/>
          <w:bCs w:val="0"/>
        </w:rPr>
      </w:pPr>
      <w:r>
        <w:rPr>
          <w:rFonts w:ascii="宋体" w:hAnsi="宋体" w:cs="宋体" w:eastAsia="宋体" w:hint="default"/>
        </w:rPr>
        <w:t>(1).</w:t>
      </w:r>
      <w:r>
        <w:rPr>
          <w:rFonts w:ascii="宋体" w:hAnsi="宋体" w:cs="宋体" w:eastAsia="宋体" w:hint="default"/>
          <w:spacing w:val="73"/>
        </w:rPr>
        <w:t> </w:t>
      </w:r>
      <w:r>
        <w:rPr/>
        <w:t>采用成本计量模式的生产性生物资产</w:t>
      </w:r>
      <w:r>
        <w:rPr>
          <w:b w:val="0"/>
          <w:bCs w:val="0"/>
        </w:rPr>
      </w:r>
    </w:p>
    <w:p>
      <w:pPr>
        <w:pStyle w:val="BodyText"/>
        <w:spacing w:line="240" w:lineRule="auto" w:before="56"/>
        <w:ind w:right="98"/>
        <w:jc w:val="left"/>
      </w:pPr>
      <w:r>
        <w:rPr/>
        <w:t>□适用</w:t>
      </w:r>
      <w:r>
        <w:rPr>
          <w:spacing w:val="-1"/>
        </w:rPr>
        <w:t> </w:t>
      </w:r>
      <w:r>
        <w:rPr/>
        <w:t>√不适用</w:t>
      </w:r>
    </w:p>
    <w:p>
      <w:pPr>
        <w:pStyle w:val="Heading2"/>
        <w:spacing w:line="240" w:lineRule="auto" w:before="58"/>
        <w:ind w:left="138" w:right="98"/>
        <w:jc w:val="left"/>
        <w:rPr>
          <w:b w:val="0"/>
          <w:bCs w:val="0"/>
        </w:rPr>
      </w:pPr>
      <w:r>
        <w:rPr>
          <w:rFonts w:ascii="宋体" w:hAnsi="宋体" w:cs="宋体" w:eastAsia="宋体" w:hint="default"/>
        </w:rPr>
        <w:t>(2).</w:t>
      </w:r>
      <w:r>
        <w:rPr>
          <w:rFonts w:ascii="宋体" w:hAnsi="宋体" w:cs="宋体" w:eastAsia="宋体" w:hint="default"/>
          <w:spacing w:val="73"/>
        </w:rPr>
        <w:t> </w:t>
      </w:r>
      <w:r>
        <w:rPr/>
        <w:t>采用公允价值计量模式的生产性生物资产</w:t>
      </w:r>
      <w:r>
        <w:rPr>
          <w:b w:val="0"/>
          <w:bCs w:val="0"/>
        </w:rPr>
      </w:r>
    </w:p>
    <w:p>
      <w:pPr>
        <w:pStyle w:val="BodyText"/>
        <w:spacing w:line="240" w:lineRule="auto" w:before="56"/>
        <w:ind w:right="7454"/>
        <w:jc w:val="left"/>
      </w:pPr>
      <w:r>
        <w:rPr/>
        <w:t>□适用</w:t>
      </w:r>
      <w:r>
        <w:rPr>
          <w:spacing w:val="-1"/>
        </w:rPr>
        <w:t> </w:t>
      </w:r>
      <w:r>
        <w:rPr/>
        <w:t>√不适用</w:t>
      </w:r>
      <w:r>
        <w:rPr>
          <w:w w:val="100"/>
        </w:rPr>
        <w:t> </w:t>
      </w:r>
      <w:r>
        <w:rPr/>
        <w:t>其他说明</w:t>
      </w:r>
    </w:p>
    <w:p>
      <w:pPr>
        <w:pStyle w:val="BodyText"/>
        <w:spacing w:line="271" w:lineRule="exact"/>
        <w:ind w:right="98"/>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98"/>
        <w:jc w:val="left"/>
        <w:rPr>
          <w:b w:val="0"/>
          <w:bCs w:val="0"/>
        </w:rPr>
      </w:pPr>
      <w:r>
        <w:rPr>
          <w:rFonts w:ascii="宋体" w:hAnsi="宋体" w:cs="宋体" w:eastAsia="宋体" w:hint="default"/>
        </w:rPr>
        <w:t>24</w:t>
      </w:r>
      <w:r>
        <w:rPr/>
        <w:t>、</w:t>
      </w:r>
      <w:r>
        <w:rPr>
          <w:spacing w:val="-25"/>
        </w:rPr>
        <w:t> </w:t>
      </w:r>
      <w:r>
        <w:rPr/>
        <w:t>油气资产</w:t>
      </w:r>
      <w:r>
        <w:rPr>
          <w:b w:val="0"/>
          <w:bCs w:val="0"/>
        </w:rPr>
      </w:r>
    </w:p>
    <w:p>
      <w:pPr>
        <w:pStyle w:val="BodyText"/>
        <w:spacing w:line="240" w:lineRule="auto" w:before="59"/>
        <w:ind w:right="98"/>
        <w:jc w:val="left"/>
      </w:pPr>
      <w:r>
        <w:rPr/>
        <w:t>□适用</w:t>
      </w:r>
      <w:r>
        <w:rPr>
          <w:spacing w:val="-1"/>
        </w:rPr>
        <w:t> </w:t>
      </w:r>
      <w:r>
        <w:rPr/>
        <w:t>√不适用</w:t>
      </w:r>
    </w:p>
    <w:p>
      <w:pPr>
        <w:spacing w:after="0" w:line="240" w:lineRule="auto"/>
        <w:jc w:val="left"/>
        <w:sectPr>
          <w:type w:val="continuous"/>
          <w:pgSz w:w="11910" w:h="16840"/>
          <w:pgMar w:top="1120" w:bottom="1380" w:left="1660" w:right="106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2"/>
        <w:spacing w:line="240" w:lineRule="auto" w:before="36"/>
        <w:ind w:right="-20"/>
        <w:jc w:val="left"/>
        <w:rPr>
          <w:b w:val="0"/>
          <w:bCs w:val="0"/>
        </w:rPr>
      </w:pPr>
      <w:r>
        <w:rPr>
          <w:rFonts w:ascii="宋体" w:hAnsi="宋体" w:cs="宋体" w:eastAsia="宋体" w:hint="default"/>
        </w:rPr>
        <w:t>25</w:t>
      </w:r>
      <w:r>
        <w:rPr/>
        <w:t>、</w:t>
      </w:r>
      <w:r>
        <w:rPr>
          <w:spacing w:val="-25"/>
        </w:rPr>
        <w:t> </w:t>
      </w:r>
      <w:r>
        <w:rPr/>
        <w:t>无形资产</w:t>
      </w:r>
      <w:r>
        <w:rPr>
          <w:b w:val="0"/>
          <w:bCs w:val="0"/>
        </w:rPr>
      </w:r>
    </w:p>
    <w:p>
      <w:pPr>
        <w:pStyle w:val="Heading2"/>
        <w:spacing w:line="240" w:lineRule="auto" w:before="58"/>
        <w:ind w:right="-20"/>
        <w:jc w:val="left"/>
        <w:rPr>
          <w:b w:val="0"/>
          <w:bCs w:val="0"/>
        </w:rPr>
      </w:pPr>
      <w:r>
        <w:rPr>
          <w:rFonts w:ascii="宋体" w:hAnsi="宋体" w:cs="宋体" w:eastAsia="宋体" w:hint="default"/>
        </w:rPr>
        <w:t>(1).</w:t>
      </w:r>
      <w:r>
        <w:rPr>
          <w:rFonts w:ascii="宋体" w:hAnsi="宋体" w:cs="宋体" w:eastAsia="宋体" w:hint="default"/>
          <w:spacing w:val="75"/>
        </w:rPr>
        <w:t> </w:t>
      </w:r>
      <w:r>
        <w:rPr/>
        <w:t>无形资产情况</w:t>
      </w:r>
      <w:r>
        <w:rPr>
          <w:b w:val="0"/>
          <w:bCs w:val="0"/>
        </w:rPr>
      </w:r>
    </w:p>
    <w:p>
      <w:pPr>
        <w:pStyle w:val="BodyText"/>
        <w:tabs>
          <w:tab w:pos="1163" w:val="left" w:leader="none"/>
        </w:tabs>
        <w:spacing w:line="240" w:lineRule="auto" w:before="56"/>
        <w:ind w:left="218" w:right="-2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88" w:space="4434"/>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96"/>
        <w:gridCol w:w="1582"/>
        <w:gridCol w:w="1280"/>
        <w:gridCol w:w="1236"/>
        <w:gridCol w:w="1477"/>
        <w:gridCol w:w="1579"/>
      </w:tblGrid>
      <w:tr>
        <w:trPr>
          <w:trHeight w:val="554"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9"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9"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非专利技</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术</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软件</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22,972,464.00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805,394.56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23,777,858.56</w:t>
            </w:r>
          </w:p>
        </w:tc>
      </w:tr>
      <w:tr>
        <w:trPr>
          <w:trHeight w:val="554"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2,460,473.97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2,460,473.97</w:t>
            </w:r>
          </w:p>
        </w:tc>
      </w:tr>
      <w:tr>
        <w:trPr>
          <w:trHeight w:val="351"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2,460,473.97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2,460,473.97</w:t>
            </w:r>
          </w:p>
        </w:tc>
      </w:tr>
      <w:tr>
        <w:trPr>
          <w:trHeight w:val="554"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内部研</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发</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并增加</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5"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9"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22,972,464.00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3,265,868.53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26,238,332.53</w:t>
            </w:r>
          </w:p>
        </w:tc>
      </w:tr>
      <w:tr>
        <w:trPr>
          <w:trHeight w:val="351"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3,599,019.36</w:t>
            </w:r>
          </w:p>
        </w:tc>
        <w:tc>
          <w:tcPr>
            <w:tcW w:w="128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419,926.24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4,018,945.60</w:t>
            </w:r>
          </w:p>
        </w:tc>
      </w:tr>
      <w:tr>
        <w:trPr>
          <w:trHeight w:val="554"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459,449.40</w:t>
            </w:r>
          </w:p>
        </w:tc>
        <w:tc>
          <w:tcPr>
            <w:tcW w:w="128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433,428.03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892,877.43</w:t>
            </w:r>
          </w:p>
        </w:tc>
      </w:tr>
      <w:tr>
        <w:trPr>
          <w:trHeight w:val="350"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459,449.40</w:t>
            </w:r>
          </w:p>
        </w:tc>
        <w:tc>
          <w:tcPr>
            <w:tcW w:w="128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433,428.03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892,877.43</w:t>
            </w:r>
          </w:p>
        </w:tc>
      </w:tr>
      <w:tr>
        <w:trPr>
          <w:trHeight w:val="283" w:hRule="exact"/>
        </w:trPr>
        <w:tc>
          <w:tcPr>
            <w:tcW w:w="18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3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4,058,468.76</w:t>
            </w:r>
          </w:p>
        </w:tc>
        <w:tc>
          <w:tcPr>
            <w:tcW w:w="128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853,354.27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4,911,823.03</w:t>
            </w:r>
          </w:p>
        </w:tc>
      </w:tr>
      <w:tr>
        <w:trPr>
          <w:trHeight w:val="351"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18,913,995.24</w:t>
            </w:r>
          </w:p>
        </w:tc>
        <w:tc>
          <w:tcPr>
            <w:tcW w:w="128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2,412,514.26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21,326,509.50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896"/>
        <w:gridCol w:w="1582"/>
        <w:gridCol w:w="1280"/>
        <w:gridCol w:w="1236"/>
        <w:gridCol w:w="1477"/>
        <w:gridCol w:w="1579"/>
      </w:tblGrid>
      <w:tr>
        <w:trPr>
          <w:trHeight w:val="351"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19,373,444.64</w:t>
            </w:r>
          </w:p>
        </w:tc>
        <w:tc>
          <w:tcPr>
            <w:tcW w:w="128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sz w:val="21"/>
              </w:rPr>
              <w:t>385,468.32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19,758,912.96</w:t>
            </w:r>
          </w:p>
        </w:tc>
      </w:tr>
    </w:tbl>
    <w:p>
      <w:pPr>
        <w:spacing w:line="240" w:lineRule="auto" w:before="5"/>
        <w:rPr>
          <w:rFonts w:ascii="宋体" w:hAnsi="宋体" w:cs="宋体" w:eastAsia="宋体" w:hint="default"/>
          <w:sz w:val="15"/>
          <w:szCs w:val="15"/>
        </w:rPr>
      </w:pPr>
    </w:p>
    <w:p>
      <w:pPr>
        <w:pStyle w:val="BodyText"/>
        <w:spacing w:line="240" w:lineRule="auto" w:before="36"/>
        <w:ind w:left="218" w:right="227"/>
        <w:jc w:val="left"/>
        <w:rPr>
          <w:rFonts w:ascii="宋体" w:hAnsi="宋体" w:cs="宋体" w:eastAsia="宋体" w:hint="default"/>
        </w:rPr>
      </w:pPr>
      <w:r>
        <w:rPr>
          <w:spacing w:val="-2"/>
        </w:rPr>
        <w:t>本期末通过公司内部研发形成的无形资产占无形资产余额的比例</w:t>
      </w:r>
      <w:r>
        <w:rPr>
          <w:spacing w:val="1"/>
        </w:rPr>
        <w:t> </w:t>
      </w:r>
      <w:r>
        <w:rPr>
          <w:rFonts w:ascii="宋体" w:hAnsi="宋体" w:cs="宋体" w:eastAsia="宋体" w:hint="default"/>
        </w:rPr>
        <w:t>0</w:t>
      </w:r>
    </w:p>
    <w:p>
      <w:pPr>
        <w:spacing w:line="240" w:lineRule="auto" w:before="3"/>
        <w:rPr>
          <w:rFonts w:ascii="宋体" w:hAnsi="宋体" w:cs="宋体" w:eastAsia="宋体" w:hint="default"/>
          <w:sz w:val="25"/>
          <w:szCs w:val="25"/>
        </w:rPr>
      </w:pPr>
    </w:p>
    <w:p>
      <w:pPr>
        <w:pStyle w:val="Heading2"/>
        <w:spacing w:line="240" w:lineRule="auto"/>
        <w:ind w:right="3084"/>
        <w:jc w:val="left"/>
        <w:rPr>
          <w:b w:val="0"/>
          <w:bCs w:val="0"/>
        </w:rPr>
      </w:pPr>
      <w:r>
        <w:rPr>
          <w:rFonts w:ascii="宋体" w:hAnsi="宋体" w:cs="宋体" w:eastAsia="宋体" w:hint="default"/>
        </w:rPr>
        <w:t>(2).</w:t>
      </w:r>
      <w:r>
        <w:rPr>
          <w:rFonts w:ascii="宋体" w:hAnsi="宋体" w:cs="宋体" w:eastAsia="宋体" w:hint="default"/>
          <w:spacing w:val="73"/>
        </w:rPr>
        <w:t> </w:t>
      </w:r>
      <w:r>
        <w:rPr/>
        <w:t>未办妥产权证书的土地使用权情况：</w:t>
      </w:r>
      <w:r>
        <w:rPr>
          <w:b w:val="0"/>
          <w:bCs w:val="0"/>
        </w:rPr>
      </w:r>
    </w:p>
    <w:p>
      <w:pPr>
        <w:pStyle w:val="BodyText"/>
        <w:spacing w:line="240" w:lineRule="auto" w:before="56"/>
        <w:ind w:left="218" w:right="7474"/>
        <w:jc w:val="left"/>
      </w:pPr>
      <w:r>
        <w:rPr/>
        <w:t>□适用</w:t>
      </w:r>
      <w:r>
        <w:rPr>
          <w:spacing w:val="-1"/>
        </w:rPr>
        <w:t> </w:t>
      </w:r>
      <w:r>
        <w:rPr/>
        <w:t>√不适用</w:t>
      </w:r>
      <w:r>
        <w:rPr>
          <w:w w:val="100"/>
        </w:rPr>
        <w:t> </w:t>
      </w:r>
      <w:r>
        <w:rPr/>
        <w:t>其他说明：</w:t>
      </w:r>
    </w:p>
    <w:p>
      <w:pPr>
        <w:pStyle w:val="BodyText"/>
        <w:spacing w:line="271" w:lineRule="exact"/>
        <w:ind w:left="218" w:right="3084"/>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before="36"/>
        <w:ind w:right="-18"/>
        <w:jc w:val="left"/>
        <w:rPr>
          <w:b w:val="0"/>
          <w:bCs w:val="0"/>
        </w:rPr>
      </w:pPr>
      <w:r>
        <w:rPr>
          <w:rFonts w:ascii="宋体" w:hAnsi="宋体" w:cs="宋体" w:eastAsia="宋体" w:hint="default"/>
        </w:rPr>
        <w:t>26</w:t>
      </w:r>
      <w:r>
        <w:rPr/>
        <w:t>、</w:t>
      </w:r>
      <w:r>
        <w:rPr>
          <w:spacing w:val="-25"/>
        </w:rPr>
        <w:t> </w:t>
      </w:r>
      <w:r>
        <w:rPr/>
        <w:t>开发支出</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39"/>
        <w:gridCol w:w="1453"/>
        <w:gridCol w:w="881"/>
        <w:gridCol w:w="1666"/>
        <w:gridCol w:w="1454"/>
        <w:gridCol w:w="893"/>
        <w:gridCol w:w="1663"/>
      </w:tblGrid>
      <w:tr>
        <w:trPr>
          <w:trHeight w:val="281" w:hRule="exact"/>
        </w:trPr>
        <w:tc>
          <w:tcPr>
            <w:tcW w:w="103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453" w:type="dxa"/>
            <w:vMerge w:val="restart"/>
            <w:tcBorders>
              <w:top w:val="single" w:sz="4" w:space="0" w:color="000000"/>
              <w:left w:val="single" w:sz="4" w:space="0" w:color="000000"/>
              <w:right w:val="single" w:sz="4" w:space="0" w:color="000000"/>
            </w:tcBorders>
          </w:tcPr>
          <w:p>
            <w:pPr>
              <w:pStyle w:val="TableParagraph"/>
              <w:spacing w:line="272" w:lineRule="exact" w:before="135"/>
              <w:ind w:left="508" w:right="509"/>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25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6"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663" w:type="dxa"/>
            <w:vMerge w:val="restart"/>
            <w:tcBorders>
              <w:top w:val="single" w:sz="4" w:space="0" w:color="000000"/>
              <w:left w:val="single" w:sz="4" w:space="0" w:color="000000"/>
              <w:right w:val="single" w:sz="4" w:space="0" w:color="000000"/>
            </w:tcBorders>
          </w:tcPr>
          <w:p>
            <w:pPr>
              <w:pStyle w:val="TableParagraph"/>
              <w:spacing w:line="272" w:lineRule="exact" w:before="135"/>
              <w:ind w:left="616" w:right="612"/>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r>
      <w:tr>
        <w:trPr>
          <w:trHeight w:val="557" w:hRule="exact"/>
        </w:trPr>
        <w:tc>
          <w:tcPr>
            <w:tcW w:w="1039" w:type="dxa"/>
            <w:vMerge/>
            <w:tcBorders>
              <w:left w:val="single" w:sz="4" w:space="0" w:color="000000"/>
              <w:bottom w:val="single" w:sz="4" w:space="0" w:color="000000"/>
              <w:right w:val="single" w:sz="4" w:space="0" w:color="000000"/>
            </w:tcBorders>
          </w:tcPr>
          <w:p>
            <w:pPr/>
          </w:p>
        </w:tc>
        <w:tc>
          <w:tcPr>
            <w:tcW w:w="1453" w:type="dxa"/>
            <w:vMerge/>
            <w:tcBorders>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内部开</w:t>
            </w:r>
          </w:p>
          <w:p>
            <w:pPr>
              <w:pStyle w:val="TableParagraph"/>
              <w:spacing w:line="273" w:lineRule="exact"/>
              <w:ind w:left="120" w:right="0"/>
              <w:jc w:val="left"/>
              <w:rPr>
                <w:rFonts w:ascii="宋体" w:hAnsi="宋体" w:cs="宋体" w:eastAsia="宋体" w:hint="default"/>
                <w:sz w:val="21"/>
                <w:szCs w:val="21"/>
              </w:rPr>
            </w:pPr>
            <w:r>
              <w:rPr>
                <w:rFonts w:ascii="宋体" w:hAnsi="宋体" w:cs="宋体" w:eastAsia="宋体" w:hint="default"/>
                <w:sz w:val="21"/>
                <w:szCs w:val="21"/>
              </w:rPr>
              <w:t>发支出</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确认为无形</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资产</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转入当</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期损益</w:t>
            </w:r>
          </w:p>
        </w:tc>
        <w:tc>
          <w:tcPr>
            <w:tcW w:w="1663" w:type="dxa"/>
            <w:vMerge/>
            <w:tcBorders>
              <w:left w:val="single" w:sz="4" w:space="0" w:color="000000"/>
              <w:bottom w:val="single" w:sz="4" w:space="0" w:color="000000"/>
              <w:right w:val="single" w:sz="4" w:space="0" w:color="000000"/>
            </w:tcBorders>
          </w:tcPr>
          <w:p>
            <w:pPr/>
          </w:p>
        </w:tc>
      </w:tr>
      <w:tr>
        <w:trPr>
          <w:trHeight w:val="554" w:hRule="exact"/>
        </w:trPr>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ERP</w:t>
            </w:r>
            <w:r>
              <w:rPr>
                <w:rFonts w:ascii="宋体" w:hAnsi="宋体" w:cs="宋体" w:eastAsia="宋体" w:hint="default"/>
                <w:spacing w:val="-49"/>
                <w:sz w:val="21"/>
                <w:szCs w:val="21"/>
              </w:rPr>
              <w:t> </w:t>
            </w:r>
            <w:r>
              <w:rPr>
                <w:rFonts w:ascii="宋体" w:hAnsi="宋体" w:cs="宋体" w:eastAsia="宋体" w:hint="default"/>
                <w:spacing w:val="-3"/>
                <w:sz w:val="21"/>
                <w:szCs w:val="21"/>
              </w:rPr>
              <w:t>系统</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848,511.01</w:t>
            </w:r>
          </w:p>
        </w:tc>
        <w:tc>
          <w:tcPr>
            <w:tcW w:w="88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145,441.62</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993,952.63</w:t>
            </w:r>
          </w:p>
        </w:tc>
        <w:tc>
          <w:tcPr>
            <w:tcW w:w="893"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生命周</w:t>
            </w:r>
          </w:p>
          <w:p>
            <w:pPr>
              <w:pStyle w:val="TableParagraph"/>
              <w:spacing w:line="240" w:lineRule="auto"/>
              <w:ind w:left="103" w:right="290"/>
              <w:jc w:val="left"/>
              <w:rPr>
                <w:rFonts w:ascii="宋体" w:hAnsi="宋体" w:cs="宋体" w:eastAsia="宋体" w:hint="default"/>
                <w:sz w:val="21"/>
                <w:szCs w:val="21"/>
              </w:rPr>
            </w:pPr>
            <w:r>
              <w:rPr>
                <w:rFonts w:ascii="宋体" w:hAnsi="宋体" w:cs="宋体" w:eastAsia="宋体" w:hint="default"/>
                <w:sz w:val="21"/>
                <w:szCs w:val="21"/>
              </w:rPr>
              <w:t>期系统</w:t>
            </w:r>
            <w:r>
              <w:rPr>
                <w:rFonts w:ascii="宋体" w:hAnsi="宋体" w:cs="宋体" w:eastAsia="宋体" w:hint="default"/>
                <w:spacing w:val="-102"/>
                <w:sz w:val="21"/>
                <w:szCs w:val="21"/>
              </w:rPr>
              <w:t> </w:t>
            </w:r>
            <w:r>
              <w:rPr>
                <w:rFonts w:ascii="宋体" w:hAnsi="宋体" w:cs="宋体" w:eastAsia="宋体" w:hint="default"/>
                <w:sz w:val="21"/>
                <w:szCs w:val="21"/>
              </w:rPr>
              <w:t>软件</w:t>
            </w:r>
          </w:p>
        </w:tc>
        <w:tc>
          <w:tcPr>
            <w:tcW w:w="145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2,215,671.93</w:t>
            </w:r>
          </w:p>
        </w:tc>
        <w:tc>
          <w:tcPr>
            <w:tcW w:w="145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2,215,671.93</w:t>
            </w:r>
          </w:p>
        </w:tc>
      </w:tr>
      <w:tr>
        <w:trPr>
          <w:trHeight w:val="284" w:hRule="exact"/>
        </w:trPr>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848,511.01</w:t>
            </w:r>
          </w:p>
        </w:tc>
        <w:tc>
          <w:tcPr>
            <w:tcW w:w="88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2,361,113.55</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993,952.63</w:t>
            </w:r>
          </w:p>
        </w:tc>
        <w:tc>
          <w:tcPr>
            <w:tcW w:w="893"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2,215,671.93</w:t>
            </w:r>
          </w:p>
        </w:tc>
      </w:tr>
    </w:tbl>
    <w:p>
      <w:pPr>
        <w:spacing w:line="240" w:lineRule="auto" w:before="7"/>
        <w:rPr>
          <w:rFonts w:ascii="宋体" w:hAnsi="宋体" w:cs="宋体" w:eastAsia="宋体" w:hint="default"/>
          <w:sz w:val="15"/>
          <w:szCs w:val="15"/>
        </w:rPr>
      </w:pPr>
    </w:p>
    <w:p>
      <w:pPr>
        <w:pStyle w:val="BodyText"/>
        <w:spacing w:line="273" w:lineRule="exact" w:before="36"/>
        <w:ind w:left="218" w:right="3084"/>
        <w:jc w:val="left"/>
      </w:pPr>
      <w:r>
        <w:rPr/>
        <w:t>其他说明</w:t>
      </w:r>
    </w:p>
    <w:p>
      <w:pPr>
        <w:pStyle w:val="BodyText"/>
        <w:spacing w:line="273" w:lineRule="exact"/>
        <w:ind w:left="638" w:right="3084"/>
        <w:jc w:val="left"/>
      </w:pPr>
      <w:r>
        <w:rPr>
          <w:w w:val="100"/>
        </w:rPr>
        <w:t>无</w:t>
      </w:r>
    </w:p>
    <w:p>
      <w:pPr>
        <w:spacing w:line="240" w:lineRule="auto" w:before="3"/>
        <w:rPr>
          <w:rFonts w:ascii="宋体" w:hAnsi="宋体" w:cs="宋体" w:eastAsia="宋体" w:hint="default"/>
          <w:sz w:val="25"/>
          <w:szCs w:val="25"/>
        </w:rPr>
      </w:pPr>
    </w:p>
    <w:p>
      <w:pPr>
        <w:pStyle w:val="Heading2"/>
        <w:spacing w:line="240" w:lineRule="auto"/>
        <w:ind w:right="3084"/>
        <w:jc w:val="left"/>
        <w:rPr>
          <w:b w:val="0"/>
          <w:bCs w:val="0"/>
        </w:rPr>
      </w:pPr>
      <w:r>
        <w:rPr>
          <w:rFonts w:ascii="宋体" w:hAnsi="宋体" w:cs="宋体" w:eastAsia="宋体" w:hint="default"/>
        </w:rPr>
        <w:t>27</w:t>
      </w:r>
      <w:r>
        <w:rPr/>
        <w:t>、</w:t>
      </w:r>
      <w:r>
        <w:rPr>
          <w:spacing w:val="-26"/>
        </w:rPr>
        <w:t> </w:t>
      </w:r>
      <w:r>
        <w:rPr/>
        <w:t>商誉</w:t>
      </w:r>
      <w:r>
        <w:rPr>
          <w:b w:val="0"/>
          <w:bCs w:val="0"/>
        </w:rPr>
      </w:r>
    </w:p>
    <w:p>
      <w:pPr>
        <w:pStyle w:val="Heading2"/>
        <w:spacing w:line="240" w:lineRule="auto" w:before="56"/>
        <w:ind w:right="3084"/>
        <w:jc w:val="left"/>
        <w:rPr>
          <w:b w:val="0"/>
          <w:bCs w:val="0"/>
        </w:rPr>
      </w:pPr>
      <w:r>
        <w:rPr>
          <w:rFonts w:ascii="宋体" w:hAnsi="宋体" w:cs="宋体" w:eastAsia="宋体" w:hint="default"/>
        </w:rPr>
        <w:t>(1).</w:t>
      </w:r>
      <w:r>
        <w:rPr>
          <w:rFonts w:ascii="宋体" w:hAnsi="宋体" w:cs="宋体" w:eastAsia="宋体" w:hint="default"/>
          <w:spacing w:val="60"/>
        </w:rPr>
        <w:t> </w:t>
      </w:r>
      <w:r>
        <w:rPr/>
        <w:t>商誉账面原值</w:t>
      </w:r>
      <w:r>
        <w:rPr>
          <w:b w:val="0"/>
          <w:bCs w:val="0"/>
        </w:rPr>
      </w:r>
    </w:p>
    <w:p>
      <w:pPr>
        <w:spacing w:line="290" w:lineRule="auto" w:before="58"/>
        <w:ind w:left="218" w:right="719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60"/>
          <w:sz w:val="21"/>
          <w:szCs w:val="21"/>
        </w:rPr>
        <w:t> </w:t>
      </w:r>
      <w:r>
        <w:rPr>
          <w:rFonts w:ascii="宋体" w:hAnsi="宋体" w:cs="宋体" w:eastAsia="宋体" w:hint="default"/>
          <w:b/>
          <w:bCs/>
          <w:sz w:val="21"/>
          <w:szCs w:val="21"/>
        </w:rPr>
        <w:t>商誉减值准备</w:t>
      </w:r>
      <w:r>
        <w:rPr>
          <w:rFonts w:ascii="宋体" w:hAnsi="宋体" w:cs="宋体" w:eastAsia="宋体" w:hint="default"/>
          <w:sz w:val="21"/>
          <w:szCs w:val="21"/>
        </w:rPr>
      </w:r>
    </w:p>
    <w:p>
      <w:pPr>
        <w:pStyle w:val="BodyText"/>
        <w:spacing w:line="272" w:lineRule="exact" w:before="42"/>
        <w:ind w:left="218" w:right="3084"/>
        <w:jc w:val="left"/>
      </w:pPr>
      <w:r>
        <w:rPr/>
        <w:t>□适用</w:t>
      </w:r>
      <w:r>
        <w:rPr>
          <w:spacing w:val="-2"/>
        </w:rPr>
        <w:t> </w:t>
      </w:r>
      <w:r>
        <w:rPr/>
        <w:t>√不适用</w:t>
      </w:r>
      <w:r>
        <w:rPr>
          <w:w w:val="100"/>
        </w:rPr>
        <w:t> </w:t>
      </w:r>
      <w:r>
        <w:rPr>
          <w:spacing w:val="-2"/>
        </w:rPr>
        <w:t>说明商誉减值测试过程、参数及商誉减值损失的确认方法</w:t>
      </w:r>
    </w:p>
    <w:p>
      <w:pPr>
        <w:pStyle w:val="BodyText"/>
        <w:spacing w:line="249" w:lineRule="exact"/>
        <w:ind w:left="218" w:right="3084"/>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left="218" w:right="3084"/>
        <w:jc w:val="left"/>
      </w:pPr>
      <w:r>
        <w:rPr/>
        <w:t>其他说明</w:t>
      </w:r>
    </w:p>
    <w:p>
      <w:pPr>
        <w:spacing w:line="290" w:lineRule="auto" w:before="0"/>
        <w:ind w:left="218" w:right="727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28</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长期待摊费用</w:t>
      </w:r>
      <w:r>
        <w:rPr>
          <w:rFonts w:ascii="宋体" w:hAnsi="宋体" w:cs="宋体" w:eastAsia="宋体" w:hint="default"/>
          <w:sz w:val="21"/>
          <w:szCs w:val="21"/>
        </w:rPr>
      </w:r>
    </w:p>
    <w:p>
      <w:pPr>
        <w:pStyle w:val="BodyText"/>
        <w:spacing w:line="240" w:lineRule="auto" w:before="12"/>
        <w:ind w:left="218" w:right="3084"/>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90" w:lineRule="auto" w:before="36"/>
        <w:ind w:right="-18"/>
        <w:jc w:val="left"/>
        <w:rPr>
          <w:b w:val="0"/>
          <w:bCs w:val="0"/>
        </w:rPr>
      </w:pPr>
      <w:r>
        <w:rPr>
          <w:rFonts w:ascii="宋体" w:hAnsi="宋体" w:cs="宋体" w:eastAsia="宋体" w:hint="default"/>
        </w:rPr>
        <w:t>29</w:t>
      </w:r>
      <w:r>
        <w:rPr/>
        <w:t>、 递延所得税资产</w:t>
      </w:r>
      <w:r>
        <w:rPr>
          <w:rFonts w:ascii="宋体" w:hAnsi="宋体" w:cs="宋体" w:eastAsia="宋体" w:hint="default"/>
        </w:rPr>
        <w:t>/</w:t>
      </w:r>
      <w:r>
        <w:rPr>
          <w:rFonts w:ascii="宋体" w:hAnsi="宋体" w:cs="宋体" w:eastAsia="宋体" w:hint="default"/>
          <w:spacing w:val="-24"/>
        </w:rPr>
        <w:t> </w:t>
      </w:r>
      <w:r>
        <w:rPr/>
        <w:t>递延所得税负债</w:t>
      </w:r>
      <w:r>
        <w:rPr>
          <w:w w:val="100"/>
        </w:rPr>
        <w:t> </w:t>
      </w:r>
      <w:r>
        <w:rPr>
          <w:rFonts w:ascii="宋体" w:hAnsi="宋体" w:cs="宋体" w:eastAsia="宋体" w:hint="default"/>
        </w:rPr>
        <w:t>(1).</w:t>
      </w:r>
      <w:r>
        <w:rPr>
          <w:rFonts w:ascii="宋体" w:hAnsi="宋体" w:cs="宋体" w:eastAsia="宋体" w:hint="default"/>
          <w:spacing w:val="56"/>
        </w:rPr>
        <w:t> </w:t>
      </w:r>
      <w:r>
        <w:rPr/>
        <w:t>未经抵销的递延所得税资产</w:t>
      </w:r>
      <w:r>
        <w:rPr>
          <w:b w:val="0"/>
          <w:bCs w:val="0"/>
        </w:rPr>
      </w:r>
    </w:p>
    <w:p>
      <w:pPr>
        <w:pStyle w:val="BodyText"/>
        <w:tabs>
          <w:tab w:pos="1060" w:val="left" w:leader="none"/>
        </w:tabs>
        <w:spacing w:line="240" w:lineRule="auto" w:before="12"/>
        <w:ind w:left="218"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89" w:space="2633"/>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25"/>
        <w:gridCol w:w="1687"/>
        <w:gridCol w:w="1628"/>
        <w:gridCol w:w="1688"/>
        <w:gridCol w:w="1625"/>
      </w:tblGrid>
      <w:tr>
        <w:trPr>
          <w:trHeight w:val="296" w:hRule="exact"/>
        </w:trPr>
        <w:tc>
          <w:tcPr>
            <w:tcW w:w="242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425" w:type="dxa"/>
            <w:vMerge/>
            <w:tcBorders>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w:t>
            </w:r>
          </w:p>
        </w:tc>
      </w:tr>
    </w:tbl>
    <w:p>
      <w:pPr>
        <w:spacing w:after="0" w:line="274"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425"/>
        <w:gridCol w:w="1687"/>
        <w:gridCol w:w="1628"/>
        <w:gridCol w:w="1688"/>
        <w:gridCol w:w="1625"/>
      </w:tblGrid>
      <w:tr>
        <w:trPr>
          <w:trHeight w:val="296"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32,467,346.04</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4,870,101.89</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16,809,858.51</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2,521,478.78</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预提维保费</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219,880,372.40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32,982,055.86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119,893,066.71</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17,983,960.00</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8,269,572.23</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1,240,435.83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9,949,456.51</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1,492,418.46</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260,617,290.67</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39,092,593.58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146,652,381.73</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21,997,857.24</w:t>
            </w:r>
          </w:p>
        </w:tc>
      </w:tr>
    </w:tbl>
    <w:p>
      <w:pPr>
        <w:spacing w:line="240" w:lineRule="auto" w:before="2"/>
        <w:rPr>
          <w:rFonts w:ascii="宋体" w:hAnsi="宋体" w:cs="宋体" w:eastAsia="宋体" w:hint="default"/>
          <w:sz w:val="20"/>
          <w:szCs w:val="20"/>
        </w:rPr>
      </w:pPr>
    </w:p>
    <w:p>
      <w:pPr>
        <w:pStyle w:val="Heading2"/>
        <w:spacing w:line="240" w:lineRule="auto" w:before="36"/>
        <w:ind w:right="3084"/>
        <w:jc w:val="left"/>
        <w:rPr>
          <w:b w:val="0"/>
          <w:bCs w:val="0"/>
        </w:rPr>
      </w:pPr>
      <w:r>
        <w:rPr>
          <w:rFonts w:ascii="宋体" w:hAnsi="宋体" w:cs="宋体" w:eastAsia="宋体" w:hint="default"/>
        </w:rPr>
        <w:t>(2).</w:t>
      </w:r>
      <w:r>
        <w:rPr>
          <w:rFonts w:ascii="宋体" w:hAnsi="宋体" w:cs="宋体" w:eastAsia="宋体" w:hint="default"/>
          <w:spacing w:val="56"/>
        </w:rPr>
        <w:t> </w:t>
      </w:r>
      <w:r>
        <w:rPr/>
        <w:t>未经抵销的递延所得税负债</w:t>
      </w:r>
      <w:r>
        <w:rPr>
          <w:b w:val="0"/>
          <w:bCs w:val="0"/>
        </w:rPr>
      </w:r>
    </w:p>
    <w:p>
      <w:pPr>
        <w:pStyle w:val="BodyText"/>
        <w:tabs>
          <w:tab w:pos="1060" w:val="left" w:leader="none"/>
        </w:tabs>
        <w:spacing w:line="240" w:lineRule="auto" w:before="56"/>
        <w:ind w:left="218" w:right="3084"/>
        <w:jc w:val="left"/>
      </w:pPr>
      <w:r>
        <w:rPr>
          <w:spacing w:val="-1"/>
        </w:rPr>
        <w:t>□适用</w:t>
        <w:tab/>
      </w:r>
      <w:r>
        <w:rPr>
          <w:spacing w:val="-2"/>
        </w:rPr>
        <w:t>√不适用</w:t>
      </w:r>
    </w:p>
    <w:p>
      <w:pPr>
        <w:pStyle w:val="Heading2"/>
        <w:spacing w:line="240" w:lineRule="auto" w:before="58"/>
        <w:ind w:right="3084"/>
        <w:jc w:val="left"/>
        <w:rPr>
          <w:b w:val="0"/>
          <w:bCs w:val="0"/>
        </w:rPr>
      </w:pPr>
      <w:r>
        <w:rPr>
          <w:rFonts w:ascii="宋体" w:hAnsi="宋体" w:cs="宋体" w:eastAsia="宋体" w:hint="default"/>
        </w:rPr>
        <w:t>(3).</w:t>
      </w:r>
      <w:r>
        <w:rPr>
          <w:rFonts w:ascii="宋体" w:hAnsi="宋体" w:cs="宋体" w:eastAsia="宋体" w:hint="default"/>
          <w:spacing w:val="59"/>
        </w:rPr>
        <w:t> </w:t>
      </w:r>
      <w:r>
        <w:rPr/>
        <w:t>以抵销后净额列示的递延所得税资产或负债：</w:t>
      </w:r>
      <w:r>
        <w:rPr>
          <w:b w:val="0"/>
          <w:bCs w:val="0"/>
        </w:rPr>
      </w:r>
    </w:p>
    <w:p>
      <w:pPr>
        <w:pStyle w:val="BodyText"/>
        <w:tabs>
          <w:tab w:pos="1060" w:val="left" w:leader="none"/>
        </w:tabs>
        <w:spacing w:line="240" w:lineRule="auto" w:before="56"/>
        <w:ind w:left="218" w:right="3084"/>
        <w:jc w:val="left"/>
      </w:pPr>
      <w:r>
        <w:rPr>
          <w:spacing w:val="-1"/>
        </w:rPr>
        <w:t>□适用</w:t>
        <w:tab/>
      </w:r>
      <w:r>
        <w:rPr>
          <w:spacing w:val="-2"/>
        </w:rPr>
        <w:t>√不适用</w:t>
      </w:r>
    </w:p>
    <w:p>
      <w:pPr>
        <w:pStyle w:val="Heading2"/>
        <w:spacing w:line="240" w:lineRule="auto" w:before="57"/>
        <w:ind w:right="3084"/>
        <w:jc w:val="left"/>
        <w:rPr>
          <w:b w:val="0"/>
          <w:bCs w:val="0"/>
        </w:rPr>
      </w:pPr>
      <w:r>
        <w:rPr>
          <w:rFonts w:ascii="宋体" w:hAnsi="宋体" w:cs="宋体" w:eastAsia="宋体" w:hint="default"/>
        </w:rPr>
        <w:t>(4).</w:t>
      </w:r>
      <w:r>
        <w:rPr>
          <w:rFonts w:ascii="宋体" w:hAnsi="宋体" w:cs="宋体" w:eastAsia="宋体" w:hint="default"/>
          <w:spacing w:val="56"/>
        </w:rPr>
        <w:t> </w:t>
      </w:r>
      <w:r>
        <w:rPr/>
        <w:t>未确认递延所得税资产明细</w:t>
      </w:r>
      <w:r>
        <w:rPr>
          <w:b w:val="0"/>
          <w:bCs w:val="0"/>
        </w:rPr>
      </w:r>
    </w:p>
    <w:p>
      <w:pPr>
        <w:pStyle w:val="BodyText"/>
        <w:tabs>
          <w:tab w:pos="1060" w:val="left" w:leader="none"/>
        </w:tabs>
        <w:spacing w:line="240" w:lineRule="auto" w:before="58"/>
        <w:ind w:left="218" w:right="3084"/>
        <w:jc w:val="left"/>
      </w:pPr>
      <w:r>
        <w:rPr>
          <w:spacing w:val="-1"/>
        </w:rPr>
        <w:t>□适用</w:t>
        <w:tab/>
      </w:r>
      <w:r>
        <w:rPr>
          <w:spacing w:val="-2"/>
        </w:rPr>
        <w:t>√不适用</w:t>
      </w:r>
    </w:p>
    <w:p>
      <w:pPr>
        <w:pStyle w:val="Heading2"/>
        <w:spacing w:line="240" w:lineRule="auto" w:before="56"/>
        <w:ind w:right="3084"/>
        <w:jc w:val="left"/>
        <w:rPr>
          <w:b w:val="0"/>
          <w:bCs w:val="0"/>
        </w:rPr>
      </w:pPr>
      <w:r>
        <w:rPr>
          <w:rFonts w:ascii="宋体" w:hAnsi="宋体" w:cs="宋体" w:eastAsia="宋体" w:hint="default"/>
        </w:rPr>
        <w:t>(5).</w:t>
      </w:r>
      <w:r>
        <w:rPr>
          <w:rFonts w:ascii="宋体" w:hAnsi="宋体" w:cs="宋体" w:eastAsia="宋体" w:hint="default"/>
          <w:spacing w:val="55"/>
        </w:rPr>
        <w:t> </w:t>
      </w:r>
      <w:r>
        <w:rPr/>
        <w:t>未确认递延所得税资产的可抵扣亏损将于以下年度到期</w:t>
      </w:r>
      <w:r>
        <w:rPr>
          <w:b w:val="0"/>
          <w:bCs w:val="0"/>
        </w:rPr>
      </w:r>
    </w:p>
    <w:p>
      <w:pPr>
        <w:pStyle w:val="BodyText"/>
        <w:tabs>
          <w:tab w:pos="1060" w:val="left" w:leader="none"/>
        </w:tabs>
        <w:spacing w:line="240" w:lineRule="auto" w:before="58"/>
        <w:ind w:left="218" w:right="3084"/>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3" w:lineRule="exact"/>
        <w:ind w:left="218" w:right="3084"/>
        <w:jc w:val="left"/>
      </w:pPr>
      <w:r>
        <w:rPr/>
        <w:t>其他说明：</w:t>
      </w:r>
    </w:p>
    <w:p>
      <w:pPr>
        <w:pStyle w:val="BodyText"/>
        <w:spacing w:line="273" w:lineRule="exact"/>
        <w:ind w:left="218" w:right="308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3084"/>
        <w:jc w:val="left"/>
        <w:rPr>
          <w:b w:val="0"/>
          <w:bCs w:val="0"/>
        </w:rPr>
      </w:pPr>
      <w:r>
        <w:rPr>
          <w:rFonts w:ascii="宋体" w:hAnsi="宋体" w:cs="宋体" w:eastAsia="宋体" w:hint="default"/>
        </w:rPr>
        <w:t>30</w:t>
      </w:r>
      <w:r>
        <w:rPr/>
        <w:t>、</w:t>
      </w:r>
      <w:r>
        <w:rPr>
          <w:spacing w:val="-24"/>
        </w:rPr>
        <w:t> </w:t>
      </w:r>
      <w:r>
        <w:rPr/>
        <w:t>其他非流动资产</w:t>
      </w:r>
      <w:r>
        <w:rPr>
          <w:b w:val="0"/>
          <w:bCs w:val="0"/>
        </w:rPr>
      </w:r>
    </w:p>
    <w:p>
      <w:pPr>
        <w:pStyle w:val="BodyText"/>
        <w:spacing w:line="240" w:lineRule="auto" w:before="58"/>
        <w:ind w:left="218" w:right="3084"/>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51"/>
          <w:pgSz w:w="11910" w:h="16840"/>
          <w:pgMar w:footer="1195" w:header="882" w:top="1120" w:bottom="1380" w:left="1580" w:right="1040"/>
        </w:sectPr>
      </w:pPr>
    </w:p>
    <w:p>
      <w:pPr>
        <w:pStyle w:val="Heading2"/>
        <w:spacing w:line="240" w:lineRule="auto" w:before="36"/>
        <w:ind w:right="-18"/>
        <w:jc w:val="left"/>
        <w:rPr>
          <w:b w:val="0"/>
          <w:bCs w:val="0"/>
        </w:rPr>
      </w:pPr>
      <w:r>
        <w:rPr>
          <w:rFonts w:ascii="宋体" w:hAnsi="宋体" w:cs="宋体" w:eastAsia="宋体" w:hint="default"/>
        </w:rPr>
        <w:t>31</w:t>
      </w:r>
      <w:r>
        <w:rPr/>
        <w:t>、</w:t>
      </w:r>
      <w:r>
        <w:rPr>
          <w:spacing w:val="-25"/>
        </w:rPr>
        <w:t> </w:t>
      </w:r>
      <w:r>
        <w:rPr/>
        <w:t>短期借款</w:t>
      </w:r>
      <w:r>
        <w:rPr>
          <w:b w:val="0"/>
          <w:bCs w:val="0"/>
        </w:rPr>
      </w:r>
    </w:p>
    <w:p>
      <w:pPr>
        <w:pStyle w:val="Heading2"/>
        <w:tabs>
          <w:tab w:pos="849" w:val="left" w:leader="none"/>
        </w:tabs>
        <w:spacing w:line="240" w:lineRule="auto" w:before="56"/>
        <w:ind w:right="-18"/>
        <w:jc w:val="left"/>
        <w:rPr>
          <w:b w:val="0"/>
          <w:bCs w:val="0"/>
        </w:rPr>
      </w:pPr>
      <w:r>
        <w:rPr>
          <w:rFonts w:ascii="宋体" w:hAnsi="宋体" w:cs="宋体" w:eastAsia="宋体" w:hint="default"/>
          <w:w w:val="95"/>
        </w:rPr>
        <w:t>(1).</w:t>
        <w:tab/>
      </w:r>
      <w:r>
        <w:rPr/>
        <w:t>短期借款分类</w:t>
      </w:r>
      <w:r>
        <w:rPr>
          <w:b w:val="0"/>
          <w:bCs w:val="0"/>
        </w:rPr>
      </w:r>
    </w:p>
    <w:p>
      <w:pPr>
        <w:pStyle w:val="BodyText"/>
        <w:tabs>
          <w:tab w:pos="1060" w:val="left" w:leader="none"/>
        </w:tabs>
        <w:spacing w:line="240" w:lineRule="auto" w:before="58"/>
        <w:ind w:left="218"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117" w:space="4405"/>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73"/>
        <w:gridCol w:w="3003"/>
        <w:gridCol w:w="3020"/>
      </w:tblGrid>
      <w:tr>
        <w:trPr>
          <w:trHeight w:val="28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7"/>
              <w:jc w:val="right"/>
              <w:rPr>
                <w:rFonts w:ascii="宋体" w:hAnsi="宋体" w:cs="宋体" w:eastAsia="宋体" w:hint="default"/>
                <w:sz w:val="21"/>
                <w:szCs w:val="21"/>
              </w:rPr>
            </w:pPr>
            <w:r>
              <w:rPr>
                <w:rFonts w:ascii="宋体" w:hAnsi="宋体" w:cs="宋体" w:eastAsia="宋体" w:hint="default"/>
                <w:sz w:val="21"/>
                <w:szCs w:val="21"/>
              </w:rPr>
              <w:t>项目</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3"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1"/>
              <w:jc w:val="right"/>
              <w:rPr>
                <w:rFonts w:ascii="宋体" w:hAnsi="宋体" w:cs="宋体" w:eastAsia="宋体" w:hint="default"/>
                <w:sz w:val="21"/>
                <w:szCs w:val="21"/>
              </w:rPr>
            </w:pPr>
            <w:r>
              <w:rPr>
                <w:rFonts w:ascii="宋体"/>
                <w:spacing w:val="-1"/>
                <w:sz w:val="21"/>
              </w:rPr>
              <w:t>20,000,000.00</w:t>
            </w: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3"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1"/>
              <w:jc w:val="right"/>
              <w:rPr>
                <w:rFonts w:ascii="宋体" w:hAnsi="宋体" w:cs="宋体" w:eastAsia="宋体" w:hint="default"/>
                <w:sz w:val="21"/>
                <w:szCs w:val="21"/>
              </w:rPr>
            </w:pPr>
            <w:r>
              <w:rPr>
                <w:rFonts w:ascii="宋体"/>
                <w:spacing w:val="-1"/>
                <w:sz w:val="21"/>
              </w:rPr>
              <w:t>52,500,000.00</w:t>
            </w:r>
          </w:p>
        </w:tc>
      </w:tr>
      <w:tr>
        <w:trPr>
          <w:trHeight w:val="28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3"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1"/>
              <w:jc w:val="right"/>
              <w:rPr>
                <w:rFonts w:ascii="宋体" w:hAnsi="宋体" w:cs="宋体" w:eastAsia="宋体" w:hint="default"/>
                <w:sz w:val="21"/>
                <w:szCs w:val="21"/>
              </w:rPr>
            </w:pPr>
            <w:r>
              <w:rPr>
                <w:rFonts w:ascii="宋体"/>
                <w:spacing w:val="-1"/>
                <w:sz w:val="21"/>
              </w:rPr>
              <w:t>200,000,000.00</w:t>
            </w: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3"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7"/>
              <w:jc w:val="right"/>
              <w:rPr>
                <w:rFonts w:ascii="宋体" w:hAnsi="宋体" w:cs="宋体" w:eastAsia="宋体" w:hint="default"/>
                <w:sz w:val="21"/>
                <w:szCs w:val="21"/>
              </w:rPr>
            </w:pPr>
            <w:r>
              <w:rPr>
                <w:rFonts w:ascii="宋体" w:hAnsi="宋体" w:cs="宋体" w:eastAsia="宋体" w:hint="default"/>
                <w:sz w:val="21"/>
                <w:szCs w:val="21"/>
              </w:rPr>
              <w:t>合计</w:t>
            </w:r>
          </w:p>
        </w:tc>
        <w:tc>
          <w:tcPr>
            <w:tcW w:w="3003"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1"/>
              <w:jc w:val="right"/>
              <w:rPr>
                <w:rFonts w:ascii="宋体" w:hAnsi="宋体" w:cs="宋体" w:eastAsia="宋体" w:hint="default"/>
                <w:sz w:val="21"/>
                <w:szCs w:val="21"/>
              </w:rPr>
            </w:pPr>
            <w:r>
              <w:rPr>
                <w:rFonts w:ascii="宋体"/>
                <w:spacing w:val="-1"/>
                <w:sz w:val="21"/>
              </w:rPr>
              <w:t>272,500,000.00</w:t>
            </w:r>
          </w:p>
        </w:tc>
      </w:tr>
    </w:tbl>
    <w:p>
      <w:pPr>
        <w:pStyle w:val="BodyText"/>
        <w:spacing w:line="240" w:lineRule="exact"/>
        <w:ind w:left="218" w:right="3084"/>
        <w:jc w:val="left"/>
      </w:pPr>
      <w:r>
        <w:rPr/>
        <w:t>短期借款分类的说明：</w:t>
      </w:r>
    </w:p>
    <w:p>
      <w:pPr>
        <w:pStyle w:val="BodyText"/>
        <w:spacing w:line="273" w:lineRule="exact"/>
        <w:ind w:left="218" w:right="3084"/>
        <w:jc w:val="left"/>
      </w:pPr>
      <w:r>
        <w:rPr/>
        <w:t>无。</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tabs>
          <w:tab w:pos="849" w:val="left" w:leader="none"/>
        </w:tabs>
        <w:spacing w:line="240" w:lineRule="auto"/>
        <w:ind w:right="3084"/>
        <w:jc w:val="left"/>
        <w:rPr>
          <w:b w:val="0"/>
          <w:bCs w:val="0"/>
        </w:rPr>
      </w:pPr>
      <w:r>
        <w:rPr>
          <w:rFonts w:ascii="宋体" w:hAnsi="宋体" w:cs="宋体" w:eastAsia="宋体" w:hint="default"/>
          <w:w w:val="95"/>
        </w:rPr>
        <w:t>(2).</w:t>
        <w:tab/>
      </w:r>
      <w:r>
        <w:rPr/>
        <w:t>已逾期未偿还的短期借款情况</w:t>
      </w:r>
      <w:r>
        <w:rPr>
          <w:b w:val="0"/>
          <w:bCs w:val="0"/>
        </w:rPr>
      </w:r>
    </w:p>
    <w:p>
      <w:pPr>
        <w:pStyle w:val="BodyText"/>
        <w:spacing w:line="240" w:lineRule="auto" w:before="56"/>
        <w:ind w:left="218" w:right="3084"/>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left="218" w:right="3084"/>
        <w:jc w:val="left"/>
      </w:pPr>
      <w:r>
        <w:rPr/>
        <w:t>其中重要的已逾期未偿还的短期借款情况如下：</w:t>
      </w:r>
    </w:p>
    <w:p>
      <w:pPr>
        <w:pStyle w:val="BodyText"/>
        <w:spacing w:line="240" w:lineRule="auto"/>
        <w:ind w:left="218" w:right="7474"/>
        <w:jc w:val="left"/>
      </w:pPr>
      <w:r>
        <w:rPr/>
        <w:t>□适用</w:t>
      </w:r>
      <w:r>
        <w:rPr>
          <w:spacing w:val="-1"/>
        </w:rPr>
        <w:t> </w:t>
      </w:r>
      <w:r>
        <w:rPr/>
        <w:t>√不适用</w:t>
      </w:r>
      <w:r>
        <w:rPr>
          <w:w w:val="100"/>
        </w:rPr>
        <w:t> </w:t>
      </w:r>
      <w:r>
        <w:rPr/>
        <w:t>其他说明</w:t>
      </w:r>
    </w:p>
    <w:p>
      <w:pPr>
        <w:pStyle w:val="BodyText"/>
        <w:spacing w:line="271" w:lineRule="exact"/>
        <w:ind w:left="218" w:right="308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3084"/>
        <w:jc w:val="left"/>
        <w:rPr>
          <w:b w:val="0"/>
          <w:bCs w:val="0"/>
        </w:rPr>
      </w:pPr>
      <w:r>
        <w:rPr>
          <w:rFonts w:ascii="宋体" w:hAnsi="宋体" w:cs="宋体" w:eastAsia="宋体" w:hint="default"/>
        </w:rPr>
        <w:t>32</w:t>
      </w:r>
      <w:r>
        <w:rPr/>
        <w:t>、</w:t>
      </w:r>
      <w:r>
        <w:rPr>
          <w:spacing w:val="-27"/>
        </w:rPr>
        <w:t> </w:t>
      </w:r>
      <w:r>
        <w:rPr/>
        <w:t>以公允价值计量且其变动计入当期损益的金融负债</w:t>
      </w:r>
      <w:r>
        <w:rPr>
          <w:b w:val="0"/>
          <w:bCs w:val="0"/>
        </w:rPr>
      </w:r>
    </w:p>
    <w:p>
      <w:pPr>
        <w:pStyle w:val="BodyText"/>
        <w:spacing w:line="240" w:lineRule="auto" w:before="58"/>
        <w:ind w:left="218" w:right="3084"/>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5"/>
        <w:ind w:right="3084"/>
        <w:jc w:val="left"/>
        <w:rPr>
          <w:b w:val="0"/>
          <w:bCs w:val="0"/>
        </w:rPr>
      </w:pPr>
      <w:r>
        <w:rPr>
          <w:rFonts w:ascii="宋体" w:hAnsi="宋体" w:cs="宋体" w:eastAsia="宋体" w:hint="default"/>
        </w:rPr>
        <w:t>33</w:t>
      </w:r>
      <w:r>
        <w:rPr/>
        <w:t>、</w:t>
      </w:r>
      <w:r>
        <w:rPr>
          <w:spacing w:val="-24"/>
        </w:rPr>
        <w:t> </w:t>
      </w:r>
      <w:r>
        <w:rPr/>
        <w:t>衍生金融负债</w:t>
      </w:r>
      <w:r>
        <w:rPr>
          <w:b w:val="0"/>
          <w:bCs w:val="0"/>
        </w:rPr>
      </w:r>
    </w:p>
    <w:p>
      <w:pPr>
        <w:pStyle w:val="BodyText"/>
        <w:spacing w:line="240" w:lineRule="auto" w:before="56"/>
        <w:ind w:left="218" w:right="3084"/>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52"/>
          <w:pgSz w:w="11910" w:h="16840"/>
          <w:pgMar w:footer="1195" w:header="882" w:top="1120" w:bottom="1380" w:left="1580" w:right="1040"/>
          <w:pgNumType w:start="101"/>
        </w:sectPr>
      </w:pPr>
    </w:p>
    <w:p>
      <w:pPr>
        <w:pStyle w:val="Heading2"/>
        <w:spacing w:line="240" w:lineRule="auto" w:before="36"/>
        <w:ind w:right="-18"/>
        <w:jc w:val="left"/>
        <w:rPr>
          <w:b w:val="0"/>
          <w:bCs w:val="0"/>
        </w:rPr>
      </w:pPr>
      <w:r>
        <w:rPr>
          <w:rFonts w:ascii="宋体" w:hAnsi="宋体" w:cs="宋体" w:eastAsia="宋体" w:hint="default"/>
        </w:rPr>
        <w:t>34</w:t>
      </w:r>
      <w:r>
        <w:rPr/>
        <w:t>、</w:t>
      </w:r>
      <w:r>
        <w:rPr>
          <w:spacing w:val="-25"/>
        </w:rPr>
        <w:t> </w:t>
      </w:r>
      <w:r>
        <w:rPr/>
        <w:t>应付票据</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312"/>
        <w:gridCol w:w="3339"/>
        <w:gridCol w:w="3245"/>
      </w:tblGrid>
      <w:tr>
        <w:trPr>
          <w:trHeight w:val="281"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8"/>
              <w:jc w:val="right"/>
              <w:rPr>
                <w:rFonts w:ascii="宋体" w:hAnsi="宋体" w:cs="宋体" w:eastAsia="宋体" w:hint="default"/>
                <w:sz w:val="21"/>
                <w:szCs w:val="21"/>
              </w:rPr>
            </w:pPr>
            <w:r>
              <w:rPr>
                <w:rFonts w:ascii="宋体" w:hAnsi="宋体" w:cs="宋体" w:eastAsia="宋体" w:hint="default"/>
                <w:sz w:val="21"/>
                <w:szCs w:val="21"/>
              </w:rPr>
              <w:t>种类</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339" w:type="dxa"/>
            <w:tcBorders>
              <w:top w:val="single" w:sz="4" w:space="0" w:color="000000"/>
              <w:left w:val="single" w:sz="4" w:space="0" w:color="000000"/>
              <w:bottom w:val="single" w:sz="4" w:space="0" w:color="000000"/>
              <w:right w:val="single" w:sz="4" w:space="0" w:color="000000"/>
            </w:tcBorders>
          </w:tcPr>
          <w:p>
            <w:pPr/>
          </w:p>
        </w:tc>
        <w:tc>
          <w:tcPr>
            <w:tcW w:w="32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4"/>
              <w:jc w:val="right"/>
              <w:rPr>
                <w:rFonts w:ascii="宋体" w:hAnsi="宋体" w:cs="宋体" w:eastAsia="宋体" w:hint="default"/>
                <w:sz w:val="21"/>
                <w:szCs w:val="21"/>
              </w:rPr>
            </w:pPr>
            <w:r>
              <w:rPr>
                <w:rFonts w:ascii="宋体"/>
                <w:spacing w:val="-1"/>
                <w:sz w:val="21"/>
              </w:rPr>
              <w:t>114,848,303.72</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237,111,874.46</w:t>
            </w:r>
          </w:p>
        </w:tc>
      </w:tr>
      <w:tr>
        <w:trPr>
          <w:trHeight w:val="281"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8"/>
              <w:jc w:val="right"/>
              <w:rPr>
                <w:rFonts w:ascii="宋体" w:hAnsi="宋体" w:cs="宋体" w:eastAsia="宋体" w:hint="default"/>
                <w:sz w:val="21"/>
                <w:szCs w:val="21"/>
              </w:rPr>
            </w:pPr>
            <w:r>
              <w:rPr>
                <w:rFonts w:ascii="宋体" w:hAnsi="宋体" w:cs="宋体" w:eastAsia="宋体" w:hint="default"/>
                <w:sz w:val="21"/>
                <w:szCs w:val="21"/>
              </w:rPr>
              <w:t>合计</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114,848,303.72</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237,111,874.46</w:t>
            </w:r>
          </w:p>
        </w:tc>
      </w:tr>
    </w:tbl>
    <w:p>
      <w:pPr>
        <w:spacing w:line="240" w:lineRule="auto" w:before="8"/>
        <w:rPr>
          <w:rFonts w:ascii="宋体" w:hAnsi="宋体" w:cs="宋体" w:eastAsia="宋体" w:hint="default"/>
          <w:sz w:val="15"/>
          <w:szCs w:val="15"/>
        </w:rPr>
      </w:pPr>
    </w:p>
    <w:p>
      <w:pPr>
        <w:pStyle w:val="BodyText"/>
        <w:spacing w:line="240" w:lineRule="auto" w:before="36"/>
        <w:ind w:left="638" w:right="3084"/>
        <w:jc w:val="left"/>
      </w:pPr>
      <w:r>
        <w:rPr/>
        <w:t>本期末已到期未支付的应付票据总额为 </w:t>
      </w:r>
      <w:r>
        <w:rPr>
          <w:rFonts w:ascii="宋体" w:hAnsi="宋体" w:cs="宋体" w:eastAsia="宋体" w:hint="default"/>
        </w:rPr>
        <w:t>0.00</w:t>
      </w:r>
      <w:r>
        <w:rPr>
          <w:rFonts w:ascii="宋体" w:hAnsi="宋体" w:cs="宋体" w:eastAsia="宋体" w:hint="default"/>
          <w:spacing w:val="-54"/>
        </w:rPr>
        <w:t> </w:t>
      </w:r>
      <w:r>
        <w:rPr/>
        <w:t>元。</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before="36"/>
        <w:ind w:right="-19"/>
        <w:jc w:val="left"/>
        <w:rPr>
          <w:b w:val="0"/>
          <w:bCs w:val="0"/>
        </w:rPr>
      </w:pPr>
      <w:r>
        <w:rPr>
          <w:rFonts w:ascii="宋体" w:hAnsi="宋体" w:cs="宋体" w:eastAsia="宋体" w:hint="default"/>
        </w:rPr>
        <w:t>35</w:t>
      </w:r>
      <w:r>
        <w:rPr/>
        <w:t>、</w:t>
      </w:r>
      <w:r>
        <w:rPr>
          <w:spacing w:val="-25"/>
        </w:rPr>
        <w:t> </w:t>
      </w:r>
      <w:r>
        <w:rPr/>
        <w:t>应付账款</w:t>
      </w:r>
      <w:r>
        <w:rPr>
          <w:b w:val="0"/>
          <w:bCs w:val="0"/>
        </w:rPr>
      </w:r>
    </w:p>
    <w:p>
      <w:pPr>
        <w:pStyle w:val="Heading2"/>
        <w:spacing w:line="240" w:lineRule="auto" w:before="56"/>
        <w:ind w:right="-19"/>
        <w:jc w:val="left"/>
        <w:rPr>
          <w:b w:val="0"/>
          <w:bCs w:val="0"/>
        </w:rPr>
      </w:pPr>
      <w:r>
        <w:rPr>
          <w:rFonts w:ascii="宋体" w:hAnsi="宋体" w:cs="宋体" w:eastAsia="宋体" w:hint="default"/>
        </w:rPr>
        <w:t>(1).</w:t>
      </w:r>
      <w:r>
        <w:rPr>
          <w:rFonts w:ascii="宋体" w:hAnsi="宋体" w:cs="宋体" w:eastAsia="宋体" w:hint="default"/>
          <w:spacing w:val="60"/>
        </w:rPr>
        <w:t> </w:t>
      </w:r>
      <w:r>
        <w:rPr/>
        <w:t>应付账款列示</w:t>
      </w:r>
      <w:r>
        <w:rPr>
          <w:b w:val="0"/>
          <w:bCs w:val="0"/>
        </w:rPr>
      </w:r>
    </w:p>
    <w:p>
      <w:pPr>
        <w:pStyle w:val="BodyText"/>
        <w:spacing w:line="240" w:lineRule="auto" w:before="58"/>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74" w:space="444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170,644,868.36</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184,632,923.39</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3,707,063.20</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10,348,924.10</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174,351,931.56</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194,981,847.49</w:t>
            </w:r>
          </w:p>
        </w:tc>
      </w:tr>
    </w:tbl>
    <w:p>
      <w:pPr>
        <w:spacing w:line="240" w:lineRule="auto" w:before="13"/>
        <w:rPr>
          <w:rFonts w:ascii="宋体" w:hAnsi="宋体" w:cs="宋体" w:eastAsia="宋体" w:hint="default"/>
          <w:sz w:val="19"/>
          <w:szCs w:val="19"/>
        </w:rPr>
      </w:pPr>
    </w:p>
    <w:p>
      <w:pPr>
        <w:pStyle w:val="Heading2"/>
        <w:spacing w:line="240" w:lineRule="auto" w:before="36"/>
        <w:ind w:right="3084"/>
        <w:jc w:val="left"/>
        <w:rPr>
          <w:b w:val="0"/>
          <w:bCs w:val="0"/>
        </w:rPr>
      </w:pPr>
      <w:r>
        <w:rPr>
          <w:rFonts w:ascii="宋体" w:hAnsi="宋体" w:cs="宋体" w:eastAsia="宋体" w:hint="default"/>
        </w:rPr>
        <w:t>(2). </w:t>
      </w:r>
      <w:r>
        <w:rPr/>
        <w:t>账龄超过 </w:t>
      </w:r>
      <w:r>
        <w:rPr>
          <w:rFonts w:ascii="Cambria" w:hAnsi="Cambria" w:cs="Cambria" w:eastAsia="Cambria" w:hint="default"/>
        </w:rPr>
        <w:t>1</w:t>
      </w:r>
      <w:r>
        <w:rPr>
          <w:rFonts w:ascii="Cambria" w:hAnsi="Cambria" w:cs="Cambria" w:eastAsia="Cambria" w:hint="default"/>
          <w:spacing w:val="9"/>
        </w:rPr>
        <w:t> </w:t>
      </w:r>
      <w:r>
        <w:rPr/>
        <w:t>年的重要应付账款</w:t>
      </w:r>
      <w:r>
        <w:rPr>
          <w:b w:val="0"/>
          <w:bCs w:val="0"/>
        </w:rPr>
      </w:r>
    </w:p>
    <w:p>
      <w:pPr>
        <w:pStyle w:val="BodyText"/>
        <w:spacing w:line="272" w:lineRule="exact" w:before="69"/>
        <w:ind w:left="218" w:right="7474"/>
        <w:jc w:val="left"/>
      </w:pPr>
      <w:r>
        <w:rPr/>
        <w:t>□适用</w:t>
      </w:r>
      <w:r>
        <w:rPr>
          <w:spacing w:val="-1"/>
        </w:rPr>
        <w:t> </w:t>
      </w:r>
      <w:r>
        <w:rPr/>
        <w:t>√不适用</w:t>
      </w:r>
      <w:r>
        <w:rPr>
          <w:w w:val="100"/>
        </w:rPr>
        <w:t> </w:t>
      </w:r>
      <w:r>
        <w:rPr/>
        <w:t>其他说明</w:t>
      </w:r>
    </w:p>
    <w:p>
      <w:pPr>
        <w:pStyle w:val="BodyText"/>
        <w:spacing w:line="246" w:lineRule="exact"/>
        <w:ind w:left="218" w:right="3084"/>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before="36"/>
        <w:ind w:right="-19"/>
        <w:jc w:val="left"/>
        <w:rPr>
          <w:b w:val="0"/>
          <w:bCs w:val="0"/>
        </w:rPr>
      </w:pPr>
      <w:r>
        <w:rPr>
          <w:rFonts w:ascii="宋体" w:hAnsi="宋体" w:cs="宋体" w:eastAsia="宋体" w:hint="default"/>
        </w:rPr>
        <w:t>36</w:t>
      </w:r>
      <w:r>
        <w:rPr/>
        <w:t>、</w:t>
      </w:r>
      <w:r>
        <w:rPr>
          <w:spacing w:val="-25"/>
        </w:rPr>
        <w:t> </w:t>
      </w:r>
      <w:r>
        <w:rPr/>
        <w:t>预收款项</w:t>
      </w:r>
      <w:r>
        <w:rPr>
          <w:b w:val="0"/>
          <w:bCs w:val="0"/>
        </w:rPr>
      </w:r>
    </w:p>
    <w:p>
      <w:pPr>
        <w:pStyle w:val="Heading2"/>
        <w:spacing w:line="240" w:lineRule="auto" w:before="58"/>
        <w:ind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56"/>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225" w:space="4297"/>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0"/>
        <w:gridCol w:w="3077"/>
        <w:gridCol w:w="3073"/>
      </w:tblGrid>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32"/>
              <w:jc w:val="right"/>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179,129,552.14</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212,307,613.58</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179,129,552.14</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212,307,613.58</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before="36"/>
        <w:ind w:right="-16"/>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年的重要预收款项</w:t>
      </w:r>
      <w:r>
        <w:rPr>
          <w:b w:val="0"/>
          <w:bCs w:val="0"/>
        </w:rPr>
      </w:r>
    </w:p>
    <w:p>
      <w:pPr>
        <w:pStyle w:val="BodyText"/>
        <w:spacing w:line="240" w:lineRule="auto" w:before="39"/>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507" w:space="3015"/>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89"/>
        <w:gridCol w:w="3012"/>
        <w:gridCol w:w="3049"/>
      </w:tblGrid>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75"/>
              <w:jc w:val="right"/>
              <w:rPr>
                <w:rFonts w:ascii="宋体" w:hAnsi="宋体" w:cs="宋体" w:eastAsia="宋体" w:hint="default"/>
                <w:sz w:val="21"/>
                <w:szCs w:val="21"/>
              </w:rPr>
            </w:pPr>
            <w:r>
              <w:rPr>
                <w:rFonts w:ascii="宋体" w:hAnsi="宋体" w:cs="宋体" w:eastAsia="宋体" w:hint="default"/>
                <w:sz w:val="21"/>
                <w:szCs w:val="21"/>
              </w:rPr>
              <w:t>项目</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73"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客户一</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897,435.90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设备未开通</w:t>
            </w:r>
          </w:p>
        </w:tc>
      </w:tr>
      <w:tr>
        <w:trPr>
          <w:trHeight w:val="281"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5"/>
              <w:jc w:val="right"/>
              <w:rPr>
                <w:rFonts w:ascii="宋体" w:hAnsi="宋体" w:cs="宋体" w:eastAsia="宋体" w:hint="default"/>
                <w:sz w:val="21"/>
                <w:szCs w:val="21"/>
              </w:rPr>
            </w:pPr>
            <w:r>
              <w:rPr>
                <w:rFonts w:ascii="宋体" w:hAnsi="宋体" w:cs="宋体" w:eastAsia="宋体" w:hint="default"/>
                <w:sz w:val="21"/>
                <w:szCs w:val="21"/>
              </w:rPr>
              <w:t>合计</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897,435.90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Heading2"/>
        <w:spacing w:line="240" w:lineRule="auto" w:before="36"/>
        <w:ind w:right="3084"/>
        <w:jc w:val="left"/>
        <w:rPr>
          <w:b w:val="0"/>
          <w:bCs w:val="0"/>
        </w:rPr>
      </w:pPr>
      <w:r>
        <w:rPr>
          <w:rFonts w:ascii="宋体" w:hAnsi="宋体" w:cs="宋体" w:eastAsia="宋体" w:hint="default"/>
        </w:rPr>
        <w:t>(3).</w:t>
      </w:r>
      <w:r>
        <w:rPr>
          <w:rFonts w:ascii="宋体" w:hAnsi="宋体" w:cs="宋体" w:eastAsia="宋体" w:hint="default"/>
          <w:spacing w:val="-1"/>
        </w:rPr>
        <w:t> </w:t>
      </w:r>
      <w:r>
        <w:rPr/>
        <w:t>期末建造合同形成的已结算未完工项目情况：</w:t>
      </w:r>
      <w:r>
        <w:rPr>
          <w:b w:val="0"/>
          <w:bCs w:val="0"/>
        </w:rPr>
      </w:r>
    </w:p>
    <w:p>
      <w:pPr>
        <w:pStyle w:val="BodyText"/>
        <w:spacing w:line="240" w:lineRule="auto" w:before="56"/>
        <w:ind w:left="218" w:right="7474"/>
        <w:jc w:val="left"/>
      </w:pPr>
      <w:r>
        <w:rPr/>
        <w:t>□适用</w:t>
      </w:r>
      <w:r>
        <w:rPr>
          <w:spacing w:val="-1"/>
        </w:rPr>
        <w:t> </w:t>
      </w:r>
      <w:r>
        <w:rPr/>
        <w:t>√不适用</w:t>
      </w:r>
      <w:r>
        <w:rPr>
          <w:w w:val="100"/>
        </w:rPr>
        <w:t> </w:t>
      </w:r>
      <w:r>
        <w:rPr/>
        <w:t>其他说明</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218" w:right="3084"/>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90" w:lineRule="auto" w:before="36"/>
        <w:ind w:right="-16"/>
        <w:jc w:val="left"/>
        <w:rPr>
          <w:b w:val="0"/>
          <w:bCs w:val="0"/>
        </w:rPr>
      </w:pPr>
      <w:r>
        <w:rPr>
          <w:rFonts w:ascii="宋体" w:hAnsi="宋体" w:cs="宋体" w:eastAsia="宋体" w:hint="default"/>
        </w:rPr>
        <w:t>37</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2"/>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544" w:space="397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35"/>
        <w:gridCol w:w="1702"/>
        <w:gridCol w:w="1702"/>
        <w:gridCol w:w="1702"/>
        <w:gridCol w:w="1709"/>
      </w:tblGrid>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98"/>
              <w:jc w:val="right"/>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57"/>
              <w:jc w:val="right"/>
              <w:rPr>
                <w:rFonts w:ascii="宋体" w:hAnsi="宋体" w:cs="宋体" w:eastAsia="宋体" w:hint="default"/>
                <w:sz w:val="21"/>
                <w:szCs w:val="21"/>
              </w:rPr>
            </w:pPr>
            <w:r>
              <w:rPr>
                <w:rFonts w:ascii="宋体" w:hAnsi="宋体" w:cs="宋体" w:eastAsia="宋体" w:hint="default"/>
                <w:spacing w:val="-1"/>
                <w:sz w:val="21"/>
                <w:szCs w:val="21"/>
              </w:rPr>
              <w:t>一、短期薪酬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center"/>
              <w:rPr>
                <w:rFonts w:ascii="宋体" w:hAnsi="宋体" w:cs="宋体" w:eastAsia="宋体" w:hint="default"/>
                <w:sz w:val="21"/>
                <w:szCs w:val="21"/>
              </w:rPr>
            </w:pPr>
            <w:r>
              <w:rPr>
                <w:rFonts w:ascii="宋体"/>
                <w:sz w:val="21"/>
              </w:rPr>
              <w:t>19,685,441.92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195,880,965.44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sz w:val="21"/>
              </w:rPr>
              <w:t>194,660,311.62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center"/>
              <w:rPr>
                <w:rFonts w:ascii="宋体" w:hAnsi="宋体" w:cs="宋体" w:eastAsia="宋体" w:hint="default"/>
                <w:sz w:val="21"/>
                <w:szCs w:val="21"/>
              </w:rPr>
            </w:pPr>
            <w:r>
              <w:rPr>
                <w:rFonts w:ascii="宋体"/>
                <w:sz w:val="21"/>
              </w:rPr>
              <w:t>20,906,095.74</w:t>
            </w:r>
          </w:p>
        </w:tc>
      </w:tr>
      <w:tr>
        <w:trPr>
          <w:trHeight w:val="55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二、离职后福利</w:t>
            </w:r>
            <w:r>
              <w:rPr>
                <w:rFonts w:ascii="宋体" w:hAnsi="宋体" w:cs="宋体" w:eastAsia="宋体" w:hint="default"/>
                <w:sz w:val="21"/>
                <w:szCs w:val="21"/>
              </w:rPr>
              <w:t>-</w:t>
            </w:r>
            <w:r>
              <w:rPr>
                <w:rFonts w:ascii="宋体" w:hAnsi="宋体" w:cs="宋体" w:eastAsia="宋体" w:hint="default"/>
                <w:sz w:val="21"/>
                <w:szCs w:val="21"/>
              </w:rPr>
              <w:t>设定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提存计划</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center"/>
              <w:rPr>
                <w:rFonts w:ascii="宋体" w:hAnsi="宋体" w:cs="宋体" w:eastAsia="宋体" w:hint="default"/>
                <w:sz w:val="21"/>
                <w:szCs w:val="21"/>
              </w:rPr>
            </w:pPr>
            <w:r>
              <w:rPr>
                <w:rFonts w:ascii="宋体"/>
                <w:sz w:val="21"/>
              </w:rPr>
              <w:t>19,296,091.33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center"/>
              <w:rPr>
                <w:rFonts w:ascii="宋体" w:hAnsi="宋体" w:cs="宋体" w:eastAsia="宋体" w:hint="default"/>
                <w:sz w:val="21"/>
                <w:szCs w:val="21"/>
              </w:rPr>
            </w:pPr>
            <w:r>
              <w:rPr>
                <w:rFonts w:ascii="宋体"/>
                <w:sz w:val="21"/>
              </w:rPr>
              <w:t>19,296,091.33</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57"/>
              <w:jc w:val="right"/>
              <w:rPr>
                <w:rFonts w:ascii="宋体" w:hAnsi="宋体" w:cs="宋体" w:eastAsia="宋体" w:hint="default"/>
                <w:sz w:val="21"/>
                <w:szCs w:val="21"/>
              </w:rPr>
            </w:pPr>
            <w:r>
              <w:rPr>
                <w:rFonts w:ascii="宋体" w:hAnsi="宋体" w:cs="宋体" w:eastAsia="宋体" w:hint="default"/>
                <w:spacing w:val="-1"/>
                <w:sz w:val="21"/>
                <w:szCs w:val="21"/>
              </w:rPr>
              <w:t>三、辞退福利</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四、一年内到期的其他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福利</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98"/>
              <w:jc w:val="right"/>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2" w:right="0"/>
              <w:jc w:val="center"/>
              <w:rPr>
                <w:rFonts w:ascii="宋体" w:hAnsi="宋体" w:cs="宋体" w:eastAsia="宋体" w:hint="default"/>
                <w:sz w:val="21"/>
                <w:szCs w:val="21"/>
              </w:rPr>
            </w:pPr>
            <w:r>
              <w:rPr>
                <w:rFonts w:ascii="宋体"/>
                <w:sz w:val="21"/>
              </w:rPr>
              <w:t>19,685,441.92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6" w:right="0"/>
              <w:jc w:val="center"/>
              <w:rPr>
                <w:rFonts w:ascii="宋体" w:hAnsi="宋体" w:cs="宋体" w:eastAsia="宋体" w:hint="default"/>
                <w:sz w:val="21"/>
                <w:szCs w:val="21"/>
              </w:rPr>
            </w:pPr>
            <w:r>
              <w:rPr>
                <w:rFonts w:ascii="宋体"/>
                <w:sz w:val="21"/>
              </w:rPr>
              <w:t>215,177,056.77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 w:right="0"/>
              <w:jc w:val="center"/>
              <w:rPr>
                <w:rFonts w:ascii="宋体" w:hAnsi="宋体" w:cs="宋体" w:eastAsia="宋体" w:hint="default"/>
                <w:sz w:val="21"/>
                <w:szCs w:val="21"/>
              </w:rPr>
            </w:pPr>
            <w:r>
              <w:rPr>
                <w:rFonts w:ascii="宋体"/>
                <w:sz w:val="21"/>
              </w:rPr>
              <w:t>213,956,402.95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9" w:right="0"/>
              <w:jc w:val="center"/>
              <w:rPr>
                <w:rFonts w:ascii="宋体" w:hAnsi="宋体" w:cs="宋体" w:eastAsia="宋体" w:hint="default"/>
                <w:sz w:val="21"/>
                <w:szCs w:val="21"/>
              </w:rPr>
            </w:pPr>
            <w:r>
              <w:rPr>
                <w:rFonts w:ascii="宋体"/>
                <w:sz w:val="21"/>
              </w:rPr>
              <w:t>20,906,095.74</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before="36"/>
        <w:ind w:right="-16"/>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6"/>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2122" w:space="4506"/>
            <w:col w:w="2662"/>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35"/>
        <w:gridCol w:w="1702"/>
        <w:gridCol w:w="1702"/>
        <w:gridCol w:w="1702"/>
        <w:gridCol w:w="1709"/>
      </w:tblGrid>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一、工资、奖金、津贴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和补贴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center"/>
              <w:rPr>
                <w:rFonts w:ascii="宋体" w:hAnsi="宋体" w:cs="宋体" w:eastAsia="宋体" w:hint="default"/>
                <w:sz w:val="21"/>
                <w:szCs w:val="21"/>
              </w:rPr>
            </w:pPr>
            <w:r>
              <w:rPr>
                <w:rFonts w:ascii="宋体"/>
                <w:sz w:val="21"/>
              </w:rPr>
              <w:t>19,685,441.92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169,155,554.74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167,934,900.92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center"/>
              <w:rPr>
                <w:rFonts w:ascii="宋体" w:hAnsi="宋体" w:cs="宋体" w:eastAsia="宋体" w:hint="default"/>
                <w:sz w:val="21"/>
                <w:szCs w:val="21"/>
              </w:rPr>
            </w:pPr>
            <w:r>
              <w:rPr>
                <w:rFonts w:ascii="宋体"/>
                <w:sz w:val="21"/>
              </w:rPr>
              <w:t>20,906,095.74</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3,244,973.41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3,244,973.41</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11,886,681.33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11,886,681.33</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10,849,320.42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10,849,320.42</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436,349.47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436,349.47</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601,011.44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601,011.44</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11,506,605.96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11,506,605.96</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五、工会经费和职工教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育经费</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87,150.00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87,150.00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七、短期利润分享计划</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center"/>
              <w:rPr>
                <w:rFonts w:ascii="宋体" w:hAnsi="宋体" w:cs="宋体" w:eastAsia="宋体" w:hint="default"/>
                <w:sz w:val="21"/>
                <w:szCs w:val="21"/>
              </w:rPr>
            </w:pPr>
            <w:r>
              <w:rPr>
                <w:rFonts w:ascii="宋体"/>
                <w:sz w:val="21"/>
              </w:rPr>
              <w:t>19,685,441.92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195,880,965.44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194,660,311.62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center"/>
              <w:rPr>
                <w:rFonts w:ascii="宋体" w:hAnsi="宋体" w:cs="宋体" w:eastAsia="宋体" w:hint="default"/>
                <w:sz w:val="21"/>
                <w:szCs w:val="21"/>
              </w:rPr>
            </w:pPr>
            <w:r>
              <w:rPr>
                <w:rFonts w:ascii="宋体"/>
                <w:sz w:val="21"/>
              </w:rPr>
              <w:t>20,906,095.74</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2"/>
        <w:spacing w:line="240" w:lineRule="auto" w:before="36"/>
        <w:ind w:right="-16"/>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9"/>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333" w:space="4189"/>
            <w:col w:w="276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588"/>
        <w:gridCol w:w="1622"/>
        <w:gridCol w:w="1608"/>
        <w:gridCol w:w="1640"/>
        <w:gridCol w:w="1591"/>
      </w:tblGrid>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622" w:type="dxa"/>
            <w:tcBorders>
              <w:top w:val="single" w:sz="6" w:space="0" w:color="000000"/>
              <w:left w:val="single" w:sz="6" w:space="0" w:color="000000"/>
              <w:bottom w:val="single" w:sz="4" w:space="0" w:color="000000"/>
              <w:right w:val="single" w:sz="4" w:space="0" w:color="000000"/>
            </w:tcBorders>
          </w:tcPr>
          <w:p>
            <w:pP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18,681,870.93</w:t>
            </w:r>
          </w:p>
        </w:tc>
        <w:tc>
          <w:tcPr>
            <w:tcW w:w="1640"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18,681,870.93</w:t>
            </w:r>
          </w:p>
        </w:tc>
        <w:tc>
          <w:tcPr>
            <w:tcW w:w="1591" w:type="dxa"/>
            <w:tcBorders>
              <w:top w:val="single" w:sz="6" w:space="0" w:color="000000"/>
              <w:left w:val="single" w:sz="4" w:space="0" w:color="000000"/>
              <w:bottom w:val="single" w:sz="4" w:space="0" w:color="000000"/>
              <w:right w:val="single" w:sz="4" w:space="0" w:color="000000"/>
            </w:tcBorders>
          </w:tcPr>
          <w:p>
            <w:pP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614,220.40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614,220.40</w:t>
            </w: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19,296,091.33</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19,296,091.33</w:t>
            </w:r>
          </w:p>
        </w:tc>
        <w:tc>
          <w:tcPr>
            <w:tcW w:w="15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4" w:lineRule="exact" w:before="36"/>
        <w:ind w:left="218" w:right="3084"/>
        <w:jc w:val="left"/>
      </w:pPr>
      <w:r>
        <w:rPr/>
        <w:t>其他说明：</w:t>
      </w:r>
    </w:p>
    <w:p>
      <w:pPr>
        <w:pStyle w:val="BodyText"/>
        <w:spacing w:line="274" w:lineRule="exact"/>
        <w:ind w:left="218" w:right="308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3084"/>
        <w:jc w:val="left"/>
        <w:rPr>
          <w:b w:val="0"/>
          <w:bCs w:val="0"/>
        </w:rPr>
      </w:pPr>
      <w:r>
        <w:rPr>
          <w:rFonts w:ascii="宋体" w:hAnsi="宋体" w:cs="宋体" w:eastAsia="宋体" w:hint="default"/>
        </w:rPr>
        <w:t>38</w:t>
      </w:r>
      <w:r>
        <w:rPr/>
        <w:t>、</w:t>
      </w:r>
      <w:r>
        <w:rPr>
          <w:spacing w:val="-25"/>
        </w:rPr>
        <w:t> </w:t>
      </w:r>
      <w:r>
        <w:rPr/>
        <w:t>应交税费</w:t>
      </w:r>
      <w:r>
        <w:rPr>
          <w:b w:val="0"/>
          <w:bCs w:val="0"/>
        </w:rPr>
      </w:r>
    </w:p>
    <w:p>
      <w:pPr>
        <w:pStyle w:val="BodyText"/>
        <w:spacing w:line="240" w:lineRule="auto" w:before="56"/>
        <w:ind w:left="218" w:right="3084"/>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981"/>
        <w:gridCol w:w="2955"/>
        <w:gridCol w:w="2960"/>
      </w:tblGrid>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8,204,665.40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28,520,270.05</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16,553,264.15</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12,653,833.72</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1,356,902.64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1,339,554.25</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737,640.29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2,121,408.86</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316,131.55</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909,175.22</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210,754.37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606,116.82</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防洪费</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105,377.18</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303,058.41</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45,919.20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51,411.00</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27,530,654.78</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46,504,828.33</w:t>
            </w:r>
          </w:p>
        </w:tc>
      </w:tr>
    </w:tbl>
    <w:p>
      <w:pPr>
        <w:spacing w:line="240" w:lineRule="auto" w:before="8"/>
        <w:rPr>
          <w:rFonts w:ascii="宋体" w:hAnsi="宋体" w:cs="宋体" w:eastAsia="宋体" w:hint="default"/>
          <w:sz w:val="15"/>
          <w:szCs w:val="15"/>
        </w:rPr>
      </w:pPr>
    </w:p>
    <w:p>
      <w:pPr>
        <w:pStyle w:val="BodyText"/>
        <w:spacing w:line="272" w:lineRule="exact" w:before="64"/>
        <w:ind w:left="429" w:right="7999" w:hanging="212"/>
        <w:jc w:val="left"/>
      </w:pPr>
      <w:r>
        <w:rPr/>
        <w:t>其他说明：</w:t>
      </w:r>
      <w:r>
        <w:rPr>
          <w:spacing w:val="-102"/>
        </w:rPr>
        <w:t> </w:t>
      </w:r>
      <w:r>
        <w:rPr>
          <w:spacing w:val="-102"/>
        </w:rPr>
      </w:r>
      <w:r>
        <w:rPr/>
        <w:t>无。</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2"/>
        <w:spacing w:line="240" w:lineRule="auto" w:before="36"/>
        <w:ind w:right="-18"/>
        <w:jc w:val="left"/>
        <w:rPr>
          <w:b w:val="0"/>
          <w:bCs w:val="0"/>
        </w:rPr>
      </w:pPr>
      <w:r>
        <w:rPr>
          <w:rFonts w:ascii="宋体" w:hAnsi="宋体" w:cs="宋体" w:eastAsia="宋体" w:hint="default"/>
        </w:rPr>
        <w:t>39</w:t>
      </w:r>
      <w:r>
        <w:rPr/>
        <w:t>、</w:t>
      </w:r>
      <w:r>
        <w:rPr>
          <w:spacing w:val="-25"/>
        </w:rPr>
        <w:t> </w:t>
      </w:r>
      <w:r>
        <w:rPr/>
        <w:t>应付利息</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6"/>
        <w:gridCol w:w="2585"/>
        <w:gridCol w:w="3049"/>
      </w:tblGrid>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02"/>
              <w:jc w:val="right"/>
              <w:rPr>
                <w:rFonts w:ascii="宋体" w:hAnsi="宋体" w:cs="宋体" w:eastAsia="宋体" w:hint="default"/>
                <w:sz w:val="21"/>
                <w:szCs w:val="21"/>
              </w:rPr>
            </w:pPr>
            <w:r>
              <w:rPr>
                <w:rFonts w:ascii="宋体" w:hAnsi="宋体" w:cs="宋体" w:eastAsia="宋体" w:hint="default"/>
                <w:sz w:val="21"/>
                <w:szCs w:val="21"/>
              </w:rPr>
              <w:t>项目</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20"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411,556.61</w:t>
            </w:r>
          </w:p>
        </w:tc>
      </w:tr>
      <w:tr>
        <w:trPr>
          <w:trHeight w:val="418"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0"/>
              <w:jc w:val="right"/>
              <w:rPr>
                <w:rFonts w:ascii="宋体" w:hAnsi="宋体" w:cs="宋体" w:eastAsia="宋体" w:hint="default"/>
                <w:sz w:val="21"/>
                <w:szCs w:val="21"/>
              </w:rPr>
            </w:pPr>
            <w:r>
              <w:rPr>
                <w:rFonts w:ascii="宋体" w:hAnsi="宋体" w:cs="宋体" w:eastAsia="宋体" w:hint="default"/>
                <w:sz w:val="21"/>
                <w:szCs w:val="21"/>
              </w:rPr>
              <w:t>合计</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411,556.61</w:t>
            </w:r>
          </w:p>
        </w:tc>
      </w:tr>
    </w:tbl>
    <w:p>
      <w:pPr>
        <w:spacing w:line="240" w:lineRule="auto" w:before="7"/>
        <w:rPr>
          <w:rFonts w:ascii="宋体" w:hAnsi="宋体" w:cs="宋体" w:eastAsia="宋体" w:hint="default"/>
          <w:sz w:val="15"/>
          <w:szCs w:val="15"/>
        </w:rPr>
      </w:pPr>
    </w:p>
    <w:p>
      <w:pPr>
        <w:pStyle w:val="BodyText"/>
        <w:spacing w:line="273" w:lineRule="exact" w:before="36"/>
        <w:ind w:left="218" w:right="3084"/>
        <w:jc w:val="left"/>
      </w:pPr>
      <w:r>
        <w:rPr/>
        <w:t>重要的已逾期未支付的利息情况：</w:t>
      </w:r>
    </w:p>
    <w:p>
      <w:pPr>
        <w:pStyle w:val="BodyText"/>
        <w:spacing w:line="290" w:lineRule="auto"/>
        <w:ind w:left="218" w:right="7474"/>
        <w:jc w:val="left"/>
      </w:pPr>
      <w:r>
        <w:rPr/>
        <w:t>□适用</w:t>
      </w:r>
      <w:r>
        <w:rPr>
          <w:spacing w:val="-1"/>
        </w:rPr>
        <w:t> </w:t>
      </w:r>
      <w:r>
        <w:rPr/>
        <w:t>√不适用</w:t>
      </w:r>
      <w:r>
        <w:rPr>
          <w:w w:val="100"/>
        </w:rPr>
        <w:t> </w:t>
      </w:r>
      <w:r>
        <w:rPr/>
        <w:t>其他说明：</w:t>
      </w:r>
    </w:p>
    <w:p>
      <w:pPr>
        <w:pStyle w:val="BodyText"/>
        <w:spacing w:line="240" w:lineRule="auto" w:before="12"/>
        <w:ind w:left="218" w:right="3084"/>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2"/>
        <w:spacing w:line="240" w:lineRule="auto"/>
        <w:ind w:right="3084"/>
        <w:jc w:val="left"/>
        <w:rPr>
          <w:b w:val="0"/>
          <w:bCs w:val="0"/>
        </w:rPr>
      </w:pPr>
      <w:r>
        <w:rPr>
          <w:rFonts w:ascii="宋体" w:hAnsi="宋体" w:cs="宋体" w:eastAsia="宋体" w:hint="default"/>
        </w:rPr>
        <w:t>40</w:t>
      </w:r>
      <w:r>
        <w:rPr/>
        <w:t>、</w:t>
      </w:r>
      <w:r>
        <w:rPr>
          <w:spacing w:val="-25"/>
        </w:rPr>
        <w:t> </w:t>
      </w:r>
      <w:r>
        <w:rPr/>
        <w:t>应付股利</w:t>
      </w:r>
      <w:r>
        <w:rPr>
          <w:b w:val="0"/>
          <w:bCs w:val="0"/>
        </w:rPr>
      </w:r>
    </w:p>
    <w:p>
      <w:pPr>
        <w:pStyle w:val="BodyText"/>
        <w:spacing w:line="240" w:lineRule="auto" w:before="58"/>
        <w:ind w:left="218" w:right="3084"/>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before="36"/>
        <w:ind w:right="-18"/>
        <w:jc w:val="left"/>
        <w:rPr>
          <w:b w:val="0"/>
          <w:bCs w:val="0"/>
        </w:rPr>
      </w:pPr>
      <w:r>
        <w:rPr>
          <w:rFonts w:ascii="宋体" w:hAnsi="宋体" w:cs="宋体" w:eastAsia="宋体" w:hint="default"/>
        </w:rPr>
        <w:t>41</w:t>
      </w:r>
      <w:r>
        <w:rPr/>
        <w:t>、</w:t>
      </w:r>
      <w:r>
        <w:rPr>
          <w:spacing w:val="-25"/>
        </w:rPr>
        <w:t> </w:t>
      </w:r>
      <w:r>
        <w:rPr/>
        <w:t>其他应付款</w:t>
      </w:r>
      <w:r>
        <w:rPr>
          <w:b w:val="0"/>
          <w:bCs w:val="0"/>
        </w:rPr>
      </w:r>
    </w:p>
    <w:p>
      <w:pPr>
        <w:pStyle w:val="Heading2"/>
        <w:spacing w:line="240" w:lineRule="auto" w:before="56"/>
        <w:ind w:right="-18"/>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59"/>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276" w:space="3245"/>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44"/>
              <w:jc w:val="right"/>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528,225.00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276,900.00</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未付费用款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1,480,766.60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521,976.90</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员工报销款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2,484,623.77</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6,045,144.40</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305,771.65</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121,815.20</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44"/>
              <w:jc w:val="right"/>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4,799,387.02</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6,965,836.50</w:t>
            </w:r>
          </w:p>
        </w:tc>
      </w:tr>
    </w:tbl>
    <w:p>
      <w:pPr>
        <w:spacing w:line="240" w:lineRule="auto" w:before="12"/>
        <w:rPr>
          <w:rFonts w:ascii="宋体" w:hAnsi="宋体" w:cs="宋体" w:eastAsia="宋体" w:hint="default"/>
          <w:sz w:val="19"/>
          <w:szCs w:val="19"/>
        </w:rPr>
      </w:pPr>
    </w:p>
    <w:p>
      <w:pPr>
        <w:pStyle w:val="Heading2"/>
        <w:spacing w:line="240" w:lineRule="auto" w:before="36"/>
        <w:ind w:right="3084"/>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年的重要其他应付款</w:t>
      </w:r>
      <w:r>
        <w:rPr>
          <w:b w:val="0"/>
          <w:bCs w:val="0"/>
        </w:rPr>
      </w:r>
    </w:p>
    <w:p>
      <w:pPr>
        <w:pStyle w:val="BodyText"/>
        <w:spacing w:line="272" w:lineRule="exact" w:before="69"/>
        <w:ind w:left="218" w:right="7474"/>
        <w:jc w:val="left"/>
      </w:pPr>
      <w:r>
        <w:rPr/>
        <w:t>□适用</w:t>
      </w:r>
      <w:r>
        <w:rPr>
          <w:spacing w:val="-1"/>
        </w:rPr>
        <w:t> </w:t>
      </w:r>
      <w:r>
        <w:rPr/>
        <w:t>√不适用</w:t>
      </w:r>
      <w:r>
        <w:rPr>
          <w:w w:val="100"/>
        </w:rPr>
        <w:t> </w:t>
      </w:r>
      <w:r>
        <w:rPr/>
        <w:t>其他说明</w:t>
      </w:r>
    </w:p>
    <w:p>
      <w:pPr>
        <w:pStyle w:val="BodyText"/>
        <w:spacing w:line="249" w:lineRule="exact"/>
        <w:ind w:left="218" w:right="3084"/>
        <w:jc w:val="left"/>
      </w:pPr>
      <w:r>
        <w:rPr/>
        <w:t>□适用</w:t>
      </w:r>
      <w:r>
        <w:rPr>
          <w:spacing w:val="-1"/>
        </w:rPr>
        <w:t> </w:t>
      </w:r>
      <w:r>
        <w:rPr/>
        <w:t>√不适用</w:t>
      </w:r>
    </w:p>
    <w:p>
      <w:pPr>
        <w:spacing w:after="0" w:line="249" w:lineRule="exact"/>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2"/>
        <w:spacing w:line="240" w:lineRule="auto" w:before="36"/>
        <w:ind w:left="138" w:right="0"/>
        <w:jc w:val="left"/>
        <w:rPr>
          <w:b w:val="0"/>
          <w:bCs w:val="0"/>
        </w:rPr>
      </w:pPr>
      <w:r>
        <w:rPr>
          <w:rFonts w:ascii="宋体" w:hAnsi="宋体" w:cs="宋体" w:eastAsia="宋体" w:hint="default"/>
        </w:rPr>
        <w:t>42</w:t>
      </w:r>
      <w:r>
        <w:rPr/>
        <w:t>、</w:t>
      </w:r>
      <w:r>
        <w:rPr>
          <w:spacing w:val="-24"/>
        </w:rPr>
        <w:t> </w:t>
      </w:r>
      <w:r>
        <w:rPr/>
        <w:t>持有待售负债</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43</w:t>
      </w:r>
      <w:r>
        <w:rPr/>
        <w:t>、 </w:t>
      </w:r>
      <w:r>
        <w:rPr>
          <w:rFonts w:ascii="宋体" w:hAnsi="宋体" w:cs="宋体" w:eastAsia="宋体" w:hint="default"/>
        </w:rPr>
        <w:t>1</w:t>
      </w:r>
      <w:r>
        <w:rPr>
          <w:rFonts w:ascii="宋体" w:hAnsi="宋体" w:cs="宋体" w:eastAsia="宋体" w:hint="default"/>
          <w:spacing w:val="-77"/>
        </w:rPr>
        <w:t> </w:t>
      </w:r>
      <w:r>
        <w:rPr/>
        <w:t>年内到期的非流动负债</w:t>
      </w:r>
      <w:r>
        <w:rPr>
          <w:b w:val="0"/>
          <w:bCs w:val="0"/>
        </w:rPr>
      </w:r>
    </w:p>
    <w:p>
      <w:pPr>
        <w:pStyle w:val="BodyText"/>
        <w:spacing w:line="240" w:lineRule="auto" w:before="56"/>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90" w:lineRule="auto" w:before="0"/>
        <w:ind w:left="138" w:right="7179" w:firstLine="0"/>
        <w:jc w:val="left"/>
        <w:rPr>
          <w:rFonts w:ascii="宋体" w:hAnsi="宋体" w:cs="宋体" w:eastAsia="宋体" w:hint="default"/>
          <w:sz w:val="21"/>
          <w:szCs w:val="21"/>
        </w:rPr>
      </w:pPr>
      <w:r>
        <w:rPr>
          <w:rFonts w:ascii="宋体" w:hAnsi="宋体" w:cs="宋体" w:eastAsia="宋体" w:hint="default"/>
          <w:b/>
          <w:bCs/>
          <w:sz w:val="21"/>
          <w:szCs w:val="21"/>
        </w:rPr>
        <w:t>44</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其他流动负债</w:t>
      </w:r>
      <w:r>
        <w:rPr>
          <w:rFonts w:ascii="宋体" w:hAnsi="宋体" w:cs="宋体" w:eastAsia="宋体" w:hint="default"/>
          <w:b/>
          <w:bCs/>
          <w:w w:val="100"/>
          <w:sz w:val="21"/>
          <w:szCs w:val="21"/>
        </w:rPr>
        <w:t> </w:t>
      </w:r>
      <w:r>
        <w:rPr>
          <w:rFonts w:ascii="宋体" w:hAnsi="宋体" w:cs="宋体" w:eastAsia="宋体" w:hint="default"/>
          <w:sz w:val="21"/>
          <w:szCs w:val="21"/>
        </w:rPr>
        <w:t>其他流动负债情况</w:t>
      </w:r>
    </w:p>
    <w:p>
      <w:pPr>
        <w:pStyle w:val="BodyText"/>
        <w:spacing w:line="226" w:lineRule="exact"/>
        <w:ind w:right="0"/>
        <w:jc w:val="left"/>
      </w:pPr>
      <w:r>
        <w:rPr/>
        <w:t>□适用</w:t>
      </w:r>
      <w:r>
        <w:rPr>
          <w:spacing w:val="-1"/>
        </w:rPr>
        <w:t> </w:t>
      </w:r>
      <w:r>
        <w:rPr/>
        <w:t>√不适用</w:t>
      </w:r>
    </w:p>
    <w:p>
      <w:pPr>
        <w:pStyle w:val="BodyText"/>
        <w:spacing w:line="272" w:lineRule="exact"/>
        <w:ind w:right="0"/>
        <w:jc w:val="left"/>
      </w:pPr>
      <w:r>
        <w:rPr/>
        <w:t>短期应付债券的增减变动：</w:t>
      </w:r>
    </w:p>
    <w:p>
      <w:pPr>
        <w:pStyle w:val="BodyText"/>
        <w:spacing w:line="292" w:lineRule="auto"/>
        <w:ind w:right="7374"/>
        <w:jc w:val="left"/>
      </w:pPr>
      <w:r>
        <w:rPr/>
        <w:t>□适用</w:t>
      </w:r>
      <w:r>
        <w:rPr>
          <w:spacing w:val="-1"/>
        </w:rPr>
        <w:t> </w:t>
      </w:r>
      <w:r>
        <w:rPr/>
        <w:t>√不适用</w:t>
      </w:r>
      <w:r>
        <w:rPr>
          <w:w w:val="100"/>
        </w:rPr>
        <w:t> </w:t>
      </w:r>
      <w:r>
        <w:rPr/>
        <w:t>其他说明：</w:t>
      </w:r>
    </w:p>
    <w:p>
      <w:pPr>
        <w:pStyle w:val="BodyText"/>
        <w:spacing w:line="240" w:lineRule="auto" w:before="10"/>
        <w:ind w:right="0"/>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2"/>
        <w:spacing w:line="240" w:lineRule="auto"/>
        <w:ind w:left="138" w:right="0"/>
        <w:jc w:val="left"/>
        <w:rPr>
          <w:b w:val="0"/>
          <w:bCs w:val="0"/>
        </w:rPr>
      </w:pPr>
      <w:r>
        <w:rPr>
          <w:rFonts w:ascii="宋体" w:hAnsi="宋体" w:cs="宋体" w:eastAsia="宋体" w:hint="default"/>
        </w:rPr>
        <w:t>45</w:t>
      </w:r>
      <w:r>
        <w:rPr/>
        <w:t>、</w:t>
      </w:r>
      <w:r>
        <w:rPr>
          <w:spacing w:val="-25"/>
        </w:rPr>
        <w:t> </w:t>
      </w:r>
      <w:r>
        <w:rPr/>
        <w:t>长期借款</w:t>
      </w:r>
      <w:r>
        <w:rPr>
          <w:b w:val="0"/>
          <w:bCs w:val="0"/>
        </w:rPr>
      </w:r>
    </w:p>
    <w:p>
      <w:pPr>
        <w:pStyle w:val="Heading2"/>
        <w:tabs>
          <w:tab w:pos="769" w:val="left" w:leader="none"/>
        </w:tabs>
        <w:spacing w:line="240" w:lineRule="auto" w:before="58"/>
        <w:ind w:left="138" w:right="0"/>
        <w:jc w:val="left"/>
        <w:rPr>
          <w:b w:val="0"/>
          <w:bCs w:val="0"/>
        </w:rPr>
      </w:pPr>
      <w:r>
        <w:rPr>
          <w:rFonts w:ascii="宋体" w:hAnsi="宋体" w:cs="宋体" w:eastAsia="宋体" w:hint="default"/>
          <w:w w:val="95"/>
        </w:rPr>
        <w:t>(1).</w:t>
        <w:tab/>
      </w:r>
      <w:r>
        <w:rPr/>
        <w:t>长期借款分类</w:t>
      </w:r>
      <w:r>
        <w:rPr>
          <w:b w:val="0"/>
          <w:bCs w:val="0"/>
        </w:rPr>
      </w:r>
    </w:p>
    <w:p>
      <w:pPr>
        <w:pStyle w:val="BodyText"/>
        <w:spacing w:line="240" w:lineRule="auto" w:before="56"/>
        <w:ind w:right="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right="0"/>
        <w:jc w:val="left"/>
      </w:pPr>
      <w:r>
        <w:rPr/>
        <w:t>其他说明，包括利率区间：</w:t>
      </w:r>
    </w:p>
    <w:p>
      <w:pPr>
        <w:pStyle w:val="BodyText"/>
        <w:spacing w:line="273" w:lineRule="exact"/>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809" w:val="left" w:leader="none"/>
        </w:tabs>
        <w:spacing w:line="290" w:lineRule="auto"/>
        <w:ind w:left="138" w:right="7449"/>
        <w:jc w:val="left"/>
        <w:rPr>
          <w:b w:val="0"/>
          <w:bCs w:val="0"/>
        </w:rPr>
      </w:pPr>
      <w:r>
        <w:rPr>
          <w:rFonts w:ascii="宋体" w:hAnsi="宋体" w:cs="宋体" w:eastAsia="宋体" w:hint="default"/>
        </w:rPr>
        <w:t>46</w:t>
      </w:r>
      <w:r>
        <w:rPr/>
        <w:t>、</w:t>
      </w:r>
      <w:r>
        <w:rPr>
          <w:spacing w:val="-25"/>
        </w:rPr>
        <w:t> </w:t>
      </w:r>
      <w:r>
        <w:rPr/>
        <w:t>应付债券</w:t>
      </w:r>
      <w:r>
        <w:rPr>
          <w:w w:val="100"/>
        </w:rPr>
        <w:t> </w:t>
      </w:r>
      <w:r>
        <w:rPr>
          <w:rFonts w:ascii="宋体" w:hAnsi="宋体" w:cs="宋体" w:eastAsia="宋体" w:hint="default"/>
          <w:w w:val="95"/>
        </w:rPr>
        <w:t>(1).</w:t>
        <w:tab/>
      </w:r>
      <w:r>
        <w:rPr/>
        <w:t>应付债券</w:t>
      </w:r>
      <w:r>
        <w:rPr>
          <w:b w:val="0"/>
          <w:bCs w:val="0"/>
        </w:rPr>
      </w:r>
    </w:p>
    <w:p>
      <w:pPr>
        <w:pStyle w:val="BodyText"/>
        <w:spacing w:line="240" w:lineRule="auto" w:before="12"/>
        <w:ind w:right="0"/>
        <w:jc w:val="left"/>
      </w:pPr>
      <w:r>
        <w:rPr/>
        <w:t>□适用</w:t>
      </w:r>
      <w:r>
        <w:rPr>
          <w:spacing w:val="-1"/>
        </w:rPr>
        <w:t> </w:t>
      </w:r>
      <w:r>
        <w:rPr/>
        <w:t>√不适用</w:t>
      </w:r>
    </w:p>
    <w:p>
      <w:pPr>
        <w:pStyle w:val="Heading2"/>
        <w:tabs>
          <w:tab w:pos="809" w:val="left" w:leader="none"/>
        </w:tabs>
        <w:spacing w:line="240" w:lineRule="auto" w:before="58"/>
        <w:ind w:left="138" w:right="0"/>
        <w:jc w:val="left"/>
        <w:rPr>
          <w:b w:val="0"/>
          <w:bCs w:val="0"/>
        </w:rPr>
      </w:pPr>
      <w:r>
        <w:rPr>
          <w:rFonts w:ascii="宋体" w:hAnsi="宋体" w:cs="宋体" w:eastAsia="宋体" w:hint="default"/>
          <w:w w:val="99"/>
        </w:rPr>
        <w:t>(2).</w:t>
      </w:r>
      <w:r>
        <w:rPr>
          <w:rFonts w:ascii="宋体" w:hAnsi="宋体" w:cs="宋体" w:eastAsia="宋体" w:hint="default"/>
        </w:rPr>
        <w:tab/>
      </w:r>
      <w:r>
        <w:rPr>
          <w:w w:val="100"/>
        </w:rPr>
        <w:t>应付债券的增减变动</w:t>
      </w:r>
      <w:r>
        <w:rPr>
          <w:spacing w:val="-108"/>
          <w:w w:val="100"/>
        </w:rPr>
        <w:t>：</w:t>
      </w:r>
      <w:r>
        <w:rPr>
          <w:w w:val="100"/>
        </w:rPr>
        <w:t>（</w:t>
      </w:r>
      <w:r>
        <w:rPr>
          <w:spacing w:val="-3"/>
          <w:w w:val="100"/>
        </w:rPr>
        <w:t>不</w:t>
      </w:r>
      <w:r>
        <w:rPr>
          <w:w w:val="100"/>
        </w:rPr>
        <w:t>包括划分为金融负</w:t>
      </w:r>
      <w:r>
        <w:rPr>
          <w:spacing w:val="-3"/>
          <w:w w:val="100"/>
        </w:rPr>
        <w:t>债</w:t>
      </w:r>
      <w:r>
        <w:rPr>
          <w:w w:val="100"/>
        </w:rPr>
        <w:t>的</w:t>
      </w:r>
      <w:r>
        <w:rPr>
          <w:spacing w:val="-3"/>
          <w:w w:val="100"/>
        </w:rPr>
        <w:t>优</w:t>
      </w:r>
      <w:r>
        <w:rPr>
          <w:w w:val="100"/>
        </w:rPr>
        <w:t>先股、永续债等其</w:t>
      </w:r>
      <w:r>
        <w:rPr>
          <w:spacing w:val="-3"/>
          <w:w w:val="100"/>
        </w:rPr>
        <w:t>他</w:t>
      </w:r>
      <w:r>
        <w:rPr>
          <w:w w:val="100"/>
        </w:rPr>
        <w:t>金</w:t>
      </w:r>
      <w:r>
        <w:rPr>
          <w:spacing w:val="-3"/>
          <w:w w:val="100"/>
        </w:rPr>
        <w:t>融</w:t>
      </w:r>
      <w:r>
        <w:rPr>
          <w:w w:val="100"/>
        </w:rPr>
        <w:t>工具）</w:t>
      </w:r>
      <w:r>
        <w:rPr>
          <w:b w:val="0"/>
          <w:bCs w:val="0"/>
          <w:w w:val="100"/>
        </w:rPr>
      </w:r>
    </w:p>
    <w:p>
      <w:pPr>
        <w:pStyle w:val="BodyText"/>
        <w:spacing w:line="240" w:lineRule="auto" w:before="56"/>
        <w:ind w:right="0"/>
        <w:jc w:val="left"/>
      </w:pPr>
      <w:r>
        <w:rPr/>
        <w:t>□适用</w:t>
      </w:r>
      <w:r>
        <w:rPr>
          <w:spacing w:val="-1"/>
        </w:rPr>
        <w:t> </w:t>
      </w:r>
      <w:r>
        <w:rPr/>
        <w:t>√不适用</w:t>
      </w:r>
    </w:p>
    <w:p>
      <w:pPr>
        <w:pStyle w:val="Heading2"/>
        <w:tabs>
          <w:tab w:pos="809" w:val="left" w:leader="none"/>
        </w:tabs>
        <w:spacing w:line="240" w:lineRule="auto" w:before="58"/>
        <w:ind w:left="138" w:right="0"/>
        <w:jc w:val="left"/>
        <w:rPr>
          <w:b w:val="0"/>
          <w:bCs w:val="0"/>
        </w:rPr>
      </w:pPr>
      <w:r>
        <w:rPr>
          <w:rFonts w:ascii="宋体" w:hAnsi="宋体" w:cs="宋体" w:eastAsia="宋体" w:hint="default"/>
          <w:w w:val="95"/>
        </w:rPr>
        <w:t>(3).</w:t>
        <w:tab/>
      </w:r>
      <w:r>
        <w:rPr/>
        <w:t>可转换公司债券的转股条件、转股时间说明：</w:t>
      </w:r>
      <w:r>
        <w:rPr>
          <w:b w:val="0"/>
          <w:bCs w:val="0"/>
        </w:rPr>
      </w:r>
    </w:p>
    <w:p>
      <w:pPr>
        <w:pStyle w:val="BodyText"/>
        <w:spacing w:line="240" w:lineRule="auto" w:before="56"/>
        <w:ind w:right="0"/>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tabs>
          <w:tab w:pos="809" w:val="left" w:leader="none"/>
        </w:tabs>
        <w:spacing w:line="290" w:lineRule="auto" w:before="0"/>
        <w:ind w:left="138" w:right="3709"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划分为金融负债的其他金融工具说明：</w:t>
      </w:r>
      <w:r>
        <w:rPr>
          <w:rFonts w:ascii="宋体" w:hAnsi="宋体" w:cs="宋体" w:eastAsia="宋体" w:hint="default"/>
          <w:b/>
          <w:bCs/>
          <w:w w:val="100"/>
          <w:sz w:val="21"/>
          <w:szCs w:val="21"/>
        </w:rPr>
        <w:t> </w:t>
      </w:r>
      <w:r>
        <w:rPr>
          <w:rFonts w:ascii="宋体" w:hAnsi="宋体" w:cs="宋体" w:eastAsia="宋体" w:hint="default"/>
          <w:spacing w:val="-2"/>
          <w:sz w:val="21"/>
          <w:szCs w:val="21"/>
        </w:rPr>
        <w:t>期末发行在外的优先股、永续债等其他金融工具基本情况</w:t>
      </w:r>
    </w:p>
    <w:p>
      <w:pPr>
        <w:pStyle w:val="BodyText"/>
        <w:spacing w:line="228" w:lineRule="exact"/>
        <w:ind w:right="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right="0"/>
        <w:jc w:val="left"/>
      </w:pPr>
      <w:r>
        <w:rPr/>
        <w:t>期末发行在外的优先股、永续债等金融工具变动情况表</w:t>
      </w:r>
    </w:p>
    <w:p>
      <w:pPr>
        <w:pStyle w:val="BodyText"/>
        <w:spacing w:line="290" w:lineRule="auto"/>
        <w:ind w:right="3683"/>
        <w:jc w:val="left"/>
      </w:pPr>
      <w:r>
        <w:rPr/>
        <w:t>□适用</w:t>
      </w:r>
      <w:r>
        <w:rPr>
          <w:spacing w:val="-2"/>
        </w:rPr>
        <w:t> </w:t>
      </w:r>
      <w:r>
        <w:rPr/>
        <w:t>√不适用</w:t>
      </w:r>
      <w:r>
        <w:rPr>
          <w:w w:val="100"/>
        </w:rPr>
        <w:t> </w:t>
      </w:r>
      <w:r>
        <w:rPr>
          <w:spacing w:val="-2"/>
        </w:rPr>
        <w:t>其他金融工具划分为金融负债的依据说明</w:t>
      </w:r>
    </w:p>
    <w:p>
      <w:pPr>
        <w:pStyle w:val="BodyText"/>
        <w:spacing w:line="240" w:lineRule="auto" w:before="14"/>
        <w:ind w:right="0"/>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BodyText"/>
        <w:spacing w:line="240" w:lineRule="auto"/>
        <w:ind w:right="0"/>
        <w:jc w:val="left"/>
      </w:pPr>
      <w:r>
        <w:rPr/>
        <w:t>其他说明：</w:t>
      </w:r>
    </w:p>
    <w:p>
      <w:pPr>
        <w:pStyle w:val="BodyText"/>
        <w:spacing w:line="240" w:lineRule="auto" w:before="56"/>
        <w:ind w:right="0"/>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2"/>
        <w:spacing w:line="240" w:lineRule="auto"/>
        <w:ind w:left="138" w:right="0"/>
        <w:jc w:val="left"/>
        <w:rPr>
          <w:b w:val="0"/>
          <w:bCs w:val="0"/>
        </w:rPr>
      </w:pPr>
      <w:r>
        <w:rPr>
          <w:rFonts w:ascii="宋体" w:hAnsi="宋体" w:cs="宋体" w:eastAsia="宋体" w:hint="default"/>
        </w:rPr>
        <w:t>47</w:t>
      </w:r>
      <w:r>
        <w:rPr/>
        <w:t>、</w:t>
      </w:r>
      <w:r>
        <w:rPr>
          <w:spacing w:val="-25"/>
        </w:rPr>
        <w:t> </w:t>
      </w:r>
      <w:r>
        <w:rPr/>
        <w:t>长期应付款</w:t>
      </w:r>
      <w:r>
        <w:rPr>
          <w:b w:val="0"/>
          <w:bCs w:val="0"/>
        </w:rPr>
      </w:r>
    </w:p>
    <w:p>
      <w:pPr>
        <w:pStyle w:val="Heading2"/>
        <w:spacing w:line="274" w:lineRule="exact" w:before="56"/>
        <w:ind w:left="138" w:right="0"/>
        <w:jc w:val="left"/>
        <w:rPr>
          <w:b w:val="0"/>
          <w:bCs w:val="0"/>
        </w:rPr>
      </w:pPr>
      <w:r>
        <w:rPr>
          <w:rFonts w:ascii="宋体" w:hAnsi="宋体" w:cs="宋体" w:eastAsia="宋体" w:hint="default"/>
        </w:rPr>
        <w:t>(1) </w:t>
      </w:r>
      <w:r>
        <w:rPr/>
        <w:t>按款项性质列示长期应付款：</w:t>
      </w:r>
      <w:r>
        <w:rPr>
          <w:b w:val="0"/>
          <w:bCs w:val="0"/>
        </w:rPr>
      </w:r>
    </w:p>
    <w:p>
      <w:pPr>
        <w:pStyle w:val="BodyText"/>
        <w:spacing w:line="274" w:lineRule="exact"/>
        <w:ind w:right="0"/>
        <w:jc w:val="left"/>
      </w:pPr>
      <w:r>
        <w:rPr/>
        <w:t>□适用</w:t>
      </w:r>
      <w:r>
        <w:rPr>
          <w:spacing w:val="-1"/>
        </w:rPr>
        <w:t> </w:t>
      </w:r>
      <w:r>
        <w:rPr/>
        <w:t>√不适用</w:t>
      </w:r>
    </w:p>
    <w:p>
      <w:pPr>
        <w:spacing w:after="0" w:line="274" w:lineRule="exact"/>
        <w:jc w:val="left"/>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5"/>
        <w:ind w:left="138" w:right="0"/>
        <w:jc w:val="left"/>
        <w:rPr>
          <w:b w:val="0"/>
          <w:bCs w:val="0"/>
        </w:rPr>
      </w:pPr>
      <w:r>
        <w:rPr>
          <w:rFonts w:ascii="宋体" w:hAnsi="宋体" w:cs="宋体" w:eastAsia="宋体" w:hint="default"/>
        </w:rPr>
        <w:t>48</w:t>
      </w:r>
      <w:r>
        <w:rPr/>
        <w:t>、</w:t>
      </w:r>
      <w:r>
        <w:rPr>
          <w:spacing w:val="-24"/>
        </w:rPr>
        <w:t> </w:t>
      </w:r>
      <w:r>
        <w:rPr/>
        <w:t>长期应付职工薪酬</w:t>
      </w:r>
      <w:r>
        <w:rPr>
          <w:b w:val="0"/>
          <w:bCs w:val="0"/>
        </w:rPr>
      </w:r>
    </w:p>
    <w:p>
      <w:pPr>
        <w:pStyle w:val="BodyText"/>
        <w:spacing w:line="240" w:lineRule="auto" w:before="56"/>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49</w:t>
      </w:r>
      <w:r>
        <w:rPr/>
        <w:t>、</w:t>
      </w:r>
      <w:r>
        <w:rPr>
          <w:spacing w:val="-25"/>
        </w:rPr>
        <w:t> </w:t>
      </w:r>
      <w:r>
        <w:rPr/>
        <w:t>专项应付款</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660" w:right="1120"/>
        </w:sectPr>
      </w:pPr>
    </w:p>
    <w:p>
      <w:pPr>
        <w:pStyle w:val="Heading2"/>
        <w:spacing w:line="240" w:lineRule="auto" w:before="36"/>
        <w:ind w:left="138" w:right="-18"/>
        <w:jc w:val="left"/>
        <w:rPr>
          <w:b w:val="0"/>
          <w:bCs w:val="0"/>
        </w:rPr>
      </w:pPr>
      <w:r>
        <w:rPr>
          <w:rFonts w:ascii="宋体" w:hAnsi="宋体" w:cs="宋体" w:eastAsia="宋体" w:hint="default"/>
        </w:rPr>
        <w:t>50</w:t>
      </w:r>
      <w:r>
        <w:rPr/>
        <w:t>、</w:t>
      </w:r>
      <w:r>
        <w:rPr>
          <w:spacing w:val="-25"/>
        </w:rPr>
        <w:t> </w:t>
      </w:r>
      <w:r>
        <w:rPr/>
        <w:t>预计负债</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1715" w:space="4806"/>
            <w:col w:w="2609"/>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223"/>
        <w:gridCol w:w="2225"/>
        <w:gridCol w:w="2225"/>
        <w:gridCol w:w="2223"/>
      </w:tblGrid>
      <w:tr>
        <w:trPr>
          <w:trHeight w:val="284"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center"/>
              <w:rPr>
                <w:rFonts w:ascii="宋体" w:hAnsi="宋体" w:cs="宋体" w:eastAsia="宋体" w:hint="default"/>
                <w:sz w:val="21"/>
                <w:szCs w:val="21"/>
              </w:rPr>
            </w:pPr>
            <w:r>
              <w:rPr>
                <w:rFonts w:ascii="宋体" w:hAnsi="宋体" w:cs="宋体" w:eastAsia="宋体" w:hint="default"/>
                <w:sz w:val="21"/>
                <w:szCs w:val="21"/>
              </w:rPr>
              <w:t>项目</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4"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1"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对外提供担保</w:t>
            </w:r>
          </w:p>
        </w:tc>
        <w:tc>
          <w:tcPr>
            <w:tcW w:w="2225"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
        </w:tc>
        <w:tc>
          <w:tcPr>
            <w:tcW w:w="22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未决诉讼</w:t>
            </w:r>
          </w:p>
        </w:tc>
        <w:tc>
          <w:tcPr>
            <w:tcW w:w="2225"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
        </w:tc>
        <w:tc>
          <w:tcPr>
            <w:tcW w:w="22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产品质量保证</w:t>
            </w:r>
          </w:p>
        </w:tc>
        <w:tc>
          <w:tcPr>
            <w:tcW w:w="2225"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
        </w:tc>
        <w:tc>
          <w:tcPr>
            <w:tcW w:w="222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重组义务</w:t>
            </w:r>
          </w:p>
        </w:tc>
        <w:tc>
          <w:tcPr>
            <w:tcW w:w="2225"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
        </w:tc>
        <w:tc>
          <w:tcPr>
            <w:tcW w:w="22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待执行的亏损合同</w:t>
            </w:r>
          </w:p>
        </w:tc>
        <w:tc>
          <w:tcPr>
            <w:tcW w:w="2225"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
        </w:tc>
        <w:tc>
          <w:tcPr>
            <w:tcW w:w="22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25"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
        </w:tc>
        <w:tc>
          <w:tcPr>
            <w:tcW w:w="222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设备维保费用</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7" w:right="0"/>
              <w:jc w:val="left"/>
              <w:rPr>
                <w:rFonts w:ascii="宋体" w:hAnsi="宋体" w:cs="宋体" w:eastAsia="宋体" w:hint="default"/>
                <w:sz w:val="21"/>
                <w:szCs w:val="21"/>
              </w:rPr>
            </w:pPr>
            <w:r>
              <w:rPr>
                <w:rFonts w:ascii="宋体"/>
                <w:sz w:val="21"/>
              </w:rPr>
              <w:t>119,893,066.71</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7" w:right="0"/>
              <w:jc w:val="left"/>
              <w:rPr>
                <w:rFonts w:ascii="宋体" w:hAnsi="宋体" w:cs="宋体" w:eastAsia="宋体" w:hint="default"/>
                <w:sz w:val="21"/>
                <w:szCs w:val="21"/>
              </w:rPr>
            </w:pPr>
            <w:r>
              <w:rPr>
                <w:rFonts w:ascii="宋体"/>
                <w:sz w:val="21"/>
              </w:rPr>
              <w:t>219,880,372.40</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设备维护费</w:t>
            </w:r>
          </w:p>
        </w:tc>
      </w:tr>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center"/>
              <w:rPr>
                <w:rFonts w:ascii="宋体" w:hAnsi="宋体" w:cs="宋体" w:eastAsia="宋体" w:hint="default"/>
                <w:sz w:val="21"/>
                <w:szCs w:val="21"/>
              </w:rPr>
            </w:pPr>
            <w:r>
              <w:rPr>
                <w:rFonts w:ascii="宋体" w:hAnsi="宋体" w:cs="宋体" w:eastAsia="宋体" w:hint="default"/>
                <w:sz w:val="21"/>
                <w:szCs w:val="21"/>
              </w:rPr>
              <w:t>合计</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7" w:right="0"/>
              <w:jc w:val="left"/>
              <w:rPr>
                <w:rFonts w:ascii="宋体" w:hAnsi="宋体" w:cs="宋体" w:eastAsia="宋体" w:hint="default"/>
                <w:sz w:val="21"/>
                <w:szCs w:val="21"/>
              </w:rPr>
            </w:pPr>
            <w:r>
              <w:rPr>
                <w:rFonts w:ascii="宋体"/>
                <w:sz w:val="21"/>
              </w:rPr>
              <w:t>119,893,066.71</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7" w:right="0"/>
              <w:jc w:val="left"/>
              <w:rPr>
                <w:rFonts w:ascii="宋体" w:hAnsi="宋体" w:cs="宋体" w:eastAsia="宋体" w:hint="default"/>
                <w:sz w:val="21"/>
                <w:szCs w:val="21"/>
              </w:rPr>
            </w:pPr>
            <w:r>
              <w:rPr>
                <w:rFonts w:ascii="宋体"/>
                <w:sz w:val="21"/>
              </w:rPr>
              <w:t>219,880,372.40</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BodyText"/>
        <w:spacing w:line="290" w:lineRule="auto" w:before="36"/>
        <w:ind w:left="558" w:right="3180" w:hanging="420"/>
        <w:jc w:val="left"/>
      </w:pPr>
      <w:r>
        <w:rPr>
          <w:spacing w:val="-2"/>
        </w:rPr>
        <w:t>其他说明，包括重要预计负债的相关重要假设、估计说明：</w:t>
      </w:r>
      <w:r>
        <w:rPr>
          <w:spacing w:val="-55"/>
        </w:rPr>
        <w:t> </w:t>
      </w:r>
      <w:r>
        <w:rPr>
          <w:spacing w:val="-55"/>
        </w:rPr>
      </w:r>
      <w:r>
        <w:rPr/>
        <w:t>无。</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660" w:right="1120"/>
        </w:sectPr>
      </w:pPr>
    </w:p>
    <w:p>
      <w:pPr>
        <w:spacing w:line="290" w:lineRule="auto" w:before="36"/>
        <w:ind w:left="138" w:right="210" w:firstLine="0"/>
        <w:jc w:val="left"/>
        <w:rPr>
          <w:rFonts w:ascii="宋体" w:hAnsi="宋体" w:cs="宋体" w:eastAsia="宋体" w:hint="default"/>
          <w:sz w:val="21"/>
          <w:szCs w:val="21"/>
        </w:rPr>
      </w:pPr>
      <w:r>
        <w:rPr>
          <w:rFonts w:ascii="宋体" w:hAnsi="宋体" w:cs="宋体" w:eastAsia="宋体" w:hint="default"/>
          <w:b/>
          <w:bCs/>
          <w:sz w:val="21"/>
          <w:szCs w:val="21"/>
        </w:rPr>
        <w:t>51</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递延收益</w:t>
      </w:r>
      <w:r>
        <w:rPr>
          <w:rFonts w:ascii="宋体" w:hAnsi="宋体" w:cs="宋体" w:eastAsia="宋体" w:hint="default"/>
          <w:b/>
          <w:bCs/>
          <w:w w:val="100"/>
          <w:sz w:val="21"/>
          <w:szCs w:val="21"/>
        </w:rPr>
        <w:t> </w:t>
      </w:r>
      <w:r>
        <w:rPr>
          <w:rFonts w:ascii="宋体" w:hAnsi="宋体" w:cs="宋体" w:eastAsia="宋体" w:hint="default"/>
          <w:sz w:val="21"/>
          <w:szCs w:val="21"/>
        </w:rPr>
        <w:t>递延收益情况</w:t>
      </w:r>
    </w:p>
    <w:p>
      <w:pPr>
        <w:pStyle w:val="BodyText"/>
        <w:spacing w:line="227" w:lineRule="exact"/>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1715" w:space="4806"/>
            <w:col w:w="2609"/>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502"/>
        <w:gridCol w:w="1443"/>
        <w:gridCol w:w="1457"/>
        <w:gridCol w:w="1440"/>
        <w:gridCol w:w="1486"/>
        <w:gridCol w:w="1567"/>
      </w:tblGrid>
      <w:tr>
        <w:trPr>
          <w:trHeight w:val="346"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33"/>
              <w:jc w:val="right"/>
              <w:rPr>
                <w:rFonts w:ascii="宋体" w:hAnsi="宋体" w:cs="宋体" w:eastAsia="宋体" w:hint="default"/>
                <w:sz w:val="21"/>
                <w:szCs w:val="21"/>
              </w:rPr>
            </w:pPr>
            <w:r>
              <w:rPr>
                <w:rFonts w:ascii="宋体" w:hAnsi="宋体" w:cs="宋体" w:eastAsia="宋体" w:hint="default"/>
                <w:sz w:val="21"/>
                <w:szCs w:val="21"/>
              </w:rPr>
              <w:t>项目</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9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0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1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1"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9,949,456.51</w:t>
            </w:r>
          </w:p>
        </w:tc>
        <w:tc>
          <w:tcPr>
            <w:tcW w:w="14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center"/>
              <w:rPr>
                <w:rFonts w:ascii="宋体" w:hAnsi="宋体" w:cs="宋体" w:eastAsia="宋体" w:hint="default"/>
                <w:sz w:val="21"/>
                <w:szCs w:val="21"/>
              </w:rPr>
            </w:pPr>
            <w:r>
              <w:rPr>
                <w:rFonts w:ascii="宋体"/>
                <w:sz w:val="21"/>
              </w:rPr>
              <w:t>1,679,884.28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8,269,572.23</w:t>
            </w: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33"/>
              <w:jc w:val="right"/>
              <w:rPr>
                <w:rFonts w:ascii="宋体" w:hAnsi="宋体" w:cs="宋体" w:eastAsia="宋体" w:hint="default"/>
                <w:sz w:val="21"/>
                <w:szCs w:val="21"/>
              </w:rPr>
            </w:pPr>
            <w:r>
              <w:rPr>
                <w:rFonts w:ascii="宋体" w:hAnsi="宋体" w:cs="宋体" w:eastAsia="宋体" w:hint="default"/>
                <w:sz w:val="21"/>
                <w:szCs w:val="21"/>
              </w:rPr>
              <w:t>合计</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9,949,456.51</w:t>
            </w:r>
          </w:p>
        </w:tc>
        <w:tc>
          <w:tcPr>
            <w:tcW w:w="14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9" w:right="0"/>
              <w:jc w:val="center"/>
              <w:rPr>
                <w:rFonts w:ascii="宋体" w:hAnsi="宋体" w:cs="宋体" w:eastAsia="宋体" w:hint="default"/>
                <w:sz w:val="21"/>
                <w:szCs w:val="21"/>
              </w:rPr>
            </w:pPr>
            <w:r>
              <w:rPr>
                <w:rFonts w:ascii="宋体"/>
                <w:sz w:val="21"/>
              </w:rPr>
              <w:t>1,679,884.28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8,269,572.23</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660" w:right="1120"/>
        </w:sectPr>
      </w:pPr>
    </w:p>
    <w:p>
      <w:pPr>
        <w:pStyle w:val="BodyText"/>
        <w:spacing w:line="240" w:lineRule="auto" w:before="36"/>
        <w:ind w:right="0"/>
        <w:jc w:val="left"/>
      </w:pPr>
      <w:r>
        <w:rPr>
          <w:spacing w:val="-2"/>
        </w:rPr>
        <w:t>涉及政府补助的项目：</w:t>
      </w:r>
    </w:p>
    <w:p>
      <w:pPr>
        <w:pStyle w:val="BodyText"/>
        <w:spacing w:line="240" w:lineRule="auto" w:before="59"/>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189" w:val="left" w:leader="none"/>
        </w:tabs>
        <w:spacing w:line="240" w:lineRule="auto" w:before="178"/>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2241" w:space="4280"/>
            <w:col w:w="2609"/>
          </w:cols>
        </w:sectPr>
      </w:pPr>
    </w:p>
    <w:p>
      <w:pPr>
        <w:spacing w:line="240" w:lineRule="auto" w:before="1"/>
        <w:rPr>
          <w:rFonts w:ascii="宋体" w:hAnsi="宋体" w:cs="宋体" w:eastAsia="宋体" w:hint="default"/>
          <w:sz w:val="7"/>
          <w:szCs w:val="7"/>
        </w:rPr>
      </w:pPr>
    </w:p>
    <w:tbl>
      <w:tblPr>
        <w:tblW w:w="0" w:type="auto"/>
        <w:jc w:val="left"/>
        <w:tblInd w:w="102" w:type="dxa"/>
        <w:tblLayout w:type="fixed"/>
        <w:tblCellMar>
          <w:top w:w="0" w:type="dxa"/>
          <w:left w:w="0" w:type="dxa"/>
          <w:bottom w:w="0" w:type="dxa"/>
          <w:right w:w="0" w:type="dxa"/>
        </w:tblCellMar>
        <w:tblLook w:val="01E0"/>
      </w:tblPr>
      <w:tblGrid>
        <w:gridCol w:w="1447"/>
        <w:gridCol w:w="1419"/>
        <w:gridCol w:w="1090"/>
        <w:gridCol w:w="1320"/>
        <w:gridCol w:w="900"/>
        <w:gridCol w:w="1321"/>
        <w:gridCol w:w="1399"/>
      </w:tblGrid>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99"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0" w:right="0"/>
              <w:jc w:val="left"/>
              <w:rPr>
                <w:rFonts w:ascii="宋体" w:hAnsi="宋体" w:cs="宋体" w:eastAsia="宋体" w:hint="default"/>
                <w:sz w:val="21"/>
                <w:szCs w:val="21"/>
              </w:rPr>
            </w:pPr>
            <w:r>
              <w:rPr>
                <w:rFonts w:ascii="宋体" w:hAnsi="宋体" w:cs="宋体" w:eastAsia="宋体" w:hint="default"/>
                <w:sz w:val="21"/>
                <w:szCs w:val="21"/>
              </w:rPr>
              <w:t>本期新增</w:t>
            </w:r>
          </w:p>
          <w:p>
            <w:pPr>
              <w:pStyle w:val="TableParagraph"/>
              <w:spacing w:line="273" w:lineRule="exact"/>
              <w:ind w:left="120" w:right="0"/>
              <w:jc w:val="left"/>
              <w:rPr>
                <w:rFonts w:ascii="宋体" w:hAnsi="宋体" w:cs="宋体" w:eastAsia="宋体" w:hint="default"/>
                <w:sz w:val="21"/>
                <w:szCs w:val="21"/>
              </w:rPr>
            </w:pPr>
            <w:r>
              <w:rPr>
                <w:rFonts w:ascii="宋体" w:hAnsi="宋体" w:cs="宋体" w:eastAsia="宋体" w:hint="default"/>
                <w:sz w:val="21"/>
                <w:szCs w:val="21"/>
              </w:rPr>
              <w:t>补助金额</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本期计入营业</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外收入金额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其他变</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动</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7" w:right="0" w:hanging="53"/>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p>
          <w:p>
            <w:pPr>
              <w:pStyle w:val="TableParagraph"/>
              <w:spacing w:line="273" w:lineRule="exact"/>
              <w:ind w:left="167"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099"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年度电子</w:t>
            </w:r>
          </w:p>
          <w:p>
            <w:pPr>
              <w:pStyle w:val="TableParagraph"/>
              <w:spacing w:line="237" w:lineRule="auto"/>
              <w:ind w:left="26" w:right="146"/>
              <w:jc w:val="both"/>
              <w:rPr>
                <w:rFonts w:ascii="宋体" w:hAnsi="宋体" w:cs="宋体" w:eastAsia="宋体" w:hint="default"/>
                <w:sz w:val="21"/>
                <w:szCs w:val="21"/>
              </w:rPr>
            </w:pPr>
            <w:r>
              <w:rPr>
                <w:rFonts w:ascii="宋体" w:hAnsi="宋体" w:cs="宋体" w:eastAsia="宋体" w:hint="default"/>
                <w:sz w:val="21"/>
                <w:szCs w:val="21"/>
              </w:rPr>
              <w:t>信息产业振兴</w:t>
            </w:r>
            <w:r>
              <w:rPr>
                <w:rFonts w:ascii="宋体" w:hAnsi="宋体" w:cs="宋体" w:eastAsia="宋体" w:hint="default"/>
                <w:w w:val="100"/>
                <w:sz w:val="21"/>
                <w:szCs w:val="21"/>
              </w:rPr>
              <w:t> </w:t>
            </w:r>
            <w:r>
              <w:rPr>
                <w:rFonts w:ascii="宋体" w:hAnsi="宋体" w:cs="宋体" w:eastAsia="宋体" w:hint="default"/>
                <w:sz w:val="21"/>
                <w:szCs w:val="21"/>
              </w:rPr>
              <w:t>和技术改造项</w:t>
            </w:r>
            <w:r>
              <w:rPr>
                <w:rFonts w:ascii="宋体" w:hAnsi="宋体" w:cs="宋体" w:eastAsia="宋体" w:hint="default"/>
                <w:w w:val="100"/>
                <w:sz w:val="21"/>
                <w:szCs w:val="21"/>
              </w:rPr>
              <w:t> </w:t>
            </w:r>
            <w:r>
              <w:rPr>
                <w:rFonts w:ascii="宋体" w:hAnsi="宋体" w:cs="宋体" w:eastAsia="宋体" w:hint="default"/>
                <w:sz w:val="21"/>
                <w:szCs w:val="21"/>
              </w:rPr>
              <w:t>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4,971,123.14</w:t>
            </w:r>
          </w:p>
        </w:tc>
        <w:tc>
          <w:tcPr>
            <w:tcW w:w="109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183,565.24</w:t>
            </w:r>
          </w:p>
        </w:tc>
        <w:tc>
          <w:tcPr>
            <w:tcW w:w="900"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4,787,557.90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综合性项目</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年信息安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全专项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1,037,771.45</w:t>
            </w:r>
          </w:p>
        </w:tc>
        <w:tc>
          <w:tcPr>
            <w:tcW w:w="109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59,371.40</w:t>
            </w:r>
          </w:p>
        </w:tc>
        <w:tc>
          <w:tcPr>
            <w:tcW w:w="900"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978,400.05</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综合性项目</w:t>
            </w:r>
          </w:p>
        </w:tc>
      </w:tr>
      <w:tr>
        <w:trPr>
          <w:trHeight w:val="828"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年金融领</w:t>
            </w:r>
          </w:p>
          <w:p>
            <w:pPr>
              <w:pStyle w:val="TableParagraph"/>
              <w:spacing w:line="240" w:lineRule="auto"/>
              <w:ind w:left="26" w:right="41"/>
              <w:jc w:val="left"/>
              <w:rPr>
                <w:rFonts w:ascii="宋体" w:hAnsi="宋体" w:cs="宋体" w:eastAsia="宋体" w:hint="default"/>
                <w:sz w:val="21"/>
                <w:szCs w:val="21"/>
              </w:rPr>
            </w:pPr>
            <w:r>
              <w:rPr>
                <w:rFonts w:ascii="宋体" w:hAnsi="宋体" w:cs="宋体" w:eastAsia="宋体" w:hint="default"/>
                <w:sz w:val="21"/>
                <w:szCs w:val="21"/>
              </w:rPr>
              <w:t>域安全</w:t>
            </w:r>
            <w:r>
              <w:rPr>
                <w:rFonts w:ascii="宋体" w:hAnsi="宋体" w:cs="宋体" w:eastAsia="宋体" w:hint="default"/>
                <w:spacing w:val="-52"/>
                <w:sz w:val="21"/>
                <w:szCs w:val="21"/>
              </w:rPr>
              <w:t> </w:t>
            </w:r>
            <w:r>
              <w:rPr>
                <w:rFonts w:ascii="宋体" w:hAnsi="宋体" w:cs="宋体" w:eastAsia="宋体" w:hint="default"/>
                <w:sz w:val="21"/>
                <w:szCs w:val="21"/>
              </w:rPr>
              <w:t>IC</w:t>
            </w:r>
            <w:r>
              <w:rPr>
                <w:rFonts w:ascii="宋体" w:hAnsi="宋体" w:cs="宋体" w:eastAsia="宋体" w:hint="default"/>
                <w:spacing w:val="-54"/>
                <w:sz w:val="21"/>
                <w:szCs w:val="21"/>
              </w:rPr>
              <w:t> </w:t>
            </w:r>
            <w:r>
              <w:rPr>
                <w:rFonts w:ascii="宋体" w:hAnsi="宋体" w:cs="宋体" w:eastAsia="宋体" w:hint="default"/>
                <w:sz w:val="21"/>
                <w:szCs w:val="21"/>
              </w:rPr>
              <w:t>卡和</w:t>
            </w:r>
            <w:r>
              <w:rPr>
                <w:rFonts w:ascii="宋体" w:hAnsi="宋体" w:cs="宋体" w:eastAsia="宋体" w:hint="default"/>
                <w:w w:val="100"/>
                <w:sz w:val="21"/>
                <w:szCs w:val="21"/>
              </w:rPr>
              <w:t> </w:t>
            </w:r>
            <w:r>
              <w:rPr>
                <w:rFonts w:ascii="宋体" w:hAnsi="宋体" w:cs="宋体" w:eastAsia="宋体" w:hint="default"/>
                <w:sz w:val="21"/>
                <w:szCs w:val="21"/>
              </w:rPr>
              <w:t>密码应用专项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2,571,428.57</w:t>
            </w:r>
          </w:p>
        </w:tc>
        <w:tc>
          <w:tcPr>
            <w:tcW w:w="109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85,714.28</w:t>
            </w:r>
          </w:p>
        </w:tc>
        <w:tc>
          <w:tcPr>
            <w:tcW w:w="900"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2,485,714.29</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综合性项目</w:t>
            </w:r>
          </w:p>
        </w:tc>
      </w:tr>
    </w:tbl>
    <w:p>
      <w:pPr>
        <w:spacing w:after="0" w:line="241" w:lineRule="exact"/>
        <w:jc w:val="left"/>
        <w:rPr>
          <w:rFonts w:ascii="宋体" w:hAnsi="宋体" w:cs="宋体" w:eastAsia="宋体"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1447"/>
        <w:gridCol w:w="1419"/>
        <w:gridCol w:w="1090"/>
        <w:gridCol w:w="1320"/>
        <w:gridCol w:w="900"/>
        <w:gridCol w:w="1321"/>
        <w:gridCol w:w="1399"/>
      </w:tblGrid>
      <w:tr>
        <w:trPr>
          <w:trHeight w:val="828"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天津市科技小</w:t>
            </w:r>
          </w:p>
          <w:p>
            <w:pPr>
              <w:pStyle w:val="TableParagraph"/>
              <w:spacing w:line="240" w:lineRule="auto"/>
              <w:ind w:left="26" w:right="146"/>
              <w:jc w:val="left"/>
              <w:rPr>
                <w:rFonts w:ascii="宋体" w:hAnsi="宋体" w:cs="宋体" w:eastAsia="宋体" w:hint="default"/>
                <w:sz w:val="21"/>
                <w:szCs w:val="21"/>
              </w:rPr>
            </w:pPr>
            <w:r>
              <w:rPr>
                <w:rFonts w:ascii="宋体" w:hAnsi="宋体" w:cs="宋体" w:eastAsia="宋体" w:hint="default"/>
                <w:sz w:val="21"/>
                <w:szCs w:val="21"/>
              </w:rPr>
              <w:t>巨人领军企业</w:t>
            </w:r>
            <w:r>
              <w:rPr>
                <w:rFonts w:ascii="宋体" w:hAnsi="宋体" w:cs="宋体" w:eastAsia="宋体" w:hint="default"/>
                <w:w w:val="100"/>
                <w:sz w:val="21"/>
                <w:szCs w:val="21"/>
              </w:rPr>
              <w:t> </w:t>
            </w:r>
            <w:r>
              <w:rPr>
                <w:rFonts w:ascii="宋体" w:hAnsi="宋体" w:cs="宋体" w:eastAsia="宋体" w:hint="default"/>
                <w:sz w:val="21"/>
                <w:szCs w:val="21"/>
              </w:rPr>
              <w:t>培育重大项目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0"/>
              <w:jc w:val="right"/>
              <w:rPr>
                <w:rFonts w:ascii="宋体" w:hAnsi="宋体" w:cs="宋体" w:eastAsia="宋体" w:hint="default"/>
                <w:sz w:val="21"/>
                <w:szCs w:val="21"/>
              </w:rPr>
            </w:pPr>
            <w:r>
              <w:rPr>
                <w:rFonts w:ascii="宋体"/>
                <w:spacing w:val="-1"/>
                <w:sz w:val="21"/>
              </w:rPr>
              <w:t>1,333,333.36</w:t>
            </w:r>
          </w:p>
        </w:tc>
        <w:tc>
          <w:tcPr>
            <w:tcW w:w="109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1,333,333.36</w:t>
            </w:r>
          </w:p>
        </w:tc>
        <w:tc>
          <w:tcPr>
            <w:tcW w:w="900"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综合性项目</w:t>
            </w:r>
          </w:p>
        </w:tc>
      </w:tr>
      <w:tr>
        <w:trPr>
          <w:trHeight w:val="828"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年天津市</w:t>
            </w:r>
          </w:p>
          <w:p>
            <w:pPr>
              <w:pStyle w:val="TableParagraph"/>
              <w:spacing w:line="272" w:lineRule="exact" w:before="27"/>
              <w:ind w:left="26" w:right="146"/>
              <w:jc w:val="left"/>
              <w:rPr>
                <w:rFonts w:ascii="宋体" w:hAnsi="宋体" w:cs="宋体" w:eastAsia="宋体" w:hint="default"/>
                <w:sz w:val="21"/>
                <w:szCs w:val="21"/>
              </w:rPr>
            </w:pPr>
            <w:r>
              <w:rPr>
                <w:rFonts w:ascii="宋体" w:hAnsi="宋体" w:cs="宋体" w:eastAsia="宋体" w:hint="default"/>
                <w:sz w:val="21"/>
                <w:szCs w:val="21"/>
              </w:rPr>
              <w:t>中小企业发展</w:t>
            </w:r>
            <w:r>
              <w:rPr>
                <w:rFonts w:ascii="宋体" w:hAnsi="宋体" w:cs="宋体" w:eastAsia="宋体" w:hint="default"/>
                <w:w w:val="100"/>
                <w:sz w:val="21"/>
                <w:szCs w:val="21"/>
              </w:rPr>
              <w:t> </w:t>
            </w:r>
            <w:r>
              <w:rPr>
                <w:rFonts w:ascii="宋体" w:hAnsi="宋体" w:cs="宋体" w:eastAsia="宋体" w:hint="default"/>
                <w:sz w:val="21"/>
                <w:szCs w:val="21"/>
              </w:rPr>
              <w:t>专项资金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35,799.99</w:t>
            </w:r>
          </w:p>
        </w:tc>
        <w:tc>
          <w:tcPr>
            <w:tcW w:w="109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17,900.00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17,899.99</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综合性项目</w:t>
            </w:r>
          </w:p>
        </w:tc>
      </w:tr>
      <w:tr>
        <w:trPr>
          <w:trHeight w:val="290"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9,949,456.51</w:t>
            </w:r>
          </w:p>
        </w:tc>
        <w:tc>
          <w:tcPr>
            <w:tcW w:w="109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1,679,884.28</w:t>
            </w:r>
          </w:p>
        </w:tc>
        <w:tc>
          <w:tcPr>
            <w:tcW w:w="900"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8,269,572.23</w:t>
            </w:r>
          </w:p>
        </w:tc>
        <w:tc>
          <w:tcPr>
            <w:tcW w:w="139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BodyText"/>
        <w:spacing w:line="240" w:lineRule="auto" w:before="36"/>
        <w:ind w:left="218" w:right="3084"/>
        <w:jc w:val="left"/>
      </w:pPr>
      <w:r>
        <w:rPr/>
        <w:t>其他说明：</w:t>
      </w:r>
    </w:p>
    <w:p>
      <w:pPr>
        <w:pStyle w:val="BodyText"/>
        <w:spacing w:line="240" w:lineRule="auto" w:before="58"/>
        <w:ind w:left="218" w:right="3084"/>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2"/>
        <w:spacing w:line="240" w:lineRule="auto"/>
        <w:ind w:right="3084"/>
        <w:jc w:val="left"/>
        <w:rPr>
          <w:b w:val="0"/>
          <w:bCs w:val="0"/>
        </w:rPr>
      </w:pPr>
      <w:r>
        <w:rPr>
          <w:rFonts w:ascii="宋体" w:hAnsi="宋体" w:cs="宋体" w:eastAsia="宋体" w:hint="default"/>
        </w:rPr>
        <w:t>52</w:t>
      </w:r>
      <w:r>
        <w:rPr/>
        <w:t>、</w:t>
      </w:r>
      <w:r>
        <w:rPr>
          <w:spacing w:val="-24"/>
        </w:rPr>
        <w:t> </w:t>
      </w:r>
      <w:r>
        <w:rPr/>
        <w:t>其他非流动负债</w:t>
      </w:r>
      <w:r>
        <w:rPr>
          <w:b w:val="0"/>
          <w:bCs w:val="0"/>
        </w:rPr>
      </w:r>
    </w:p>
    <w:p>
      <w:pPr>
        <w:pStyle w:val="BodyText"/>
        <w:spacing w:line="240" w:lineRule="auto" w:before="56"/>
        <w:ind w:left="218" w:right="3084"/>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before="36"/>
        <w:ind w:right="-18"/>
        <w:jc w:val="left"/>
        <w:rPr>
          <w:b w:val="0"/>
          <w:bCs w:val="0"/>
        </w:rPr>
      </w:pPr>
      <w:r>
        <w:rPr>
          <w:rFonts w:ascii="宋体" w:hAnsi="宋体" w:cs="宋体" w:eastAsia="宋体" w:hint="default"/>
        </w:rPr>
        <w:t>53</w:t>
      </w:r>
      <w:r>
        <w:rPr/>
        <w:t>、</w:t>
      </w:r>
      <w:r>
        <w:rPr>
          <w:spacing w:val="-26"/>
        </w:rPr>
        <w:t> </w:t>
      </w:r>
      <w:r>
        <w:rPr/>
        <w:t>股本</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708"/>
        <w:gridCol w:w="1685"/>
        <w:gridCol w:w="1582"/>
        <w:gridCol w:w="550"/>
        <w:gridCol w:w="687"/>
        <w:gridCol w:w="571"/>
        <w:gridCol w:w="1582"/>
        <w:gridCol w:w="1685"/>
      </w:tblGrid>
      <w:tr>
        <w:trPr>
          <w:trHeight w:val="283" w:hRule="exact"/>
        </w:trPr>
        <w:tc>
          <w:tcPr>
            <w:tcW w:w="708" w:type="dxa"/>
            <w:vMerge w:val="restart"/>
            <w:tcBorders>
              <w:top w:val="single" w:sz="4" w:space="0" w:color="000000"/>
              <w:left w:val="single" w:sz="4" w:space="0" w:color="000000"/>
              <w:right w:val="single" w:sz="4" w:space="0" w:color="000000"/>
            </w:tcBorders>
          </w:tcPr>
          <w:p>
            <w:pPr/>
          </w:p>
        </w:tc>
        <w:tc>
          <w:tcPr>
            <w:tcW w:w="168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97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77"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68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828" w:hRule="exact"/>
        </w:trPr>
        <w:tc>
          <w:tcPr>
            <w:tcW w:w="708" w:type="dxa"/>
            <w:vMerge/>
            <w:tcBorders>
              <w:left w:val="single" w:sz="4" w:space="0" w:color="000000"/>
              <w:bottom w:val="single" w:sz="4" w:space="0" w:color="000000"/>
              <w:right w:val="single" w:sz="4" w:space="0" w:color="000000"/>
            </w:tcBorders>
          </w:tcPr>
          <w:p>
            <w:pPr/>
          </w:p>
        </w:tc>
        <w:tc>
          <w:tcPr>
            <w:tcW w:w="1685"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575" w:right="571"/>
              <w:jc w:val="center"/>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w w:val="100"/>
                <w:sz w:val="21"/>
                <w:szCs w:val="21"/>
              </w:rPr>
              <w:t> </w:t>
            </w:r>
            <w:r>
              <w:rPr>
                <w:rFonts w:ascii="宋体" w:hAnsi="宋体" w:cs="宋体" w:eastAsia="宋体" w:hint="default"/>
                <w:sz w:val="21"/>
                <w:szCs w:val="21"/>
              </w:rPr>
              <w:t>新股</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65" w:right="161"/>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公积</w:t>
            </w:r>
          </w:p>
          <w:p>
            <w:pPr>
              <w:pStyle w:val="TableParagraph"/>
              <w:spacing w:line="272" w:lineRule="exact" w:before="27"/>
              <w:ind w:left="127" w:right="125"/>
              <w:jc w:val="center"/>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转股</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75" w:right="173"/>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685" w:type="dxa"/>
            <w:vMerge/>
            <w:tcBorders>
              <w:left w:val="single" w:sz="4" w:space="0" w:color="000000"/>
              <w:bottom w:val="single" w:sz="4" w:space="0" w:color="000000"/>
              <w:right w:val="single" w:sz="4" w:space="0" w:color="000000"/>
            </w:tcBorders>
          </w:tcPr>
          <w:p>
            <w:pPr/>
          </w:p>
        </w:tc>
      </w:tr>
      <w:tr>
        <w:trPr>
          <w:trHeight w:val="55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3" w:lineRule="exact"/>
              <w:ind w:left="139" w:right="0"/>
              <w:jc w:val="left"/>
              <w:rPr>
                <w:rFonts w:ascii="宋体" w:hAnsi="宋体" w:cs="宋体" w:eastAsia="宋体" w:hint="default"/>
                <w:sz w:val="21"/>
                <w:szCs w:val="21"/>
              </w:rPr>
            </w:pPr>
            <w:r>
              <w:rPr>
                <w:rFonts w:ascii="宋体" w:hAnsi="宋体" w:cs="宋体" w:eastAsia="宋体" w:hint="default"/>
                <w:sz w:val="21"/>
                <w:szCs w:val="21"/>
              </w:rPr>
              <w:t>总数</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210,000,000.00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70,000,000.00</w:t>
            </w:r>
          </w:p>
        </w:tc>
        <w:tc>
          <w:tcPr>
            <w:tcW w:w="550"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70,000,000.00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280,000,000.00</w:t>
            </w:r>
          </w:p>
        </w:tc>
      </w:tr>
    </w:tbl>
    <w:p>
      <w:pPr>
        <w:spacing w:line="240" w:lineRule="auto" w:before="12"/>
        <w:rPr>
          <w:rFonts w:ascii="宋体" w:hAnsi="宋体" w:cs="宋体" w:eastAsia="宋体" w:hint="default"/>
          <w:sz w:val="19"/>
          <w:szCs w:val="19"/>
        </w:rPr>
      </w:pPr>
    </w:p>
    <w:p>
      <w:pPr>
        <w:pStyle w:val="BodyText"/>
        <w:spacing w:line="240" w:lineRule="auto" w:before="36"/>
        <w:ind w:left="218" w:right="0"/>
        <w:jc w:val="both"/>
      </w:pPr>
      <w:r>
        <w:rPr/>
        <w:t>其他说明：</w:t>
      </w:r>
    </w:p>
    <w:p>
      <w:pPr>
        <w:pStyle w:val="BodyText"/>
        <w:spacing w:line="273" w:lineRule="exact" w:before="58"/>
        <w:ind w:left="638" w:right="0"/>
        <w:jc w:val="left"/>
      </w:pPr>
      <w:r>
        <w:rPr>
          <w:w w:val="100"/>
        </w:rPr>
        <w:t>经中</w:t>
      </w:r>
      <w:r>
        <w:rPr>
          <w:spacing w:val="-3"/>
          <w:w w:val="100"/>
        </w:rPr>
        <w:t>国</w:t>
      </w:r>
      <w:r>
        <w:rPr>
          <w:w w:val="100"/>
        </w:rPr>
        <w:t>证</w:t>
      </w:r>
      <w:r>
        <w:rPr>
          <w:spacing w:val="-3"/>
          <w:w w:val="100"/>
        </w:rPr>
        <w:t>券</w:t>
      </w:r>
      <w:r>
        <w:rPr>
          <w:w w:val="100"/>
        </w:rPr>
        <w:t>监</w:t>
      </w:r>
      <w:r>
        <w:rPr>
          <w:spacing w:val="-3"/>
          <w:w w:val="100"/>
        </w:rPr>
        <w:t>督</w:t>
      </w:r>
      <w:r>
        <w:rPr>
          <w:w w:val="100"/>
        </w:rPr>
        <w:t>管</w:t>
      </w:r>
      <w:r>
        <w:rPr>
          <w:spacing w:val="-3"/>
          <w:w w:val="100"/>
        </w:rPr>
        <w:t>理</w:t>
      </w:r>
      <w:r>
        <w:rPr>
          <w:w w:val="100"/>
        </w:rPr>
        <w:t>委</w:t>
      </w:r>
      <w:r>
        <w:rPr>
          <w:spacing w:val="-3"/>
          <w:w w:val="100"/>
        </w:rPr>
        <w:t>员</w:t>
      </w:r>
      <w:r>
        <w:rPr>
          <w:spacing w:val="-92"/>
          <w:w w:val="100"/>
        </w:rPr>
        <w:t>会</w:t>
      </w:r>
      <w:r>
        <w:rPr>
          <w:spacing w:val="-3"/>
          <w:w w:val="100"/>
        </w:rPr>
        <w:t>《</w:t>
      </w:r>
      <w:r>
        <w:rPr>
          <w:w w:val="100"/>
        </w:rPr>
        <w:t>关</w:t>
      </w:r>
      <w:r>
        <w:rPr>
          <w:spacing w:val="-3"/>
          <w:w w:val="100"/>
        </w:rPr>
        <w:t>于</w:t>
      </w:r>
      <w:r>
        <w:rPr>
          <w:w w:val="100"/>
        </w:rPr>
        <w:t>核</w:t>
      </w:r>
      <w:r>
        <w:rPr>
          <w:spacing w:val="-3"/>
          <w:w w:val="100"/>
        </w:rPr>
        <w:t>准</w:t>
      </w:r>
      <w:r>
        <w:rPr>
          <w:w w:val="100"/>
        </w:rPr>
        <w:t>恒</w:t>
      </w:r>
      <w:r>
        <w:rPr>
          <w:spacing w:val="-3"/>
          <w:w w:val="100"/>
        </w:rPr>
        <w:t>银</w:t>
      </w:r>
      <w:r>
        <w:rPr>
          <w:w w:val="100"/>
        </w:rPr>
        <w:t>金</w:t>
      </w:r>
      <w:r>
        <w:rPr>
          <w:spacing w:val="-3"/>
          <w:w w:val="100"/>
        </w:rPr>
        <w:t>融</w:t>
      </w:r>
      <w:r>
        <w:rPr>
          <w:w w:val="100"/>
        </w:rPr>
        <w:t>科</w:t>
      </w:r>
      <w:r>
        <w:rPr>
          <w:spacing w:val="-3"/>
          <w:w w:val="100"/>
        </w:rPr>
        <w:t>技</w:t>
      </w:r>
      <w:r>
        <w:rPr>
          <w:w w:val="100"/>
        </w:rPr>
        <w:t>股份</w:t>
      </w:r>
      <w:r>
        <w:rPr>
          <w:spacing w:val="-3"/>
          <w:w w:val="100"/>
        </w:rPr>
        <w:t>有</w:t>
      </w:r>
      <w:r>
        <w:rPr>
          <w:w w:val="100"/>
        </w:rPr>
        <w:t>限</w:t>
      </w:r>
      <w:r>
        <w:rPr>
          <w:spacing w:val="-3"/>
          <w:w w:val="100"/>
        </w:rPr>
        <w:t>公</w:t>
      </w:r>
      <w:r>
        <w:rPr>
          <w:w w:val="100"/>
        </w:rPr>
        <w:t>司</w:t>
      </w:r>
      <w:r>
        <w:rPr>
          <w:spacing w:val="-3"/>
          <w:w w:val="100"/>
        </w:rPr>
        <w:t>首</w:t>
      </w:r>
      <w:r>
        <w:rPr>
          <w:w w:val="100"/>
        </w:rPr>
        <w:t>次</w:t>
      </w:r>
      <w:r>
        <w:rPr>
          <w:spacing w:val="-3"/>
          <w:w w:val="100"/>
        </w:rPr>
        <w:t>公</w:t>
      </w:r>
      <w:r>
        <w:rPr>
          <w:w w:val="100"/>
        </w:rPr>
        <w:t>开</w:t>
      </w:r>
      <w:r>
        <w:rPr>
          <w:spacing w:val="-3"/>
          <w:w w:val="100"/>
        </w:rPr>
        <w:t>发</w:t>
      </w:r>
      <w:r>
        <w:rPr>
          <w:w w:val="100"/>
        </w:rPr>
        <w:t>行股</w:t>
      </w:r>
      <w:r>
        <w:rPr>
          <w:spacing w:val="-3"/>
          <w:w w:val="100"/>
        </w:rPr>
        <w:t>票</w:t>
      </w:r>
      <w:r>
        <w:rPr>
          <w:w w:val="100"/>
        </w:rPr>
        <w:t>的</w:t>
      </w:r>
      <w:r>
        <w:rPr>
          <w:spacing w:val="-3"/>
          <w:w w:val="100"/>
        </w:rPr>
        <w:t>批复</w:t>
      </w:r>
      <w:r>
        <w:rPr>
          <w:w w:val="100"/>
        </w:rPr>
        <w:t>》</w:t>
      </w:r>
    </w:p>
    <w:p>
      <w:pPr>
        <w:pStyle w:val="BodyText"/>
        <w:spacing w:line="237" w:lineRule="auto"/>
        <w:ind w:left="218" w:right="227"/>
        <w:jc w:val="both"/>
      </w:pPr>
      <w:r>
        <w:rPr>
          <w:spacing w:val="-12"/>
        </w:rPr>
        <w:t>（证监许可〔</w:t>
      </w:r>
      <w:r>
        <w:rPr>
          <w:rFonts w:ascii="宋体" w:hAnsi="宋体" w:cs="宋体" w:eastAsia="宋体" w:hint="default"/>
          <w:spacing w:val="-12"/>
        </w:rPr>
        <w:t>2017</w:t>
      </w:r>
      <w:r>
        <w:rPr>
          <w:spacing w:val="-12"/>
        </w:rPr>
        <w:t>〕</w:t>
      </w:r>
      <w:r>
        <w:rPr>
          <w:rFonts w:ascii="宋体" w:hAnsi="宋体" w:cs="宋体" w:eastAsia="宋体" w:hint="default"/>
          <w:spacing w:val="-12"/>
        </w:rPr>
        <w:t>1563</w:t>
      </w:r>
      <w:r>
        <w:rPr>
          <w:rFonts w:ascii="宋体" w:hAnsi="宋体" w:cs="宋体" w:eastAsia="宋体" w:hint="default"/>
          <w:spacing w:val="-31"/>
        </w:rPr>
        <w:t> </w:t>
      </w:r>
      <w:r>
        <w:rPr>
          <w:spacing w:val="-12"/>
        </w:rPr>
        <w:t>号）核准，公司获准向社会公开发行人民币普通股（</w:t>
      </w:r>
      <w:r>
        <w:rPr>
          <w:rFonts w:ascii="宋体" w:hAnsi="宋体" w:cs="宋体" w:eastAsia="宋体" w:hint="default"/>
          <w:spacing w:val="-12"/>
        </w:rPr>
        <w:t>A</w:t>
      </w:r>
      <w:r>
        <w:rPr>
          <w:rFonts w:ascii="宋体" w:hAnsi="宋体" w:cs="宋体" w:eastAsia="宋体" w:hint="default"/>
          <w:spacing w:val="-33"/>
        </w:rPr>
        <w:t> </w:t>
      </w:r>
      <w:r>
        <w:rPr>
          <w:spacing w:val="-21"/>
        </w:rPr>
        <w:t>股）股票</w:t>
      </w:r>
      <w:r>
        <w:rPr>
          <w:spacing w:val="-28"/>
        </w:rPr>
        <w:t> </w:t>
      </w:r>
      <w:r>
        <w:rPr>
          <w:rFonts w:ascii="宋体" w:hAnsi="宋体" w:cs="宋体" w:eastAsia="宋体" w:hint="default"/>
        </w:rPr>
        <w:t>70,000,000</w:t>
      </w:r>
      <w:r>
        <w:rPr>
          <w:rFonts w:ascii="宋体" w:hAnsi="宋体" w:cs="宋体" w:eastAsia="宋体" w:hint="default"/>
          <w:spacing w:val="-94"/>
        </w:rPr>
        <w:t> </w:t>
      </w:r>
      <w:r>
        <w:rPr>
          <w:rFonts w:ascii="宋体" w:hAnsi="宋体" w:cs="宋体" w:eastAsia="宋体" w:hint="default"/>
          <w:spacing w:val="-94"/>
        </w:rPr>
      </w:r>
      <w:r>
        <w:rPr>
          <w:spacing w:val="-7"/>
        </w:rPr>
        <w:t>股，公司收到募集资金净额为</w:t>
      </w:r>
      <w:r>
        <w:rPr>
          <w:spacing w:val="-39"/>
        </w:rPr>
        <w:t> </w:t>
      </w:r>
      <w:r>
        <w:rPr>
          <w:rFonts w:ascii="宋体" w:hAnsi="宋体" w:cs="宋体" w:eastAsia="宋体" w:hint="default"/>
        </w:rPr>
        <w:t>701,138,668.50</w:t>
      </w:r>
      <w:r>
        <w:rPr>
          <w:rFonts w:ascii="宋体" w:hAnsi="宋体" w:cs="宋体" w:eastAsia="宋体" w:hint="default"/>
          <w:spacing w:val="-42"/>
        </w:rPr>
        <w:t> </w:t>
      </w:r>
      <w:r>
        <w:rPr>
          <w:spacing w:val="-18"/>
        </w:rPr>
        <w:t>元，其中</w:t>
      </w:r>
      <w:r>
        <w:rPr>
          <w:spacing w:val="-38"/>
        </w:rPr>
        <w:t> </w:t>
      </w:r>
      <w:r>
        <w:rPr>
          <w:rFonts w:ascii="宋体" w:hAnsi="宋体" w:cs="宋体" w:eastAsia="宋体" w:hint="default"/>
        </w:rPr>
        <w:t>70,000,000</w:t>
      </w:r>
      <w:r>
        <w:rPr>
          <w:rFonts w:ascii="宋体" w:hAnsi="宋体" w:cs="宋体" w:eastAsia="宋体" w:hint="default"/>
          <w:spacing w:val="-42"/>
        </w:rPr>
        <w:t> </w:t>
      </w:r>
      <w:r>
        <w:rPr>
          <w:spacing w:val="-5"/>
        </w:rPr>
        <w:t>元计入股本，</w:t>
      </w:r>
      <w:r>
        <w:rPr>
          <w:rFonts w:ascii="宋体" w:hAnsi="宋体" w:cs="宋体" w:eastAsia="宋体" w:hint="default"/>
          <w:spacing w:val="-5"/>
        </w:rPr>
        <w:t>631,138,668.50</w:t>
      </w:r>
      <w:r>
        <w:rPr>
          <w:rFonts w:ascii="宋体" w:hAnsi="宋体" w:cs="宋体" w:eastAsia="宋体" w:hint="default"/>
          <w:spacing w:val="-100"/>
        </w:rPr>
        <w:t> </w:t>
      </w:r>
      <w:r>
        <w:rPr>
          <w:rFonts w:ascii="宋体" w:hAnsi="宋体" w:cs="宋体" w:eastAsia="宋体" w:hint="default"/>
          <w:spacing w:val="-100"/>
        </w:rPr>
      </w:r>
      <w:r>
        <w:rPr>
          <w:spacing w:val="-6"/>
        </w:rPr>
        <w:t>元计入资本公积。此次增资业经天健会计师事务所（特殊普通合伙）审验，并出具了《验资报告》</w:t>
      </w:r>
    </w:p>
    <w:p>
      <w:pPr>
        <w:spacing w:line="290" w:lineRule="auto" w:before="0"/>
        <w:ind w:left="218" w:right="6267" w:firstLine="0"/>
        <w:jc w:val="left"/>
        <w:rPr>
          <w:rFonts w:ascii="宋体" w:hAnsi="宋体" w:cs="宋体" w:eastAsia="宋体" w:hint="default"/>
          <w:sz w:val="21"/>
          <w:szCs w:val="21"/>
        </w:rPr>
      </w:pPr>
      <w:r>
        <w:rPr>
          <w:rFonts w:ascii="宋体" w:hAnsi="宋体" w:cs="宋体" w:eastAsia="宋体" w:hint="default"/>
          <w:sz w:val="21"/>
          <w:szCs w:val="21"/>
        </w:rPr>
        <w:t>（天健验〔</w:t>
      </w:r>
      <w:r>
        <w:rPr>
          <w:rFonts w:ascii="宋体" w:hAnsi="宋体" w:cs="宋体" w:eastAsia="宋体" w:hint="default"/>
          <w:sz w:val="21"/>
          <w:szCs w:val="21"/>
        </w:rPr>
        <w:t>2017</w:t>
      </w:r>
      <w:r>
        <w:rPr>
          <w:rFonts w:ascii="宋体" w:hAnsi="宋体" w:cs="宋体" w:eastAsia="宋体" w:hint="default"/>
          <w:sz w:val="21"/>
          <w:szCs w:val="21"/>
        </w:rPr>
        <w:t>〕</w:t>
      </w:r>
      <w:r>
        <w:rPr>
          <w:rFonts w:ascii="宋体" w:hAnsi="宋体" w:cs="宋体" w:eastAsia="宋体" w:hint="default"/>
          <w:sz w:val="21"/>
          <w:szCs w:val="21"/>
        </w:rPr>
        <w:t>7-78</w:t>
      </w:r>
      <w:r>
        <w:rPr>
          <w:rFonts w:ascii="宋体" w:hAnsi="宋体" w:cs="宋体" w:eastAsia="宋体" w:hint="default"/>
          <w:spacing w:val="-54"/>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b/>
          <w:bCs/>
          <w:sz w:val="21"/>
          <w:szCs w:val="21"/>
        </w:rPr>
        <w:t>54</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其他权益工具</w:t>
      </w:r>
      <w:r>
        <w:rPr>
          <w:rFonts w:ascii="宋体" w:hAnsi="宋体" w:cs="宋体" w:eastAsia="宋体" w:hint="default"/>
          <w:sz w:val="21"/>
          <w:szCs w:val="21"/>
        </w:rPr>
      </w:r>
    </w:p>
    <w:p>
      <w:pPr>
        <w:pStyle w:val="Heading2"/>
        <w:spacing w:line="240" w:lineRule="auto" w:before="14"/>
        <w:ind w:right="0"/>
        <w:jc w:val="both"/>
        <w:rPr>
          <w:b w:val="0"/>
          <w:bCs w:val="0"/>
        </w:rPr>
      </w:pPr>
      <w:r>
        <w:rPr>
          <w:rFonts w:ascii="宋体" w:hAnsi="宋体" w:cs="宋体" w:eastAsia="宋体" w:hint="default"/>
        </w:rPr>
        <w:t>(1)</w:t>
      </w:r>
      <w:r>
        <w:rPr>
          <w:rFonts w:ascii="宋体" w:hAnsi="宋体" w:cs="宋体" w:eastAsia="宋体" w:hint="default"/>
          <w:spacing w:val="-2"/>
        </w:rPr>
        <w:t> </w:t>
      </w:r>
      <w:r>
        <w:rPr/>
        <w:t>期末发行在外的优先股、永续债等其他金融工具基本情况</w:t>
      </w:r>
      <w:r>
        <w:rPr>
          <w:b w:val="0"/>
          <w:bCs w:val="0"/>
        </w:rPr>
      </w:r>
    </w:p>
    <w:p>
      <w:pPr>
        <w:pStyle w:val="BodyText"/>
        <w:spacing w:line="240" w:lineRule="auto" w:before="56"/>
        <w:ind w:left="21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rFonts w:ascii="宋体" w:hAnsi="宋体" w:cs="宋体" w:eastAsia="宋体" w:hint="default"/>
        </w:rPr>
        <w:t>(2)</w:t>
      </w:r>
      <w:r>
        <w:rPr>
          <w:rFonts w:ascii="宋体" w:hAnsi="宋体" w:cs="宋体" w:eastAsia="宋体" w:hint="default"/>
          <w:spacing w:val="-2"/>
        </w:rPr>
        <w:t> </w:t>
      </w:r>
      <w:r>
        <w:rPr/>
        <w:t>期末发行在外的优先股、永续债等金融工具变动情况表</w:t>
      </w:r>
      <w:r>
        <w:rPr>
          <w:b w:val="0"/>
          <w:bCs w:val="0"/>
        </w:rPr>
      </w:r>
    </w:p>
    <w:p>
      <w:pPr>
        <w:pStyle w:val="BodyText"/>
        <w:spacing w:line="272" w:lineRule="exact" w:before="86"/>
        <w:ind w:left="218" w:right="910"/>
        <w:jc w:val="left"/>
      </w:pPr>
      <w:r>
        <w:rPr/>
        <w:t>□适用</w:t>
      </w:r>
      <w:r>
        <w:rPr>
          <w:spacing w:val="-2"/>
        </w:rPr>
        <w:t> </w:t>
      </w:r>
      <w:r>
        <w:rPr/>
        <w:t>√不适用</w:t>
      </w:r>
      <w:r>
        <w:rPr>
          <w:w w:val="100"/>
        </w:rPr>
        <w:t> </w:t>
      </w:r>
      <w:r>
        <w:rPr>
          <w:spacing w:val="-2"/>
        </w:rPr>
        <w:t>其他权益工具本期增减变动情况、变动原因说明，以及相关会计处理的依据：</w:t>
      </w:r>
    </w:p>
    <w:p>
      <w:pPr>
        <w:pStyle w:val="BodyText"/>
        <w:spacing w:line="249" w:lineRule="exact"/>
        <w:ind w:left="218" w:right="0"/>
        <w:jc w:val="both"/>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left="218" w:right="0"/>
        <w:jc w:val="both"/>
        <w:rPr>
          <w:rFonts w:ascii="宋体" w:hAnsi="宋体" w:cs="宋体" w:eastAsia="宋体" w:hint="default"/>
        </w:rPr>
      </w:pPr>
      <w:r>
        <w:rPr/>
        <w:t>其他说明</w:t>
      </w:r>
      <w:r>
        <w:rPr>
          <w:rFonts w:ascii="宋体" w:hAnsi="宋体" w:cs="宋体" w:eastAsia="宋体" w:hint="default"/>
        </w:rPr>
        <w:t>:</w:t>
      </w:r>
    </w:p>
    <w:p>
      <w:pPr>
        <w:pStyle w:val="BodyText"/>
        <w:spacing w:line="273" w:lineRule="exact"/>
        <w:ind w:left="218" w:right="0"/>
        <w:jc w:val="both"/>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before="36"/>
        <w:ind w:right="-18"/>
        <w:jc w:val="left"/>
        <w:rPr>
          <w:b w:val="0"/>
          <w:bCs w:val="0"/>
        </w:rPr>
      </w:pPr>
      <w:r>
        <w:rPr>
          <w:rFonts w:ascii="宋体" w:hAnsi="宋体" w:cs="宋体" w:eastAsia="宋体" w:hint="default"/>
        </w:rPr>
        <w:t>55</w:t>
      </w:r>
      <w:r>
        <w:rPr/>
        <w:t>、</w:t>
      </w:r>
      <w:r>
        <w:rPr>
          <w:spacing w:val="-25"/>
        </w:rPr>
        <w:t> </w:t>
      </w:r>
      <w:r>
        <w:rPr/>
        <w:t>资本公积</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678"/>
        <w:gridCol w:w="1786"/>
        <w:gridCol w:w="1822"/>
        <w:gridCol w:w="1805"/>
        <w:gridCol w:w="1805"/>
      </w:tblGrid>
      <w:tr>
        <w:trPr>
          <w:trHeight w:val="283"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6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8" w:right="0"/>
              <w:jc w:val="left"/>
              <w:rPr>
                <w:rFonts w:ascii="宋体" w:hAnsi="宋体" w:cs="宋体" w:eastAsia="宋体" w:hint="default"/>
                <w:sz w:val="21"/>
                <w:szCs w:val="21"/>
              </w:rPr>
            </w:pPr>
            <w:r>
              <w:rPr>
                <w:rFonts w:ascii="宋体" w:hAnsi="宋体" w:cs="宋体" w:eastAsia="宋体" w:hint="default"/>
                <w:sz w:val="21"/>
                <w:szCs w:val="21"/>
              </w:rPr>
              <w:t>期末余额</w:t>
            </w:r>
          </w:p>
        </w:tc>
      </w:tr>
    </w:tbl>
    <w:p>
      <w:pPr>
        <w:spacing w:after="0" w:line="243"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678"/>
        <w:gridCol w:w="1786"/>
        <w:gridCol w:w="1822"/>
        <w:gridCol w:w="1805"/>
        <w:gridCol w:w="1805"/>
      </w:tblGrid>
      <w:tr>
        <w:trPr>
          <w:trHeight w:val="557"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资本溢价（股本溢</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0"/>
              <w:jc w:val="right"/>
              <w:rPr>
                <w:rFonts w:ascii="宋体" w:hAnsi="宋体" w:cs="宋体" w:eastAsia="宋体" w:hint="default"/>
                <w:sz w:val="21"/>
                <w:szCs w:val="21"/>
              </w:rPr>
            </w:pPr>
            <w:r>
              <w:rPr>
                <w:rFonts w:ascii="宋体"/>
                <w:spacing w:val="-1"/>
                <w:sz w:val="21"/>
              </w:rPr>
              <w:t>351,767,178.32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631,138,668.50</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982,905,846.82</w:t>
            </w:r>
          </w:p>
        </w:tc>
      </w:tr>
      <w:tr>
        <w:trPr>
          <w:trHeight w:val="281"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86"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351,767,178.32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631,138,668.50</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982,905,846.82</w:t>
            </w:r>
          </w:p>
        </w:tc>
      </w:tr>
    </w:tbl>
    <w:p>
      <w:pPr>
        <w:spacing w:line="240" w:lineRule="auto" w:before="5"/>
        <w:rPr>
          <w:rFonts w:ascii="宋体" w:hAnsi="宋体" w:cs="宋体" w:eastAsia="宋体" w:hint="default"/>
          <w:sz w:val="15"/>
          <w:szCs w:val="15"/>
        </w:rPr>
      </w:pPr>
    </w:p>
    <w:p>
      <w:pPr>
        <w:pStyle w:val="BodyText"/>
        <w:spacing w:line="240" w:lineRule="auto" w:before="36"/>
        <w:ind w:left="558" w:right="98" w:hanging="420"/>
        <w:jc w:val="left"/>
      </w:pPr>
      <w:r>
        <w:rPr/>
        <w:t>其他说明，包括本期增减变动情况、变动原因说明：</w:t>
      </w:r>
      <w:r>
        <w:rPr>
          <w:w w:val="100"/>
        </w:rPr>
        <w:t> </w:t>
      </w:r>
      <w:r>
        <w:rPr>
          <w:spacing w:val="-4"/>
          <w:w w:val="100"/>
        </w:rPr>
        <w:t>经中国证券监督管理委员会《关于核准恒银金融科技股份有限公司首次公开发行股票的批复》</w:t>
      </w:r>
    </w:p>
    <w:p>
      <w:pPr>
        <w:pStyle w:val="BodyText"/>
        <w:spacing w:line="237" w:lineRule="auto"/>
        <w:ind w:right="207"/>
        <w:jc w:val="both"/>
      </w:pPr>
      <w:r>
        <w:rPr>
          <w:spacing w:val="-15"/>
          <w:w w:val="100"/>
        </w:rPr>
        <w:t>（证监许可〔</w:t>
      </w:r>
      <w:r>
        <w:rPr>
          <w:rFonts w:ascii="宋体" w:hAnsi="宋体" w:cs="宋体" w:eastAsia="宋体" w:hint="default"/>
          <w:spacing w:val="-15"/>
          <w:w w:val="100"/>
        </w:rPr>
        <w:t>2017</w:t>
      </w:r>
      <w:r>
        <w:rPr>
          <w:spacing w:val="-15"/>
          <w:w w:val="100"/>
        </w:rPr>
        <w:t>〕</w:t>
      </w:r>
      <w:r>
        <w:rPr>
          <w:rFonts w:ascii="宋体" w:hAnsi="宋体" w:cs="宋体" w:eastAsia="宋体" w:hint="default"/>
          <w:spacing w:val="-15"/>
          <w:w w:val="100"/>
        </w:rPr>
        <w:t>1563</w:t>
      </w:r>
      <w:r>
        <w:rPr>
          <w:rFonts w:ascii="宋体" w:hAnsi="宋体" w:cs="宋体" w:eastAsia="宋体" w:hint="default"/>
          <w:spacing w:val="-67"/>
          <w:w w:val="100"/>
        </w:rPr>
        <w:t> </w:t>
      </w:r>
      <w:r>
        <w:rPr>
          <w:spacing w:val="-14"/>
          <w:w w:val="100"/>
        </w:rPr>
        <w:t>号）核准，贵公司获准向社会公开发行人民币普通股（</w:t>
      </w:r>
      <w:r>
        <w:rPr>
          <w:rFonts w:ascii="宋体" w:hAnsi="宋体" w:cs="宋体" w:eastAsia="宋体" w:hint="default"/>
          <w:spacing w:val="-14"/>
          <w:w w:val="100"/>
        </w:rPr>
        <w:t>A</w:t>
      </w:r>
      <w:r>
        <w:rPr>
          <w:rFonts w:ascii="宋体" w:hAnsi="宋体" w:cs="宋体" w:eastAsia="宋体" w:hint="default"/>
          <w:spacing w:val="-67"/>
          <w:w w:val="100"/>
        </w:rPr>
        <w:t> </w:t>
      </w:r>
      <w:r>
        <w:rPr>
          <w:spacing w:val="-27"/>
          <w:w w:val="100"/>
        </w:rPr>
        <w:t>股）股票</w:t>
      </w:r>
      <w:r>
        <w:rPr>
          <w:spacing w:val="-67"/>
          <w:w w:val="100"/>
        </w:rPr>
        <w:t> </w:t>
      </w:r>
      <w:r>
        <w:rPr>
          <w:rFonts w:ascii="宋体" w:hAnsi="宋体" w:cs="宋体" w:eastAsia="宋体" w:hint="default"/>
          <w:spacing w:val="-1"/>
          <w:w w:val="100"/>
        </w:rPr>
        <w:t>70,000,000</w:t>
      </w:r>
      <w:r>
        <w:rPr>
          <w:rFonts w:ascii="宋体" w:hAnsi="宋体" w:cs="宋体" w:eastAsia="宋体" w:hint="default"/>
          <w:w w:val="100"/>
        </w:rPr>
        <w:t> </w:t>
      </w:r>
      <w:r>
        <w:rPr>
          <w:spacing w:val="-4"/>
        </w:rPr>
        <w:t>股，公司股本从</w:t>
      </w:r>
      <w:r>
        <w:rPr>
          <w:spacing w:val="-50"/>
        </w:rPr>
        <w:t> </w:t>
      </w:r>
      <w:r>
        <w:rPr>
          <w:rFonts w:ascii="宋体" w:hAnsi="宋体" w:cs="宋体" w:eastAsia="宋体" w:hint="default"/>
        </w:rPr>
        <w:t>210,000,000.00</w:t>
      </w:r>
      <w:r>
        <w:rPr>
          <w:rFonts w:ascii="宋体" w:hAnsi="宋体" w:cs="宋体" w:eastAsia="宋体" w:hint="default"/>
          <w:spacing w:val="-52"/>
        </w:rPr>
        <w:t> </w:t>
      </w:r>
      <w:r>
        <w:rPr/>
        <w:t>元增加到</w:t>
      </w:r>
      <w:r>
        <w:rPr>
          <w:spacing w:val="-52"/>
        </w:rPr>
        <w:t> </w:t>
      </w:r>
      <w:r>
        <w:rPr>
          <w:rFonts w:ascii="宋体" w:hAnsi="宋体" w:cs="宋体" w:eastAsia="宋体" w:hint="default"/>
        </w:rPr>
        <w:t>280,000,000.00</w:t>
      </w:r>
      <w:r>
        <w:rPr>
          <w:rFonts w:ascii="宋体" w:hAnsi="宋体" w:cs="宋体" w:eastAsia="宋体" w:hint="default"/>
          <w:spacing w:val="-52"/>
        </w:rPr>
        <w:t> </w:t>
      </w:r>
      <w:r>
        <w:rPr>
          <w:spacing w:val="-4"/>
        </w:rPr>
        <w:t>元，募集资金净额为</w:t>
      </w:r>
      <w:r>
        <w:rPr>
          <w:spacing w:val="-49"/>
        </w:rPr>
        <w:t> </w:t>
      </w:r>
      <w:r>
        <w:rPr>
          <w:rFonts w:ascii="宋体" w:hAnsi="宋体" w:cs="宋体" w:eastAsia="宋体" w:hint="default"/>
        </w:rPr>
        <w:t>701,138,668.50</w:t>
      </w:r>
      <w:r>
        <w:rPr>
          <w:rFonts w:ascii="宋体" w:hAnsi="宋体" w:cs="宋体" w:eastAsia="宋体" w:hint="default"/>
          <w:w w:val="100"/>
        </w:rPr>
        <w:t> </w:t>
      </w:r>
      <w:r>
        <w:rPr/>
        <w:t>元，其中</w:t>
      </w:r>
      <w:r>
        <w:rPr>
          <w:spacing w:val="-55"/>
        </w:rPr>
        <w:t> </w:t>
      </w:r>
      <w:r>
        <w:rPr>
          <w:rFonts w:ascii="宋体" w:hAnsi="宋体" w:cs="宋体" w:eastAsia="宋体" w:hint="default"/>
        </w:rPr>
        <w:t>70,000,000</w:t>
      </w:r>
      <w:r>
        <w:rPr>
          <w:rFonts w:ascii="宋体" w:hAnsi="宋体" w:cs="宋体" w:eastAsia="宋体" w:hint="default"/>
          <w:spacing w:val="-55"/>
        </w:rPr>
        <w:t> </w:t>
      </w:r>
      <w:r>
        <w:rPr/>
        <w:t>元计入股本，</w:t>
      </w:r>
      <w:r>
        <w:rPr>
          <w:rFonts w:ascii="宋体" w:hAnsi="宋体" w:cs="宋体" w:eastAsia="宋体" w:hint="default"/>
        </w:rPr>
        <w:t>631,138,668.50</w:t>
      </w:r>
      <w:r>
        <w:rPr>
          <w:rFonts w:ascii="宋体" w:hAnsi="宋体" w:cs="宋体" w:eastAsia="宋体" w:hint="default"/>
          <w:spacing w:val="-57"/>
        </w:rPr>
        <w:t> </w:t>
      </w:r>
      <w:r>
        <w:rPr/>
        <w:t>元计入资本公积。此次增资业经天健会计师</w:t>
      </w:r>
      <w:r>
        <w:rPr>
          <w:w w:val="100"/>
        </w:rPr>
        <w:t> </w:t>
      </w:r>
      <w:r>
        <w:rPr>
          <w:spacing w:val="-2"/>
        </w:rPr>
        <w:t>事务所（特殊普通合伙）审验，并出具了《验资报告》（天健验〔</w:t>
      </w:r>
      <w:r>
        <w:rPr>
          <w:rFonts w:ascii="宋体" w:hAnsi="宋体" w:cs="宋体" w:eastAsia="宋体" w:hint="default"/>
          <w:spacing w:val="-2"/>
        </w:rPr>
        <w:t>2017</w:t>
      </w:r>
      <w:r>
        <w:rPr>
          <w:spacing w:val="-2"/>
        </w:rPr>
        <w:t>〕</w:t>
      </w:r>
      <w:r>
        <w:rPr>
          <w:rFonts w:ascii="宋体" w:hAnsi="宋体" w:cs="宋体" w:eastAsia="宋体" w:hint="default"/>
          <w:spacing w:val="-2"/>
        </w:rPr>
        <w:t>7-78</w:t>
      </w:r>
      <w:r>
        <w:rPr>
          <w:rFonts w:ascii="宋体" w:hAnsi="宋体" w:cs="宋体" w:eastAsia="宋体" w:hint="default"/>
          <w:spacing w:val="20"/>
        </w:rPr>
        <w:t> </w:t>
      </w:r>
      <w:r>
        <w:rPr>
          <w:spacing w:val="-1"/>
        </w:rPr>
        <w:t>号）。</w:t>
      </w:r>
    </w:p>
    <w:p>
      <w:pPr>
        <w:spacing w:line="240" w:lineRule="auto" w:before="4"/>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56</w:t>
      </w:r>
      <w:r>
        <w:rPr/>
        <w:t>、</w:t>
      </w:r>
      <w:r>
        <w:rPr>
          <w:spacing w:val="-25"/>
        </w:rPr>
        <w:t> </w:t>
      </w:r>
      <w:r>
        <w:rPr/>
        <w:t>库存股</w:t>
      </w:r>
      <w:r>
        <w:rPr>
          <w:b w:val="0"/>
          <w:bCs w:val="0"/>
        </w:rPr>
      </w:r>
    </w:p>
    <w:p>
      <w:pPr>
        <w:pStyle w:val="BodyText"/>
        <w:spacing w:line="240" w:lineRule="auto" w:before="56"/>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57</w:t>
      </w:r>
      <w:r>
        <w:rPr/>
        <w:t>、</w:t>
      </w:r>
      <w:r>
        <w:rPr>
          <w:spacing w:val="-24"/>
        </w:rPr>
        <w:t> </w:t>
      </w:r>
      <w:r>
        <w:rPr/>
        <w:t>其他综合收益</w:t>
      </w:r>
      <w:r>
        <w:rPr>
          <w:b w:val="0"/>
          <w:bCs w:val="0"/>
        </w:rPr>
      </w:r>
    </w:p>
    <w:p>
      <w:pPr>
        <w:pStyle w:val="BodyText"/>
        <w:spacing w:line="240" w:lineRule="auto" w:before="58"/>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58</w:t>
      </w:r>
      <w:r>
        <w:rPr/>
        <w:t>、</w:t>
      </w:r>
      <w:r>
        <w:rPr>
          <w:spacing w:val="-25"/>
        </w:rPr>
        <w:t> </w:t>
      </w:r>
      <w:r>
        <w:rPr/>
        <w:t>专项储备</w:t>
      </w:r>
      <w:r>
        <w:rPr>
          <w:b w:val="0"/>
          <w:bCs w:val="0"/>
        </w:rPr>
      </w:r>
    </w:p>
    <w:p>
      <w:pPr>
        <w:pStyle w:val="BodyText"/>
        <w:spacing w:line="240" w:lineRule="auto" w:before="56"/>
        <w:ind w:right="0"/>
        <w:jc w:val="both"/>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660" w:right="1060"/>
        </w:sectPr>
      </w:pPr>
    </w:p>
    <w:p>
      <w:pPr>
        <w:pStyle w:val="Heading2"/>
        <w:spacing w:line="240" w:lineRule="auto" w:before="36"/>
        <w:ind w:left="138" w:right="-18"/>
        <w:jc w:val="left"/>
        <w:rPr>
          <w:b w:val="0"/>
          <w:bCs w:val="0"/>
        </w:rPr>
      </w:pPr>
      <w:r>
        <w:rPr>
          <w:rFonts w:ascii="宋体" w:hAnsi="宋体" w:cs="宋体" w:eastAsia="宋体" w:hint="default"/>
        </w:rPr>
        <w:t>59</w:t>
      </w:r>
      <w:r>
        <w:rPr/>
        <w:t>、</w:t>
      </w:r>
      <w:r>
        <w:rPr>
          <w:spacing w:val="-25"/>
        </w:rPr>
        <w:t> </w:t>
      </w:r>
      <w:r>
        <w:rPr/>
        <w:t>盈余公积</w:t>
      </w:r>
      <w:r>
        <w:rPr>
          <w:b w:val="0"/>
          <w:bCs w:val="0"/>
        </w:rPr>
      </w:r>
    </w:p>
    <w:p>
      <w:pPr>
        <w:pStyle w:val="BodyText"/>
        <w:spacing w:line="240" w:lineRule="auto" w:before="59"/>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060"/>
          <w:cols w:num="2" w:equalWidth="0">
            <w:col w:w="1715" w:space="4806"/>
            <w:col w:w="2669"/>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sz w:val="21"/>
              </w:rPr>
              <w:t>17,087,890.70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14,921,245.94</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center"/>
              <w:rPr>
                <w:rFonts w:ascii="宋体" w:hAnsi="宋体" w:cs="宋体" w:eastAsia="宋体" w:hint="default"/>
                <w:sz w:val="21"/>
                <w:szCs w:val="21"/>
              </w:rPr>
            </w:pPr>
            <w:r>
              <w:rPr>
                <w:rFonts w:ascii="宋体"/>
                <w:sz w:val="21"/>
              </w:rPr>
              <w:t>32,009,136.64</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 w:right="0"/>
              <w:jc w:val="center"/>
              <w:rPr>
                <w:rFonts w:ascii="宋体" w:hAnsi="宋体" w:cs="宋体" w:eastAsia="宋体" w:hint="default"/>
                <w:sz w:val="21"/>
                <w:szCs w:val="21"/>
              </w:rPr>
            </w:pPr>
            <w:r>
              <w:rPr>
                <w:rFonts w:ascii="宋体"/>
                <w:sz w:val="21"/>
              </w:rPr>
              <w:t>17,087,890.70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 w:right="0"/>
              <w:jc w:val="center"/>
              <w:rPr>
                <w:rFonts w:ascii="宋体" w:hAnsi="宋体" w:cs="宋体" w:eastAsia="宋体" w:hint="default"/>
                <w:sz w:val="21"/>
                <w:szCs w:val="21"/>
              </w:rPr>
            </w:pPr>
            <w:r>
              <w:rPr>
                <w:rFonts w:ascii="宋体"/>
                <w:sz w:val="21"/>
              </w:rPr>
              <w:t>14,921,245.94</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center"/>
              <w:rPr>
                <w:rFonts w:ascii="宋体" w:hAnsi="宋体" w:cs="宋体" w:eastAsia="宋体" w:hint="default"/>
                <w:sz w:val="21"/>
                <w:szCs w:val="21"/>
              </w:rPr>
            </w:pPr>
            <w:r>
              <w:rPr>
                <w:rFonts w:ascii="宋体"/>
                <w:sz w:val="21"/>
              </w:rPr>
              <w:t>32,009,136.64</w:t>
            </w:r>
          </w:p>
        </w:tc>
      </w:tr>
    </w:tbl>
    <w:p>
      <w:pPr>
        <w:spacing w:line="240" w:lineRule="auto" w:before="2"/>
        <w:rPr>
          <w:rFonts w:ascii="宋体" w:hAnsi="宋体" w:cs="宋体" w:eastAsia="宋体" w:hint="default"/>
          <w:sz w:val="20"/>
          <w:szCs w:val="20"/>
        </w:rPr>
      </w:pPr>
    </w:p>
    <w:p>
      <w:pPr>
        <w:pStyle w:val="BodyText"/>
        <w:spacing w:line="290" w:lineRule="auto" w:before="36"/>
        <w:ind w:left="558" w:right="1736" w:hanging="420"/>
        <w:jc w:val="left"/>
      </w:pPr>
      <w:r>
        <w:rPr/>
        <w:t>盈余公积说明，包括本期增减变动情况、变动原因说明：</w:t>
      </w:r>
      <w:r>
        <w:rPr>
          <w:w w:val="100"/>
        </w:rPr>
        <w:t> </w:t>
      </w:r>
      <w:r>
        <w:rPr>
          <w:spacing w:val="-2"/>
        </w:rPr>
        <w:t>本年度盈余公积增加系根据公司当期实现净利润的 </w:t>
      </w:r>
      <w:r>
        <w:rPr>
          <w:rFonts w:ascii="宋体" w:hAnsi="宋体" w:cs="宋体" w:eastAsia="宋体" w:hint="default"/>
          <w:spacing w:val="-1"/>
        </w:rPr>
        <w:t>10%</w:t>
      </w:r>
      <w:r>
        <w:rPr>
          <w:spacing w:val="-1"/>
        </w:rPr>
        <w:t>计提法定盈余公积。</w:t>
      </w:r>
    </w:p>
    <w:p>
      <w:pPr>
        <w:pStyle w:val="Heading2"/>
        <w:spacing w:line="240" w:lineRule="auto" w:before="14"/>
        <w:ind w:left="138" w:right="98"/>
        <w:jc w:val="left"/>
        <w:rPr>
          <w:b w:val="0"/>
          <w:bCs w:val="0"/>
        </w:rPr>
      </w:pPr>
      <w:r>
        <w:rPr>
          <w:rFonts w:ascii="宋体" w:hAnsi="宋体" w:cs="宋体" w:eastAsia="宋体" w:hint="default"/>
        </w:rPr>
        <w:t>60</w:t>
      </w:r>
      <w:r>
        <w:rPr/>
        <w:t>、</w:t>
      </w:r>
      <w:r>
        <w:rPr>
          <w:spacing w:val="-25"/>
        </w:rPr>
        <w:t> </w:t>
      </w:r>
      <w:r>
        <w:rPr/>
        <w:t>未分配利润</w:t>
      </w:r>
      <w:r>
        <w:rPr>
          <w:b w:val="0"/>
          <w:bCs w:val="0"/>
        </w:rPr>
      </w:r>
    </w:p>
    <w:p>
      <w:pPr>
        <w:pStyle w:val="BodyText"/>
        <w:spacing w:line="240" w:lineRule="auto" w:before="56"/>
        <w:ind w:right="98"/>
        <w:jc w:val="left"/>
      </w:pPr>
      <w:r>
        <w:rPr/>
        <w:t>√适用</w:t>
      </w:r>
      <w:r>
        <w:rPr>
          <w:spacing w:val="-1"/>
        </w:rPr>
        <w:t> </w:t>
      </w:r>
      <w:r>
        <w:rPr/>
        <w:t>□不适用</w:t>
      </w:r>
    </w:p>
    <w:p>
      <w:pPr>
        <w:pStyle w:val="BodyText"/>
        <w:tabs>
          <w:tab w:pos="1051" w:val="left" w:leader="none"/>
        </w:tabs>
        <w:spacing w:line="274" w:lineRule="exact"/>
        <w:ind w:left="0" w:right="21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430"/>
        <w:gridCol w:w="2777"/>
        <w:gridCol w:w="2689"/>
      </w:tblGrid>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1"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153,791,016.31</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24,274,295.49</w:t>
            </w:r>
          </w:p>
        </w:tc>
      </w:tr>
      <w:tr>
        <w:trPr>
          <w:trHeight w:val="554"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调减－）</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7"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
              <w:jc w:val="right"/>
              <w:rPr>
                <w:rFonts w:ascii="宋体" w:hAnsi="宋体" w:cs="宋体" w:eastAsia="宋体" w:hint="default"/>
                <w:sz w:val="21"/>
                <w:szCs w:val="21"/>
              </w:rPr>
            </w:pPr>
            <w:r>
              <w:rPr>
                <w:rFonts w:ascii="宋体"/>
                <w:spacing w:val="-1"/>
                <w:sz w:val="21"/>
              </w:rPr>
              <w:t>153,791,016.31</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
              <w:jc w:val="right"/>
              <w:rPr>
                <w:rFonts w:ascii="宋体" w:hAnsi="宋体" w:cs="宋体" w:eastAsia="宋体" w:hint="default"/>
                <w:sz w:val="21"/>
                <w:szCs w:val="21"/>
              </w:rPr>
            </w:pPr>
            <w:r>
              <w:rPr>
                <w:rFonts w:ascii="宋体"/>
                <w:spacing w:val="-1"/>
                <w:sz w:val="21"/>
              </w:rPr>
              <w:t>24,274,295.49</w:t>
            </w:r>
          </w:p>
        </w:tc>
      </w:tr>
      <w:tr>
        <w:trPr>
          <w:trHeight w:val="554"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149,212,459.42</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143,907,467.58</w:t>
            </w:r>
          </w:p>
        </w:tc>
      </w:tr>
      <w:tr>
        <w:trPr>
          <w:trHeight w:val="284"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14,921,245.94</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14,390,746.76</w:t>
            </w: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3430"/>
        <w:gridCol w:w="2777"/>
        <w:gridCol w:w="2689"/>
      </w:tblGrid>
      <w:tr>
        <w:trPr>
          <w:trHeight w:val="284"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69" w:right="0"/>
              <w:jc w:val="left"/>
              <w:rPr>
                <w:rFonts w:ascii="宋体" w:hAnsi="宋体" w:cs="宋体" w:eastAsia="宋体" w:hint="default"/>
                <w:sz w:val="21"/>
                <w:szCs w:val="21"/>
              </w:rPr>
            </w:pPr>
            <w:r>
              <w:rPr>
                <w:rFonts w:ascii="宋体"/>
                <w:sz w:val="21"/>
              </w:rPr>
              <w:t>288,082,229.79</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4" w:right="0"/>
              <w:jc w:val="left"/>
              <w:rPr>
                <w:rFonts w:ascii="宋体" w:hAnsi="宋体" w:cs="宋体" w:eastAsia="宋体" w:hint="default"/>
                <w:sz w:val="21"/>
                <w:szCs w:val="21"/>
              </w:rPr>
            </w:pPr>
            <w:r>
              <w:rPr>
                <w:rFonts w:ascii="宋体"/>
                <w:sz w:val="21"/>
              </w:rPr>
              <w:t>153,791,016.31</w:t>
            </w:r>
          </w:p>
        </w:tc>
      </w:tr>
    </w:tbl>
    <w:p>
      <w:pPr>
        <w:spacing w:line="240" w:lineRule="auto" w:before="12"/>
        <w:rPr>
          <w:rFonts w:ascii="宋体" w:hAnsi="宋体" w:cs="宋体" w:eastAsia="宋体" w:hint="default"/>
          <w:sz w:val="19"/>
          <w:szCs w:val="19"/>
        </w:rPr>
      </w:pPr>
    </w:p>
    <w:p>
      <w:pPr>
        <w:pStyle w:val="BodyText"/>
        <w:spacing w:line="240" w:lineRule="auto" w:before="36"/>
        <w:ind w:left="218" w:right="3084"/>
        <w:jc w:val="left"/>
      </w:pPr>
      <w:r>
        <w:rPr/>
        <w:t>调整期初未分配利润明细：</w:t>
      </w:r>
    </w:p>
    <w:p>
      <w:pPr>
        <w:pStyle w:val="BodyText"/>
        <w:spacing w:line="274" w:lineRule="exact" w:before="56"/>
        <w:ind w:left="218" w:right="227"/>
        <w:jc w:val="left"/>
      </w:pPr>
      <w:r>
        <w:rPr/>
        <w:t>（</w:t>
      </w:r>
      <w:r>
        <w:rPr>
          <w:rFonts w:ascii="宋体" w:hAnsi="宋体" w:cs="宋体" w:eastAsia="宋体" w:hint="default"/>
        </w:rPr>
        <w:t>1</w:t>
      </w:r>
      <w:r>
        <w:rPr/>
        <w:t>）由于《企业会计准则》及其相关新规定进行追溯调整，影响期初未分配利润 </w:t>
      </w:r>
      <w:r>
        <w:rPr>
          <w:rFonts w:ascii="宋体" w:hAnsi="宋体" w:cs="宋体" w:eastAsia="宋体" w:hint="default"/>
        </w:rPr>
        <w:t>0.00</w:t>
      </w:r>
      <w:r>
        <w:rPr>
          <w:rFonts w:ascii="宋体" w:hAnsi="宋体" w:cs="宋体" w:eastAsia="宋体" w:hint="default"/>
          <w:spacing w:val="-59"/>
        </w:rPr>
        <w:t> </w:t>
      </w:r>
      <w:r>
        <w:rPr/>
        <w:t>元。</w:t>
      </w:r>
    </w:p>
    <w:p>
      <w:pPr>
        <w:pStyle w:val="BodyText"/>
        <w:spacing w:line="272" w:lineRule="exact"/>
        <w:ind w:left="218" w:right="3084"/>
        <w:jc w:val="left"/>
      </w:pPr>
      <w:r>
        <w:rPr/>
        <w:t>（</w:t>
      </w:r>
      <w:r>
        <w:rPr>
          <w:rFonts w:ascii="宋体" w:hAnsi="宋体" w:cs="宋体" w:eastAsia="宋体" w:hint="default"/>
        </w:rPr>
        <w:t>2</w:t>
      </w:r>
      <w:r>
        <w:rPr/>
        <w:t>）由于会计政策变更，影响期初未分配利润 </w:t>
      </w:r>
      <w:r>
        <w:rPr>
          <w:rFonts w:ascii="宋体" w:hAnsi="宋体" w:cs="宋体" w:eastAsia="宋体" w:hint="default"/>
        </w:rPr>
        <w:t>0.00</w:t>
      </w:r>
      <w:r>
        <w:rPr>
          <w:rFonts w:ascii="宋体" w:hAnsi="宋体" w:cs="宋体" w:eastAsia="宋体" w:hint="default"/>
          <w:spacing w:val="-60"/>
        </w:rPr>
        <w:t> </w:t>
      </w:r>
      <w:r>
        <w:rPr/>
        <w:t>元。</w:t>
      </w:r>
    </w:p>
    <w:p>
      <w:pPr>
        <w:pStyle w:val="BodyText"/>
        <w:spacing w:line="272" w:lineRule="exact"/>
        <w:ind w:left="218" w:right="3084"/>
        <w:jc w:val="left"/>
      </w:pPr>
      <w:r>
        <w:rPr/>
        <w:t>（</w:t>
      </w:r>
      <w:r>
        <w:rPr>
          <w:rFonts w:ascii="宋体" w:hAnsi="宋体" w:cs="宋体" w:eastAsia="宋体" w:hint="default"/>
        </w:rPr>
        <w:t>3</w:t>
      </w:r>
      <w:r>
        <w:rPr/>
        <w:t>）由于重大会计差错更正，影响期初未分配利润 </w:t>
      </w:r>
      <w:r>
        <w:rPr>
          <w:rFonts w:ascii="宋体" w:hAnsi="宋体" w:cs="宋体" w:eastAsia="宋体" w:hint="default"/>
        </w:rPr>
        <w:t>0.00</w:t>
      </w:r>
      <w:r>
        <w:rPr>
          <w:rFonts w:ascii="宋体" w:hAnsi="宋体" w:cs="宋体" w:eastAsia="宋体" w:hint="default"/>
          <w:spacing w:val="-60"/>
        </w:rPr>
        <w:t> </w:t>
      </w:r>
      <w:r>
        <w:rPr/>
        <w:t>元。</w:t>
      </w:r>
    </w:p>
    <w:p>
      <w:pPr>
        <w:pStyle w:val="BodyText"/>
        <w:spacing w:line="272" w:lineRule="exact"/>
        <w:ind w:left="218" w:right="227"/>
        <w:jc w:val="left"/>
      </w:pPr>
      <w:r>
        <w:rPr/>
        <w:t>（</w:t>
      </w:r>
      <w:r>
        <w:rPr>
          <w:rFonts w:ascii="宋体" w:hAnsi="宋体" w:cs="宋体" w:eastAsia="宋体" w:hint="default"/>
        </w:rPr>
        <w:t>4</w:t>
      </w:r>
      <w:r>
        <w:rPr/>
        <w:t>）由于同一控制导致的合并范围变更，影响期初未分配利润 </w:t>
      </w:r>
      <w:r>
        <w:rPr>
          <w:rFonts w:ascii="宋体" w:hAnsi="宋体" w:cs="宋体" w:eastAsia="宋体" w:hint="default"/>
        </w:rPr>
        <w:t>0.00</w:t>
      </w:r>
      <w:r>
        <w:rPr>
          <w:rFonts w:ascii="宋体" w:hAnsi="宋体" w:cs="宋体" w:eastAsia="宋体" w:hint="default"/>
          <w:spacing w:val="-58"/>
        </w:rPr>
        <w:t> </w:t>
      </w:r>
      <w:r>
        <w:rPr>
          <w:spacing w:val="-3"/>
        </w:rPr>
        <w:t>元。</w:t>
      </w:r>
      <w:r>
        <w:rPr/>
      </w:r>
    </w:p>
    <w:p>
      <w:pPr>
        <w:pStyle w:val="BodyText"/>
        <w:spacing w:line="273" w:lineRule="exact"/>
        <w:ind w:left="218" w:right="3084"/>
        <w:jc w:val="left"/>
      </w:pPr>
      <w:r>
        <w:rPr/>
        <w:t>（</w:t>
      </w:r>
      <w:r>
        <w:rPr>
          <w:rFonts w:ascii="宋体" w:hAnsi="宋体" w:cs="宋体" w:eastAsia="宋体" w:hint="default"/>
        </w:rPr>
        <w:t>5</w:t>
      </w:r>
      <w:r>
        <w:rPr/>
        <w:t>）其他调整合计影响期初未分配利润 </w:t>
      </w:r>
      <w:r>
        <w:rPr>
          <w:rFonts w:ascii="宋体" w:hAnsi="宋体" w:cs="宋体" w:eastAsia="宋体" w:hint="default"/>
        </w:rPr>
        <w:t>0.00</w:t>
      </w:r>
      <w:r>
        <w:rPr>
          <w:rFonts w:ascii="宋体" w:hAnsi="宋体" w:cs="宋体" w:eastAsia="宋体" w:hint="default"/>
          <w:spacing w:val="-58"/>
        </w:rPr>
        <w:t> </w:t>
      </w:r>
      <w:r>
        <w:rPr/>
        <w:t>元。</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before="36"/>
        <w:ind w:right="-18"/>
        <w:jc w:val="left"/>
        <w:rPr>
          <w:b w:val="0"/>
          <w:bCs w:val="0"/>
        </w:rPr>
      </w:pPr>
      <w:r>
        <w:rPr>
          <w:rFonts w:ascii="宋体" w:hAnsi="宋体" w:cs="宋体" w:eastAsia="宋体" w:hint="default"/>
        </w:rPr>
        <w:t>61</w:t>
      </w:r>
      <w:r>
        <w:rPr/>
        <w:t>、</w:t>
      </w:r>
      <w:r>
        <w:rPr>
          <w:spacing w:val="-23"/>
        </w:rPr>
        <w:t> </w:t>
      </w:r>
      <w:r>
        <w:rPr/>
        <w:t>营业收入和营业成本</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623" w:space="3898"/>
            <w:col w:w="2769"/>
          </w:cols>
        </w:sectPr>
      </w:pPr>
    </w:p>
    <w:p>
      <w:pPr>
        <w:spacing w:line="240" w:lineRule="auto" w:before="7"/>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1418"/>
        <w:gridCol w:w="1897"/>
        <w:gridCol w:w="1860"/>
        <w:gridCol w:w="1896"/>
        <w:gridCol w:w="1858"/>
      </w:tblGrid>
      <w:tr>
        <w:trPr>
          <w:trHeight w:val="281" w:hRule="exact"/>
        </w:trPr>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418"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收入</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收入</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1"/>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1,483,985,824.17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978,145,402.78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1,168,145,052.44</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729,582,416.17</w:t>
            </w:r>
          </w:p>
        </w:tc>
      </w:tr>
      <w:tr>
        <w:trPr>
          <w:trHeight w:val="281"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1"/>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169,466.83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145,786.12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586,919.65</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486,897.42</w:t>
            </w:r>
          </w:p>
        </w:tc>
      </w:tr>
      <w:tr>
        <w:trPr>
          <w:trHeight w:val="28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1"/>
              <w:jc w:val="right"/>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1,484,155,291.00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978,291,188.90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1,168,731,972.09</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730,069,313.59</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before="36"/>
        <w:ind w:right="-1"/>
        <w:jc w:val="left"/>
        <w:rPr>
          <w:b w:val="0"/>
          <w:bCs w:val="0"/>
        </w:rPr>
      </w:pPr>
      <w:r>
        <w:rPr>
          <w:rFonts w:ascii="宋体" w:hAnsi="宋体" w:cs="宋体" w:eastAsia="宋体" w:hint="default"/>
        </w:rPr>
        <w:t>62</w:t>
      </w:r>
      <w:r>
        <w:rPr/>
        <w:t>、</w:t>
      </w:r>
      <w:r>
        <w:rPr>
          <w:spacing w:val="-25"/>
        </w:rPr>
        <w:t> </w:t>
      </w:r>
      <w:r>
        <w:rPr/>
        <w:t>税金及附加</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59"/>
        <w:gridCol w:w="3017"/>
        <w:gridCol w:w="3020"/>
      </w:tblGrid>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08"/>
              <w:jc w:val="right"/>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4,417.45</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2,620,665.62</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4,494,639.50</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1,123,142.42</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1,926,141.57</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1,607,312.12</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1,071,541.42</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69,293.72</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46,195.81</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7,325.00</w:t>
            </w: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557,635.69</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259,652.92</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748,761.60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1,284,094.34</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防洪费</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374,380.80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642,047.19</w:t>
            </w:r>
          </w:p>
        </w:tc>
      </w:tr>
      <w:tr>
        <w:trPr>
          <w:trHeight w:val="289"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08"/>
              <w:jc w:val="right"/>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7,108,516.97</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9,728,730.20</w:t>
            </w:r>
          </w:p>
        </w:tc>
      </w:tr>
    </w:tbl>
    <w:p>
      <w:pPr>
        <w:spacing w:line="240" w:lineRule="auto" w:before="2"/>
        <w:rPr>
          <w:rFonts w:ascii="宋体" w:hAnsi="宋体" w:cs="宋体" w:eastAsia="宋体" w:hint="default"/>
          <w:sz w:val="20"/>
          <w:szCs w:val="20"/>
        </w:rPr>
      </w:pPr>
    </w:p>
    <w:p>
      <w:pPr>
        <w:pStyle w:val="BodyText"/>
        <w:spacing w:line="240" w:lineRule="auto" w:before="36"/>
        <w:ind w:left="218" w:right="3084"/>
        <w:jc w:val="left"/>
      </w:pPr>
      <w:r>
        <w:rPr/>
        <w:t>其他说明：</w:t>
      </w:r>
    </w:p>
    <w:p>
      <w:pPr>
        <w:pStyle w:val="BodyText"/>
        <w:spacing w:line="237" w:lineRule="auto" w:before="59"/>
        <w:ind w:left="218" w:right="228" w:firstLine="419"/>
        <w:jc w:val="both"/>
      </w:pPr>
      <w:r>
        <w:rPr>
          <w:spacing w:val="-3"/>
        </w:rPr>
        <w:t>根据财政部《增值税会计处理规定》</w:t>
      </w:r>
      <w:r>
        <w:rPr>
          <w:rFonts w:ascii="宋体" w:hAnsi="宋体" w:cs="宋体" w:eastAsia="宋体" w:hint="default"/>
          <w:spacing w:val="-3"/>
        </w:rPr>
        <w:t>(</w:t>
      </w:r>
      <w:r>
        <w:rPr>
          <w:spacing w:val="-3"/>
        </w:rPr>
        <w:t>财会〔</w:t>
      </w:r>
      <w:r>
        <w:rPr>
          <w:rFonts w:ascii="宋体" w:hAnsi="宋体" w:cs="宋体" w:eastAsia="宋体" w:hint="default"/>
          <w:spacing w:val="-3"/>
        </w:rPr>
        <w:t>2016</w:t>
      </w:r>
      <w:r>
        <w:rPr>
          <w:spacing w:val="-3"/>
        </w:rPr>
        <w:t>〕</w:t>
      </w:r>
      <w:r>
        <w:rPr>
          <w:rFonts w:ascii="宋体" w:hAnsi="宋体" w:cs="宋体" w:eastAsia="宋体" w:hint="default"/>
          <w:spacing w:val="-3"/>
        </w:rPr>
        <w:t>22</w:t>
      </w:r>
      <w:r>
        <w:rPr>
          <w:rFonts w:ascii="宋体" w:hAnsi="宋体" w:cs="宋体" w:eastAsia="宋体" w:hint="default"/>
          <w:spacing w:val="-35"/>
        </w:rPr>
        <w:t> </w:t>
      </w:r>
      <w:r>
        <w:rPr/>
        <w:t>号</w:t>
      </w:r>
      <w:r>
        <w:rPr>
          <w:rFonts w:ascii="宋体" w:hAnsi="宋体" w:cs="宋体" w:eastAsia="宋体" w:hint="default"/>
        </w:rPr>
        <w:t>)</w:t>
      </w:r>
      <w:r>
        <w:rPr/>
        <w:t>以及《关于</w:t>
      </w:r>
      <w:r>
        <w:rPr>
          <w:rFonts w:ascii="宋体" w:hAnsi="宋体" w:cs="宋体" w:eastAsia="宋体" w:hint="default"/>
        </w:rPr>
        <w:t>&lt;</w:t>
      </w:r>
      <w:r>
        <w:rPr/>
        <w:t>增值税会计处理规定</w:t>
      </w:r>
      <w:r>
        <w:rPr>
          <w:rFonts w:ascii="宋体" w:hAnsi="宋体" w:cs="宋体" w:eastAsia="宋体" w:hint="default"/>
        </w:rPr>
        <w:t>&gt;</w:t>
      </w:r>
      <w:r>
        <w:rPr>
          <w:rFonts w:ascii="宋体" w:hAnsi="宋体" w:cs="宋体" w:eastAsia="宋体" w:hint="default"/>
          <w:w w:val="100"/>
        </w:rPr>
        <w:t> </w:t>
      </w:r>
      <w:r>
        <w:rPr>
          <w:spacing w:val="-7"/>
        </w:rPr>
        <w:t>有关问题的解读》，本公司将</w:t>
      </w:r>
      <w:r>
        <w:rPr>
          <w:spacing w:val="-45"/>
        </w:rPr>
        <w:t> </w:t>
      </w:r>
      <w:r>
        <w:rPr>
          <w:rFonts w:ascii="宋体" w:hAnsi="宋体" w:cs="宋体" w:eastAsia="宋体" w:hint="default"/>
        </w:rPr>
        <w:t>2016</w:t>
      </w:r>
      <w:r>
        <w:rPr>
          <w:rFonts w:ascii="宋体" w:hAnsi="宋体" w:cs="宋体" w:eastAsia="宋体" w:hint="default"/>
          <w:spacing w:val="-48"/>
        </w:rPr>
        <w:t> </w:t>
      </w:r>
      <w:r>
        <w:rPr/>
        <w:t>年</w:t>
      </w:r>
      <w:r>
        <w:rPr>
          <w:spacing w:val="-46"/>
        </w:rPr>
        <w:t> </w:t>
      </w:r>
      <w:r>
        <w:rPr>
          <w:rFonts w:ascii="宋体" w:hAnsi="宋体" w:cs="宋体" w:eastAsia="宋体" w:hint="default"/>
        </w:rPr>
        <w:t>5-12</w:t>
      </w:r>
      <w:r>
        <w:rPr>
          <w:rFonts w:ascii="宋体" w:hAnsi="宋体" w:cs="宋体" w:eastAsia="宋体" w:hint="default"/>
          <w:spacing w:val="-46"/>
        </w:rPr>
        <w:t> </w:t>
      </w:r>
      <w:r>
        <w:rPr/>
        <w:t>月及</w:t>
      </w:r>
      <w:r>
        <w:rPr>
          <w:spacing w:val="-46"/>
        </w:rPr>
        <w:t> </w:t>
      </w:r>
      <w:r>
        <w:rPr>
          <w:rFonts w:ascii="宋体" w:hAnsi="宋体" w:cs="宋体" w:eastAsia="宋体" w:hint="default"/>
        </w:rPr>
        <w:t>2017</w:t>
      </w:r>
      <w:r>
        <w:rPr>
          <w:rFonts w:ascii="宋体" w:hAnsi="宋体" w:cs="宋体" w:eastAsia="宋体" w:hint="default"/>
          <w:spacing w:val="-45"/>
        </w:rPr>
        <w:t> </w:t>
      </w:r>
      <w:r>
        <w:rPr>
          <w:spacing w:val="-3"/>
        </w:rPr>
        <w:t>年度房产税、土地使用税和印花税的发生额</w:t>
      </w:r>
      <w:r>
        <w:rPr>
          <w:spacing w:val="-102"/>
        </w:rPr>
        <w:t> </w:t>
      </w:r>
      <w:r>
        <w:rPr>
          <w:spacing w:val="-102"/>
        </w:rPr>
      </w:r>
      <w:r>
        <w:rPr/>
        <w:t>列报于“税金及附加”项目，</w:t>
      </w:r>
      <w:r>
        <w:rPr>
          <w:rFonts w:ascii="宋体" w:hAnsi="宋体" w:cs="宋体" w:eastAsia="宋体" w:hint="default"/>
        </w:rPr>
        <w:t>2016</w:t>
      </w:r>
      <w:r>
        <w:rPr>
          <w:rFonts w:ascii="宋体" w:hAnsi="宋体" w:cs="宋体" w:eastAsia="宋体" w:hint="default"/>
          <w:spacing w:val="-56"/>
        </w:rPr>
        <w:t> </w:t>
      </w:r>
      <w:r>
        <w:rPr/>
        <w:t>年</w:t>
      </w:r>
      <w:r>
        <w:rPr>
          <w:spacing w:val="-54"/>
        </w:rPr>
        <w:t> </w:t>
      </w:r>
      <w:r>
        <w:rPr>
          <w:rFonts w:ascii="宋体" w:hAnsi="宋体" w:cs="宋体" w:eastAsia="宋体" w:hint="default"/>
        </w:rPr>
        <w:t>5</w:t>
      </w:r>
      <w:r>
        <w:rPr>
          <w:rFonts w:ascii="宋体" w:hAnsi="宋体" w:cs="宋体" w:eastAsia="宋体" w:hint="default"/>
          <w:spacing w:val="-56"/>
        </w:rPr>
        <w:t> </w:t>
      </w:r>
      <w:r>
        <w:rPr/>
        <w:t>月之前的发生额仍列报于“管理费用”项目。</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before="36"/>
        <w:ind w:right="-18"/>
        <w:jc w:val="left"/>
        <w:rPr>
          <w:b w:val="0"/>
          <w:bCs w:val="0"/>
        </w:rPr>
      </w:pPr>
      <w:r>
        <w:rPr>
          <w:rFonts w:ascii="宋体" w:hAnsi="宋体" w:cs="宋体" w:eastAsia="宋体" w:hint="default"/>
        </w:rPr>
        <w:t>63</w:t>
      </w:r>
      <w:r>
        <w:rPr/>
        <w:t>、</w:t>
      </w:r>
      <w:r>
        <w:rPr>
          <w:spacing w:val="-25"/>
        </w:rPr>
        <w:t> </w:t>
      </w:r>
      <w:r>
        <w:rPr/>
        <w:t>销售费用</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32"/>
        <w:gridCol w:w="2861"/>
        <w:gridCol w:w="2857"/>
      </w:tblGrid>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维保费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163,478,366.67</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126,657,840.00</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25,738,997.18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22,497,576.13</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19,206,695.72</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18,266,356.22</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32"/>
        <w:gridCol w:w="2861"/>
        <w:gridCol w:w="2857"/>
      </w:tblGrid>
      <w:tr>
        <w:trPr>
          <w:trHeight w:val="28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17,836,274.78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19,585,068.68</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2,651,802.73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3,097,987.54</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1,859,451.58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2,500,374.29</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咨询服务费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1,408,593.74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1,619,215.73</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279,760.00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200,387.15</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232,459,942.40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194,424,805.74</w:t>
            </w:r>
          </w:p>
        </w:tc>
      </w:tr>
    </w:tbl>
    <w:p>
      <w:pPr>
        <w:spacing w:line="240" w:lineRule="auto" w:before="2"/>
        <w:rPr>
          <w:rFonts w:ascii="宋体" w:hAnsi="宋体" w:cs="宋体" w:eastAsia="宋体" w:hint="default"/>
          <w:sz w:val="20"/>
          <w:szCs w:val="20"/>
        </w:rPr>
      </w:pPr>
    </w:p>
    <w:p>
      <w:pPr>
        <w:pStyle w:val="BodyText"/>
        <w:spacing w:line="240" w:lineRule="auto" w:before="36"/>
        <w:ind w:left="218" w:right="3084"/>
        <w:jc w:val="left"/>
      </w:pPr>
      <w:r>
        <w:rPr/>
        <w:t>其他说明：</w:t>
      </w:r>
    </w:p>
    <w:p>
      <w:pPr>
        <w:pStyle w:val="BodyText"/>
        <w:spacing w:line="240" w:lineRule="auto" w:before="56"/>
        <w:ind w:left="638" w:right="3084"/>
        <w:jc w:val="left"/>
      </w:pPr>
      <w:r>
        <w:rPr/>
        <w:t>无。</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before="36"/>
        <w:ind w:right="-18"/>
        <w:jc w:val="left"/>
        <w:rPr>
          <w:b w:val="0"/>
          <w:bCs w:val="0"/>
        </w:rPr>
      </w:pPr>
      <w:r>
        <w:rPr>
          <w:rFonts w:ascii="宋体" w:hAnsi="宋体" w:cs="宋体" w:eastAsia="宋体" w:hint="default"/>
        </w:rPr>
        <w:t>64</w:t>
      </w:r>
      <w:r>
        <w:rPr/>
        <w:t>、</w:t>
      </w:r>
      <w:r>
        <w:rPr>
          <w:spacing w:val="-25"/>
        </w:rPr>
        <w:t> </w:t>
      </w:r>
      <w:r>
        <w:rPr/>
        <w:t>管理费用</w:t>
      </w:r>
      <w:r>
        <w:rPr>
          <w:b w:val="0"/>
          <w:bCs w:val="0"/>
        </w:rPr>
      </w:r>
    </w:p>
    <w:p>
      <w:pPr>
        <w:pStyle w:val="BodyText"/>
        <w:spacing w:line="240" w:lineRule="auto" w:before="59"/>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研究开发费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80,333,565.09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62,209,208.84</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23,524,440.79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19,373,459.50</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5,850,526.10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5,870,629.21</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6,763,511.72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6,329,073.92</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税金</w:t>
            </w:r>
          </w:p>
        </w:tc>
        <w:tc>
          <w:tcPr>
            <w:tcW w:w="260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624,429.64</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中介服务费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1,923,944.03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2,413,656.67</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3,150,890.40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2,710,082.53</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797,193.27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1,683,681.90</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2,437,117.61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1,873,295.31</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124,781,189.01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103,087,517.52</w:t>
            </w:r>
          </w:p>
        </w:tc>
      </w:tr>
    </w:tbl>
    <w:p>
      <w:pPr>
        <w:spacing w:line="240" w:lineRule="auto" w:before="5"/>
        <w:rPr>
          <w:rFonts w:ascii="宋体" w:hAnsi="宋体" w:cs="宋体" w:eastAsia="宋体" w:hint="default"/>
          <w:sz w:val="15"/>
          <w:szCs w:val="15"/>
        </w:rPr>
      </w:pPr>
    </w:p>
    <w:p>
      <w:pPr>
        <w:pStyle w:val="BodyText"/>
        <w:spacing w:line="274" w:lineRule="exact" w:before="36"/>
        <w:ind w:left="218" w:right="3084"/>
        <w:jc w:val="left"/>
      </w:pPr>
      <w:r>
        <w:rPr/>
        <w:t>其他说明：</w:t>
      </w:r>
    </w:p>
    <w:p>
      <w:pPr>
        <w:pStyle w:val="BodyText"/>
        <w:spacing w:line="274" w:lineRule="exact"/>
        <w:ind w:left="638" w:right="3084"/>
        <w:jc w:val="left"/>
      </w:pPr>
      <w:r>
        <w:rPr/>
        <w:t>无。</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before="36"/>
        <w:ind w:right="-18"/>
        <w:jc w:val="left"/>
        <w:rPr>
          <w:b w:val="0"/>
          <w:bCs w:val="0"/>
        </w:rPr>
      </w:pPr>
      <w:r>
        <w:rPr>
          <w:rFonts w:ascii="宋体" w:hAnsi="宋体" w:cs="宋体" w:eastAsia="宋体" w:hint="default"/>
        </w:rPr>
        <w:t>65</w:t>
      </w:r>
      <w:r>
        <w:rPr/>
        <w:t>、</w:t>
      </w:r>
      <w:r>
        <w:rPr>
          <w:spacing w:val="-25"/>
        </w:rPr>
        <w:t> </w:t>
      </w:r>
      <w:r>
        <w:rPr/>
        <w:t>财务费用</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9,485,400.88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12,769,736.13</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-1,573,450.53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-824,349.93</w:t>
            </w:r>
          </w:p>
        </w:tc>
      </w:tr>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汇兑损失</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1,679,051.91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6,696,673.83</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减：汇兑收益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-6,007,196.91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-2,491,820.16</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手续费及其他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1,144,668.24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1,617,532.23</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4,728,473.59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17,767,772.10</w:t>
            </w:r>
          </w:p>
        </w:tc>
      </w:tr>
    </w:tbl>
    <w:p>
      <w:pPr>
        <w:spacing w:line="240" w:lineRule="auto" w:before="7"/>
        <w:rPr>
          <w:rFonts w:ascii="宋体" w:hAnsi="宋体" w:cs="宋体" w:eastAsia="宋体" w:hint="default"/>
          <w:sz w:val="15"/>
          <w:szCs w:val="15"/>
        </w:rPr>
      </w:pPr>
    </w:p>
    <w:p>
      <w:pPr>
        <w:pStyle w:val="BodyText"/>
        <w:spacing w:line="273" w:lineRule="exact" w:before="36"/>
        <w:ind w:left="218" w:right="3084"/>
        <w:jc w:val="left"/>
      </w:pPr>
      <w:r>
        <w:rPr/>
        <w:t>其他说明：</w:t>
      </w:r>
    </w:p>
    <w:p>
      <w:pPr>
        <w:pStyle w:val="BodyText"/>
        <w:spacing w:line="273" w:lineRule="exact"/>
        <w:ind w:left="638" w:right="3084"/>
        <w:jc w:val="left"/>
      </w:pPr>
      <w:r>
        <w:rPr/>
        <w:t>无。</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before="36"/>
        <w:ind w:right="-18"/>
        <w:jc w:val="left"/>
        <w:rPr>
          <w:b w:val="0"/>
          <w:bCs w:val="0"/>
        </w:rPr>
      </w:pPr>
      <w:r>
        <w:rPr>
          <w:rFonts w:ascii="宋体" w:hAnsi="宋体" w:cs="宋体" w:eastAsia="宋体" w:hint="default"/>
        </w:rPr>
        <w:t>66</w:t>
      </w:r>
      <w:r>
        <w:rPr/>
        <w:t>、</w:t>
      </w:r>
      <w:r>
        <w:rPr>
          <w:spacing w:val="-24"/>
        </w:rPr>
        <w:t> </w:t>
      </w:r>
      <w:r>
        <w:rPr/>
        <w:t>资产减值损失</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5,015,747.16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1,295,471.71</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11,410,953.78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8,527,900.91</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4" w:right="0"/>
              <w:jc w:val="left"/>
              <w:rPr>
                <w:rFonts w:ascii="宋体" w:hAnsi="宋体" w:cs="宋体" w:eastAsia="宋体" w:hint="default"/>
                <w:sz w:val="21"/>
                <w:szCs w:val="21"/>
              </w:rPr>
            </w:pPr>
            <w:r>
              <w:rPr>
                <w:rFonts w:ascii="宋体"/>
                <w:sz w:val="21"/>
              </w:rPr>
              <w:t>16,426,700.94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4" w:right="0"/>
              <w:jc w:val="left"/>
              <w:rPr>
                <w:rFonts w:ascii="宋体" w:hAnsi="宋体" w:cs="宋体" w:eastAsia="宋体" w:hint="default"/>
                <w:sz w:val="21"/>
                <w:szCs w:val="21"/>
              </w:rPr>
            </w:pPr>
            <w:r>
              <w:rPr>
                <w:rFonts w:ascii="宋体"/>
                <w:sz w:val="21"/>
              </w:rPr>
              <w:t>9,823,372.62</w:t>
            </w:r>
          </w:p>
        </w:tc>
      </w:tr>
    </w:tbl>
    <w:p>
      <w:pPr>
        <w:pStyle w:val="BodyText"/>
        <w:spacing w:line="240" w:lineRule="auto" w:before="26"/>
        <w:ind w:left="218" w:right="3084"/>
        <w:jc w:val="left"/>
      </w:pPr>
      <w:r>
        <w:rPr/>
        <w:t>其他说明：</w:t>
      </w:r>
    </w:p>
    <w:p>
      <w:pPr>
        <w:pStyle w:val="BodyText"/>
        <w:spacing w:line="240" w:lineRule="auto" w:before="56"/>
        <w:ind w:left="638" w:right="3084"/>
        <w:jc w:val="left"/>
      </w:pPr>
      <w:r>
        <w:rPr/>
        <w:t>无。</w:t>
      </w:r>
    </w:p>
    <w:p>
      <w:pPr>
        <w:spacing w:line="240" w:lineRule="auto" w:before="3"/>
        <w:rPr>
          <w:rFonts w:ascii="宋体" w:hAnsi="宋体" w:cs="宋体" w:eastAsia="宋体" w:hint="default"/>
          <w:sz w:val="25"/>
          <w:szCs w:val="25"/>
        </w:rPr>
      </w:pPr>
    </w:p>
    <w:p>
      <w:pPr>
        <w:pStyle w:val="Heading2"/>
        <w:spacing w:line="240" w:lineRule="auto"/>
        <w:ind w:right="3084"/>
        <w:jc w:val="left"/>
        <w:rPr>
          <w:b w:val="0"/>
          <w:bCs w:val="0"/>
        </w:rPr>
      </w:pPr>
      <w:r>
        <w:rPr>
          <w:rFonts w:ascii="宋体" w:hAnsi="宋体" w:cs="宋体" w:eastAsia="宋体" w:hint="default"/>
        </w:rPr>
        <w:t>67</w:t>
      </w:r>
      <w:r>
        <w:rPr/>
        <w:t>、</w:t>
      </w:r>
      <w:r>
        <w:rPr>
          <w:spacing w:val="-24"/>
        </w:rPr>
        <w:t> </w:t>
      </w:r>
      <w:r>
        <w:rPr/>
        <w:t>公允价值变动收益</w:t>
      </w:r>
      <w:r>
        <w:rPr>
          <w:b w:val="0"/>
          <w:bCs w:val="0"/>
        </w:rPr>
      </w:r>
    </w:p>
    <w:p>
      <w:pPr>
        <w:pStyle w:val="BodyText"/>
        <w:spacing w:line="240" w:lineRule="auto" w:before="58"/>
        <w:ind w:left="218" w:right="3084"/>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53"/>
          <w:pgSz w:w="11910" w:h="16840"/>
          <w:pgMar w:footer="1195" w:header="882" w:top="1120" w:bottom="1380" w:left="1580" w:right="1040"/>
        </w:sectPr>
      </w:pPr>
    </w:p>
    <w:p>
      <w:pPr>
        <w:pStyle w:val="Heading2"/>
        <w:spacing w:line="240" w:lineRule="auto" w:before="36"/>
        <w:ind w:right="-18"/>
        <w:jc w:val="left"/>
        <w:rPr>
          <w:b w:val="0"/>
          <w:bCs w:val="0"/>
        </w:rPr>
      </w:pPr>
      <w:r>
        <w:rPr>
          <w:rFonts w:ascii="宋体" w:hAnsi="宋体" w:cs="宋体" w:eastAsia="宋体" w:hint="default"/>
        </w:rPr>
        <w:t>68</w:t>
      </w:r>
      <w:r>
        <w:rPr/>
        <w:t>、</w:t>
      </w:r>
      <w:r>
        <w:rPr>
          <w:spacing w:val="-25"/>
        </w:rPr>
        <w:t> </w:t>
      </w:r>
      <w:r>
        <w:rPr/>
        <w:t>投资收益</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2" w:lineRule="exact" w:before="27"/>
              <w:ind w:left="103" w:right="130"/>
              <w:jc w:val="left"/>
              <w:rPr>
                <w:rFonts w:ascii="宋体" w:hAnsi="宋体" w:cs="宋体" w:eastAsia="宋体" w:hint="default"/>
                <w:sz w:val="21"/>
                <w:szCs w:val="21"/>
              </w:rPr>
            </w:pPr>
            <w:r>
              <w:rPr>
                <w:rFonts w:ascii="宋体" w:hAnsi="宋体" w:cs="宋体" w:eastAsia="宋体" w:hint="default"/>
                <w:spacing w:val="-2"/>
                <w:sz w:val="21"/>
                <w:szCs w:val="21"/>
              </w:rPr>
              <w:t>损益的金融资产在持有期间的投资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40" w:lineRule="auto"/>
              <w:ind w:left="103" w:right="130"/>
              <w:jc w:val="left"/>
              <w:rPr>
                <w:rFonts w:ascii="宋体" w:hAnsi="宋体" w:cs="宋体" w:eastAsia="宋体" w:hint="default"/>
                <w:sz w:val="21"/>
                <w:szCs w:val="21"/>
              </w:rPr>
            </w:pPr>
            <w:r>
              <w:rPr>
                <w:rFonts w:ascii="宋体" w:hAnsi="宋体" w:cs="宋体" w:eastAsia="宋体" w:hint="default"/>
                <w:spacing w:val="-2"/>
                <w:sz w:val="21"/>
                <w:szCs w:val="21"/>
              </w:rPr>
              <w:t>当期损益的金融资产取得的投资收</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值重新计量产生的利得</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理财产品在持有期间的投资收益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1,524,492.15</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1,524,492.15</w:t>
            </w:r>
          </w:p>
        </w:tc>
        <w:tc>
          <w:tcPr>
            <w:tcW w:w="307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25"/>
          <w:szCs w:val="25"/>
        </w:rPr>
      </w:pPr>
    </w:p>
    <w:p>
      <w:pPr>
        <w:pStyle w:val="BodyText"/>
        <w:spacing w:line="240" w:lineRule="auto" w:before="36"/>
        <w:ind w:left="218" w:right="3084"/>
        <w:jc w:val="left"/>
      </w:pPr>
      <w:r>
        <w:rPr/>
        <w:t>其他说明：</w:t>
      </w:r>
    </w:p>
    <w:p>
      <w:pPr>
        <w:pStyle w:val="BodyText"/>
        <w:spacing w:line="240" w:lineRule="auto" w:before="68"/>
        <w:ind w:left="638" w:right="3084"/>
        <w:jc w:val="left"/>
      </w:pPr>
      <w:r>
        <w:rPr/>
        <w:t>无。</w:t>
      </w:r>
    </w:p>
    <w:p>
      <w:pPr>
        <w:spacing w:line="292" w:lineRule="auto" w:before="56"/>
        <w:ind w:left="218" w:right="7491" w:firstLine="0"/>
        <w:jc w:val="left"/>
        <w:rPr>
          <w:rFonts w:ascii="宋体" w:hAnsi="宋体" w:cs="宋体" w:eastAsia="宋体" w:hint="default"/>
          <w:sz w:val="21"/>
          <w:szCs w:val="21"/>
        </w:rPr>
      </w:pPr>
      <w:r>
        <w:rPr>
          <w:rFonts w:ascii="宋体" w:hAnsi="宋体" w:cs="宋体" w:eastAsia="宋体" w:hint="default"/>
          <w:b/>
          <w:bCs/>
          <w:sz w:val="21"/>
          <w:szCs w:val="21"/>
        </w:rPr>
        <w:t>69</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营业外收入</w:t>
      </w:r>
      <w:r>
        <w:rPr>
          <w:rFonts w:ascii="宋体" w:hAnsi="宋体" w:cs="宋体" w:eastAsia="宋体" w:hint="default"/>
          <w:b/>
          <w:bCs/>
          <w:w w:val="100"/>
          <w:sz w:val="21"/>
          <w:szCs w:val="21"/>
        </w:rPr>
        <w:t> </w:t>
      </w:r>
      <w:r>
        <w:rPr>
          <w:rFonts w:ascii="宋体" w:hAnsi="宋体" w:cs="宋体" w:eastAsia="宋体" w:hint="default"/>
          <w:sz w:val="21"/>
          <w:szCs w:val="21"/>
        </w:rPr>
        <w:t>营业外收入情况</w:t>
      </w:r>
    </w:p>
    <w:p>
      <w:pPr>
        <w:pStyle w:val="BodyText"/>
        <w:spacing w:line="225" w:lineRule="exact"/>
        <w:ind w:left="218" w:right="3084"/>
        <w:jc w:val="left"/>
      </w:pPr>
      <w:r>
        <w:rPr/>
        <w:t>√适用</w:t>
      </w:r>
      <w:r>
        <w:rPr>
          <w:spacing w:val="-1"/>
        </w:rPr>
        <w:t> </w:t>
      </w:r>
      <w:r>
        <w:rPr/>
        <w:t>□不适用</w:t>
      </w:r>
    </w:p>
    <w:p>
      <w:pPr>
        <w:spacing w:after="0" w:line="225" w:lineRule="exact"/>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29"/>
        <w:gridCol w:w="1983"/>
        <w:gridCol w:w="1985"/>
        <w:gridCol w:w="1853"/>
      </w:tblGrid>
      <w:tr>
        <w:trPr>
          <w:trHeight w:val="5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6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计入当期非经常</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性损益的金额</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98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98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198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198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p>
        </w:tc>
        <w:tc>
          <w:tcPr>
            <w:tcW w:w="198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198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3,598,130.00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62,649,544.89</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3,598,130.00</w:t>
            </w:r>
          </w:p>
        </w:tc>
      </w:tr>
      <w:tr>
        <w:trPr>
          <w:trHeight w:val="28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103,840.24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71,848.99</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103,840.24</w:t>
            </w:r>
          </w:p>
        </w:tc>
      </w:tr>
      <w:tr>
        <w:trPr>
          <w:trHeight w:val="28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3,701,970.24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62,721,393.88</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3,701,970.24</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footerReference w:type="default" r:id="rId54"/>
          <w:pgSz w:w="11910" w:h="16840"/>
          <w:pgMar w:footer="1195" w:header="882" w:top="1120" w:bottom="1380" w:left="1580" w:right="1040"/>
          <w:pgNumType w:start="111"/>
        </w:sectPr>
      </w:pPr>
    </w:p>
    <w:p>
      <w:pPr>
        <w:pStyle w:val="BodyText"/>
        <w:spacing w:line="273" w:lineRule="exact" w:before="36"/>
        <w:ind w:left="218" w:right="0"/>
        <w:jc w:val="left"/>
      </w:pPr>
      <w:r>
        <w:rPr>
          <w:spacing w:val="-2"/>
        </w:rPr>
        <w:t>计入当期损益的政府补助</w:t>
      </w:r>
    </w:p>
    <w:p>
      <w:pPr>
        <w:pStyle w:val="BodyText"/>
        <w:spacing w:line="273" w:lineRule="exact"/>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532" w:space="3992"/>
            <w:col w:w="2766"/>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143"/>
        <w:gridCol w:w="1702"/>
        <w:gridCol w:w="1700"/>
        <w:gridCol w:w="1351"/>
      </w:tblGrid>
      <w:tr>
        <w:trPr>
          <w:trHeight w:val="566"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21"/>
                <w:szCs w:val="21"/>
              </w:rPr>
            </w:pPr>
            <w:r>
              <w:rPr>
                <w:rFonts w:ascii="宋体" w:hAnsi="宋体" w:cs="宋体" w:eastAsia="宋体" w:hint="default"/>
                <w:sz w:val="21"/>
                <w:szCs w:val="21"/>
              </w:rPr>
              <w:t>补助项目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13"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13"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46" w:right="89" w:hanging="53"/>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与收益相关</w:t>
            </w:r>
          </w:p>
        </w:tc>
      </w:tr>
      <w:tr>
        <w:trPr>
          <w:trHeight w:val="283"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增值税即征即退款</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47,425,303.65</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收益相关</w:t>
            </w:r>
          </w:p>
        </w:tc>
      </w:tr>
      <w:tr>
        <w:trPr>
          <w:trHeight w:val="281"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7"/>
                <w:sz w:val="21"/>
                <w:szCs w:val="21"/>
              </w:rPr>
              <w:t> </w:t>
            </w:r>
            <w:r>
              <w:rPr>
                <w:rFonts w:ascii="宋体" w:hAnsi="宋体" w:cs="宋体" w:eastAsia="宋体" w:hint="default"/>
                <w:sz w:val="21"/>
                <w:szCs w:val="21"/>
              </w:rPr>
              <w:t>年度电子信息产业振兴和技术改造项目</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183,565.24</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综合性项目</w:t>
            </w:r>
          </w:p>
        </w:tc>
      </w:tr>
      <w:tr>
        <w:trPr>
          <w:trHeight w:val="283"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年信息安全专项</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59,371.40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综合性项目</w:t>
            </w:r>
          </w:p>
        </w:tc>
      </w:tr>
      <w:tr>
        <w:trPr>
          <w:trHeight w:val="283"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年信息安全专项</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268,880.00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综合性项目</w:t>
            </w:r>
          </w:p>
        </w:tc>
      </w:tr>
      <w:tr>
        <w:trPr>
          <w:trHeight w:val="281"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年工业科技开发专项资金</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26,666.67</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资产相关</w:t>
            </w:r>
          </w:p>
        </w:tc>
      </w:tr>
      <w:tr>
        <w:trPr>
          <w:trHeight w:val="557"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天津市</w:t>
            </w:r>
            <w:r>
              <w:rPr>
                <w:rFonts w:ascii="宋体" w:hAnsi="宋体" w:cs="宋体" w:eastAsia="宋体" w:hint="default"/>
                <w:spacing w:val="-63"/>
                <w:sz w:val="21"/>
                <w:szCs w:val="21"/>
              </w:rPr>
              <w:t> </w:t>
            </w:r>
            <w:r>
              <w:rPr>
                <w:rFonts w:ascii="宋体" w:hAnsi="宋体" w:cs="宋体" w:eastAsia="宋体" w:hint="default"/>
                <w:sz w:val="21"/>
                <w:szCs w:val="21"/>
              </w:rPr>
              <w:t>2013</w:t>
            </w:r>
            <w:r>
              <w:rPr>
                <w:rFonts w:ascii="宋体" w:hAnsi="宋体" w:cs="宋体" w:eastAsia="宋体" w:hint="default"/>
                <w:spacing w:val="-63"/>
                <w:sz w:val="21"/>
                <w:szCs w:val="21"/>
              </w:rPr>
              <w:t> </w:t>
            </w:r>
            <w:r>
              <w:rPr>
                <w:rFonts w:ascii="宋体" w:hAnsi="宋体" w:cs="宋体" w:eastAsia="宋体" w:hint="default"/>
                <w:sz w:val="21"/>
                <w:szCs w:val="21"/>
              </w:rPr>
              <w:t>年工业中小企业技术改造配套资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600,000.00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收益相关</w:t>
            </w:r>
          </w:p>
        </w:tc>
      </w:tr>
      <w:tr>
        <w:trPr>
          <w:trHeight w:val="281"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年金融领域安全</w:t>
            </w:r>
            <w:r>
              <w:rPr>
                <w:rFonts w:ascii="宋体" w:hAnsi="宋体" w:cs="宋体" w:eastAsia="宋体" w:hint="default"/>
                <w:spacing w:val="-52"/>
                <w:sz w:val="21"/>
                <w:szCs w:val="21"/>
              </w:rPr>
              <w:t> </w:t>
            </w:r>
            <w:r>
              <w:rPr>
                <w:rFonts w:ascii="宋体" w:hAnsi="宋体" w:cs="宋体" w:eastAsia="宋体" w:hint="default"/>
                <w:sz w:val="21"/>
                <w:szCs w:val="21"/>
              </w:rPr>
              <w:t>IC</w:t>
            </w:r>
            <w:r>
              <w:rPr>
                <w:rFonts w:ascii="宋体" w:hAnsi="宋体" w:cs="宋体" w:eastAsia="宋体" w:hint="default"/>
                <w:spacing w:val="-53"/>
                <w:sz w:val="21"/>
                <w:szCs w:val="21"/>
              </w:rPr>
              <w:t> </w:t>
            </w:r>
            <w:r>
              <w:rPr>
                <w:rFonts w:ascii="宋体" w:hAnsi="宋体" w:cs="宋体" w:eastAsia="宋体" w:hint="default"/>
                <w:sz w:val="21"/>
                <w:szCs w:val="21"/>
              </w:rPr>
              <w:t>卡和密码应用专项</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85,714.28</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综合性项目</w:t>
            </w:r>
          </w:p>
        </w:tc>
      </w:tr>
      <w:tr>
        <w:trPr>
          <w:trHeight w:val="554"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78"/>
                <w:sz w:val="21"/>
                <w:szCs w:val="21"/>
              </w:rPr>
              <w:t> </w:t>
            </w:r>
            <w:r>
              <w:rPr>
                <w:rFonts w:ascii="宋体" w:hAnsi="宋体" w:cs="宋体" w:eastAsia="宋体" w:hint="default"/>
                <w:sz w:val="21"/>
                <w:szCs w:val="21"/>
              </w:rPr>
              <w:t>年金融领域安全</w:t>
            </w:r>
            <w:r>
              <w:rPr>
                <w:rFonts w:ascii="宋体" w:hAnsi="宋体" w:cs="宋体" w:eastAsia="宋体" w:hint="default"/>
                <w:spacing w:val="-76"/>
                <w:sz w:val="21"/>
                <w:szCs w:val="21"/>
              </w:rPr>
              <w:t> </w:t>
            </w:r>
            <w:r>
              <w:rPr>
                <w:rFonts w:ascii="宋体" w:hAnsi="宋体" w:cs="宋体" w:eastAsia="宋体" w:hint="default"/>
                <w:sz w:val="21"/>
                <w:szCs w:val="21"/>
              </w:rPr>
              <w:t>IC</w:t>
            </w:r>
            <w:r>
              <w:rPr>
                <w:rFonts w:ascii="宋体" w:hAnsi="宋体" w:cs="宋体" w:eastAsia="宋体" w:hint="default"/>
                <w:spacing w:val="-77"/>
                <w:sz w:val="21"/>
                <w:szCs w:val="21"/>
              </w:rPr>
              <w:t> </w:t>
            </w:r>
            <w:r>
              <w:rPr>
                <w:rFonts w:ascii="宋体" w:hAnsi="宋体" w:cs="宋体" w:eastAsia="宋体" w:hint="default"/>
                <w:sz w:val="21"/>
                <w:szCs w:val="21"/>
              </w:rPr>
              <w:t>卡和密码应用专项配</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套资金</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3,600,000.00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收益相关</w:t>
            </w:r>
          </w:p>
        </w:tc>
      </w:tr>
      <w:tr>
        <w:trPr>
          <w:trHeight w:val="283"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年天津市科技支撑计划重点项目资金</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收益相关</w:t>
            </w:r>
          </w:p>
        </w:tc>
      </w:tr>
      <w:tr>
        <w:trPr>
          <w:trHeight w:val="283"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年天津市中小企业发展专项资金</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17,900.00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综合性项目</w:t>
            </w:r>
          </w:p>
        </w:tc>
      </w:tr>
      <w:tr>
        <w:trPr>
          <w:trHeight w:val="554"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7"/>
                <w:sz w:val="21"/>
                <w:szCs w:val="21"/>
              </w:rPr>
              <w:t> </w:t>
            </w:r>
            <w:r>
              <w:rPr>
                <w:rFonts w:ascii="宋体" w:hAnsi="宋体" w:cs="宋体" w:eastAsia="宋体" w:hint="default"/>
                <w:sz w:val="21"/>
                <w:szCs w:val="21"/>
              </w:rPr>
              <w:t>年天津市工业企业技术改造专项配套资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收益相关</w:t>
            </w:r>
          </w:p>
        </w:tc>
      </w:tr>
      <w:tr>
        <w:trPr>
          <w:trHeight w:val="281"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天津港保税区</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年企业发展金</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1,260,000.00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收益相关</w:t>
            </w:r>
          </w:p>
        </w:tc>
      </w:tr>
      <w:tr>
        <w:trPr>
          <w:trHeight w:val="283"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天津市科技小巨人领军企业培育重大项目</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1,666,666.65</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资产相关</w:t>
            </w:r>
          </w:p>
        </w:tc>
      </w:tr>
      <w:tr>
        <w:trPr>
          <w:trHeight w:val="55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天津市科技小巨人领军企业培育重大项目专</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项配套资金</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收益相关</w:t>
            </w:r>
          </w:p>
        </w:tc>
      </w:tr>
      <w:tr>
        <w:trPr>
          <w:trHeight w:val="283"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天津市就业见习基地补贴</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494,585.00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收益相关</w:t>
            </w:r>
          </w:p>
        </w:tc>
      </w:tr>
      <w:tr>
        <w:trPr>
          <w:trHeight w:val="281"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天津市国家自主创新示范区发展专项资金</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收益相关</w:t>
            </w:r>
          </w:p>
        </w:tc>
      </w:tr>
      <w:tr>
        <w:trPr>
          <w:trHeight w:val="283"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天津市用人单位新招用残疾人就业补贴</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85,932.00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收益相关</w:t>
            </w:r>
          </w:p>
        </w:tc>
      </w:tr>
      <w:tr>
        <w:trPr>
          <w:trHeight w:val="283"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天津市知识产权专项资金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29,380.00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53,480.00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收益相关</w:t>
            </w:r>
          </w:p>
        </w:tc>
      </w:tr>
      <w:tr>
        <w:trPr>
          <w:trHeight w:val="281"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天津市知识产权专项配套资金</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53,480.00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收益相关</w:t>
            </w:r>
          </w:p>
        </w:tc>
      </w:tr>
      <w:tr>
        <w:trPr>
          <w:trHeight w:val="283"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滨海新区支持企业上市专项资金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收益相关</w:t>
            </w:r>
          </w:p>
        </w:tc>
      </w:tr>
      <w:tr>
        <w:trPr>
          <w:trHeight w:val="283"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滨海新区支持公司股改补贴资金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收益相关</w:t>
            </w:r>
          </w:p>
        </w:tc>
      </w:tr>
      <w:tr>
        <w:trPr>
          <w:trHeight w:val="281"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天津市人才发展杰出企业家资助</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收益相关</w:t>
            </w:r>
          </w:p>
        </w:tc>
      </w:tr>
      <w:tr>
        <w:trPr>
          <w:trHeight w:val="283"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院士专家工作站资助经费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450,000.00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收益相关</w:t>
            </w:r>
          </w:p>
        </w:tc>
      </w:tr>
      <w:tr>
        <w:trPr>
          <w:trHeight w:val="55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天津市“131”创新型人才培养工程补贴资</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收益相关</w:t>
            </w:r>
          </w:p>
        </w:tc>
      </w:tr>
      <w:tr>
        <w:trPr>
          <w:trHeight w:val="283"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天津市“新型企业家培养工程”补贴资金</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收益相关</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4143"/>
        <w:gridCol w:w="1702"/>
        <w:gridCol w:w="1700"/>
        <w:gridCol w:w="1351"/>
      </w:tblGrid>
      <w:tr>
        <w:trPr>
          <w:trHeight w:val="284"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天津港保税区工业企业</w:t>
            </w:r>
            <w:r>
              <w:rPr>
                <w:rFonts w:ascii="宋体" w:hAnsi="宋体" w:cs="宋体" w:eastAsia="宋体" w:hint="default"/>
                <w:spacing w:val="-63"/>
                <w:sz w:val="21"/>
                <w:szCs w:val="21"/>
              </w:rPr>
              <w:t> </w:t>
            </w:r>
            <w:r>
              <w:rPr>
                <w:rFonts w:ascii="宋体" w:hAnsi="宋体" w:cs="宋体" w:eastAsia="宋体" w:hint="default"/>
                <w:sz w:val="21"/>
                <w:szCs w:val="21"/>
              </w:rPr>
              <w:t>2016</w:t>
            </w:r>
            <w:r>
              <w:rPr>
                <w:rFonts w:ascii="宋体" w:hAnsi="宋体" w:cs="宋体" w:eastAsia="宋体" w:hint="default"/>
                <w:spacing w:val="-63"/>
                <w:sz w:val="21"/>
                <w:szCs w:val="21"/>
              </w:rPr>
              <w:t> </w:t>
            </w:r>
            <w:r>
              <w:rPr>
                <w:rFonts w:ascii="宋体" w:hAnsi="宋体" w:cs="宋体" w:eastAsia="宋体" w:hint="default"/>
                <w:sz w:val="21"/>
                <w:szCs w:val="21"/>
              </w:rPr>
              <w:t>年经济增长奖补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28,000.00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2"/>
              <w:jc w:val="right"/>
              <w:rPr>
                <w:rFonts w:ascii="宋体" w:hAnsi="宋体" w:cs="宋体" w:eastAsia="宋体" w:hint="default"/>
                <w:sz w:val="21"/>
                <w:szCs w:val="21"/>
              </w:rPr>
            </w:pPr>
            <w:r>
              <w:rPr>
                <w:rFonts w:ascii="宋体"/>
                <w:spacing w:val="-1"/>
                <w:sz w:val="21"/>
              </w:rPr>
              <w:t>28,000.00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收益相关</w:t>
            </w:r>
          </w:p>
        </w:tc>
      </w:tr>
      <w:tr>
        <w:trPr>
          <w:trHeight w:val="283"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经办天津“千企万人”支持计划资助基金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收益相关</w:t>
            </w:r>
          </w:p>
        </w:tc>
      </w:tr>
      <w:tr>
        <w:trPr>
          <w:trHeight w:val="554"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天津市“百万技能人才培训福利计划”补助</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241,750.00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收益相关</w:t>
            </w:r>
          </w:p>
        </w:tc>
      </w:tr>
      <w:tr>
        <w:trPr>
          <w:trHeight w:val="281"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年天津市科技进步二等奖奖励资金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收益相关</w:t>
            </w:r>
          </w:p>
        </w:tc>
      </w:tr>
      <w:tr>
        <w:trPr>
          <w:trHeight w:val="283"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天津港保税区</w:t>
            </w:r>
            <w:r>
              <w:rPr>
                <w:rFonts w:ascii="宋体" w:hAnsi="宋体" w:cs="宋体" w:eastAsia="宋体" w:hint="default"/>
                <w:spacing w:val="-61"/>
                <w:sz w:val="21"/>
                <w:szCs w:val="21"/>
              </w:rPr>
              <w:t> </w:t>
            </w:r>
            <w:r>
              <w:rPr>
                <w:rFonts w:ascii="宋体" w:hAnsi="宋体" w:cs="宋体" w:eastAsia="宋体" w:hint="default"/>
                <w:sz w:val="21"/>
                <w:szCs w:val="21"/>
              </w:rPr>
              <w:t>2016</w:t>
            </w:r>
            <w:r>
              <w:rPr>
                <w:rFonts w:ascii="宋体" w:hAnsi="宋体" w:cs="宋体" w:eastAsia="宋体" w:hint="default"/>
                <w:spacing w:val="-63"/>
                <w:sz w:val="21"/>
                <w:szCs w:val="21"/>
              </w:rPr>
              <w:t> </w:t>
            </w:r>
            <w:r>
              <w:rPr>
                <w:rFonts w:ascii="宋体" w:hAnsi="宋体" w:cs="宋体" w:eastAsia="宋体" w:hint="default"/>
                <w:sz w:val="21"/>
                <w:szCs w:val="21"/>
              </w:rPr>
              <w:t>年度制造业企业奖励资金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500,000.00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收益相关</w:t>
            </w:r>
          </w:p>
        </w:tc>
      </w:tr>
      <w:tr>
        <w:trPr>
          <w:trHeight w:val="554"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7"/>
                <w:sz w:val="21"/>
                <w:szCs w:val="21"/>
              </w:rPr>
              <w:t> </w:t>
            </w:r>
            <w:r>
              <w:rPr>
                <w:rFonts w:ascii="宋体" w:hAnsi="宋体" w:cs="宋体" w:eastAsia="宋体" w:hint="default"/>
                <w:sz w:val="21"/>
                <w:szCs w:val="21"/>
              </w:rPr>
              <w:t>年天津市技术创新引导专项</w:t>
            </w:r>
            <w:r>
              <w:rPr>
                <w:rFonts w:ascii="宋体" w:hAnsi="宋体" w:cs="宋体" w:eastAsia="宋体" w:hint="default"/>
                <w:sz w:val="21"/>
                <w:szCs w:val="21"/>
              </w:rPr>
              <w:t>--</w:t>
            </w:r>
            <w:r>
              <w:rPr>
                <w:rFonts w:ascii="宋体" w:hAnsi="宋体" w:cs="宋体" w:eastAsia="宋体" w:hint="default"/>
                <w:sz w:val="21"/>
                <w:szCs w:val="21"/>
              </w:rPr>
              <w:t>科技领军</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企业品牌培育资金</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收益相关</w:t>
            </w:r>
          </w:p>
        </w:tc>
      </w:tr>
      <w:tr>
        <w:trPr>
          <w:trHeight w:val="554"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年度第一批天津市软件产业发展专项资</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收益相关</w:t>
            </w:r>
          </w:p>
        </w:tc>
      </w:tr>
      <w:tr>
        <w:trPr>
          <w:trHeight w:val="554"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天津港保税区</w:t>
            </w:r>
            <w:r>
              <w:rPr>
                <w:rFonts w:ascii="宋体" w:hAnsi="宋体" w:cs="宋体" w:eastAsia="宋体" w:hint="default"/>
                <w:spacing w:val="-61"/>
                <w:sz w:val="21"/>
                <w:szCs w:val="21"/>
              </w:rPr>
              <w:t> </w:t>
            </w:r>
            <w:r>
              <w:rPr>
                <w:rFonts w:ascii="宋体" w:hAnsi="宋体" w:cs="宋体" w:eastAsia="宋体" w:hint="default"/>
                <w:sz w:val="21"/>
                <w:szCs w:val="21"/>
              </w:rPr>
              <w:t>2017</w:t>
            </w:r>
            <w:r>
              <w:rPr>
                <w:rFonts w:ascii="宋体" w:hAnsi="宋体" w:cs="宋体" w:eastAsia="宋体" w:hint="default"/>
                <w:spacing w:val="-63"/>
                <w:sz w:val="21"/>
                <w:szCs w:val="21"/>
              </w:rPr>
              <w:t> </w:t>
            </w:r>
            <w:r>
              <w:rPr>
                <w:rFonts w:ascii="宋体" w:hAnsi="宋体" w:cs="宋体" w:eastAsia="宋体" w:hint="default"/>
                <w:sz w:val="21"/>
                <w:szCs w:val="21"/>
              </w:rPr>
              <w:t>年上半年工业企业经济增</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长奖补资金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239,000.00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收益相关</w:t>
            </w:r>
          </w:p>
        </w:tc>
      </w:tr>
      <w:tr>
        <w:trPr>
          <w:trHeight w:val="284"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2"/>
              <w:jc w:val="right"/>
              <w:rPr>
                <w:rFonts w:ascii="宋体" w:hAnsi="宋体" w:cs="宋体" w:eastAsia="宋体" w:hint="default"/>
                <w:sz w:val="21"/>
                <w:szCs w:val="21"/>
              </w:rPr>
            </w:pPr>
            <w:r>
              <w:rPr>
                <w:rFonts w:ascii="宋体"/>
                <w:spacing w:val="-1"/>
                <w:sz w:val="21"/>
              </w:rPr>
              <w:t>3,598,130.00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2"/>
              <w:jc w:val="right"/>
              <w:rPr>
                <w:rFonts w:ascii="宋体" w:hAnsi="宋体" w:cs="宋体" w:eastAsia="宋体" w:hint="default"/>
                <w:sz w:val="21"/>
                <w:szCs w:val="21"/>
              </w:rPr>
            </w:pPr>
            <w:r>
              <w:rPr>
                <w:rFonts w:ascii="宋体"/>
                <w:spacing w:val="-1"/>
                <w:sz w:val="21"/>
              </w:rPr>
              <w:t>62,649,544.89</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w w:val="100"/>
                <w:sz w:val="21"/>
              </w:rPr>
              <w:t>/</w:t>
            </w:r>
          </w:p>
        </w:tc>
      </w:tr>
    </w:tbl>
    <w:p>
      <w:pPr>
        <w:spacing w:line="240" w:lineRule="auto" w:before="13"/>
        <w:rPr>
          <w:rFonts w:ascii="宋体" w:hAnsi="宋体" w:cs="宋体" w:eastAsia="宋体" w:hint="default"/>
          <w:sz w:val="25"/>
          <w:szCs w:val="25"/>
        </w:rPr>
      </w:pPr>
    </w:p>
    <w:p>
      <w:pPr>
        <w:pStyle w:val="BodyText"/>
        <w:spacing w:line="240" w:lineRule="auto" w:before="36"/>
        <w:ind w:left="218" w:right="3084"/>
        <w:jc w:val="left"/>
      </w:pPr>
      <w:r>
        <w:rPr/>
        <w:t>其他说明：</w:t>
      </w:r>
    </w:p>
    <w:p>
      <w:pPr>
        <w:pStyle w:val="BodyText"/>
        <w:spacing w:line="240" w:lineRule="auto" w:before="145"/>
        <w:ind w:left="218" w:right="3084"/>
        <w:jc w:val="left"/>
      </w:pPr>
      <w:r>
        <w:rPr/>
        <w:t>□适用</w:t>
      </w:r>
      <w:r>
        <w:rPr>
          <w:spacing w:val="-1"/>
        </w:rPr>
        <w:t> </w:t>
      </w:r>
      <w:r>
        <w:rPr/>
        <w:t>√不适用</w:t>
      </w:r>
    </w:p>
    <w:p>
      <w:pPr>
        <w:spacing w:line="240" w:lineRule="auto" w:before="1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2" w:footer="1195" w:top="1120" w:bottom="1380" w:left="1580" w:right="1040"/>
        </w:sectPr>
      </w:pPr>
    </w:p>
    <w:p>
      <w:pPr>
        <w:pStyle w:val="Heading2"/>
        <w:spacing w:line="240" w:lineRule="auto" w:before="36"/>
        <w:ind w:right="-1"/>
        <w:jc w:val="left"/>
        <w:rPr>
          <w:b w:val="0"/>
          <w:bCs w:val="0"/>
        </w:rPr>
      </w:pPr>
      <w:r>
        <w:rPr>
          <w:rFonts w:ascii="宋体" w:hAnsi="宋体" w:cs="宋体" w:eastAsia="宋体" w:hint="default"/>
        </w:rPr>
        <w:t>70</w:t>
      </w:r>
      <w:r>
        <w:rPr/>
        <w:t>、</w:t>
      </w:r>
      <w:r>
        <w:rPr>
          <w:spacing w:val="-25"/>
        </w:rPr>
        <w:t> </w:t>
      </w:r>
      <w:r>
        <w:rPr/>
        <w:t>营业外支出</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28"/>
        <w:gridCol w:w="2377"/>
        <w:gridCol w:w="2328"/>
        <w:gridCol w:w="2317"/>
      </w:tblGrid>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5"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失合计</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置损失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50,000.00</w:t>
            </w: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w:t>
            </w: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30,194.00</w:t>
            </w: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30,194.00</w:t>
            </w:r>
          </w:p>
        </w:tc>
      </w:tr>
      <w:tr>
        <w:trPr>
          <w:trHeight w:val="28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80,194.00</w:t>
            </w: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80,194.00</w:t>
            </w:r>
          </w:p>
        </w:tc>
      </w:tr>
    </w:tbl>
    <w:p>
      <w:pPr>
        <w:spacing w:line="240" w:lineRule="auto" w:before="12"/>
        <w:rPr>
          <w:rFonts w:ascii="宋体" w:hAnsi="宋体" w:cs="宋体" w:eastAsia="宋体" w:hint="default"/>
          <w:sz w:val="19"/>
          <w:szCs w:val="19"/>
        </w:rPr>
      </w:pPr>
    </w:p>
    <w:p>
      <w:pPr>
        <w:pStyle w:val="BodyText"/>
        <w:spacing w:line="240" w:lineRule="auto" w:before="36"/>
        <w:ind w:left="218" w:right="3084"/>
        <w:jc w:val="left"/>
      </w:pPr>
      <w:r>
        <w:rPr/>
        <w:t>其他说明：</w:t>
      </w:r>
    </w:p>
    <w:p>
      <w:pPr>
        <w:pStyle w:val="BodyText"/>
        <w:spacing w:line="240" w:lineRule="auto" w:before="58"/>
        <w:ind w:left="638" w:right="3084"/>
        <w:jc w:val="left"/>
      </w:pPr>
      <w:r>
        <w:rPr/>
        <w:t>无。</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90" w:lineRule="auto" w:before="36"/>
        <w:ind w:right="-20"/>
        <w:jc w:val="left"/>
        <w:rPr>
          <w:b w:val="0"/>
          <w:bCs w:val="0"/>
        </w:rPr>
      </w:pPr>
      <w:r>
        <w:rPr>
          <w:rFonts w:ascii="宋体" w:hAnsi="宋体" w:cs="宋体" w:eastAsia="宋体" w:hint="default"/>
        </w:rPr>
        <w:t>71</w:t>
      </w:r>
      <w:r>
        <w:rPr/>
        <w:t>、</w:t>
      </w:r>
      <w:r>
        <w:rPr>
          <w:spacing w:val="-25"/>
        </w:rPr>
        <w:t> </w:t>
      </w:r>
      <w:r>
        <w:rPr/>
        <w:t>所得税费用</w:t>
      </w:r>
      <w:r>
        <w:rPr>
          <w:w w:val="100"/>
        </w:rPr>
        <w:t> </w:t>
      </w:r>
      <w:r>
        <w:rPr>
          <w:rFonts w:ascii="宋体" w:hAnsi="宋体" w:cs="宋体" w:eastAsia="宋体" w:hint="default"/>
        </w:rPr>
        <w:t>(1)</w:t>
      </w:r>
      <w:r>
        <w:rPr>
          <w:rFonts w:ascii="宋体" w:hAnsi="宋体" w:cs="宋体" w:eastAsia="宋体" w:hint="default"/>
          <w:spacing w:val="3"/>
        </w:rPr>
        <w:t> </w:t>
      </w:r>
      <w:r>
        <w:rPr/>
        <w:t>所得税费用表</w:t>
      </w:r>
      <w:r>
        <w:rPr>
          <w:b w:val="0"/>
          <w:bCs w:val="0"/>
        </w:rPr>
      </w:r>
    </w:p>
    <w:p>
      <w:pPr>
        <w:pStyle w:val="BodyText"/>
        <w:spacing w:line="240" w:lineRule="auto" w:before="14"/>
        <w:ind w:left="21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1" w:space="4611"/>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59"/>
        <w:gridCol w:w="2876"/>
        <w:gridCol w:w="2861"/>
      </w:tblGrid>
      <w:tr>
        <w:trPr>
          <w:trHeight w:val="288"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64"/>
              <w:jc w:val="right"/>
              <w:rPr>
                <w:rFonts w:ascii="宋体" w:hAnsi="宋体" w:cs="宋体" w:eastAsia="宋体" w:hint="default"/>
                <w:sz w:val="21"/>
                <w:szCs w:val="21"/>
              </w:rPr>
            </w:pPr>
            <w:r>
              <w:rPr>
                <w:rFonts w:ascii="宋体" w:hAnsi="宋体" w:cs="宋体" w:eastAsia="宋体" w:hint="default"/>
                <w:sz w:val="21"/>
                <w:szCs w:val="21"/>
              </w:rPr>
              <w:t>项目</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0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9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38,352,961.76</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30,882,987.51</w:t>
            </w:r>
          </w:p>
        </w:tc>
      </w:tr>
      <w:tr>
        <w:trPr>
          <w:trHeight w:val="284"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-17,094,736.34</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-8,238,600.89</w:t>
            </w:r>
          </w:p>
        </w:tc>
      </w:tr>
      <w:tr>
        <w:trPr>
          <w:trHeight w:val="281"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64"/>
              <w:jc w:val="right"/>
              <w:rPr>
                <w:rFonts w:ascii="宋体" w:hAnsi="宋体" w:cs="宋体" w:eastAsia="宋体" w:hint="default"/>
                <w:sz w:val="21"/>
                <w:szCs w:val="21"/>
              </w:rPr>
            </w:pPr>
            <w:r>
              <w:rPr>
                <w:rFonts w:ascii="宋体" w:hAnsi="宋体" w:cs="宋体" w:eastAsia="宋体" w:hint="default"/>
                <w:sz w:val="21"/>
                <w:szCs w:val="21"/>
              </w:rPr>
              <w:t>合计</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21,258,225.42</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22,644,386.62</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640" w:right="1120"/>
        </w:sectPr>
      </w:pPr>
    </w:p>
    <w:p>
      <w:pPr>
        <w:pStyle w:val="Heading2"/>
        <w:spacing w:line="240" w:lineRule="auto" w:before="36"/>
        <w:ind w:left="158" w:right="-18"/>
        <w:jc w:val="left"/>
        <w:rPr>
          <w:b w:val="0"/>
          <w:bCs w:val="0"/>
        </w:rPr>
      </w:pPr>
      <w:r>
        <w:rPr>
          <w:rFonts w:ascii="宋体" w:hAnsi="宋体" w:cs="宋体" w:eastAsia="宋体" w:hint="default"/>
        </w:rPr>
        <w:t>(2)</w:t>
      </w:r>
      <w:r>
        <w:rPr>
          <w:rFonts w:ascii="宋体" w:hAnsi="宋体" w:cs="宋体" w:eastAsia="宋体" w:hint="default"/>
          <w:spacing w:val="1"/>
        </w:rPr>
        <w:t> </w:t>
      </w:r>
      <w:r>
        <w:rPr/>
        <w:t>会计利润与所得税费用调整过程：</w:t>
      </w:r>
      <w:r>
        <w:rPr>
          <w:b w:val="0"/>
          <w:bCs w:val="0"/>
        </w:rPr>
      </w:r>
    </w:p>
    <w:p>
      <w:pPr>
        <w:pStyle w:val="BodyText"/>
        <w:spacing w:line="240" w:lineRule="auto" w:before="58"/>
        <w:ind w:left="1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3747" w:space="2774"/>
            <w:col w:w="2629"/>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301"/>
        <w:gridCol w:w="4592"/>
      </w:tblGrid>
      <w:tr>
        <w:trPr>
          <w:trHeight w:val="281"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592"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592" w:type="dxa"/>
            <w:tcBorders>
              <w:top w:val="single" w:sz="4" w:space="0" w:color="000000"/>
              <w:left w:val="single" w:sz="4"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170,470,684.84</w:t>
            </w: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25,570,602.72</w:t>
            </w: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592" w:type="dxa"/>
            <w:tcBorders>
              <w:top w:val="single" w:sz="6" w:space="0" w:color="000000"/>
              <w:left w:val="single" w:sz="4" w:space="0" w:color="000000"/>
              <w:bottom w:val="single" w:sz="6" w:space="0" w:color="000000"/>
              <w:right w:val="single" w:sz="6" w:space="0" w:color="000000"/>
            </w:tcBorders>
          </w:tcPr>
          <w:p>
            <w:pPr/>
          </w:p>
        </w:tc>
      </w:tr>
      <w:tr>
        <w:trPr>
          <w:trHeight w:val="28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592"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592"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1,712,640.08</w:t>
            </w:r>
          </w:p>
        </w:tc>
      </w:tr>
      <w:tr>
        <w:trPr>
          <w:trHeight w:val="560"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的影响</w:t>
            </w:r>
          </w:p>
        </w:tc>
        <w:tc>
          <w:tcPr>
            <w:tcW w:w="4592" w:type="dxa"/>
            <w:tcBorders>
              <w:top w:val="single" w:sz="6" w:space="0" w:color="000000"/>
              <w:left w:val="single" w:sz="4" w:space="0" w:color="000000"/>
              <w:bottom w:val="single" w:sz="6" w:space="0" w:color="000000"/>
              <w:right w:val="single" w:sz="6" w:space="0" w:color="000000"/>
            </w:tcBorders>
          </w:tcPr>
          <w:p>
            <w:pPr/>
          </w:p>
        </w:tc>
      </w:tr>
      <w:tr>
        <w:trPr>
          <w:trHeight w:val="559"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异或可抵扣亏损的影响</w:t>
            </w:r>
          </w:p>
        </w:tc>
        <w:tc>
          <w:tcPr>
            <w:tcW w:w="4592"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4301"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加计扣除的成本、费用和损失的影响</w:t>
            </w:r>
          </w:p>
        </w:tc>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-6,025,017.38</w:t>
            </w:r>
          </w:p>
        </w:tc>
      </w:tr>
      <w:tr>
        <w:trPr>
          <w:trHeight w:val="288" w:hRule="exact"/>
        </w:trPr>
        <w:tc>
          <w:tcPr>
            <w:tcW w:w="430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21,258,225.42</w:t>
            </w:r>
          </w:p>
        </w:tc>
      </w:tr>
    </w:tbl>
    <w:p>
      <w:pPr>
        <w:spacing w:line="240" w:lineRule="auto" w:before="12"/>
        <w:rPr>
          <w:rFonts w:ascii="宋体" w:hAnsi="宋体" w:cs="宋体" w:eastAsia="宋体" w:hint="default"/>
          <w:sz w:val="19"/>
          <w:szCs w:val="19"/>
        </w:rPr>
      </w:pPr>
    </w:p>
    <w:p>
      <w:pPr>
        <w:pStyle w:val="BodyText"/>
        <w:spacing w:line="240" w:lineRule="auto" w:before="36"/>
        <w:ind w:left="158" w:right="4844"/>
        <w:jc w:val="left"/>
      </w:pPr>
      <w:r>
        <w:rPr/>
        <w:t>其他说明：</w:t>
      </w:r>
    </w:p>
    <w:p>
      <w:pPr>
        <w:pStyle w:val="BodyText"/>
        <w:spacing w:line="240" w:lineRule="auto" w:before="58"/>
        <w:ind w:left="158" w:right="4844"/>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2"/>
        <w:spacing w:line="240" w:lineRule="auto"/>
        <w:ind w:left="158" w:right="4844"/>
        <w:jc w:val="left"/>
        <w:rPr>
          <w:b w:val="0"/>
          <w:bCs w:val="0"/>
        </w:rPr>
      </w:pPr>
      <w:r>
        <w:rPr>
          <w:rFonts w:ascii="宋体" w:hAnsi="宋体" w:cs="宋体" w:eastAsia="宋体" w:hint="default"/>
        </w:rPr>
        <w:t>72</w:t>
      </w:r>
      <w:r>
        <w:rPr/>
        <w:t>、</w:t>
      </w:r>
      <w:r>
        <w:rPr>
          <w:spacing w:val="-24"/>
        </w:rPr>
        <w:t> </w:t>
      </w:r>
      <w:r>
        <w:rPr/>
        <w:t>其他综合收益</w:t>
      </w:r>
      <w:r>
        <w:rPr>
          <w:b w:val="0"/>
          <w:bCs w:val="0"/>
        </w:rPr>
      </w:r>
    </w:p>
    <w:p>
      <w:pPr>
        <w:pStyle w:val="BodyText"/>
        <w:spacing w:line="240" w:lineRule="auto" w:before="56"/>
        <w:ind w:left="158" w:right="4844"/>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640" w:right="1120"/>
        </w:sectPr>
      </w:pPr>
    </w:p>
    <w:p>
      <w:pPr>
        <w:pStyle w:val="Heading2"/>
        <w:spacing w:line="240" w:lineRule="auto" w:before="36"/>
        <w:ind w:left="158" w:right="-2"/>
        <w:jc w:val="left"/>
        <w:rPr>
          <w:b w:val="0"/>
          <w:bCs w:val="0"/>
        </w:rPr>
      </w:pPr>
      <w:r>
        <w:rPr>
          <w:rFonts w:ascii="宋体" w:hAnsi="宋体" w:cs="宋体" w:eastAsia="宋体" w:hint="default"/>
        </w:rPr>
        <w:t>73</w:t>
      </w:r>
      <w:r>
        <w:rPr/>
        <w:t>、</w:t>
      </w:r>
      <w:r>
        <w:rPr>
          <w:spacing w:val="-24"/>
        </w:rPr>
        <w:t> </w:t>
      </w:r>
      <w:r>
        <w:rPr/>
        <w:t>现金流量表项目</w:t>
      </w:r>
      <w:r>
        <w:rPr>
          <w:b w:val="0"/>
          <w:bCs w:val="0"/>
        </w:rPr>
      </w:r>
    </w:p>
    <w:p>
      <w:pPr>
        <w:pStyle w:val="Heading2"/>
        <w:tabs>
          <w:tab w:pos="858" w:val="left" w:leader="none"/>
        </w:tabs>
        <w:spacing w:line="240" w:lineRule="auto" w:before="58"/>
        <w:ind w:left="158" w:right="-2"/>
        <w:jc w:val="left"/>
        <w:rPr>
          <w:b w:val="0"/>
          <w:bCs w:val="0"/>
        </w:rPr>
      </w:pPr>
      <w:r>
        <w:rPr>
          <w:rFonts w:ascii="宋体" w:hAnsi="宋体" w:cs="宋体" w:eastAsia="宋体" w:hint="default"/>
          <w:w w:val="95"/>
        </w:rPr>
        <w:t>(1).</w:t>
        <w:tab/>
      </w:r>
      <w:r>
        <w:rPr>
          <w:spacing w:val="-1"/>
        </w:rPr>
        <w:t>收到的其他与经营活动有关的现金：</w:t>
      </w:r>
      <w:r>
        <w:rPr>
          <w:b w:val="0"/>
          <w:bCs w:val="0"/>
          <w:spacing w:val="-1"/>
        </w:rPr>
      </w:r>
    </w:p>
    <w:p>
      <w:pPr>
        <w:pStyle w:val="BodyText"/>
        <w:spacing w:line="240" w:lineRule="auto" w:before="56"/>
        <w:ind w:left="158" w:right="-2"/>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4234" w:space="2288"/>
            <w:col w:w="2628"/>
          </w:cols>
        </w:sectPr>
      </w:pPr>
    </w:p>
    <w:p>
      <w:pPr>
        <w:spacing w:line="240" w:lineRule="auto" w:before="4"/>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3349"/>
        <w:gridCol w:w="2780"/>
        <w:gridCol w:w="2768"/>
      </w:tblGrid>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收到保证金</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417,069,931.93</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385,287,944.16</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4,998,663.00</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13,915,477.00</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780" w:type="dxa"/>
            <w:tcBorders>
              <w:top w:val="single" w:sz="4" w:space="0" w:color="000000"/>
              <w:left w:val="single" w:sz="4" w:space="0" w:color="000000"/>
              <w:bottom w:val="single" w:sz="4" w:space="0" w:color="000000"/>
              <w:right w:val="single" w:sz="4" w:space="0" w:color="000000"/>
            </w:tcBorders>
          </w:tcPr>
          <w:p>
            <w:pP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5,268,228.65</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1,576,286.15</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824,349.93</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166,211.27</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135,491.85</w:t>
            </w:r>
          </w:p>
        </w:tc>
      </w:tr>
      <w:tr>
        <w:trPr>
          <w:trHeight w:val="28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423,811,092.35</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405,431,491.59</w:t>
            </w:r>
          </w:p>
        </w:tc>
      </w:tr>
    </w:tbl>
    <w:p>
      <w:pPr>
        <w:spacing w:line="240" w:lineRule="auto" w:before="12"/>
        <w:rPr>
          <w:rFonts w:ascii="宋体" w:hAnsi="宋体" w:cs="宋体" w:eastAsia="宋体" w:hint="default"/>
          <w:sz w:val="19"/>
          <w:szCs w:val="19"/>
        </w:rPr>
      </w:pPr>
    </w:p>
    <w:p>
      <w:pPr>
        <w:pStyle w:val="BodyText"/>
        <w:spacing w:line="290" w:lineRule="auto" w:before="36"/>
        <w:ind w:left="578" w:right="4844" w:hanging="420"/>
        <w:jc w:val="left"/>
      </w:pPr>
      <w:r>
        <w:rPr>
          <w:spacing w:val="-2"/>
        </w:rPr>
        <w:t>收到的其他与经营活动有关的现金说明：</w:t>
      </w:r>
      <w:r>
        <w:rPr>
          <w:spacing w:val="-69"/>
        </w:rPr>
        <w:t> </w:t>
      </w:r>
      <w:r>
        <w:rPr>
          <w:spacing w:val="-69"/>
        </w:rPr>
      </w:r>
      <w:r>
        <w:rPr/>
        <w:t>无。</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640" w:right="1120"/>
        </w:sectPr>
      </w:pPr>
    </w:p>
    <w:p>
      <w:pPr>
        <w:pStyle w:val="Heading2"/>
        <w:tabs>
          <w:tab w:pos="858" w:val="left" w:leader="none"/>
        </w:tabs>
        <w:spacing w:line="240" w:lineRule="auto" w:before="36"/>
        <w:ind w:left="158" w:right="-2"/>
        <w:jc w:val="left"/>
        <w:rPr>
          <w:b w:val="0"/>
          <w:bCs w:val="0"/>
        </w:rPr>
      </w:pPr>
      <w:r>
        <w:rPr>
          <w:rFonts w:ascii="宋体" w:hAnsi="宋体" w:cs="宋体" w:eastAsia="宋体" w:hint="default"/>
          <w:w w:val="95"/>
        </w:rPr>
        <w:t>(2).</w:t>
        <w:tab/>
      </w:r>
      <w:r>
        <w:rPr>
          <w:spacing w:val="-1"/>
        </w:rPr>
        <w:t>支付的其他与经营活动有关的现金：</w:t>
      </w:r>
      <w:r>
        <w:rPr>
          <w:b w:val="0"/>
          <w:bCs w:val="0"/>
          <w:spacing w:val="-1"/>
        </w:rPr>
      </w:r>
    </w:p>
    <w:p>
      <w:pPr>
        <w:pStyle w:val="BodyText"/>
        <w:spacing w:line="240" w:lineRule="auto" w:before="56"/>
        <w:ind w:left="158" w:right="-2"/>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4234" w:space="2288"/>
            <w:col w:w="2628"/>
          </w:cols>
        </w:sectPr>
      </w:pPr>
    </w:p>
    <w:p>
      <w:pPr>
        <w:spacing w:line="240" w:lineRule="auto" w:before="4"/>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3349"/>
        <w:gridCol w:w="2760"/>
        <w:gridCol w:w="2787"/>
      </w:tblGrid>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支付保证金</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341,455,965.43</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477,645,343.39</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1,380,658.35</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3,767,907.52</w:t>
            </w:r>
          </w:p>
        </w:tc>
      </w:tr>
      <w:tr>
        <w:trPr>
          <w:trHeight w:val="28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期间费用</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98,804,073.49</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77,371,904.54</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80,194.00</w:t>
            </w:r>
          </w:p>
        </w:tc>
        <w:tc>
          <w:tcPr>
            <w:tcW w:w="278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4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3349"/>
        <w:gridCol w:w="2760"/>
        <w:gridCol w:w="2787"/>
      </w:tblGrid>
      <w:tr>
        <w:trPr>
          <w:trHeight w:val="28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253" w:right="0"/>
              <w:jc w:val="left"/>
              <w:rPr>
                <w:rFonts w:ascii="宋体" w:hAnsi="宋体" w:cs="宋体" w:eastAsia="宋体" w:hint="default"/>
                <w:sz w:val="21"/>
                <w:szCs w:val="21"/>
              </w:rPr>
            </w:pPr>
            <w:r>
              <w:rPr>
                <w:rFonts w:ascii="宋体"/>
                <w:sz w:val="21"/>
              </w:rPr>
              <w:t>441,720,891.27</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279" w:right="0"/>
              <w:jc w:val="left"/>
              <w:rPr>
                <w:rFonts w:ascii="宋体" w:hAnsi="宋体" w:cs="宋体" w:eastAsia="宋体" w:hint="default"/>
                <w:sz w:val="21"/>
                <w:szCs w:val="21"/>
              </w:rPr>
            </w:pPr>
            <w:r>
              <w:rPr>
                <w:rFonts w:ascii="宋体"/>
                <w:sz w:val="21"/>
              </w:rPr>
              <w:t>558,785,155.45</w:t>
            </w:r>
          </w:p>
        </w:tc>
      </w:tr>
    </w:tbl>
    <w:p>
      <w:pPr>
        <w:spacing w:line="240" w:lineRule="auto" w:before="2"/>
        <w:rPr>
          <w:rFonts w:ascii="宋体" w:hAnsi="宋体" w:cs="宋体" w:eastAsia="宋体" w:hint="default"/>
          <w:sz w:val="20"/>
          <w:szCs w:val="20"/>
        </w:rPr>
      </w:pPr>
    </w:p>
    <w:p>
      <w:pPr>
        <w:pStyle w:val="BodyText"/>
        <w:spacing w:line="290" w:lineRule="auto" w:before="36"/>
        <w:ind w:left="638" w:right="4924" w:hanging="420"/>
        <w:jc w:val="left"/>
      </w:pPr>
      <w:r>
        <w:rPr>
          <w:spacing w:val="-2"/>
        </w:rPr>
        <w:t>支付的其他与经营活动有关的现金说明：</w:t>
      </w:r>
      <w:r>
        <w:rPr>
          <w:spacing w:val="-69"/>
        </w:rPr>
        <w:t> </w:t>
      </w:r>
      <w:r>
        <w:rPr>
          <w:spacing w:val="-69"/>
        </w:rPr>
      </w:r>
      <w:r>
        <w:rPr/>
        <w:t>无。</w:t>
      </w:r>
    </w:p>
    <w:p>
      <w:pPr>
        <w:spacing w:line="240" w:lineRule="auto" w:before="8"/>
        <w:rPr>
          <w:rFonts w:ascii="宋体" w:hAnsi="宋体" w:cs="宋体" w:eastAsia="宋体" w:hint="default"/>
          <w:sz w:val="28"/>
          <w:szCs w:val="28"/>
        </w:rPr>
      </w:pPr>
    </w:p>
    <w:p>
      <w:pPr>
        <w:pStyle w:val="Heading2"/>
        <w:tabs>
          <w:tab w:pos="945" w:val="left" w:leader="none"/>
        </w:tabs>
        <w:spacing w:line="240" w:lineRule="auto"/>
        <w:ind w:right="3084"/>
        <w:jc w:val="left"/>
        <w:rPr>
          <w:b w:val="0"/>
          <w:bCs w:val="0"/>
        </w:rPr>
      </w:pPr>
      <w:r>
        <w:rPr>
          <w:rFonts w:ascii="宋体" w:hAnsi="宋体" w:cs="宋体" w:eastAsia="宋体" w:hint="default"/>
          <w:w w:val="95"/>
        </w:rPr>
        <w:t>(3).</w:t>
        <w:tab/>
      </w:r>
      <w:r>
        <w:rPr/>
        <w:t>收到的其他与投资活动有关的现金</w:t>
      </w:r>
      <w:r>
        <w:rPr>
          <w:b w:val="0"/>
          <w:bCs w:val="0"/>
        </w:rPr>
      </w:r>
    </w:p>
    <w:p>
      <w:pPr>
        <w:pStyle w:val="BodyText"/>
        <w:spacing w:line="240" w:lineRule="auto" w:before="56"/>
        <w:ind w:left="218" w:right="308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945" w:val="left" w:leader="none"/>
        </w:tabs>
        <w:spacing w:line="240" w:lineRule="auto"/>
        <w:ind w:right="3084"/>
        <w:jc w:val="left"/>
        <w:rPr>
          <w:b w:val="0"/>
          <w:bCs w:val="0"/>
        </w:rPr>
      </w:pPr>
      <w:r>
        <w:rPr>
          <w:rFonts w:ascii="宋体" w:hAnsi="宋体" w:cs="宋体" w:eastAsia="宋体" w:hint="default"/>
          <w:w w:val="95"/>
        </w:rPr>
        <w:t>(4).</w:t>
        <w:tab/>
      </w:r>
      <w:r>
        <w:rPr/>
        <w:t>支付的其他与投资活动有关的现金</w:t>
      </w:r>
      <w:r>
        <w:rPr>
          <w:b w:val="0"/>
          <w:bCs w:val="0"/>
        </w:rPr>
      </w:r>
    </w:p>
    <w:p>
      <w:pPr>
        <w:pStyle w:val="BodyText"/>
        <w:spacing w:line="240" w:lineRule="auto" w:before="58"/>
        <w:ind w:left="218" w:right="308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1057" w:val="left" w:leader="none"/>
        </w:tabs>
        <w:spacing w:line="240" w:lineRule="auto"/>
        <w:ind w:right="3084"/>
        <w:jc w:val="left"/>
        <w:rPr>
          <w:b w:val="0"/>
          <w:bCs w:val="0"/>
        </w:rPr>
      </w:pPr>
      <w:r>
        <w:rPr>
          <w:rFonts w:ascii="宋体" w:hAnsi="宋体" w:cs="宋体" w:eastAsia="宋体" w:hint="default"/>
          <w:w w:val="95"/>
        </w:rPr>
        <w:t>(5).</w:t>
        <w:tab/>
      </w:r>
      <w:r>
        <w:rPr/>
        <w:t>收到的其他与筹资活动有关的现金</w:t>
      </w:r>
      <w:r>
        <w:rPr>
          <w:b w:val="0"/>
          <w:bCs w:val="0"/>
        </w:rPr>
      </w:r>
    </w:p>
    <w:p>
      <w:pPr>
        <w:pStyle w:val="BodyText"/>
        <w:spacing w:line="240" w:lineRule="auto" w:before="56"/>
        <w:ind w:left="218" w:right="3084"/>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tabs>
          <w:tab w:pos="1057" w:val="left" w:leader="none"/>
        </w:tabs>
        <w:spacing w:line="240" w:lineRule="auto" w:before="36"/>
        <w:ind w:right="-3"/>
        <w:jc w:val="left"/>
        <w:rPr>
          <w:b w:val="0"/>
          <w:bCs w:val="0"/>
        </w:rPr>
      </w:pPr>
      <w:r>
        <w:rPr>
          <w:rFonts w:ascii="宋体" w:hAnsi="宋体" w:cs="宋体" w:eastAsia="宋体" w:hint="default"/>
          <w:w w:val="95"/>
        </w:rPr>
        <w:t>(6).</w:t>
        <w:tab/>
      </w:r>
      <w:r>
        <w:rPr>
          <w:spacing w:val="-1"/>
        </w:rPr>
        <w:t>支付的其他与筹资活动有关的现金</w:t>
      </w:r>
      <w:r>
        <w:rPr>
          <w:b w:val="0"/>
          <w:bCs w:val="0"/>
          <w:spacing w:val="-1"/>
        </w:rPr>
      </w:r>
    </w:p>
    <w:p>
      <w:pPr>
        <w:pStyle w:val="BodyText"/>
        <w:spacing w:line="240" w:lineRule="auto" w:before="56"/>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222" w:space="2300"/>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349"/>
        <w:gridCol w:w="2864"/>
        <w:gridCol w:w="2684"/>
      </w:tblGrid>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1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z w:val="21"/>
                <w:szCs w:val="21"/>
              </w:rPr>
              <w:t>费用</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14,221,944.70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1,200,000.00</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14,221,944.70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1,200,000.00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BodyText"/>
        <w:spacing w:line="290" w:lineRule="auto" w:before="36"/>
        <w:ind w:left="638" w:right="0" w:hanging="420"/>
        <w:jc w:val="left"/>
      </w:pPr>
      <w:r>
        <w:rPr>
          <w:spacing w:val="-2"/>
        </w:rPr>
        <w:t>支付的其他与筹资活动有关的现金说明：</w:t>
      </w:r>
      <w:r>
        <w:rPr>
          <w:spacing w:val="-69"/>
        </w:rPr>
        <w:t> </w:t>
      </w:r>
      <w:r>
        <w:rPr>
          <w:spacing w:val="-69"/>
        </w:rPr>
      </w:r>
      <w:r>
        <w:rPr/>
        <w:t>无。</w:t>
      </w:r>
    </w:p>
    <w:p>
      <w:pPr>
        <w:pStyle w:val="Heading2"/>
        <w:spacing w:line="290" w:lineRule="auto" w:before="14"/>
        <w:ind w:right="1362"/>
        <w:jc w:val="left"/>
        <w:rPr>
          <w:b w:val="0"/>
          <w:bCs w:val="0"/>
        </w:rPr>
      </w:pPr>
      <w:r>
        <w:rPr>
          <w:rFonts w:ascii="宋体" w:hAnsi="宋体" w:cs="宋体" w:eastAsia="宋体" w:hint="default"/>
        </w:rPr>
        <w:t>74</w:t>
      </w:r>
      <w:r>
        <w:rPr/>
        <w:t>、</w:t>
      </w:r>
      <w:r>
        <w:rPr>
          <w:spacing w:val="-23"/>
        </w:rPr>
        <w:t> </w:t>
      </w:r>
      <w:r>
        <w:rPr/>
        <w:t>现金流量表补充资料</w:t>
      </w:r>
      <w:r>
        <w:rPr>
          <w:w w:val="100"/>
        </w:rPr>
        <w:t> </w:t>
      </w:r>
      <w:r>
        <w:rPr>
          <w:rFonts w:ascii="宋体" w:hAnsi="宋体" w:cs="宋体" w:eastAsia="宋体" w:hint="default"/>
        </w:rPr>
        <w:t>(1)</w:t>
      </w:r>
      <w:r>
        <w:rPr>
          <w:rFonts w:ascii="宋体" w:hAnsi="宋体" w:cs="宋体" w:eastAsia="宋体" w:hint="default"/>
          <w:spacing w:val="4"/>
        </w:rPr>
        <w:t> </w:t>
      </w:r>
      <w:r>
        <w:rPr/>
        <w:t>现金流量表补充资料</w:t>
      </w:r>
      <w:r>
        <w:rPr>
          <w:b w:val="0"/>
          <w:bCs w:val="0"/>
        </w:rPr>
      </w:r>
    </w:p>
    <w:p>
      <w:pPr>
        <w:pStyle w:val="BodyText"/>
        <w:spacing w:line="240" w:lineRule="auto" w:before="14"/>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004" w:space="251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1"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5" w:type="dxa"/>
            <w:tcBorders>
              <w:top w:val="single" w:sz="4" w:space="0" w:color="000000"/>
              <w:left w:val="single" w:sz="5" w:space="0" w:color="000000"/>
              <w:bottom w:val="single" w:sz="4" w:space="0" w:color="000000"/>
              <w:right w:val="single" w:sz="5"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2801" w:type="dxa"/>
            <w:tcBorders>
              <w:top w:val="single" w:sz="4" w:space="0" w:color="000000"/>
              <w:left w:val="single" w:sz="4" w:space="0" w:color="000000"/>
              <w:bottom w:val="single" w:sz="6" w:space="0" w:color="000000"/>
              <w:right w:val="single" w:sz="6" w:space="0" w:color="000000"/>
            </w:tcBorders>
          </w:tcPr>
          <w:p>
            <w:pPr/>
          </w:p>
        </w:tc>
        <w:tc>
          <w:tcPr>
            <w:tcW w:w="2765" w:type="dxa"/>
            <w:tcBorders>
              <w:top w:val="single" w:sz="4"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149,212,459.42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143,907,467.58</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16,426,700.94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9,823,372.62</w:t>
            </w: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10,325,784.83</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9,511,872.87</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892,877.43</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698,564.76</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资产的损失（收益以“－”号填列）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固定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报</w:t>
            </w:r>
            <w:r>
              <w:rPr>
                <w:rFonts w:ascii="宋体" w:hAnsi="宋体" w:cs="宋体" w:eastAsia="宋体" w:hint="default"/>
                <w:w w:val="100"/>
                <w:sz w:val="21"/>
                <w:szCs w:val="21"/>
              </w:rPr>
              <w:t>废</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公允</w:t>
            </w:r>
            <w:r>
              <w:rPr>
                <w:rFonts w:ascii="宋体" w:hAnsi="宋体" w:cs="宋体" w:eastAsia="宋体" w:hint="default"/>
                <w:spacing w:val="-3"/>
                <w:w w:val="100"/>
                <w:sz w:val="21"/>
                <w:szCs w:val="21"/>
              </w:rPr>
              <w:t>价</w:t>
            </w:r>
            <w:r>
              <w:rPr>
                <w:rFonts w:ascii="宋体" w:hAnsi="宋体" w:cs="宋体" w:eastAsia="宋体" w:hint="default"/>
                <w:w w:val="100"/>
                <w:sz w:val="21"/>
                <w:szCs w:val="21"/>
              </w:rPr>
              <w:t>值</w:t>
            </w:r>
            <w:r>
              <w:rPr>
                <w:rFonts w:ascii="宋体" w:hAnsi="宋体" w:cs="宋体" w:eastAsia="宋体" w:hint="default"/>
                <w:spacing w:val="-3"/>
                <w:w w:val="100"/>
                <w:sz w:val="21"/>
                <w:szCs w:val="21"/>
              </w:rPr>
              <w:t>变</w:t>
            </w:r>
            <w:r>
              <w:rPr>
                <w:rFonts w:ascii="宋体" w:hAnsi="宋体" w:cs="宋体" w:eastAsia="宋体" w:hint="default"/>
                <w:w w:val="100"/>
                <w:sz w:val="21"/>
                <w:szCs w:val="21"/>
              </w:rPr>
              <w:t>动</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9,480,709.06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16,974,589.80</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-1,524,492.15</w:t>
            </w: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减</w:t>
            </w:r>
            <w:r>
              <w:rPr>
                <w:rFonts w:ascii="宋体" w:hAnsi="宋体" w:cs="宋体" w:eastAsia="宋体" w:hint="default"/>
                <w:spacing w:val="-97"/>
                <w:w w:val="100"/>
                <w:sz w:val="21"/>
                <w:szCs w:val="21"/>
              </w:rPr>
              <w:t>少</w:t>
            </w:r>
            <w:r>
              <w:rPr>
                <w:rFonts w:ascii="宋体" w:hAnsi="宋体" w:cs="宋体" w:eastAsia="宋体" w:hint="default"/>
                <w:spacing w:val="-3"/>
                <w:w w:val="100"/>
                <w:sz w:val="21"/>
                <w:szCs w:val="21"/>
              </w:rPr>
              <w:t>（</w:t>
            </w:r>
            <w:r>
              <w:rPr>
                <w:rFonts w:ascii="宋体" w:hAnsi="宋体" w:cs="宋体" w:eastAsia="宋体" w:hint="default"/>
                <w:w w:val="100"/>
                <w:sz w:val="21"/>
                <w:szCs w:val="21"/>
              </w:rPr>
              <w:t>增</w:t>
            </w:r>
            <w:r>
              <w:rPr>
                <w:rFonts w:ascii="宋体" w:hAnsi="宋体" w:cs="宋体" w:eastAsia="宋体" w:hint="default"/>
                <w:spacing w:val="-3"/>
                <w:w w:val="100"/>
                <w:sz w:val="21"/>
                <w:szCs w:val="21"/>
              </w:rPr>
              <w:t>加</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-17,094,736.34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-8,238,600.89</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56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负</w:t>
            </w:r>
            <w:r>
              <w:rPr>
                <w:rFonts w:ascii="宋体" w:hAnsi="宋体" w:cs="宋体" w:eastAsia="宋体" w:hint="default"/>
                <w:spacing w:val="-3"/>
                <w:w w:val="100"/>
                <w:sz w:val="21"/>
                <w:szCs w:val="21"/>
              </w:rPr>
              <w:t>债</w:t>
            </w:r>
            <w:r>
              <w:rPr>
                <w:rFonts w:ascii="宋体" w:hAnsi="宋体" w:cs="宋体" w:eastAsia="宋体" w:hint="default"/>
                <w:w w:val="100"/>
                <w:sz w:val="21"/>
                <w:szCs w:val="21"/>
              </w:rPr>
              <w:t>增</w:t>
            </w:r>
            <w:r>
              <w:rPr>
                <w:rFonts w:ascii="宋体" w:hAnsi="宋体" w:cs="宋体" w:eastAsia="宋体" w:hint="default"/>
                <w:spacing w:val="-97"/>
                <w:w w:val="100"/>
                <w:sz w:val="21"/>
                <w:szCs w:val="21"/>
              </w:rPr>
              <w:t>加</w:t>
            </w:r>
            <w:r>
              <w:rPr>
                <w:rFonts w:ascii="宋体" w:hAnsi="宋体" w:cs="宋体" w:eastAsia="宋体" w:hint="default"/>
                <w:spacing w:val="-3"/>
                <w:w w:val="100"/>
                <w:sz w:val="21"/>
                <w:szCs w:val="21"/>
              </w:rPr>
              <w:t>（</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存货的减少（增加以“－”号填列）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125,658,178.64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-182,792,433.01</w:t>
            </w:r>
          </w:p>
        </w:tc>
      </w:tr>
      <w:tr>
        <w:trPr>
          <w:trHeight w:val="56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16,078,697.54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-224,414,142.82</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-94,795,030.30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329,910,590.98</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214,661,149.07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95,381,281.89</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367,221,249.22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276,197,420.52</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276,197,420.52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134,992,029.98</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91,023,828.70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141,205,390.54</w:t>
            </w:r>
          </w:p>
        </w:tc>
      </w:tr>
    </w:tbl>
    <w:p>
      <w:pPr>
        <w:spacing w:line="240" w:lineRule="auto" w:before="2"/>
        <w:rPr>
          <w:rFonts w:ascii="宋体" w:hAnsi="宋体" w:cs="宋体" w:eastAsia="宋体" w:hint="default"/>
          <w:sz w:val="20"/>
          <w:szCs w:val="20"/>
        </w:rPr>
      </w:pPr>
    </w:p>
    <w:p>
      <w:pPr>
        <w:pStyle w:val="Heading2"/>
        <w:spacing w:line="240" w:lineRule="auto" w:before="36"/>
        <w:ind w:right="3084"/>
        <w:jc w:val="left"/>
        <w:rPr>
          <w:b w:val="0"/>
          <w:bCs w:val="0"/>
        </w:rPr>
      </w:pPr>
      <w:r>
        <w:rPr>
          <w:rFonts w:ascii="宋体" w:hAnsi="宋体" w:cs="宋体" w:eastAsia="宋体" w:hint="default"/>
        </w:rPr>
        <w:t>(2)</w:t>
      </w:r>
      <w:r>
        <w:rPr>
          <w:rFonts w:ascii="宋体" w:hAnsi="宋体" w:cs="宋体" w:eastAsia="宋体" w:hint="default"/>
          <w:spacing w:val="1"/>
        </w:rPr>
        <w:t> </w:t>
      </w:r>
      <w:r>
        <w:rPr/>
        <w:t>本期支付的取得子公司的现金净额</w:t>
      </w:r>
      <w:r>
        <w:rPr>
          <w:b w:val="0"/>
          <w:bCs w:val="0"/>
        </w:rPr>
      </w:r>
    </w:p>
    <w:p>
      <w:pPr>
        <w:pStyle w:val="BodyText"/>
        <w:spacing w:line="240" w:lineRule="auto" w:before="56"/>
        <w:ind w:left="218" w:right="308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3084"/>
        <w:jc w:val="left"/>
        <w:rPr>
          <w:b w:val="0"/>
          <w:bCs w:val="0"/>
        </w:rPr>
      </w:pPr>
      <w:r>
        <w:rPr>
          <w:rFonts w:ascii="宋体" w:hAnsi="宋体" w:cs="宋体" w:eastAsia="宋体" w:hint="default"/>
        </w:rPr>
        <w:t>(3)</w:t>
      </w:r>
      <w:r>
        <w:rPr>
          <w:rFonts w:ascii="宋体" w:hAnsi="宋体" w:cs="宋体" w:eastAsia="宋体" w:hint="default"/>
          <w:spacing w:val="1"/>
        </w:rPr>
        <w:t> </w:t>
      </w:r>
      <w:r>
        <w:rPr/>
        <w:t>本期收到的处置子公司的现金净额</w:t>
      </w:r>
      <w:r>
        <w:rPr>
          <w:b w:val="0"/>
          <w:bCs w:val="0"/>
        </w:rPr>
      </w:r>
    </w:p>
    <w:p>
      <w:pPr>
        <w:pStyle w:val="BodyText"/>
        <w:spacing w:line="240" w:lineRule="auto" w:before="58"/>
        <w:ind w:left="218" w:right="3084"/>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before="36"/>
        <w:ind w:right="-19"/>
        <w:jc w:val="left"/>
        <w:rPr>
          <w:b w:val="0"/>
          <w:bCs w:val="0"/>
        </w:rPr>
      </w:pPr>
      <w:r>
        <w:rPr>
          <w:rFonts w:ascii="宋体" w:hAnsi="宋体" w:cs="宋体" w:eastAsia="宋体" w:hint="default"/>
        </w:rPr>
        <w:t>(4)</w:t>
      </w:r>
      <w:r>
        <w:rPr>
          <w:rFonts w:ascii="宋体" w:hAnsi="宋体" w:cs="宋体" w:eastAsia="宋体" w:hint="default"/>
          <w:spacing w:val="2"/>
        </w:rPr>
        <w:t> </w:t>
      </w:r>
      <w:r>
        <w:rPr/>
        <w:t>现金和现金等价物的构成</w:t>
      </w:r>
      <w:r>
        <w:rPr>
          <w:b w:val="0"/>
          <w:bCs w:val="0"/>
        </w:rPr>
      </w:r>
    </w:p>
    <w:p>
      <w:pPr>
        <w:pStyle w:val="BodyText"/>
        <w:spacing w:line="240" w:lineRule="auto" w:before="56"/>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65" w:space="3557"/>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4"/>
      </w:tblGrid>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367,221,249.22</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276,197,420.52</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3,849.52</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43,052.50</w:t>
            </w:r>
          </w:p>
        </w:tc>
      </w:tr>
      <w:tr>
        <w:trPr>
          <w:trHeight w:val="296"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367,217,399.70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276,154,368.02</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5"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367,221,249.22</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276,197,420.52</w:t>
            </w:r>
          </w:p>
        </w:tc>
      </w:tr>
      <w:tr>
        <w:trPr>
          <w:trHeight w:val="557"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9"/>
          <w:szCs w:val="19"/>
        </w:rPr>
      </w:pPr>
    </w:p>
    <w:p>
      <w:pPr>
        <w:pStyle w:val="BodyText"/>
        <w:spacing w:line="240" w:lineRule="auto" w:before="36"/>
        <w:ind w:left="218" w:right="3084"/>
        <w:jc w:val="left"/>
      </w:pPr>
      <w:r>
        <w:rPr/>
        <w:t>其他说明：</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218" w:right="3084"/>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spacing w:line="290" w:lineRule="auto" w:before="0"/>
        <w:ind w:left="218" w:right="227" w:firstLine="0"/>
        <w:jc w:val="left"/>
        <w:rPr>
          <w:rFonts w:ascii="宋体" w:hAnsi="宋体" w:cs="宋体" w:eastAsia="宋体" w:hint="default"/>
          <w:sz w:val="21"/>
          <w:szCs w:val="21"/>
        </w:rPr>
      </w:pPr>
      <w:r>
        <w:rPr>
          <w:rFonts w:ascii="宋体" w:hAnsi="宋体" w:cs="宋体" w:eastAsia="宋体" w:hint="default"/>
          <w:b/>
          <w:bCs/>
          <w:sz w:val="21"/>
          <w:szCs w:val="21"/>
        </w:rPr>
        <w:t>75</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说明对上年期末余额进行调整的“其他”项目名称及调整金额等事项：</w:t>
      </w:r>
    </w:p>
    <w:p>
      <w:pPr>
        <w:pStyle w:val="BodyText"/>
        <w:spacing w:line="227" w:lineRule="exact"/>
        <w:ind w:left="218" w:right="3084"/>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before="36"/>
        <w:ind w:right="-17"/>
        <w:jc w:val="left"/>
        <w:rPr>
          <w:b w:val="0"/>
          <w:bCs w:val="0"/>
        </w:rPr>
      </w:pPr>
      <w:r>
        <w:rPr>
          <w:rFonts w:ascii="宋体" w:hAnsi="宋体" w:cs="宋体" w:eastAsia="宋体" w:hint="default"/>
        </w:rPr>
        <w:t>76</w:t>
      </w:r>
      <w:r>
        <w:rPr/>
        <w:t>、</w:t>
      </w:r>
      <w:r>
        <w:rPr>
          <w:spacing w:val="-27"/>
        </w:rPr>
        <w:t> </w:t>
      </w:r>
      <w:r>
        <w:rPr/>
        <w:t>所有权或使用权受到限制的资产</w:t>
      </w:r>
      <w:r>
        <w:rPr>
          <w:b w:val="0"/>
          <w:bCs w:val="0"/>
        </w:rPr>
      </w:r>
    </w:p>
    <w:p>
      <w:pPr>
        <w:pStyle w:val="BodyText"/>
        <w:spacing w:line="240" w:lineRule="auto" w:before="58"/>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75" w:space="2847"/>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57"/>
        <w:gridCol w:w="3046"/>
        <w:gridCol w:w="2693"/>
      </w:tblGrid>
      <w:tr>
        <w:trPr>
          <w:trHeight w:val="281"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9"/>
              <w:jc w:val="right"/>
              <w:rPr>
                <w:rFonts w:ascii="宋体" w:hAnsi="宋体" w:cs="宋体" w:eastAsia="宋体" w:hint="default"/>
                <w:sz w:val="21"/>
                <w:szCs w:val="21"/>
              </w:rPr>
            </w:pPr>
            <w:r>
              <w:rPr>
                <w:rFonts w:ascii="宋体" w:hAnsi="宋体" w:cs="宋体" w:eastAsia="宋体" w:hint="default"/>
                <w:sz w:val="21"/>
                <w:szCs w:val="21"/>
              </w:rPr>
              <w:t>项目</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6"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046" w:type="dxa"/>
            <w:tcBorders>
              <w:top w:val="single" w:sz="4" w:space="0" w:color="000000"/>
              <w:left w:val="single" w:sz="4" w:space="0" w:color="000000"/>
              <w:bottom w:val="single" w:sz="6"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89,071,314.90</w:t>
            </w:r>
          </w:p>
        </w:tc>
        <w:tc>
          <w:tcPr>
            <w:tcW w:w="2693" w:type="dxa"/>
            <w:tcBorders>
              <w:top w:val="single" w:sz="4" w:space="0" w:color="000000"/>
              <w:left w:val="single" w:sz="4" w:space="0" w:color="000000"/>
              <w:bottom w:val="single" w:sz="6"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用于保证</w:t>
            </w:r>
          </w:p>
        </w:tc>
      </w:tr>
      <w:tr>
        <w:trPr>
          <w:trHeight w:val="289"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359"/>
              <w:jc w:val="right"/>
              <w:rPr>
                <w:rFonts w:ascii="宋体" w:hAnsi="宋体" w:cs="宋体" w:eastAsia="宋体" w:hint="default"/>
                <w:sz w:val="21"/>
                <w:szCs w:val="21"/>
              </w:rPr>
            </w:pPr>
            <w:r>
              <w:rPr>
                <w:rFonts w:ascii="宋体" w:hAnsi="宋体" w:cs="宋体" w:eastAsia="宋体" w:hint="default"/>
                <w:sz w:val="21"/>
                <w:szCs w:val="21"/>
              </w:rPr>
              <w:t>合计</w:t>
            </w:r>
          </w:p>
        </w:tc>
        <w:tc>
          <w:tcPr>
            <w:tcW w:w="3046"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89,071,314.90</w:t>
            </w:r>
          </w:p>
        </w:tc>
        <w:tc>
          <w:tcPr>
            <w:tcW w:w="2693"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pStyle w:val="BodyText"/>
        <w:spacing w:line="240" w:lineRule="auto" w:before="26"/>
        <w:ind w:left="218" w:right="3084"/>
        <w:jc w:val="left"/>
      </w:pPr>
      <w:r>
        <w:rPr/>
        <w:t>其他说明：</w:t>
      </w:r>
    </w:p>
    <w:p>
      <w:pPr>
        <w:pStyle w:val="BodyText"/>
        <w:spacing w:line="240" w:lineRule="auto" w:before="56"/>
        <w:ind w:left="638" w:right="3084"/>
        <w:jc w:val="left"/>
      </w:pPr>
      <w:r>
        <w:rPr/>
        <w:t>无。</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tabs>
          <w:tab w:pos="918" w:val="left" w:leader="none"/>
        </w:tabs>
        <w:spacing w:line="290" w:lineRule="auto" w:before="36"/>
        <w:ind w:right="0"/>
        <w:jc w:val="left"/>
        <w:rPr>
          <w:rFonts w:ascii="宋体" w:hAnsi="宋体" w:cs="宋体" w:eastAsia="宋体" w:hint="default"/>
          <w:b w:val="0"/>
          <w:bCs w:val="0"/>
        </w:rPr>
      </w:pPr>
      <w:r>
        <w:rPr>
          <w:rFonts w:ascii="宋体" w:hAnsi="宋体" w:cs="宋体" w:eastAsia="宋体" w:hint="default"/>
        </w:rPr>
        <w:t>77</w:t>
      </w:r>
      <w:r>
        <w:rPr/>
        <w:t>、</w:t>
      </w:r>
      <w:r>
        <w:rPr>
          <w:spacing w:val="-15"/>
        </w:rPr>
        <w:t> </w:t>
      </w:r>
      <w:r>
        <w:rPr/>
        <w:t>外币货币性项目</w:t>
      </w:r>
      <w:r>
        <w:rPr>
          <w:w w:val="100"/>
        </w:rPr>
        <w:t> </w:t>
      </w:r>
      <w:r>
        <w:rPr>
          <w:rFonts w:ascii="宋体" w:hAnsi="宋体" w:cs="宋体" w:eastAsia="宋体" w:hint="default"/>
          <w:w w:val="95"/>
        </w:rPr>
        <w:t>(1).</w:t>
        <w:tab/>
      </w:r>
      <w:r>
        <w:rPr/>
        <w:t>外币货币性项目</w:t>
      </w:r>
      <w:r>
        <w:rPr>
          <w:rFonts w:ascii="宋体" w:hAnsi="宋体" w:cs="宋体" w:eastAsia="宋体" w:hint="default"/>
          <w:b w:val="0"/>
          <w:bCs w:val="0"/>
        </w:rPr>
        <w:t>：</w:t>
      </w:r>
    </w:p>
    <w:p>
      <w:pPr>
        <w:pStyle w:val="BodyText"/>
        <w:spacing w:line="240" w:lineRule="auto" w:before="12"/>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218" w:right="0"/>
        <w:jc w:val="left"/>
      </w:pPr>
      <w:r>
        <w:rPr/>
        <w:t>单位：元</w:t>
      </w:r>
    </w:p>
    <w:p>
      <w:pPr>
        <w:spacing w:after="0" w:line="240" w:lineRule="auto"/>
        <w:jc w:val="left"/>
        <w:sectPr>
          <w:type w:val="continuous"/>
          <w:pgSz w:w="11910" w:h="16840"/>
          <w:pgMar w:top="1120" w:bottom="1380" w:left="1580" w:right="1040"/>
          <w:cols w:num="2" w:equalWidth="0">
            <w:col w:w="2610" w:space="5384"/>
            <w:col w:w="129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7"/>
        <w:gridCol w:w="2050"/>
        <w:gridCol w:w="2057"/>
        <w:gridCol w:w="2045"/>
      </w:tblGrid>
      <w:tr>
        <w:trPr>
          <w:trHeight w:val="55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4"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990,867.83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6.5342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6,474,528.57</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10,705,600.00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6.5342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69,952,531.52</w:t>
            </w:r>
          </w:p>
        </w:tc>
      </w:tr>
    </w:tbl>
    <w:p>
      <w:pPr>
        <w:pStyle w:val="BodyText"/>
        <w:spacing w:line="240" w:lineRule="auto" w:before="26"/>
        <w:ind w:left="218" w:right="3084"/>
        <w:jc w:val="left"/>
      </w:pPr>
      <w:r>
        <w:rPr/>
        <w:t>其他说明：</w:t>
      </w:r>
    </w:p>
    <w:p>
      <w:pPr>
        <w:pStyle w:val="BodyText"/>
        <w:spacing w:line="240" w:lineRule="auto" w:before="58"/>
        <w:ind w:left="638" w:right="3084"/>
        <w:jc w:val="left"/>
      </w:pPr>
      <w:r>
        <w:rPr/>
        <w:t>无。</w:t>
      </w:r>
    </w:p>
    <w:p>
      <w:pPr>
        <w:pStyle w:val="Heading2"/>
        <w:tabs>
          <w:tab w:pos="918" w:val="left" w:leader="none"/>
        </w:tabs>
        <w:spacing w:line="240" w:lineRule="auto" w:before="56"/>
        <w:ind w:left="638" w:right="228" w:hanging="420"/>
        <w:jc w:val="left"/>
        <w:rPr>
          <w:b w:val="0"/>
          <w:bCs w:val="0"/>
        </w:rPr>
      </w:pPr>
      <w:r>
        <w:rPr>
          <w:rFonts w:ascii="宋体" w:hAnsi="宋体" w:cs="宋体" w:eastAsia="宋体" w:hint="default"/>
          <w:w w:val="95"/>
        </w:rPr>
        <w:t>(2).</w:t>
        <w:tab/>
      </w:r>
      <w:r>
        <w:rPr>
          <w:spacing w:val="-3"/>
        </w:rPr>
        <w:t>境外经营实体说明，包括对于重要的境外经营实体，应披露其境外主要经营地、记账本位</w:t>
      </w:r>
      <w:r>
        <w:rPr>
          <w:spacing w:val="-79"/>
        </w:rPr>
        <w:t> </w:t>
      </w:r>
      <w:r>
        <w:rPr>
          <w:spacing w:val="-79"/>
        </w:rPr>
      </w:r>
      <w:r>
        <w:rPr/>
        <w:t>币及选择依据，记账本位币发生变化的还应披露原因。</w:t>
      </w:r>
      <w:r>
        <w:rPr>
          <w:b w:val="0"/>
          <w:bCs w:val="0"/>
        </w:rPr>
      </w:r>
    </w:p>
    <w:p>
      <w:pPr>
        <w:pStyle w:val="BodyText"/>
        <w:spacing w:line="240" w:lineRule="auto" w:before="56"/>
        <w:ind w:left="218" w:right="308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3084"/>
        <w:jc w:val="left"/>
        <w:rPr>
          <w:b w:val="0"/>
          <w:bCs w:val="0"/>
        </w:rPr>
      </w:pPr>
      <w:r>
        <w:rPr>
          <w:rFonts w:ascii="宋体" w:hAnsi="宋体" w:cs="宋体" w:eastAsia="宋体" w:hint="default"/>
        </w:rPr>
        <w:t>78</w:t>
      </w:r>
      <w:r>
        <w:rPr/>
        <w:t>、</w:t>
      </w:r>
      <w:r>
        <w:rPr>
          <w:spacing w:val="-26"/>
        </w:rPr>
        <w:t> </w:t>
      </w:r>
      <w:r>
        <w:rPr/>
        <w:t>套期</w:t>
      </w:r>
      <w:r>
        <w:rPr>
          <w:b w:val="0"/>
          <w:bCs w:val="0"/>
        </w:rPr>
      </w:r>
    </w:p>
    <w:p>
      <w:pPr>
        <w:pStyle w:val="BodyText"/>
        <w:spacing w:line="240" w:lineRule="auto" w:before="58"/>
        <w:ind w:left="218" w:right="3084"/>
        <w:jc w:val="left"/>
      </w:pPr>
      <w:r>
        <w:rPr/>
        <w:t>□适用</w:t>
      </w:r>
      <w:r>
        <w:rPr>
          <w:spacing w:val="-1"/>
        </w:rPr>
        <w:t> </w:t>
      </w:r>
      <w:r>
        <w:rPr/>
        <w:t>√不适用</w:t>
      </w:r>
    </w:p>
    <w:p>
      <w:pPr>
        <w:spacing w:line="240" w:lineRule="auto" w:before="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before="36"/>
        <w:ind w:right="-16"/>
        <w:jc w:val="left"/>
        <w:rPr>
          <w:b w:val="0"/>
          <w:bCs w:val="0"/>
        </w:rPr>
      </w:pPr>
      <w:r>
        <w:rPr>
          <w:rFonts w:ascii="宋体" w:hAnsi="宋体" w:cs="宋体" w:eastAsia="宋体" w:hint="default"/>
        </w:rPr>
        <w:t>79</w:t>
      </w:r>
      <w:r>
        <w:rPr/>
        <w:t>、</w:t>
      </w:r>
      <w:r>
        <w:rPr>
          <w:spacing w:val="-25"/>
        </w:rPr>
        <w:t> </w:t>
      </w:r>
      <w:r>
        <w:rPr/>
        <w:t>政府补助</w:t>
      </w:r>
      <w:r>
        <w:rPr>
          <w:b w:val="0"/>
          <w:bCs w:val="0"/>
        </w:rPr>
      </w:r>
    </w:p>
    <w:p>
      <w:pPr>
        <w:pStyle w:val="Heading2"/>
        <w:tabs>
          <w:tab w:pos="642" w:val="left" w:leader="none"/>
        </w:tabs>
        <w:spacing w:line="240" w:lineRule="auto" w:before="58"/>
        <w:ind w:right="-17"/>
        <w:jc w:val="left"/>
        <w:rPr>
          <w:b w:val="0"/>
          <w:bCs w:val="0"/>
        </w:rPr>
      </w:pPr>
      <w:r>
        <w:rPr>
          <w:rFonts w:ascii="宋体" w:hAnsi="宋体" w:cs="宋体" w:eastAsia="宋体" w:hint="default"/>
          <w:w w:val="95"/>
        </w:rPr>
        <w:t>1.</w:t>
        <w:tab/>
      </w:r>
      <w:r>
        <w:rPr/>
        <w:t>政府补助基本情况</w:t>
      </w:r>
      <w:r>
        <w:rPr>
          <w:b w:val="0"/>
          <w:bCs w:val="0"/>
        </w:rPr>
      </w:r>
    </w:p>
    <w:p>
      <w:pPr>
        <w:pStyle w:val="BodyText"/>
        <w:spacing w:line="240" w:lineRule="auto" w:before="56"/>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333" w:space="418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85"/>
        <w:gridCol w:w="1700"/>
        <w:gridCol w:w="4256"/>
        <w:gridCol w:w="1709"/>
      </w:tblGrid>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列报项目</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计入当期损益的</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
              <w:jc w:val="center"/>
              <w:rPr>
                <w:rFonts w:ascii="宋体" w:hAnsi="宋体" w:cs="宋体" w:eastAsia="宋体" w:hint="default"/>
                <w:sz w:val="21"/>
                <w:szCs w:val="21"/>
              </w:rPr>
            </w:pPr>
            <w:r>
              <w:rPr>
                <w:rFonts w:ascii="宋体" w:hAnsi="宋体" w:cs="宋体" w:eastAsia="宋体" w:hint="default"/>
                <w:sz w:val="21"/>
                <w:szCs w:val="21"/>
              </w:rPr>
              <w:t>与资产相关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183,565.24</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2"/>
                <w:sz w:val="21"/>
                <w:szCs w:val="21"/>
              </w:rPr>
              <w:t> </w:t>
            </w:r>
            <w:r>
              <w:rPr>
                <w:rFonts w:ascii="宋体" w:hAnsi="宋体" w:cs="宋体" w:eastAsia="宋体" w:hint="default"/>
                <w:sz w:val="21"/>
                <w:szCs w:val="21"/>
              </w:rPr>
              <w:t>年度电子信息产业振兴和技术改造项目</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183,565.24</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
              <w:jc w:val="center"/>
              <w:rPr>
                <w:rFonts w:ascii="宋体" w:hAnsi="宋体" w:cs="宋体" w:eastAsia="宋体" w:hint="default"/>
                <w:sz w:val="21"/>
                <w:szCs w:val="21"/>
              </w:rPr>
            </w:pPr>
            <w:r>
              <w:rPr>
                <w:rFonts w:ascii="宋体" w:hAnsi="宋体" w:cs="宋体" w:eastAsia="宋体" w:hint="default"/>
                <w:sz w:val="21"/>
                <w:szCs w:val="21"/>
              </w:rPr>
              <w:t>与资产相关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59,371.40</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年信息安全专项</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59,371.40</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
              <w:jc w:val="center"/>
              <w:rPr>
                <w:rFonts w:ascii="宋体" w:hAnsi="宋体" w:cs="宋体" w:eastAsia="宋体" w:hint="default"/>
                <w:sz w:val="21"/>
                <w:szCs w:val="21"/>
              </w:rPr>
            </w:pPr>
            <w:r>
              <w:rPr>
                <w:rFonts w:ascii="宋体" w:hAnsi="宋体" w:cs="宋体" w:eastAsia="宋体" w:hint="default"/>
                <w:sz w:val="21"/>
                <w:szCs w:val="21"/>
              </w:rPr>
              <w:t>与资产相关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85,714.28</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年金融领域安全</w:t>
            </w:r>
            <w:r>
              <w:rPr>
                <w:rFonts w:ascii="宋体" w:hAnsi="宋体" w:cs="宋体" w:eastAsia="宋体" w:hint="default"/>
                <w:spacing w:val="-52"/>
                <w:sz w:val="21"/>
                <w:szCs w:val="21"/>
              </w:rPr>
              <w:t> </w:t>
            </w:r>
            <w:r>
              <w:rPr>
                <w:rFonts w:ascii="宋体" w:hAnsi="宋体" w:cs="宋体" w:eastAsia="宋体" w:hint="default"/>
                <w:sz w:val="21"/>
                <w:szCs w:val="21"/>
              </w:rPr>
              <w:t>IC</w:t>
            </w:r>
            <w:r>
              <w:rPr>
                <w:rFonts w:ascii="宋体" w:hAnsi="宋体" w:cs="宋体" w:eastAsia="宋体" w:hint="default"/>
                <w:spacing w:val="-54"/>
                <w:sz w:val="21"/>
                <w:szCs w:val="21"/>
              </w:rPr>
              <w:t> </w:t>
            </w:r>
            <w:r>
              <w:rPr>
                <w:rFonts w:ascii="宋体" w:hAnsi="宋体" w:cs="宋体" w:eastAsia="宋体" w:hint="default"/>
                <w:sz w:val="21"/>
                <w:szCs w:val="21"/>
              </w:rPr>
              <w:t>卡和密码应用专项</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85,714.28</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385"/>
        <w:gridCol w:w="1700"/>
        <w:gridCol w:w="4256"/>
        <w:gridCol w:w="1709"/>
      </w:tblGrid>
      <w:tr>
        <w:trPr>
          <w:trHeight w:val="28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与资产相关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1,333,333.36</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天津市科技小巨人领军企业培育重大项目</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1,333,333.36</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与资产相关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17,900.00</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年天津市中小企业发展专项资金</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17,900.00</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41,884,719.98</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增值税即征即退款</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41,884,719.98</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250,000.00</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天津市国家自主创新示范区发展专项资金</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250,000.00</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500,000.00</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62"/>
                <w:sz w:val="21"/>
                <w:szCs w:val="21"/>
              </w:rPr>
              <w:t> </w:t>
            </w:r>
            <w:r>
              <w:rPr>
                <w:rFonts w:ascii="宋体" w:hAnsi="宋体" w:cs="宋体" w:eastAsia="宋体" w:hint="default"/>
                <w:sz w:val="21"/>
                <w:szCs w:val="21"/>
              </w:rPr>
              <w:t>年天津市技术创新引导专项</w:t>
            </w:r>
            <w:r>
              <w:rPr>
                <w:rFonts w:ascii="宋体" w:hAnsi="宋体" w:cs="宋体" w:eastAsia="宋体" w:hint="default"/>
                <w:sz w:val="21"/>
                <w:szCs w:val="21"/>
              </w:rPr>
              <w:t>--</w:t>
            </w:r>
            <w:r>
              <w:rPr>
                <w:rFonts w:ascii="宋体" w:hAnsi="宋体" w:cs="宋体" w:eastAsia="宋体" w:hint="default"/>
                <w:sz w:val="21"/>
                <w:szCs w:val="21"/>
              </w:rPr>
              <w:t>科技领军</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企业品牌培育资金</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500,000.00</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300,000.00</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2"/>
                <w:sz w:val="21"/>
                <w:szCs w:val="21"/>
              </w:rPr>
              <w:t> </w:t>
            </w:r>
            <w:r>
              <w:rPr>
                <w:rFonts w:ascii="宋体" w:hAnsi="宋体" w:cs="宋体" w:eastAsia="宋体" w:hint="default"/>
                <w:sz w:val="21"/>
                <w:szCs w:val="21"/>
              </w:rPr>
              <w:t>年度第一批天津市软件产业发展专项资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300,000.00</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201,600.00</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天津市就业见习基地补贴</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201,600.00</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148,933.00</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天津市用人单位新招用残疾人就业补贴</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148,933.00</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29,380.00</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天津市知识产权专项资金</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29,380.00</w:t>
            </w:r>
          </w:p>
        </w:tc>
      </w:tr>
      <w:tr>
        <w:trPr>
          <w:trHeight w:val="28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2,000,000.00</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滨海新区支持企业上市专项资金</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2,000,000.00</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400,000.00</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滨海新区支持公司股改补贴资金</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400,000.00</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30,000.00</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院士专家工作站资助经费</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30,000.00</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28,000.00</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天津港保税区工业企业 </w:t>
            </w:r>
            <w:r>
              <w:rPr>
                <w:rFonts w:ascii="宋体" w:hAnsi="宋体" w:cs="宋体" w:eastAsia="宋体" w:hint="default"/>
                <w:sz w:val="21"/>
                <w:szCs w:val="21"/>
              </w:rPr>
              <w:t>2016</w:t>
            </w:r>
            <w:r>
              <w:rPr>
                <w:rFonts w:ascii="宋体" w:hAnsi="宋体" w:cs="宋体" w:eastAsia="宋体" w:hint="default"/>
                <w:spacing w:val="47"/>
                <w:sz w:val="21"/>
                <w:szCs w:val="21"/>
              </w:rPr>
              <w:t> </w:t>
            </w:r>
            <w:r>
              <w:rPr>
                <w:rFonts w:ascii="宋体" w:hAnsi="宋体" w:cs="宋体" w:eastAsia="宋体" w:hint="default"/>
                <w:sz w:val="21"/>
                <w:szCs w:val="21"/>
              </w:rPr>
              <w:t>年经济增长奖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补</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28,000.00</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100,000.00</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经办天津“千企万人”支持计划资助基金</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241,750.00</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天津市“百万技能人才培训福利计划”补助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241,750.00</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30,000.00</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年天津市科技进步二等奖奖励资金</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30,000.00</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500,000.00</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天津港保税区 </w:t>
            </w:r>
            <w:r>
              <w:rPr>
                <w:rFonts w:ascii="宋体" w:hAnsi="宋体" w:cs="宋体" w:eastAsia="宋体" w:hint="default"/>
                <w:sz w:val="21"/>
                <w:szCs w:val="21"/>
              </w:rPr>
              <w:t>2016</w:t>
            </w:r>
            <w:r>
              <w:rPr>
                <w:rFonts w:ascii="宋体" w:hAnsi="宋体" w:cs="宋体" w:eastAsia="宋体" w:hint="default"/>
                <w:spacing w:val="47"/>
                <w:sz w:val="21"/>
                <w:szCs w:val="21"/>
              </w:rPr>
              <w:t> </w:t>
            </w:r>
            <w:r>
              <w:rPr>
                <w:rFonts w:ascii="宋体" w:hAnsi="宋体" w:cs="宋体" w:eastAsia="宋体" w:hint="default"/>
                <w:sz w:val="21"/>
                <w:szCs w:val="21"/>
              </w:rPr>
              <w:t>年度制造业企业奖励资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500,000.00</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239,000.00</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天津港保税区 </w:t>
            </w:r>
            <w:r>
              <w:rPr>
                <w:rFonts w:ascii="宋体" w:hAnsi="宋体" w:cs="宋体" w:eastAsia="宋体" w:hint="default"/>
                <w:sz w:val="21"/>
                <w:szCs w:val="21"/>
              </w:rPr>
              <w:t>2017</w:t>
            </w:r>
            <w:r>
              <w:rPr>
                <w:rFonts w:ascii="宋体" w:hAnsi="宋体" w:cs="宋体" w:eastAsia="宋体" w:hint="default"/>
                <w:spacing w:val="47"/>
                <w:sz w:val="21"/>
                <w:szCs w:val="21"/>
              </w:rPr>
              <w:t> </w:t>
            </w:r>
            <w:r>
              <w:rPr>
                <w:rFonts w:ascii="宋体" w:hAnsi="宋体" w:cs="宋体" w:eastAsia="宋体" w:hint="default"/>
                <w:sz w:val="21"/>
                <w:szCs w:val="21"/>
              </w:rPr>
              <w:t>年上半年工业企业经济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增长奖补资金</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239,000.00</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48,563,267.26</w:t>
            </w:r>
          </w:p>
        </w:tc>
        <w:tc>
          <w:tcPr>
            <w:tcW w:w="425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48,563,267.26</w:t>
            </w:r>
          </w:p>
        </w:tc>
      </w:tr>
    </w:tbl>
    <w:p>
      <w:pPr>
        <w:spacing w:line="240" w:lineRule="auto" w:before="12"/>
        <w:rPr>
          <w:rFonts w:ascii="宋体" w:hAnsi="宋体" w:cs="宋体" w:eastAsia="宋体" w:hint="default"/>
          <w:sz w:val="19"/>
          <w:szCs w:val="19"/>
        </w:rPr>
      </w:pPr>
    </w:p>
    <w:p>
      <w:pPr>
        <w:pStyle w:val="Heading2"/>
        <w:tabs>
          <w:tab w:pos="642" w:val="left" w:leader="none"/>
        </w:tabs>
        <w:spacing w:line="240" w:lineRule="auto" w:before="36"/>
        <w:ind w:right="3084"/>
        <w:jc w:val="left"/>
        <w:rPr>
          <w:b w:val="0"/>
          <w:bCs w:val="0"/>
        </w:rPr>
      </w:pPr>
      <w:r>
        <w:rPr>
          <w:rFonts w:ascii="宋体" w:hAnsi="宋体" w:cs="宋体" w:eastAsia="宋体" w:hint="default"/>
          <w:w w:val="95"/>
        </w:rPr>
        <w:t>2.</w:t>
        <w:tab/>
      </w:r>
      <w:r>
        <w:rPr/>
        <w:t>政府补助退回情况</w:t>
      </w:r>
      <w:r>
        <w:rPr>
          <w:b w:val="0"/>
          <w:bCs w:val="0"/>
        </w:rPr>
      </w:r>
    </w:p>
    <w:p>
      <w:pPr>
        <w:pStyle w:val="BodyText"/>
        <w:spacing w:line="272" w:lineRule="exact" w:before="86"/>
        <w:ind w:left="218" w:right="7474"/>
        <w:jc w:val="left"/>
      </w:pPr>
      <w:r>
        <w:rPr/>
        <w:t>□适用</w:t>
      </w:r>
      <w:r>
        <w:rPr>
          <w:spacing w:val="-1"/>
        </w:rPr>
        <w:t> </w:t>
      </w:r>
      <w:r>
        <w:rPr/>
        <w:t>√不适用</w:t>
      </w:r>
      <w:r>
        <w:rPr>
          <w:w w:val="100"/>
        </w:rPr>
        <w:t> </w:t>
      </w:r>
      <w:r>
        <w:rPr/>
        <w:t>其他说明</w:t>
      </w:r>
    </w:p>
    <w:p>
      <w:pPr>
        <w:pStyle w:val="BodyText"/>
        <w:spacing w:line="249" w:lineRule="exact"/>
        <w:ind w:left="638" w:right="3084"/>
        <w:jc w:val="left"/>
      </w:pPr>
      <w:r>
        <w:rPr/>
        <w:t>无。</w:t>
      </w:r>
    </w:p>
    <w:p>
      <w:pPr>
        <w:spacing w:line="240" w:lineRule="auto" w:before="3"/>
        <w:rPr>
          <w:rFonts w:ascii="宋体" w:hAnsi="宋体" w:cs="宋体" w:eastAsia="宋体" w:hint="default"/>
          <w:sz w:val="25"/>
          <w:szCs w:val="25"/>
        </w:rPr>
      </w:pPr>
    </w:p>
    <w:p>
      <w:pPr>
        <w:pStyle w:val="Heading2"/>
        <w:spacing w:line="240" w:lineRule="auto"/>
        <w:ind w:right="3084"/>
        <w:jc w:val="left"/>
        <w:rPr>
          <w:b w:val="0"/>
          <w:bCs w:val="0"/>
        </w:rPr>
      </w:pPr>
      <w:r>
        <w:rPr>
          <w:rFonts w:ascii="宋体" w:hAnsi="宋体" w:cs="宋体" w:eastAsia="宋体" w:hint="default"/>
        </w:rPr>
        <w:t>80</w:t>
      </w:r>
      <w:r>
        <w:rPr/>
        <w:t>、</w:t>
      </w:r>
      <w:r>
        <w:rPr>
          <w:spacing w:val="-26"/>
        </w:rPr>
        <w:t> </w:t>
      </w:r>
      <w:r>
        <w:rPr/>
        <w:t>其他</w:t>
      </w:r>
      <w:r>
        <w:rPr>
          <w:b w:val="0"/>
          <w:bCs w:val="0"/>
        </w:rPr>
      </w:r>
    </w:p>
    <w:p>
      <w:pPr>
        <w:pStyle w:val="BodyText"/>
        <w:spacing w:line="240" w:lineRule="auto" w:before="56"/>
        <w:ind w:left="218" w:right="308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3084"/>
        <w:jc w:val="left"/>
        <w:rPr>
          <w:b w:val="0"/>
          <w:bCs w:val="0"/>
        </w:rPr>
      </w:pPr>
      <w:r>
        <w:rPr/>
        <w:t>八、合并范围的变更</w:t>
      </w:r>
      <w:r>
        <w:rPr>
          <w:b w:val="0"/>
          <w:bCs w:val="0"/>
        </w:rPr>
      </w:r>
    </w:p>
    <w:p>
      <w:pPr>
        <w:pStyle w:val="Heading2"/>
        <w:spacing w:line="240" w:lineRule="auto" w:before="56"/>
        <w:ind w:right="3084"/>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58"/>
        <w:ind w:left="218" w:right="308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3084"/>
        <w:jc w:val="left"/>
        <w:rPr>
          <w:b w:val="0"/>
          <w:bCs w:val="0"/>
        </w:rPr>
      </w:pPr>
      <w:r>
        <w:rPr>
          <w:rFonts w:ascii="宋体" w:hAnsi="宋体" w:cs="宋体" w:eastAsia="宋体" w:hint="default"/>
        </w:rPr>
        <w:t>2</w:t>
      </w:r>
      <w:r>
        <w:rPr/>
        <w:t>、 同一控制下企业合并</w:t>
      </w:r>
      <w:r>
        <w:rPr>
          <w:b w:val="0"/>
          <w:bCs w:val="0"/>
        </w:rPr>
      </w:r>
    </w:p>
    <w:p>
      <w:pPr>
        <w:pStyle w:val="BodyText"/>
        <w:spacing w:line="240" w:lineRule="auto" w:before="56"/>
        <w:ind w:left="218" w:right="308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3084"/>
        <w:jc w:val="left"/>
        <w:rPr>
          <w:b w:val="0"/>
          <w:bCs w:val="0"/>
        </w:rPr>
      </w:pPr>
      <w:r>
        <w:rPr>
          <w:rFonts w:ascii="宋体" w:hAnsi="宋体" w:cs="宋体" w:eastAsia="宋体" w:hint="default"/>
        </w:rPr>
        <w:t>3</w:t>
      </w:r>
      <w:r>
        <w:rPr/>
        <w:t>、</w:t>
      </w:r>
      <w:r>
        <w:rPr>
          <w:spacing w:val="-2"/>
        </w:rPr>
        <w:t> </w:t>
      </w:r>
      <w:r>
        <w:rPr/>
        <w:t>反向购买</w:t>
      </w:r>
      <w:r>
        <w:rPr>
          <w:b w:val="0"/>
          <w:bCs w:val="0"/>
        </w:rPr>
      </w:r>
    </w:p>
    <w:p>
      <w:pPr>
        <w:pStyle w:val="BodyText"/>
        <w:spacing w:line="240" w:lineRule="auto" w:before="58"/>
        <w:ind w:left="218" w:right="3084"/>
        <w:jc w:val="left"/>
      </w:pPr>
      <w:r>
        <w:rPr/>
        <w:t>□适用</w:t>
      </w:r>
      <w:r>
        <w:rPr>
          <w:spacing w:val="-1"/>
        </w:rPr>
        <w:t> </w:t>
      </w:r>
      <w:r>
        <w:rPr/>
        <w:t>√不适用</w:t>
      </w:r>
    </w:p>
    <w:p>
      <w:pPr>
        <w:spacing w:after="0" w:line="240" w:lineRule="auto"/>
        <w:jc w:val="left"/>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90" w:lineRule="auto" w:before="175"/>
        <w:ind w:left="138" w:right="3467"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28" w:lineRule="exact"/>
        <w:ind w:right="0"/>
        <w:jc w:val="left"/>
      </w:pPr>
      <w:r>
        <w:rPr/>
        <w:t>□适用</w:t>
      </w:r>
      <w:r>
        <w:rPr>
          <w:spacing w:val="-1"/>
        </w:rPr>
        <w:t> </w:t>
      </w:r>
      <w:r>
        <w:rPr/>
        <w:t>√不适用</w:t>
      </w:r>
    </w:p>
    <w:p>
      <w:pPr>
        <w:pStyle w:val="BodyText"/>
        <w:spacing w:line="272" w:lineRule="exact"/>
        <w:ind w:right="0"/>
        <w:jc w:val="left"/>
      </w:pPr>
      <w:r>
        <w:rPr/>
        <w:t>其他说明：</w:t>
      </w:r>
    </w:p>
    <w:p>
      <w:pPr>
        <w:pStyle w:val="BodyText"/>
        <w:spacing w:line="274" w:lineRule="exact"/>
        <w:ind w:right="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right="0"/>
        <w:jc w:val="left"/>
      </w:pPr>
      <w:r>
        <w:rPr/>
        <w:t>是否存在通过多次交易分步处置对子公司投资且在本期丧失控制权的情形</w:t>
      </w:r>
    </w:p>
    <w:p>
      <w:pPr>
        <w:pStyle w:val="BodyText"/>
        <w:spacing w:line="273" w:lineRule="exact"/>
        <w:ind w:right="0"/>
        <w:jc w:val="left"/>
      </w:pPr>
      <w:r>
        <w:rPr/>
        <w:t>□适用√不适用</w:t>
      </w:r>
    </w:p>
    <w:p>
      <w:pPr>
        <w:spacing w:line="240" w:lineRule="auto" w:before="2"/>
        <w:rPr>
          <w:rFonts w:ascii="宋体" w:hAnsi="宋体" w:cs="宋体" w:eastAsia="宋体" w:hint="default"/>
          <w:sz w:val="24"/>
          <w:szCs w:val="24"/>
        </w:rPr>
      </w:pPr>
    </w:p>
    <w:p>
      <w:pPr>
        <w:spacing w:line="290" w:lineRule="auto"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27" w:lineRule="exact"/>
        <w:ind w:right="0"/>
        <w:jc w:val="left"/>
      </w:pPr>
      <w:r>
        <w:rPr/>
        <w:t>□适用</w:t>
      </w:r>
      <w:r>
        <w:rPr>
          <w:spacing w:val="-1"/>
        </w:rPr>
        <w:t> </w:t>
      </w:r>
      <w:r>
        <w:rPr/>
        <w:t>√不适用</w:t>
      </w:r>
    </w:p>
    <w:p>
      <w:pPr>
        <w:spacing w:line="240" w:lineRule="auto" w:before="2"/>
        <w:rPr>
          <w:rFonts w:ascii="宋体" w:hAnsi="宋体" w:cs="宋体" w:eastAsia="宋体" w:hint="default"/>
          <w:sz w:val="24"/>
          <w:szCs w:val="24"/>
        </w:rPr>
      </w:pPr>
    </w:p>
    <w:p>
      <w:pPr>
        <w:pStyle w:val="Heading2"/>
        <w:spacing w:line="240" w:lineRule="auto"/>
        <w:ind w:left="138" w:right="0"/>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spacing w:line="240" w:lineRule="auto" w:before="56"/>
        <w:ind w:right="0"/>
        <w:jc w:val="left"/>
      </w:pPr>
      <w:r>
        <w:rPr/>
        <w:t>□适用</w:t>
      </w:r>
      <w:r>
        <w:rPr>
          <w:spacing w:val="-1"/>
        </w:rPr>
        <w:t> </w:t>
      </w:r>
      <w:r>
        <w:rPr/>
        <w:t>√不适用</w:t>
      </w:r>
    </w:p>
    <w:p>
      <w:pPr>
        <w:spacing w:after="0" w:line="240" w:lineRule="auto"/>
        <w:jc w:val="left"/>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tabs>
          <w:tab w:pos="781" w:val="left" w:leader="none"/>
        </w:tabs>
        <w:spacing w:line="290" w:lineRule="auto" w:before="175"/>
        <w:ind w:left="138" w:right="6720"/>
        <w:jc w:val="left"/>
        <w:rPr>
          <w:b w:val="0"/>
          <w:bCs w:val="0"/>
        </w:rPr>
      </w:pPr>
      <w:r>
        <w:rPr/>
        <w:t>九、在其他主体中的权益</w:t>
      </w:r>
      <w:r>
        <w:rPr>
          <w:spacing w:val="-100"/>
        </w:rPr>
        <w:t> </w:t>
      </w:r>
      <w:r>
        <w:rPr>
          <w:spacing w:val="-100"/>
        </w:rPr>
      </w:r>
      <w:r>
        <w:rPr>
          <w:rFonts w:ascii="宋体" w:hAnsi="宋体" w:cs="宋体" w:eastAsia="宋体" w:hint="default"/>
        </w:rPr>
        <w:t>1</w:t>
      </w:r>
      <w:r>
        <w:rPr/>
        <w:t>、</w:t>
      </w:r>
      <w:r>
        <w:rPr>
          <w:spacing w:val="-2"/>
        </w:rPr>
        <w:t> </w:t>
      </w:r>
      <w:r>
        <w:rPr/>
        <w:t>在子公司中的权益</w:t>
      </w:r>
      <w:r>
        <w:rPr>
          <w:spacing w:val="-104"/>
        </w:rPr>
        <w:t> </w:t>
      </w:r>
      <w:r>
        <w:rPr>
          <w:spacing w:val="-104"/>
        </w:rPr>
      </w:r>
      <w:r>
        <w:rPr>
          <w:rFonts w:ascii="宋体" w:hAnsi="宋体" w:cs="宋体" w:eastAsia="宋体" w:hint="default"/>
          <w:w w:val="95"/>
        </w:rPr>
        <w:t>(1).</w:t>
        <w:tab/>
      </w:r>
      <w:r>
        <w:rPr/>
        <w:t>企业集团的构成</w:t>
      </w:r>
      <w:r>
        <w:rPr>
          <w:b w:val="0"/>
          <w:bCs w:val="0"/>
        </w:rPr>
      </w:r>
    </w:p>
    <w:p>
      <w:pPr>
        <w:pStyle w:val="BodyText"/>
        <w:spacing w:line="240" w:lineRule="auto" w:before="12"/>
        <w:ind w:right="98"/>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781" w:val="left" w:leader="none"/>
        </w:tabs>
        <w:spacing w:line="240" w:lineRule="auto"/>
        <w:ind w:left="138" w:right="98"/>
        <w:jc w:val="left"/>
        <w:rPr>
          <w:b w:val="0"/>
          <w:bCs w:val="0"/>
        </w:rPr>
      </w:pPr>
      <w:r>
        <w:rPr>
          <w:rFonts w:ascii="宋体" w:hAnsi="宋体" w:cs="宋体" w:eastAsia="宋体" w:hint="default"/>
          <w:w w:val="95"/>
        </w:rPr>
        <w:t>(2).</w:t>
        <w:tab/>
      </w:r>
      <w:r>
        <w:rPr/>
        <w:t>重要的非全资子公司</w:t>
      </w:r>
      <w:r>
        <w:rPr>
          <w:b w:val="0"/>
          <w:bCs w:val="0"/>
        </w:rPr>
      </w:r>
    </w:p>
    <w:p>
      <w:pPr>
        <w:pStyle w:val="BodyText"/>
        <w:spacing w:line="240" w:lineRule="auto" w:before="58"/>
        <w:ind w:right="98"/>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781" w:val="left" w:leader="none"/>
        </w:tabs>
        <w:spacing w:line="240" w:lineRule="auto"/>
        <w:ind w:left="138" w:right="98"/>
        <w:jc w:val="left"/>
        <w:rPr>
          <w:b w:val="0"/>
          <w:bCs w:val="0"/>
        </w:rPr>
      </w:pPr>
      <w:r>
        <w:rPr>
          <w:rFonts w:ascii="宋体" w:hAnsi="宋体" w:cs="宋体" w:eastAsia="宋体" w:hint="default"/>
          <w:w w:val="95"/>
        </w:rPr>
        <w:t>(3).</w:t>
        <w:tab/>
      </w:r>
      <w:r>
        <w:rPr/>
        <w:t>重要非全资子公司的主要财务信息</w:t>
      </w:r>
      <w:r>
        <w:rPr>
          <w:b w:val="0"/>
          <w:bCs w:val="0"/>
        </w:rPr>
      </w:r>
    </w:p>
    <w:p>
      <w:pPr>
        <w:pStyle w:val="BodyText"/>
        <w:spacing w:line="240" w:lineRule="auto" w:before="57"/>
        <w:ind w:right="98"/>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781" w:val="left" w:leader="none"/>
        </w:tabs>
        <w:spacing w:line="240" w:lineRule="auto"/>
        <w:ind w:left="138" w:right="98"/>
        <w:jc w:val="left"/>
        <w:rPr>
          <w:b w:val="0"/>
          <w:bCs w:val="0"/>
        </w:rPr>
      </w:pPr>
      <w:r>
        <w:rPr>
          <w:rFonts w:ascii="宋体" w:hAnsi="宋体" w:cs="宋体" w:eastAsia="宋体" w:hint="default"/>
          <w:w w:val="95"/>
        </w:rPr>
        <w:t>(4).</w:t>
        <w:tab/>
      </w:r>
      <w:r>
        <w:rPr/>
        <w:t>使用企业集团资产和清偿企业集团债务的重大限制：</w:t>
      </w:r>
      <w:r>
        <w:rPr>
          <w:b w:val="0"/>
          <w:bCs w:val="0"/>
        </w:rPr>
      </w:r>
    </w:p>
    <w:p>
      <w:pPr>
        <w:pStyle w:val="BodyText"/>
        <w:spacing w:line="240" w:lineRule="auto" w:before="58"/>
        <w:ind w:right="98"/>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781" w:val="left" w:leader="none"/>
        </w:tabs>
        <w:spacing w:line="240" w:lineRule="auto"/>
        <w:ind w:left="138" w:right="98"/>
        <w:jc w:val="left"/>
        <w:rPr>
          <w:b w:val="0"/>
          <w:bCs w:val="0"/>
        </w:rPr>
      </w:pPr>
      <w:r>
        <w:rPr>
          <w:rFonts w:ascii="宋体" w:hAnsi="宋体" w:cs="宋体" w:eastAsia="宋体" w:hint="default"/>
          <w:w w:val="95"/>
        </w:rPr>
        <w:t>(5).</w:t>
        <w:tab/>
      </w:r>
      <w:r>
        <w:rPr/>
        <w:t>向纳入合并财务报表范围的结构化主体提供的财务支持或其他支持：</w:t>
      </w:r>
      <w:r>
        <w:rPr>
          <w:b w:val="0"/>
          <w:bCs w:val="0"/>
        </w:rPr>
      </w:r>
    </w:p>
    <w:p>
      <w:pPr>
        <w:pStyle w:val="BodyText"/>
        <w:spacing w:line="240" w:lineRule="auto" w:before="56"/>
        <w:ind w:right="98"/>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right="98"/>
        <w:jc w:val="left"/>
      </w:pPr>
      <w:r>
        <w:rPr/>
        <w:t>其他说明：</w:t>
      </w:r>
    </w:p>
    <w:p>
      <w:pPr>
        <w:pStyle w:val="BodyText"/>
        <w:spacing w:line="273" w:lineRule="exact"/>
        <w:ind w:right="98"/>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98"/>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pStyle w:val="BodyText"/>
        <w:spacing w:line="240" w:lineRule="auto" w:before="58"/>
        <w:ind w:right="98"/>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98"/>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pStyle w:val="BodyText"/>
        <w:spacing w:line="240" w:lineRule="auto" w:before="56"/>
        <w:ind w:right="98"/>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98"/>
        <w:jc w:val="left"/>
        <w:rPr>
          <w:b w:val="0"/>
          <w:bCs w:val="0"/>
        </w:rPr>
      </w:pPr>
      <w:r>
        <w:rPr>
          <w:rFonts w:ascii="宋体" w:hAnsi="宋体" w:cs="宋体" w:eastAsia="宋体" w:hint="default"/>
        </w:rPr>
        <w:t>4</w:t>
      </w:r>
      <w:r>
        <w:rPr/>
        <w:t>、</w:t>
      </w:r>
      <w:r>
        <w:rPr>
          <w:spacing w:val="-1"/>
        </w:rPr>
        <w:t> </w:t>
      </w:r>
      <w:r>
        <w:rPr/>
        <w:t>重要的共同经营</w:t>
      </w:r>
      <w:r>
        <w:rPr>
          <w:b w:val="0"/>
          <w:bCs w:val="0"/>
        </w:rPr>
      </w:r>
    </w:p>
    <w:p>
      <w:pPr>
        <w:pStyle w:val="BodyText"/>
        <w:spacing w:line="240" w:lineRule="auto" w:before="58"/>
        <w:ind w:right="98"/>
        <w:jc w:val="left"/>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90" w:lineRule="auto" w:before="0"/>
        <w:ind w:left="138" w:right="397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z w:val="21"/>
          <w:szCs w:val="21"/>
        </w:rPr>
        <w:t>未纳入合并财务报表范围的结构化主体的相关说明：</w:t>
      </w:r>
    </w:p>
    <w:p>
      <w:pPr>
        <w:pStyle w:val="BodyText"/>
        <w:spacing w:line="230" w:lineRule="exact"/>
        <w:ind w:right="98"/>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98"/>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spacing w:line="240" w:lineRule="auto" w:before="56"/>
        <w:ind w:right="98"/>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spacing w:line="240" w:lineRule="auto"/>
        <w:ind w:left="138" w:right="98"/>
        <w:jc w:val="left"/>
        <w:rPr>
          <w:b w:val="0"/>
          <w:bCs w:val="0"/>
        </w:rPr>
      </w:pPr>
      <w:r>
        <w:rPr/>
        <w:t>十、与金融工具相关的风险</w:t>
      </w:r>
      <w:r>
        <w:rPr>
          <w:b w:val="0"/>
          <w:bCs w:val="0"/>
        </w:rPr>
      </w:r>
    </w:p>
    <w:p>
      <w:pPr>
        <w:pStyle w:val="BodyText"/>
        <w:spacing w:line="272" w:lineRule="exact" w:before="84"/>
        <w:ind w:left="558" w:right="98" w:hanging="420"/>
        <w:jc w:val="left"/>
      </w:pPr>
      <w:r>
        <w:rPr/>
        <w:t>√适用</w:t>
      </w:r>
      <w:r>
        <w:rPr>
          <w:spacing w:val="-2"/>
        </w:rPr>
        <w:t> </w:t>
      </w:r>
      <w:r>
        <w:rPr/>
        <w:t>□不适用</w:t>
      </w:r>
      <w:r>
        <w:rPr>
          <w:w w:val="100"/>
        </w:rPr>
        <w:t> </w:t>
      </w:r>
      <w:r>
        <w:rPr>
          <w:spacing w:val="-2"/>
        </w:rPr>
        <w:t>本公司从事风险管理的目标是在风险和收益之间取得平衡，将风险对本公司经营业绩的负面</w:t>
      </w:r>
    </w:p>
    <w:p>
      <w:pPr>
        <w:pStyle w:val="BodyText"/>
        <w:spacing w:line="357" w:lineRule="auto" w:before="110"/>
        <w:ind w:right="98"/>
        <w:jc w:val="left"/>
      </w:pPr>
      <w:r>
        <w:rPr/>
        <w:t>影响降至最低水平，使股东和其他权益投资者的利益最大化。基于该风险管理目标，本公司风险</w:t>
      </w:r>
      <w:r>
        <w:rPr>
          <w:w w:val="100"/>
        </w:rPr>
        <w:t> </w:t>
      </w:r>
      <w:r>
        <w:rPr>
          <w:spacing w:val="-4"/>
          <w:w w:val="100"/>
        </w:rPr>
        <w:t>管理的基本策略是确认和分析本公司面临的各种风险，建立适当的风险承受底线和进行风险管理，</w:t>
      </w:r>
      <w:r>
        <w:rPr>
          <w:spacing w:val="-85"/>
          <w:w w:val="100"/>
        </w:rPr>
        <w:t> </w:t>
      </w:r>
      <w:r>
        <w:rPr>
          <w:spacing w:val="-85"/>
          <w:w w:val="100"/>
        </w:rPr>
      </w:r>
      <w:r>
        <w:rPr/>
        <w:t>并及时可靠地对各种风险进行监督，将风险控制在限定的范围内。</w:t>
      </w:r>
    </w:p>
    <w:p>
      <w:pPr>
        <w:spacing w:after="0" w:line="357"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right="137" w:firstLine="419"/>
        <w:jc w:val="both"/>
      </w:pPr>
      <w:r>
        <w:rPr>
          <w:spacing w:val="-2"/>
        </w:rPr>
        <w:t>本公司在日常活动中面临各种与金融工具相关的风险，主要包括信用风险、流动风险及市场</w:t>
      </w:r>
      <w:r>
        <w:rPr>
          <w:w w:val="100"/>
        </w:rPr>
        <w:t> </w:t>
      </w:r>
      <w:r>
        <w:rPr/>
        <w:t>风险。管理层已审议并批准管理这些风险的政策，概括如下。</w:t>
      </w:r>
    </w:p>
    <w:p>
      <w:pPr>
        <w:pStyle w:val="BodyText"/>
        <w:spacing w:line="355" w:lineRule="auto" w:before="30"/>
        <w:ind w:left="558" w:right="0"/>
        <w:jc w:val="left"/>
      </w:pPr>
      <w:r>
        <w:rPr>
          <w:rFonts w:ascii="宋体" w:hAnsi="宋体" w:cs="宋体" w:eastAsia="宋体" w:hint="default"/>
        </w:rPr>
        <w:t>(</w:t>
      </w:r>
      <w:r>
        <w:rPr/>
        <w:t>一</w:t>
      </w:r>
      <w:r>
        <w:rPr>
          <w:rFonts w:ascii="宋体" w:hAnsi="宋体" w:cs="宋体" w:eastAsia="宋体" w:hint="default"/>
        </w:rPr>
        <w:t>) </w:t>
      </w:r>
      <w:r>
        <w:rPr/>
        <w:t>信用风险</w:t>
      </w:r>
      <w:r>
        <w:rPr>
          <w:spacing w:val="-103"/>
        </w:rPr>
        <w:t> </w:t>
      </w:r>
      <w:r>
        <w:rPr>
          <w:spacing w:val="-103"/>
        </w:rPr>
      </w:r>
      <w:r>
        <w:rPr>
          <w:spacing w:val="-2"/>
        </w:rPr>
        <w:t>信用风险，是指金融工具的一方不能履行义务，造成另一方发生财务损失的风险。</w:t>
      </w:r>
    </w:p>
    <w:p>
      <w:pPr>
        <w:pStyle w:val="BodyText"/>
        <w:spacing w:line="355" w:lineRule="auto" w:before="32"/>
        <w:ind w:right="0"/>
        <w:jc w:val="left"/>
      </w:pPr>
      <w:r>
        <w:rPr>
          <w:spacing w:val="-2"/>
        </w:rPr>
        <w:t>本公司的信用风险主要来自银行存款和应收款项。为控制上述相关风险，本公司分别采取了以下</w:t>
      </w:r>
      <w:r>
        <w:rPr>
          <w:spacing w:val="-25"/>
        </w:rPr>
        <w:t> </w:t>
      </w:r>
      <w:r>
        <w:rPr>
          <w:spacing w:val="-25"/>
        </w:rPr>
      </w:r>
      <w:r>
        <w:rPr/>
        <w:t>措施。</w:t>
      </w:r>
    </w:p>
    <w:p>
      <w:pPr>
        <w:pStyle w:val="BodyText"/>
        <w:spacing w:line="357" w:lineRule="auto" w:before="34"/>
        <w:ind w:left="558" w:right="1702"/>
        <w:jc w:val="left"/>
      </w:pPr>
      <w:r>
        <w:rPr>
          <w:rFonts w:ascii="宋体" w:hAnsi="宋体" w:cs="宋体" w:eastAsia="宋体" w:hint="default"/>
        </w:rPr>
        <w:t>1. </w:t>
      </w:r>
      <w:r>
        <w:rPr/>
        <w:t>银行存款</w:t>
      </w:r>
      <w:r>
        <w:rPr>
          <w:w w:val="100"/>
        </w:rPr>
        <w:t> </w:t>
      </w:r>
      <w:r>
        <w:rPr>
          <w:spacing w:val="-2"/>
        </w:rPr>
        <w:t>本公司将银行存款存放于信用评级较高的金融机构，故其信用风险较低。</w:t>
      </w:r>
      <w:r>
        <w:rPr>
          <w:spacing w:val="-45"/>
        </w:rPr>
        <w:t> </w:t>
      </w:r>
      <w:r>
        <w:rPr>
          <w:spacing w:val="-45"/>
        </w:rPr>
      </w:r>
      <w:r>
        <w:rPr>
          <w:rFonts w:ascii="宋体" w:hAnsi="宋体" w:cs="宋体" w:eastAsia="宋体" w:hint="default"/>
        </w:rPr>
        <w:t>2. </w:t>
      </w:r>
      <w:r>
        <w:rPr/>
        <w:t>应收款项</w:t>
      </w:r>
    </w:p>
    <w:p>
      <w:pPr>
        <w:pStyle w:val="BodyText"/>
        <w:spacing w:line="357" w:lineRule="auto" w:before="30"/>
        <w:ind w:right="137" w:firstLine="419"/>
        <w:jc w:val="both"/>
      </w:pPr>
      <w:r>
        <w:rPr>
          <w:spacing w:val="-2"/>
        </w:rPr>
        <w:t>本公司持续对采用信用方式交易的客户进行信用评估。根据信用评估结果，本公司选择与经</w:t>
      </w:r>
      <w:r>
        <w:rPr>
          <w:w w:val="100"/>
        </w:rPr>
        <w:t> </w:t>
      </w:r>
      <w:r>
        <w:rPr>
          <w:spacing w:val="-2"/>
        </w:rPr>
        <w:t>认可的且信用良好的客户进行交易，并对其应收款项余额进行监控，以确保本公司不会面临重大</w:t>
      </w:r>
      <w:r>
        <w:rPr>
          <w:spacing w:val="-25"/>
        </w:rPr>
        <w:t> </w:t>
      </w:r>
      <w:r>
        <w:rPr>
          <w:spacing w:val="-25"/>
        </w:rPr>
      </w:r>
      <w:r>
        <w:rPr/>
        <w:t>坏账风险。</w:t>
      </w:r>
    </w:p>
    <w:p>
      <w:pPr>
        <w:pStyle w:val="BodyText"/>
        <w:spacing w:line="240" w:lineRule="auto" w:before="30"/>
        <w:ind w:left="558" w:right="0"/>
        <w:jc w:val="left"/>
      </w:pPr>
      <w:r>
        <w:rPr>
          <w:spacing w:val="-4"/>
        </w:rPr>
        <w:t>本公司的应收账款风险点分布于多个合作方和多个客户。截至</w:t>
      </w:r>
      <w:r>
        <w:rPr>
          <w:spacing w:val="-41"/>
        </w:rPr>
        <w:t> </w:t>
      </w:r>
      <w:r>
        <w:rPr>
          <w:rFonts w:ascii="宋体" w:hAnsi="宋体" w:cs="宋体" w:eastAsia="宋体" w:hint="default"/>
        </w:rPr>
        <w:t>2017</w:t>
      </w:r>
      <w:r>
        <w:rPr>
          <w:rFonts w:ascii="宋体" w:hAnsi="宋体" w:cs="宋体" w:eastAsia="宋体" w:hint="default"/>
          <w:spacing w:val="-41"/>
        </w:rPr>
        <w:t> </w:t>
      </w:r>
      <w:r>
        <w:rPr/>
        <w:t>年</w:t>
      </w:r>
      <w:r>
        <w:rPr>
          <w:spacing w:val="-44"/>
        </w:rPr>
        <w:t> </w:t>
      </w:r>
      <w:r>
        <w:rPr>
          <w:rFonts w:ascii="宋体" w:hAnsi="宋体" w:cs="宋体" w:eastAsia="宋体" w:hint="default"/>
        </w:rPr>
        <w:t>12</w:t>
      </w:r>
      <w:r>
        <w:rPr>
          <w:rFonts w:ascii="宋体" w:hAnsi="宋体" w:cs="宋体" w:eastAsia="宋体" w:hint="default"/>
          <w:spacing w:val="-43"/>
        </w:rPr>
        <w:t> </w:t>
      </w:r>
      <w:r>
        <w:rPr/>
        <w:t>月</w:t>
      </w:r>
      <w:r>
        <w:rPr>
          <w:spacing w:val="-41"/>
        </w:rPr>
        <w:t> </w:t>
      </w:r>
      <w:r>
        <w:rPr>
          <w:rFonts w:ascii="宋体" w:hAnsi="宋体" w:cs="宋体" w:eastAsia="宋体" w:hint="default"/>
        </w:rPr>
        <w:t>31</w:t>
      </w:r>
      <w:r>
        <w:rPr>
          <w:rFonts w:ascii="宋体" w:hAnsi="宋体" w:cs="宋体" w:eastAsia="宋体" w:hint="default"/>
          <w:spacing w:val="-41"/>
        </w:rPr>
        <w:t> </w:t>
      </w:r>
      <w:r>
        <w:rPr>
          <w:spacing w:val="-10"/>
        </w:rPr>
        <w:t>日，本公司应</w:t>
      </w:r>
    </w:p>
    <w:p>
      <w:pPr>
        <w:pStyle w:val="BodyText"/>
        <w:spacing w:line="355" w:lineRule="auto" w:before="133"/>
        <w:ind w:right="0"/>
        <w:jc w:val="left"/>
      </w:pPr>
      <w:r>
        <w:rPr/>
        <w:t>收账款的</w:t>
      </w:r>
      <w:r>
        <w:rPr>
          <w:spacing w:val="-54"/>
        </w:rPr>
        <w:t> </w:t>
      </w:r>
      <w:r>
        <w:rPr>
          <w:rFonts w:ascii="宋体" w:hAnsi="宋体" w:cs="宋体" w:eastAsia="宋体" w:hint="default"/>
        </w:rPr>
        <w:t>88.66%(2016</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w:t>
      </w:r>
      <w:r>
        <w:rPr>
          <w:rFonts w:ascii="宋体" w:hAnsi="宋体" w:cs="宋体" w:eastAsia="宋体" w:hint="default"/>
        </w:rPr>
        <w:t>86.79</w:t>
      </w:r>
      <w:r>
        <w:rPr>
          <w:rFonts w:ascii="宋体" w:hAnsi="宋体" w:cs="宋体" w:eastAsia="宋体" w:hint="default"/>
          <w:spacing w:val="-3"/>
        </w:rPr>
        <w:t> </w:t>
      </w:r>
      <w:r>
        <w:rPr>
          <w:rFonts w:ascii="宋体" w:hAnsi="宋体" w:cs="宋体" w:eastAsia="宋体" w:hint="default"/>
        </w:rPr>
        <w:t>%)</w:t>
      </w:r>
      <w:r>
        <w:rPr/>
        <w:t>源于余额前五名客户，实际与客户下属的各分支</w:t>
      </w:r>
      <w:r>
        <w:rPr>
          <w:w w:val="100"/>
        </w:rPr>
        <w:t> </w:t>
      </w:r>
      <w:r>
        <w:rPr/>
        <w:t>机构或独立法人主体进行独立结算。本公司不存在重大的信用集中风险。</w:t>
      </w:r>
    </w:p>
    <w:p>
      <w:pPr>
        <w:pStyle w:val="BodyText"/>
        <w:spacing w:line="357" w:lineRule="auto" w:before="34"/>
        <w:ind w:left="558" w:right="0"/>
        <w:jc w:val="left"/>
      </w:pPr>
      <w:r>
        <w:rPr>
          <w:rFonts w:ascii="宋体" w:hAnsi="宋体" w:cs="宋体" w:eastAsia="宋体" w:hint="default"/>
        </w:rPr>
        <w:t>(</w:t>
      </w:r>
      <w:r>
        <w:rPr/>
        <w:t>二</w:t>
      </w:r>
      <w:r>
        <w:rPr>
          <w:rFonts w:ascii="宋体" w:hAnsi="宋体" w:cs="宋体" w:eastAsia="宋体" w:hint="default"/>
        </w:rPr>
        <w:t>) </w:t>
      </w:r>
      <w:r>
        <w:rPr/>
        <w:t>流动风险</w:t>
      </w:r>
      <w:r>
        <w:rPr>
          <w:spacing w:val="-103"/>
        </w:rPr>
        <w:t> </w:t>
      </w:r>
      <w:r>
        <w:rPr>
          <w:spacing w:val="-103"/>
        </w:rPr>
      </w:r>
      <w:r>
        <w:rPr>
          <w:spacing w:val="-2"/>
        </w:rPr>
        <w:t>流动风险，是指本公司在履行以交付现金或其他金融资产的方式结算的义务时发生资金短缺</w:t>
      </w:r>
    </w:p>
    <w:p>
      <w:pPr>
        <w:pStyle w:val="BodyText"/>
        <w:spacing w:line="355" w:lineRule="auto" w:before="30"/>
        <w:ind w:right="0"/>
        <w:jc w:val="left"/>
      </w:pPr>
      <w:r>
        <w:rPr>
          <w:spacing w:val="-2"/>
        </w:rPr>
        <w:t>的风险。流动风险可能源于无法尽快以公允价值售出金融资产；或者源于对方无法偿还其合同债</w:t>
      </w:r>
      <w:r>
        <w:rPr>
          <w:spacing w:val="-25"/>
        </w:rPr>
        <w:t> </w:t>
      </w:r>
      <w:r>
        <w:rPr>
          <w:spacing w:val="-25"/>
        </w:rPr>
      </w:r>
      <w:r>
        <w:rPr/>
        <w:t>务；或者源于提前到期的债务；或者源于无法产生预期的现金流量。</w:t>
      </w:r>
    </w:p>
    <w:p>
      <w:pPr>
        <w:pStyle w:val="BodyText"/>
        <w:spacing w:line="357" w:lineRule="auto" w:before="32"/>
        <w:ind w:right="137" w:firstLine="419"/>
        <w:jc w:val="both"/>
      </w:pPr>
      <w:r>
        <w:rPr>
          <w:spacing w:val="-2"/>
        </w:rPr>
        <w:t>为控制该项风险，本公司综合运用票据结算、银行借款等多种融资手段，保持融资灵活性。</w:t>
      </w:r>
      <w:r>
        <w:rPr>
          <w:w w:val="100"/>
        </w:rPr>
        <w:t> </w:t>
      </w:r>
      <w:r>
        <w:rPr>
          <w:spacing w:val="-2"/>
        </w:rPr>
        <w:t>本公司已从多家商业银行取得银行授信额度和公开发行股票募集资金以满足营运资金需求和资本</w:t>
      </w:r>
      <w:r>
        <w:rPr>
          <w:spacing w:val="-25"/>
        </w:rPr>
        <w:t> </w:t>
      </w:r>
      <w:r>
        <w:rPr>
          <w:spacing w:val="-25"/>
        </w:rPr>
      </w:r>
      <w:r>
        <w:rPr/>
        <w:t>开支。</w:t>
      </w:r>
    </w:p>
    <w:p>
      <w:pPr>
        <w:pStyle w:val="BodyText"/>
        <w:spacing w:line="240" w:lineRule="auto" w:before="30"/>
        <w:ind w:left="558" w:right="0"/>
        <w:jc w:val="left"/>
      </w:pPr>
      <w:r>
        <w:rPr/>
        <w:t>金融负债按剩余到期日分类</w:t>
      </w:r>
    </w:p>
    <w:p>
      <w:pPr>
        <w:spacing w:line="240" w:lineRule="auto" w:before="10"/>
        <w:rPr>
          <w:rFonts w:ascii="宋体" w:hAnsi="宋体" w:cs="宋体" w:eastAsia="宋体" w:hint="default"/>
          <w:sz w:val="12"/>
          <w:szCs w:val="12"/>
        </w:rPr>
      </w:pPr>
    </w:p>
    <w:tbl>
      <w:tblPr>
        <w:tblW w:w="0" w:type="auto"/>
        <w:jc w:val="left"/>
        <w:tblInd w:w="226" w:type="dxa"/>
        <w:tblLayout w:type="fixed"/>
        <w:tblCellMar>
          <w:top w:w="0" w:type="dxa"/>
          <w:left w:w="0" w:type="dxa"/>
          <w:bottom w:w="0" w:type="dxa"/>
          <w:right w:w="0" w:type="dxa"/>
        </w:tblCellMar>
        <w:tblLook w:val="01E0"/>
      </w:tblPr>
      <w:tblGrid>
        <w:gridCol w:w="1322"/>
        <w:gridCol w:w="1820"/>
        <w:gridCol w:w="1688"/>
        <w:gridCol w:w="1687"/>
        <w:gridCol w:w="817"/>
        <w:gridCol w:w="989"/>
      </w:tblGrid>
      <w:tr>
        <w:trPr>
          <w:trHeight w:val="420" w:hRule="exact"/>
        </w:trPr>
        <w:tc>
          <w:tcPr>
            <w:tcW w:w="1322" w:type="dxa"/>
            <w:vMerge w:val="restart"/>
            <w:tcBorders>
              <w:top w:val="single" w:sz="4" w:space="0" w:color="000000"/>
              <w:left w:val="nil" w:sz="6" w:space="0" w:color="auto"/>
              <w:right w:val="single" w:sz="4" w:space="0" w:color="000000"/>
            </w:tcBorders>
          </w:tcPr>
          <w:p>
            <w:pPr>
              <w:pStyle w:val="TableParagraph"/>
              <w:tabs>
                <w:tab w:pos="647" w:val="left" w:leader="none"/>
              </w:tabs>
              <w:spacing w:line="240" w:lineRule="auto" w:before="177"/>
              <w:ind w:left="22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000" w:type="dxa"/>
            <w:gridSpan w:val="5"/>
            <w:tcBorders>
              <w:top w:val="single" w:sz="4" w:space="0" w:color="000000"/>
              <w:left w:val="single" w:sz="4" w:space="0" w:color="000000"/>
              <w:bottom w:val="single" w:sz="4" w:space="0" w:color="000000"/>
              <w:right w:val="nil" w:sz="6" w:space="0" w:color="auto"/>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18" w:hRule="exact"/>
        </w:trPr>
        <w:tc>
          <w:tcPr>
            <w:tcW w:w="1322" w:type="dxa"/>
            <w:vMerge/>
            <w:tcBorders>
              <w:left w:val="nil" w:sz="6" w:space="0" w:color="auto"/>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未折现合同金额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49"/>
                <w:sz w:val="21"/>
                <w:szCs w:val="21"/>
              </w:rPr>
              <w:t> </w:t>
            </w:r>
            <w:r>
              <w:rPr>
                <w:rFonts w:ascii="宋体" w:hAnsi="宋体" w:cs="宋体" w:eastAsia="宋体" w:hint="default"/>
                <w:sz w:val="21"/>
                <w:szCs w:val="21"/>
              </w:rPr>
              <w:t>年</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r>
      <w:tr>
        <w:trPr>
          <w:trHeight w:val="420" w:hRule="exact"/>
        </w:trPr>
        <w:tc>
          <w:tcPr>
            <w:tcW w:w="1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4" w:right="0"/>
              <w:jc w:val="left"/>
              <w:rPr>
                <w:rFonts w:ascii="宋体" w:hAnsi="宋体" w:cs="宋体" w:eastAsia="宋体" w:hint="default"/>
                <w:sz w:val="21"/>
                <w:szCs w:val="21"/>
              </w:rPr>
            </w:pPr>
            <w:r>
              <w:rPr>
                <w:rFonts w:ascii="宋体" w:hAnsi="宋体" w:cs="宋体" w:eastAsia="宋体" w:hint="default"/>
                <w:sz w:val="21"/>
                <w:szCs w:val="21"/>
              </w:rPr>
              <w:t>银行借款</w:t>
            </w:r>
          </w:p>
        </w:tc>
        <w:tc>
          <w:tcPr>
            <w:tcW w:w="182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1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114,848,303.72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114,848,303.72</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114,848,303.72</w:t>
            </w:r>
          </w:p>
        </w:tc>
        <w:tc>
          <w:tcPr>
            <w:tcW w:w="817"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132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174,351,931.56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174,351,931.56</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174,351,931.56</w:t>
            </w:r>
          </w:p>
        </w:tc>
        <w:tc>
          <w:tcPr>
            <w:tcW w:w="817"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nil" w:sz="6" w:space="0" w:color="auto"/>
            </w:tcBorders>
          </w:tcPr>
          <w:p>
            <w:pPr/>
          </w:p>
        </w:tc>
      </w:tr>
      <w:tr>
        <w:trPr>
          <w:trHeight w:val="420" w:hRule="exact"/>
        </w:trPr>
        <w:tc>
          <w:tcPr>
            <w:tcW w:w="132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82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132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4,799,387.02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4,799,387.02</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4,799,387.02</w:t>
            </w:r>
          </w:p>
        </w:tc>
        <w:tc>
          <w:tcPr>
            <w:tcW w:w="817"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nil" w:sz="6" w:space="0" w:color="auto"/>
            </w:tcBorders>
          </w:tcPr>
          <w:p>
            <w:pPr/>
          </w:p>
        </w:tc>
      </w:tr>
      <w:tr>
        <w:trPr>
          <w:trHeight w:val="420" w:hRule="exact"/>
        </w:trPr>
        <w:tc>
          <w:tcPr>
            <w:tcW w:w="1322" w:type="dxa"/>
            <w:tcBorders>
              <w:top w:val="single" w:sz="4" w:space="0" w:color="000000"/>
              <w:left w:val="nil" w:sz="6" w:space="0" w:color="auto"/>
              <w:bottom w:val="single" w:sz="4" w:space="0" w:color="000000"/>
              <w:right w:val="single" w:sz="4" w:space="0" w:color="000000"/>
            </w:tcBorders>
          </w:tcPr>
          <w:p>
            <w:pPr>
              <w:pStyle w:val="TableParagraph"/>
              <w:tabs>
                <w:tab w:pos="647" w:val="left" w:leader="none"/>
              </w:tabs>
              <w:spacing w:line="241" w:lineRule="exact"/>
              <w:ind w:left="225"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293,999,622.30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293,999,622.30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293,999,622.30</w:t>
            </w:r>
          </w:p>
        </w:tc>
        <w:tc>
          <w:tcPr>
            <w:tcW w:w="817"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558" w:right="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6"/>
        <w:rPr>
          <w:rFonts w:ascii="宋体" w:hAnsi="宋体" w:cs="宋体" w:eastAsia="宋体" w:hint="default"/>
          <w:sz w:val="12"/>
          <w:szCs w:val="12"/>
        </w:rPr>
      </w:pPr>
    </w:p>
    <w:p>
      <w:pPr>
        <w:spacing w:line="436" w:lineRule="exact"/>
        <w:ind w:left="241"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15.9pt;height:21.85pt;mso-position-horizontal-relative:char;mso-position-vertical-relative:line" coordorigin="0,0" coordsize="8318,437">
            <v:group style="position:absolute;left:5;top:10;width:1414;height:2" coordorigin="5,10" coordsize="1414,2">
              <v:shape style="position:absolute;left:5;top:10;width:1414;height:2" coordorigin="5,10" coordsize="1414,0" path="m5,10l1418,10e" filled="false" stroked="true" strokeweight=".47998pt" strokecolor="#000000">
                <v:path arrowok="t"/>
              </v:shape>
            </v:group>
            <v:group style="position:absolute;left:1428;top:10;width:6885;height:2" coordorigin="1428,10" coordsize="6885,2">
              <v:shape style="position:absolute;left:1428;top:10;width:6885;height:2" coordorigin="1428,10" coordsize="6885,0" path="m1428,10l8313,10e" filled="false" stroked="true" strokeweight=".47998pt" strokecolor="#000000">
                <v:path arrowok="t"/>
              </v:shape>
            </v:group>
            <v:group style="position:absolute;left:5;top:427;width:1414;height:2" coordorigin="5,427" coordsize="1414,2">
              <v:shape style="position:absolute;left:5;top:427;width:1414;height:2" coordorigin="5,427" coordsize="1414,0" path="m5,427l1418,427e" filled="false" stroked="true" strokeweight=".47998pt" strokecolor="#000000">
                <v:path arrowok="t"/>
              </v:shape>
            </v:group>
            <v:group style="position:absolute;left:1423;top:5;width:2;height:428" coordorigin="1423,5" coordsize="2,428">
              <v:shape style="position:absolute;left:1423;top:5;width:2;height:428" coordorigin="1423,5" coordsize="0,428" path="m1423,5l1423,432e" filled="false" stroked="true" strokeweight=".48pt" strokecolor="#000000">
                <v:path arrowok="t"/>
              </v:shape>
            </v:group>
            <v:group style="position:absolute;left:1428;top:427;width:6885;height:2" coordorigin="1428,427" coordsize="6885,2">
              <v:shape style="position:absolute;left:1428;top:427;width:6885;height:2" coordorigin="1428,427" coordsize="6885,0" path="m1428,427l8313,427e" filled="false" stroked="true" strokeweight=".47998pt" strokecolor="#000000">
                <v:path arrowok="t"/>
              </v:shape>
              <v:shape style="position:absolute;left:216;top:44;width:634;height:212" type="#_x0000_t202" filled="false" stroked="false">
                <v:textbox inset="0,0,0,0">
                  <w:txbxContent>
                    <w:p>
                      <w:pPr>
                        <w:tabs>
                          <w:tab w:pos="422" w:val="left" w:leader="none"/>
                        </w:tabs>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项</w:t>
                        <w:tab/>
                        <w:t>目</w:t>
                      </w:r>
                    </w:p>
                  </w:txbxContent>
                </v:textbox>
                <w10:wrap type="none"/>
              </v:shape>
              <v:shape style="position:absolute;left:4554;top:44;width:63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期初数</w:t>
                      </w:r>
                    </w:p>
                  </w:txbxContent>
                </v:textbox>
                <w10:wrap type="none"/>
              </v:shape>
            </v:group>
          </v:group>
        </w:pict>
      </w:r>
      <w:r>
        <w:rPr>
          <w:rFonts w:ascii="宋体" w:hAnsi="宋体" w:cs="宋体" w:eastAsia="宋体" w:hint="default"/>
          <w:position w:val="-8"/>
          <w:sz w:val="20"/>
          <w:szCs w:val="20"/>
        </w:rPr>
      </w:r>
    </w:p>
    <w:p>
      <w:pPr>
        <w:spacing w:after="0" w:line="436" w:lineRule="exact"/>
        <w:rPr>
          <w:rFonts w:ascii="宋体" w:hAnsi="宋体" w:cs="宋体" w:eastAsia="宋体" w:hint="default"/>
          <w:sz w:val="20"/>
          <w:szCs w:val="20"/>
        </w:rPr>
        <w:sectPr>
          <w:footerReference w:type="default" r:id="rId55"/>
          <w:pgSz w:w="11910" w:h="16840"/>
          <w:pgMar w:footer="1195" w:header="882" w:top="1120" w:bottom="1380" w:left="166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26" w:type="dxa"/>
        <w:tblLayout w:type="fixed"/>
        <w:tblCellMar>
          <w:top w:w="0" w:type="dxa"/>
          <w:left w:w="0" w:type="dxa"/>
          <w:bottom w:w="0" w:type="dxa"/>
          <w:right w:w="0" w:type="dxa"/>
        </w:tblCellMar>
        <w:tblLook w:val="01E0"/>
      </w:tblPr>
      <w:tblGrid>
        <w:gridCol w:w="1433"/>
        <w:gridCol w:w="1702"/>
        <w:gridCol w:w="1702"/>
        <w:gridCol w:w="1702"/>
        <w:gridCol w:w="766"/>
        <w:gridCol w:w="1018"/>
      </w:tblGrid>
      <w:tr>
        <w:trPr>
          <w:trHeight w:val="420" w:hRule="exact"/>
        </w:trPr>
        <w:tc>
          <w:tcPr>
            <w:tcW w:w="1433" w:type="dxa"/>
            <w:tcBorders>
              <w:top w:val="single" w:sz="4" w:space="0" w:color="000000"/>
              <w:left w:val="nil" w:sz="6" w:space="0" w:color="auto"/>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24"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10" w:right="0"/>
              <w:jc w:val="left"/>
              <w:rPr>
                <w:rFonts w:ascii="宋体" w:hAnsi="宋体" w:cs="宋体" w:eastAsia="宋体" w:hint="default"/>
                <w:sz w:val="21"/>
                <w:szCs w:val="21"/>
              </w:rPr>
            </w:pPr>
            <w:r>
              <w:rPr>
                <w:rFonts w:ascii="宋体" w:hAnsi="宋体" w:cs="宋体" w:eastAsia="宋体" w:hint="default"/>
                <w:sz w:val="21"/>
                <w:szCs w:val="21"/>
              </w:rPr>
              <w:t>未折现合同金额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5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86"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49"/>
                <w:sz w:val="21"/>
                <w:szCs w:val="21"/>
              </w:rPr>
              <w:t> </w:t>
            </w:r>
            <w:r>
              <w:rPr>
                <w:rFonts w:ascii="宋体" w:hAnsi="宋体" w:cs="宋体" w:eastAsia="宋体" w:hint="default"/>
                <w:sz w:val="21"/>
                <w:szCs w:val="21"/>
              </w:rPr>
              <w:t>年</w:t>
            </w:r>
          </w:p>
        </w:tc>
        <w:tc>
          <w:tcPr>
            <w:tcW w:w="1018" w:type="dxa"/>
            <w:tcBorders>
              <w:top w:val="single" w:sz="4" w:space="0" w:color="000000"/>
              <w:left w:val="single" w:sz="4" w:space="0" w:color="000000"/>
              <w:bottom w:val="single" w:sz="4" w:space="0" w:color="000000"/>
              <w:right w:val="nil" w:sz="6" w:space="0" w:color="auto"/>
            </w:tcBorders>
          </w:tcPr>
          <w:p>
            <w:pPr>
              <w:pStyle w:val="TableParagraph"/>
              <w:spacing w:line="244" w:lineRule="exact"/>
              <w:ind w:left="11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r>
      <w:tr>
        <w:trPr>
          <w:trHeight w:val="418"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4" w:right="0"/>
              <w:jc w:val="left"/>
              <w:rPr>
                <w:rFonts w:ascii="宋体" w:hAnsi="宋体" w:cs="宋体" w:eastAsia="宋体" w:hint="default"/>
                <w:sz w:val="21"/>
                <w:szCs w:val="21"/>
              </w:rPr>
            </w:pPr>
            <w:r>
              <w:rPr>
                <w:rFonts w:ascii="宋体" w:hAnsi="宋体" w:cs="宋体" w:eastAsia="宋体" w:hint="default"/>
                <w:sz w:val="21"/>
                <w:szCs w:val="21"/>
              </w:rPr>
              <w:t>银行借款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272,500,000.00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282,503,853.47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282,503,853.47</w:t>
            </w:r>
          </w:p>
        </w:tc>
        <w:tc>
          <w:tcPr>
            <w:tcW w:w="76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nil" w:sz="6" w:space="0" w:color="auto"/>
            </w:tcBorders>
          </w:tcPr>
          <w:p>
            <w:pPr/>
          </w:p>
        </w:tc>
      </w:tr>
      <w:tr>
        <w:trPr>
          <w:trHeight w:val="420"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237,111,874.46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237,111,874.46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237,111,874.46</w:t>
            </w:r>
          </w:p>
        </w:tc>
        <w:tc>
          <w:tcPr>
            <w:tcW w:w="76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194,981,847.49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194,981,847.49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194,981,847.49</w:t>
            </w:r>
          </w:p>
        </w:tc>
        <w:tc>
          <w:tcPr>
            <w:tcW w:w="76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411,556.61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411,556.61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411,556.61</w:t>
            </w:r>
          </w:p>
        </w:tc>
        <w:tc>
          <w:tcPr>
            <w:tcW w:w="76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nil" w:sz="6" w:space="0" w:color="auto"/>
            </w:tcBorders>
          </w:tcPr>
          <w:p>
            <w:pPr/>
          </w:p>
        </w:tc>
      </w:tr>
      <w:tr>
        <w:trPr>
          <w:trHeight w:val="420"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6,965,836.50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6,965,836.50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6,965,836.50</w:t>
            </w:r>
          </w:p>
        </w:tc>
        <w:tc>
          <w:tcPr>
            <w:tcW w:w="76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tabs>
                <w:tab w:pos="647" w:val="left" w:leader="none"/>
              </w:tabs>
              <w:spacing w:line="241" w:lineRule="exact"/>
              <w:ind w:left="225"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right"/>
              <w:rPr>
                <w:rFonts w:ascii="宋体" w:hAnsi="宋体" w:cs="宋体" w:eastAsia="宋体" w:hint="default"/>
                <w:sz w:val="21"/>
                <w:szCs w:val="21"/>
              </w:rPr>
            </w:pPr>
            <w:r>
              <w:rPr>
                <w:rFonts w:ascii="宋体"/>
                <w:spacing w:val="-1"/>
                <w:sz w:val="21"/>
              </w:rPr>
              <w:t>711,971,115.06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721,974,968.53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721,974,968.53</w:t>
            </w:r>
          </w:p>
        </w:tc>
        <w:tc>
          <w:tcPr>
            <w:tcW w:w="76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nil" w:sz="6" w:space="0" w:color="auto"/>
            </w:tcBorders>
          </w:tcPr>
          <w:p>
            <w:pPr/>
          </w:p>
        </w:tc>
      </w:tr>
    </w:tbl>
    <w:p>
      <w:pPr>
        <w:spacing w:line="240" w:lineRule="auto" w:before="8"/>
        <w:rPr>
          <w:rFonts w:ascii="宋体" w:hAnsi="宋体" w:cs="宋体" w:eastAsia="宋体" w:hint="default"/>
          <w:sz w:val="15"/>
          <w:szCs w:val="15"/>
        </w:rPr>
      </w:pPr>
    </w:p>
    <w:p>
      <w:pPr>
        <w:pStyle w:val="BodyText"/>
        <w:spacing w:line="355" w:lineRule="auto" w:before="36"/>
        <w:ind w:left="558" w:right="0"/>
        <w:jc w:val="left"/>
      </w:pPr>
      <w:r>
        <w:rPr>
          <w:rFonts w:ascii="宋体" w:hAnsi="宋体" w:cs="宋体" w:eastAsia="宋体" w:hint="default"/>
          <w:color w:val="808080"/>
        </w:rPr>
        <w:t>(</w:t>
      </w:r>
      <w:r>
        <w:rPr/>
        <w:t>三</w:t>
      </w:r>
      <w:r>
        <w:rPr>
          <w:rFonts w:ascii="宋体" w:hAnsi="宋体" w:cs="宋体" w:eastAsia="宋体" w:hint="default"/>
        </w:rPr>
        <w:t>) </w:t>
      </w:r>
      <w:r>
        <w:rPr/>
        <w:t>市场风险</w:t>
      </w:r>
      <w:r>
        <w:rPr>
          <w:spacing w:val="-103"/>
        </w:rPr>
        <w:t> </w:t>
      </w:r>
      <w:r>
        <w:rPr>
          <w:spacing w:val="-103"/>
        </w:rPr>
      </w:r>
      <w:r>
        <w:rPr>
          <w:spacing w:val="-2"/>
        </w:rPr>
        <w:t>市场风险，是指金融工具的公允价值或未来现金流量因市场价格变动而发生波动的风险。市</w:t>
      </w:r>
    </w:p>
    <w:p>
      <w:pPr>
        <w:pStyle w:val="BodyText"/>
        <w:spacing w:line="355" w:lineRule="auto" w:before="32"/>
        <w:ind w:left="558" w:right="5385" w:hanging="420"/>
        <w:jc w:val="left"/>
      </w:pPr>
      <w:r>
        <w:rPr>
          <w:spacing w:val="-2"/>
        </w:rPr>
        <w:t>场风险主要包括利率风险和外汇风险。</w:t>
      </w:r>
      <w:r>
        <w:rPr>
          <w:spacing w:val="-72"/>
        </w:rPr>
        <w:t> </w:t>
      </w:r>
      <w:r>
        <w:rPr>
          <w:spacing w:val="-72"/>
        </w:rPr>
      </w:r>
      <w:r>
        <w:rPr>
          <w:rFonts w:ascii="宋体" w:hAnsi="宋体" w:cs="宋体" w:eastAsia="宋体" w:hint="default"/>
        </w:rPr>
        <w:t>1. </w:t>
      </w:r>
      <w:r>
        <w:rPr/>
        <w:t>利率风险</w:t>
      </w:r>
    </w:p>
    <w:p>
      <w:pPr>
        <w:pStyle w:val="BodyText"/>
        <w:spacing w:line="355" w:lineRule="auto" w:before="34"/>
        <w:ind w:right="0" w:firstLine="419"/>
        <w:jc w:val="left"/>
      </w:pPr>
      <w:r>
        <w:rPr>
          <w:spacing w:val="-2"/>
        </w:rPr>
        <w:t>利率风险，是指金融工具的公允价值或未来现金流量因市场利率变动而发生波动的风险。本</w:t>
      </w:r>
      <w:r>
        <w:rPr>
          <w:w w:val="100"/>
        </w:rPr>
        <w:t> </w:t>
      </w:r>
      <w:r>
        <w:rPr/>
        <w:t>公司面临的市场利率变动的风险主要与本公司以浮动利率计息的借款有关。</w:t>
      </w:r>
    </w:p>
    <w:p>
      <w:pPr>
        <w:pStyle w:val="BodyText"/>
        <w:spacing w:line="240" w:lineRule="auto" w:before="32"/>
        <w:ind w:left="558" w:right="0"/>
        <w:jc w:val="left"/>
        <w:rPr>
          <w:rFonts w:ascii="宋体" w:hAnsi="宋体" w:cs="宋体" w:eastAsia="宋体" w:hint="default"/>
        </w:rPr>
      </w:pPr>
      <w:r>
        <w:rPr>
          <w:w w:val="100"/>
        </w:rPr>
        <w:t>截至</w:t>
      </w:r>
      <w:r>
        <w:rPr>
          <w:spacing w:val="-53"/>
        </w:rPr>
        <w:t> </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2"/>
        </w:rPr>
        <w:t> </w:t>
      </w:r>
      <w:r>
        <w:rPr>
          <w:rFonts w:ascii="宋体" w:hAnsi="宋体" w:cs="宋体" w:eastAsia="宋体" w:hint="default"/>
          <w:spacing w:val="-3"/>
          <w:w w:val="100"/>
        </w:rPr>
        <w:t>3</w:t>
      </w:r>
      <w:r>
        <w:rPr>
          <w:rFonts w:ascii="宋体" w:hAnsi="宋体" w:cs="宋体" w:eastAsia="宋体" w:hint="default"/>
          <w:w w:val="100"/>
        </w:rPr>
        <w:t>1</w:t>
      </w:r>
      <w:r>
        <w:rPr>
          <w:rFonts w:ascii="宋体" w:hAnsi="宋体" w:cs="宋体" w:eastAsia="宋体" w:hint="default"/>
          <w:spacing w:val="-53"/>
        </w:rPr>
        <w:t> </w:t>
      </w:r>
      <w:r>
        <w:rPr>
          <w:spacing w:val="-3"/>
          <w:w w:val="100"/>
        </w:rPr>
        <w:t>日</w:t>
      </w:r>
      <w:r>
        <w:rPr>
          <w:spacing w:val="-94"/>
          <w:w w:val="100"/>
        </w:rPr>
        <w:t>，</w:t>
      </w:r>
      <w:r>
        <w:rPr>
          <w:w w:val="100"/>
        </w:rPr>
        <w:t>本公</w:t>
      </w:r>
      <w:r>
        <w:rPr>
          <w:spacing w:val="-3"/>
          <w:w w:val="100"/>
        </w:rPr>
        <w:t>司</w:t>
      </w:r>
      <w:r>
        <w:rPr>
          <w:w w:val="100"/>
        </w:rPr>
        <w:t>以</w:t>
      </w:r>
      <w:r>
        <w:rPr>
          <w:spacing w:val="-3"/>
          <w:w w:val="100"/>
        </w:rPr>
        <w:t>浮</w:t>
      </w:r>
      <w:r>
        <w:rPr>
          <w:w w:val="100"/>
        </w:rPr>
        <w:t>动</w:t>
      </w:r>
      <w:r>
        <w:rPr>
          <w:spacing w:val="-3"/>
          <w:w w:val="100"/>
        </w:rPr>
        <w:t>利</w:t>
      </w:r>
      <w:r>
        <w:rPr>
          <w:w w:val="100"/>
        </w:rPr>
        <w:t>率</w:t>
      </w:r>
      <w:r>
        <w:rPr>
          <w:spacing w:val="-3"/>
          <w:w w:val="100"/>
        </w:rPr>
        <w:t>计</w:t>
      </w:r>
      <w:r>
        <w:rPr>
          <w:w w:val="100"/>
        </w:rPr>
        <w:t>息</w:t>
      </w:r>
      <w:r>
        <w:rPr>
          <w:spacing w:val="-3"/>
          <w:w w:val="100"/>
        </w:rPr>
        <w:t>的</w:t>
      </w:r>
      <w:r>
        <w:rPr>
          <w:w w:val="100"/>
        </w:rPr>
        <w:t>银行</w:t>
      </w:r>
      <w:r>
        <w:rPr>
          <w:spacing w:val="-3"/>
          <w:w w:val="100"/>
        </w:rPr>
        <w:t>借</w:t>
      </w:r>
      <w:r>
        <w:rPr>
          <w:w w:val="100"/>
        </w:rPr>
        <w:t>款</w:t>
      </w:r>
      <w:r>
        <w:rPr>
          <w:spacing w:val="-3"/>
          <w:w w:val="100"/>
        </w:rPr>
        <w:t>人民</w:t>
      </w:r>
      <w:r>
        <w:rPr>
          <w:w w:val="100"/>
        </w:rPr>
        <w:t>币</w:t>
      </w:r>
      <w:r>
        <w:rPr>
          <w:spacing w:val="-53"/>
        </w:rPr>
        <w:t> </w:t>
      </w:r>
      <w:r>
        <w:rPr>
          <w:rFonts w:ascii="宋体" w:hAnsi="宋体" w:cs="宋体" w:eastAsia="宋体" w:hint="default"/>
          <w:w w:val="100"/>
        </w:rPr>
        <w:t>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3"/>
        </w:rPr>
        <w:t> </w:t>
      </w:r>
      <w:r>
        <w:rPr>
          <w:w w:val="100"/>
        </w:rPr>
        <w:t>元</w:t>
      </w:r>
      <w:r>
        <w:rPr>
          <w:rFonts w:ascii="宋体" w:hAnsi="宋体" w:cs="宋体" w:eastAsia="宋体" w:hint="default"/>
          <w:spacing w:val="-3"/>
          <w:w w:val="100"/>
        </w:rPr>
        <w:t>(2</w:t>
      </w:r>
      <w:r>
        <w:rPr>
          <w:rFonts w:ascii="宋体" w:hAnsi="宋体" w:cs="宋体" w:eastAsia="宋体" w:hint="default"/>
          <w:w w:val="100"/>
        </w:rPr>
        <w:t>016</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31</w:t>
      </w:r>
    </w:p>
    <w:p>
      <w:pPr>
        <w:pStyle w:val="BodyText"/>
        <w:spacing w:line="240" w:lineRule="auto" w:before="133"/>
        <w:ind w:right="0"/>
        <w:jc w:val="both"/>
      </w:pPr>
      <w:r>
        <w:rPr/>
        <w:t>日：人民币</w:t>
      </w:r>
      <w:r>
        <w:rPr>
          <w:spacing w:val="-56"/>
        </w:rPr>
        <w:t> </w:t>
      </w:r>
      <w:r>
        <w:rPr>
          <w:rFonts w:ascii="宋体" w:hAnsi="宋体" w:cs="宋体" w:eastAsia="宋体" w:hint="default"/>
        </w:rPr>
        <w:t>272,500,000.00</w:t>
      </w:r>
      <w:r>
        <w:rPr>
          <w:rFonts w:ascii="宋体" w:hAnsi="宋体" w:cs="宋体" w:eastAsia="宋体" w:hint="default"/>
          <w:spacing w:val="-55"/>
        </w:rPr>
        <w:t> </w:t>
      </w:r>
      <w:r>
        <w:rPr/>
        <w:t>元</w:t>
      </w:r>
      <w:r>
        <w:rPr>
          <w:rFonts w:ascii="宋体" w:hAnsi="宋体" w:cs="宋体" w:eastAsia="宋体" w:hint="default"/>
        </w:rPr>
        <w:t>)</w:t>
      </w:r>
      <w:r>
        <w:rPr/>
        <w:t>，本公司不存在重大的利率风险。</w:t>
      </w:r>
    </w:p>
    <w:p>
      <w:pPr>
        <w:pStyle w:val="BodyText"/>
        <w:spacing w:line="357" w:lineRule="auto" w:before="133"/>
        <w:ind w:left="558" w:right="0"/>
        <w:jc w:val="left"/>
      </w:pPr>
      <w:r>
        <w:rPr>
          <w:rFonts w:ascii="宋体" w:hAnsi="宋体" w:cs="宋体" w:eastAsia="宋体" w:hint="default"/>
        </w:rPr>
        <w:t>2. </w:t>
      </w:r>
      <w:r>
        <w:rPr/>
        <w:t>外汇风险</w:t>
      </w:r>
      <w:r>
        <w:rPr>
          <w:w w:val="100"/>
        </w:rPr>
        <w:t> </w:t>
      </w:r>
      <w:r>
        <w:rPr>
          <w:spacing w:val="-2"/>
        </w:rPr>
        <w:t>外汇风险，是指金融工具的公允价值或未来现金流量因外汇汇率变动而发生波动的风险。本</w:t>
      </w:r>
    </w:p>
    <w:p>
      <w:pPr>
        <w:pStyle w:val="BodyText"/>
        <w:spacing w:line="355" w:lineRule="auto" w:before="30"/>
        <w:ind w:right="137"/>
        <w:jc w:val="both"/>
      </w:pPr>
      <w:r>
        <w:rPr>
          <w:spacing w:val="-2"/>
        </w:rPr>
        <w:t>公司面临的汇率变动的风险主要与本公司外币货币性资产和负债有关。对于外币资产和负债，如</w:t>
      </w:r>
      <w:r>
        <w:rPr>
          <w:spacing w:val="-25"/>
        </w:rPr>
        <w:t> </w:t>
      </w:r>
      <w:r>
        <w:rPr>
          <w:spacing w:val="-25"/>
        </w:rPr>
      </w:r>
      <w:r>
        <w:rPr>
          <w:spacing w:val="-2"/>
        </w:rPr>
        <w:t>果出现短期的失衡情况，本公司会在必要时按市场汇率买卖外币，以确保将净风险敞口维持在可</w:t>
      </w:r>
      <w:r>
        <w:rPr>
          <w:spacing w:val="-25"/>
        </w:rPr>
        <w:t> </w:t>
      </w:r>
      <w:r>
        <w:rPr>
          <w:spacing w:val="-25"/>
        </w:rPr>
      </w:r>
      <w:r>
        <w:rPr/>
        <w:t>接受的水平。</w:t>
      </w:r>
    </w:p>
    <w:p>
      <w:pPr>
        <w:pStyle w:val="BodyText"/>
        <w:spacing w:line="355" w:lineRule="auto" w:before="34"/>
        <w:ind w:right="0" w:firstLine="419"/>
        <w:jc w:val="left"/>
      </w:pPr>
      <w:r>
        <w:rPr>
          <w:spacing w:val="-2"/>
        </w:rPr>
        <w:t>本公司期末外币货币性资产和负债情况见本财务报表附注合并财务报表项目注释其他之外币</w:t>
      </w:r>
      <w:r>
        <w:rPr>
          <w:w w:val="100"/>
        </w:rPr>
        <w:t> </w:t>
      </w:r>
      <w:r>
        <w:rPr/>
        <w:t>货币性项目说明。</w:t>
      </w:r>
    </w:p>
    <w:p>
      <w:pPr>
        <w:spacing w:line="240" w:lineRule="auto" w:before="11"/>
        <w:rPr>
          <w:rFonts w:ascii="宋体" w:hAnsi="宋体" w:cs="宋体" w:eastAsia="宋体" w:hint="default"/>
          <w:sz w:val="27"/>
          <w:szCs w:val="27"/>
        </w:rPr>
      </w:pPr>
    </w:p>
    <w:p>
      <w:pPr>
        <w:pStyle w:val="Heading2"/>
        <w:spacing w:line="240" w:lineRule="auto"/>
        <w:ind w:left="138" w:right="0"/>
        <w:jc w:val="both"/>
        <w:rPr>
          <w:b w:val="0"/>
          <w:bCs w:val="0"/>
        </w:rPr>
      </w:pPr>
      <w:r>
        <w:rPr/>
        <w:t>十一、</w:t>
      </w:r>
      <w:r>
        <w:rPr>
          <w:spacing w:val="103"/>
        </w:rPr>
        <w:t> </w:t>
      </w:r>
      <w:r>
        <w:rPr/>
        <w:t>公允价值的披露</w:t>
      </w:r>
      <w:r>
        <w:rPr>
          <w:b w:val="0"/>
          <w:bCs w:val="0"/>
        </w:rPr>
      </w:r>
    </w:p>
    <w:p>
      <w:pPr>
        <w:pStyle w:val="Heading2"/>
        <w:spacing w:line="240" w:lineRule="auto" w:before="58"/>
        <w:ind w:left="138" w:right="0"/>
        <w:jc w:val="both"/>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spacing w:line="240" w:lineRule="auto" w:before="56"/>
        <w:ind w:right="0"/>
        <w:jc w:val="both"/>
      </w:pPr>
      <w:r>
        <w:rPr/>
        <w:t>□适用</w:t>
      </w:r>
      <w:r>
        <w:rPr>
          <w:spacing w:val="-1"/>
        </w:rPr>
        <w:t> </w:t>
      </w:r>
      <w:r>
        <w:rPr/>
        <w:t>√不适用</w:t>
      </w:r>
    </w:p>
    <w:p>
      <w:pPr>
        <w:pStyle w:val="Heading2"/>
        <w:spacing w:line="240" w:lineRule="auto" w:before="58"/>
        <w:ind w:left="138" w:right="0"/>
        <w:jc w:val="both"/>
        <w:rPr>
          <w:b w:val="0"/>
          <w:bCs w:val="0"/>
        </w:rPr>
      </w:pPr>
      <w:r>
        <w:rPr>
          <w:rFonts w:ascii="宋体" w:hAnsi="宋体" w:cs="宋体" w:eastAsia="宋体" w:hint="default"/>
        </w:rPr>
        <w:t>2</w:t>
      </w:r>
      <w:r>
        <w:rPr/>
        <w:t>、</w:t>
      </w:r>
      <w:r>
        <w:rPr>
          <w:spacing w:val="-1"/>
        </w:rPr>
        <w:t> </w:t>
      </w:r>
      <w:r>
        <w:rPr/>
        <w:t>持续和非持续第一层次公允价值计量项目市价的确定依据</w:t>
      </w:r>
      <w:r>
        <w:rPr>
          <w:b w:val="0"/>
          <w:bCs w:val="0"/>
        </w:rPr>
      </w:r>
    </w:p>
    <w:p>
      <w:pPr>
        <w:pStyle w:val="BodyText"/>
        <w:spacing w:line="240" w:lineRule="auto" w:before="56"/>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spacing w:line="240" w:lineRule="auto" w:before="58"/>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spacing w:line="240" w:lineRule="auto" w:before="56"/>
        <w:ind w:right="0"/>
        <w:jc w:val="both"/>
      </w:pPr>
      <w:r>
        <w:rPr/>
        <w:t>□适用</w:t>
      </w:r>
      <w:r>
        <w:rPr>
          <w:spacing w:val="-1"/>
        </w:rPr>
        <w:t> </w:t>
      </w:r>
      <w:r>
        <w:rPr/>
        <w:t>√不适用</w:t>
      </w:r>
    </w:p>
    <w:p>
      <w:pPr>
        <w:spacing w:after="0" w:line="240" w:lineRule="auto"/>
        <w:jc w:val="both"/>
        <w:sectPr>
          <w:footerReference w:type="default" r:id="rId56"/>
          <w:pgSz w:w="11910" w:h="16840"/>
          <w:pgMar w:footer="1195" w:header="882" w:top="1120" w:bottom="1380" w:left="1660" w:right="1140"/>
          <w:pgNumType w:start="121"/>
        </w:sectPr>
      </w:pPr>
    </w:p>
    <w:p>
      <w:pPr>
        <w:spacing w:line="240" w:lineRule="auto" w:before="1"/>
        <w:rPr>
          <w:rFonts w:ascii="宋体" w:hAnsi="宋体" w:cs="宋体" w:eastAsia="宋体" w:hint="default"/>
          <w:sz w:val="25"/>
          <w:szCs w:val="25"/>
        </w:rPr>
      </w:pPr>
    </w:p>
    <w:p>
      <w:pPr>
        <w:pStyle w:val="Heading2"/>
        <w:spacing w:line="240" w:lineRule="auto" w:before="36"/>
        <w:ind w:left="642" w:right="21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spacing w:line="240" w:lineRule="auto" w:before="56"/>
        <w:ind w:left="218" w:right="308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642" w:right="21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spacing w:line="240" w:lineRule="auto" w:before="56"/>
        <w:ind w:left="218" w:right="308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3084"/>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spacing w:line="240" w:lineRule="auto" w:before="58"/>
        <w:ind w:left="218" w:right="308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3084"/>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spacing w:line="240" w:lineRule="auto" w:before="56"/>
        <w:ind w:left="218" w:right="3084"/>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before="36"/>
        <w:ind w:right="0"/>
        <w:jc w:val="left"/>
        <w:rPr>
          <w:b w:val="0"/>
          <w:bCs w:val="0"/>
        </w:rPr>
      </w:pPr>
      <w:r>
        <w:rPr>
          <w:rFonts w:ascii="宋体" w:hAnsi="宋体" w:cs="宋体" w:eastAsia="宋体" w:hint="default"/>
        </w:rPr>
        <w:t>9</w:t>
      </w:r>
      <w:r>
        <w:rPr/>
        <w:t>、</w:t>
      </w:r>
      <w:r>
        <w:rPr>
          <w:spacing w:val="2"/>
        </w:rPr>
        <w:t> </w:t>
      </w:r>
      <w:r>
        <w:rPr/>
        <w:t>其他</w:t>
      </w:r>
      <w:r>
        <w:rPr>
          <w:b w:val="0"/>
          <w:bCs w:val="0"/>
        </w:rPr>
      </w:r>
    </w:p>
    <w:p>
      <w:pPr>
        <w:pStyle w:val="BodyText"/>
        <w:spacing w:line="240" w:lineRule="auto" w:before="58"/>
        <w:ind w:left="218" w:right="0"/>
        <w:jc w:val="left"/>
      </w:pPr>
      <w:r>
        <w:rPr/>
        <w:t>□适用</w:t>
      </w:r>
      <w:r>
        <w:rPr>
          <w:spacing w:val="-1"/>
        </w:rPr>
        <w:t> </w:t>
      </w:r>
      <w:r>
        <w:rPr/>
        <w:t>√不适用</w:t>
      </w:r>
    </w:p>
    <w:p>
      <w:pPr>
        <w:pStyle w:val="Heading2"/>
        <w:tabs>
          <w:tab w:pos="1057" w:val="left" w:leader="none"/>
        </w:tabs>
        <w:spacing w:line="290" w:lineRule="auto" w:before="56"/>
        <w:ind w:right="0"/>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pStyle w:val="BodyText"/>
        <w:spacing w:line="240" w:lineRule="auto" w:before="12"/>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tabs>
          <w:tab w:pos="1480" w:val="left" w:leader="none"/>
        </w:tabs>
        <w:spacing w:line="240" w:lineRule="auto"/>
        <w:ind w:left="218"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580" w:right="1040"/>
          <w:cols w:num="2" w:equalWidth="0">
            <w:col w:w="2748" w:space="3562"/>
            <w:col w:w="2980"/>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87"/>
        <w:gridCol w:w="1234"/>
        <w:gridCol w:w="1464"/>
        <w:gridCol w:w="1464"/>
        <w:gridCol w:w="1683"/>
        <w:gridCol w:w="1817"/>
      </w:tblGrid>
      <w:tr>
        <w:trPr>
          <w:trHeight w:val="85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 w:right="0"/>
              <w:jc w:val="center"/>
              <w:rPr>
                <w:rFonts w:ascii="宋体" w:hAnsi="宋体" w:cs="宋体" w:eastAsia="宋体" w:hint="default"/>
                <w:sz w:val="21"/>
                <w:szCs w:val="21"/>
              </w:rPr>
            </w:pPr>
            <w:r>
              <w:rPr>
                <w:rFonts w:ascii="宋体" w:hAnsi="宋体" w:cs="宋体" w:eastAsia="宋体" w:hint="default"/>
                <w:sz w:val="21"/>
                <w:szCs w:val="21"/>
              </w:rPr>
              <w:t>母公司对本企</w:t>
            </w:r>
          </w:p>
          <w:p>
            <w:pPr>
              <w:pStyle w:val="TableParagraph"/>
              <w:spacing w:line="272" w:lineRule="exact" w:before="27"/>
              <w:ind w:left="206" w:right="202"/>
              <w:jc w:val="center"/>
              <w:rPr>
                <w:rFonts w:ascii="宋体" w:hAnsi="宋体" w:cs="宋体" w:eastAsia="宋体" w:hint="default"/>
                <w:sz w:val="21"/>
                <w:szCs w:val="21"/>
              </w:rPr>
            </w:pPr>
            <w:r>
              <w:rPr>
                <w:rFonts w:ascii="宋体" w:hAnsi="宋体" w:cs="宋体" w:eastAsia="宋体" w:hint="default"/>
                <w:spacing w:val="-1"/>
                <w:sz w:val="21"/>
                <w:szCs w:val="21"/>
              </w:rPr>
              <w:t>业的持股比例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15" w:right="113" w:firstLine="52"/>
              <w:jc w:val="left"/>
              <w:rPr>
                <w:rFonts w:ascii="宋体" w:hAnsi="宋体" w:cs="宋体" w:eastAsia="宋体"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pacing w:val="-2"/>
                <w:sz w:val="21"/>
                <w:szCs w:val="21"/>
              </w:rPr>
              <w:t>的表决权比例</w:t>
            </w:r>
            <w:r>
              <w:rPr>
                <w:rFonts w:ascii="宋体" w:hAnsi="宋体" w:cs="宋体" w:eastAsia="宋体" w:hint="default"/>
                <w:spacing w:val="-2"/>
                <w:sz w:val="21"/>
                <w:szCs w:val="21"/>
              </w:rPr>
              <w:t>(%)</w:t>
            </w:r>
          </w:p>
        </w:tc>
      </w:tr>
      <w:tr>
        <w:trPr>
          <w:trHeight w:val="554"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恒融投资集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投资及投资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sz w:val="21"/>
              </w:rPr>
              <w:t>12,500</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4" w:right="0"/>
              <w:jc w:val="left"/>
              <w:rPr>
                <w:rFonts w:ascii="宋体" w:hAnsi="宋体" w:cs="宋体" w:eastAsia="宋体" w:hint="default"/>
                <w:sz w:val="21"/>
                <w:szCs w:val="21"/>
              </w:rPr>
            </w:pPr>
            <w:r>
              <w:rPr>
                <w:rFonts w:ascii="宋体"/>
                <w:sz w:val="21"/>
              </w:rPr>
              <w:t>46.63</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8" w:right="0"/>
              <w:jc w:val="left"/>
              <w:rPr>
                <w:rFonts w:ascii="宋体" w:hAnsi="宋体" w:cs="宋体" w:eastAsia="宋体" w:hint="default"/>
                <w:sz w:val="21"/>
                <w:szCs w:val="21"/>
              </w:rPr>
            </w:pPr>
            <w:r>
              <w:rPr>
                <w:rFonts w:ascii="宋体"/>
                <w:sz w:val="21"/>
              </w:rPr>
              <w:t>46.43</w:t>
            </w:r>
          </w:p>
        </w:tc>
      </w:tr>
    </w:tbl>
    <w:p>
      <w:pPr>
        <w:pStyle w:val="BodyText"/>
        <w:spacing w:line="240" w:lineRule="exact"/>
        <w:ind w:left="218" w:right="3084"/>
        <w:jc w:val="left"/>
      </w:pPr>
      <w:r>
        <w:rPr/>
        <w:t>本企业的母公司情况的说明</w:t>
      </w:r>
    </w:p>
    <w:p>
      <w:pPr>
        <w:pStyle w:val="BodyText"/>
        <w:spacing w:line="237" w:lineRule="auto" w:before="2"/>
        <w:ind w:left="218" w:right="6516"/>
        <w:jc w:val="left"/>
      </w:pPr>
      <w:r>
        <w:rPr/>
        <w:t>无</w:t>
      </w:r>
      <w:r>
        <w:rPr>
          <w:w w:val="100"/>
        </w:rPr>
        <w:t> </w:t>
      </w:r>
      <w:r>
        <w:rPr>
          <w:spacing w:val="-2"/>
        </w:rPr>
        <w:t>本企业最终控制方是江浩然</w:t>
      </w:r>
      <w:r>
        <w:rPr>
          <w:spacing w:val="-82"/>
        </w:rPr>
        <w:t> </w:t>
      </w:r>
      <w:r>
        <w:rPr>
          <w:spacing w:val="-82"/>
        </w:rPr>
      </w:r>
      <w:r>
        <w:rPr/>
        <w:t>其他说明：</w:t>
      </w:r>
    </w:p>
    <w:p>
      <w:pPr>
        <w:pStyle w:val="BodyText"/>
        <w:spacing w:line="271" w:lineRule="exact"/>
        <w:ind w:left="218" w:right="3084"/>
        <w:jc w:val="left"/>
      </w:pPr>
      <w:r>
        <w:rPr>
          <w:w w:val="100"/>
        </w:rPr>
        <w:t>无</w:t>
      </w:r>
    </w:p>
    <w:p>
      <w:pPr>
        <w:spacing w:line="240" w:lineRule="auto" w:before="3"/>
        <w:rPr>
          <w:rFonts w:ascii="宋体" w:hAnsi="宋体" w:cs="宋体" w:eastAsia="宋体" w:hint="default"/>
          <w:sz w:val="25"/>
          <w:szCs w:val="25"/>
        </w:rPr>
      </w:pPr>
    </w:p>
    <w:p>
      <w:pPr>
        <w:spacing w:line="290" w:lineRule="auto" w:before="0"/>
        <w:ind w:left="218" w:right="4408"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 本企业的子公司情况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2"/>
          <w:sz w:val="21"/>
          <w:szCs w:val="21"/>
        </w:rPr>
        <w:t>本企业子公司的情况详见附注</w:t>
      </w:r>
    </w:p>
    <w:p>
      <w:pPr>
        <w:pStyle w:val="BodyText"/>
        <w:spacing w:line="228" w:lineRule="exact"/>
        <w:ind w:left="218" w:right="308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90" w:lineRule="auto" w:before="0"/>
        <w:ind w:left="218" w:right="3084"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w:t>
      </w:r>
    </w:p>
    <w:p>
      <w:pPr>
        <w:pStyle w:val="BodyText"/>
        <w:spacing w:line="228" w:lineRule="exact"/>
        <w:ind w:left="218" w:right="3084"/>
        <w:jc w:val="left"/>
      </w:pPr>
      <w:r>
        <w:rPr/>
        <w:t>□适用</w:t>
      </w:r>
      <w:r>
        <w:rPr>
          <w:spacing w:val="-1"/>
        </w:rPr>
        <w:t> </w:t>
      </w:r>
      <w:r>
        <w:rPr/>
        <w:t>√不适用</w:t>
      </w:r>
    </w:p>
    <w:p>
      <w:pPr>
        <w:pStyle w:val="BodyText"/>
        <w:spacing w:line="240" w:lineRule="auto"/>
        <w:ind w:left="218" w:right="227"/>
        <w:jc w:val="left"/>
      </w:pPr>
      <w:r>
        <w:rPr>
          <w:spacing w:val="-2"/>
        </w:rPr>
        <w:t>本期与本公司发生关联方交易，或前期与本公司发生关联方交易形成余额的其他合营或联营企业</w:t>
      </w:r>
      <w:r>
        <w:rPr>
          <w:spacing w:val="-25"/>
        </w:rPr>
        <w:t> </w:t>
      </w:r>
      <w:r>
        <w:rPr>
          <w:spacing w:val="-25"/>
        </w:rPr>
      </w:r>
      <w:r>
        <w:rPr/>
        <w:t>情况如下</w:t>
      </w:r>
    </w:p>
    <w:p>
      <w:pPr>
        <w:pStyle w:val="BodyText"/>
        <w:spacing w:line="274" w:lineRule="exact" w:before="22"/>
        <w:ind w:left="218" w:right="7474"/>
        <w:jc w:val="left"/>
      </w:pPr>
      <w:r>
        <w:rPr/>
        <w:t>□适用</w:t>
      </w:r>
      <w:r>
        <w:rPr>
          <w:spacing w:val="-1"/>
        </w:rPr>
        <w:t> </w:t>
      </w:r>
      <w:r>
        <w:rPr/>
        <w:t>√不适用</w:t>
      </w:r>
      <w:r>
        <w:rPr>
          <w:w w:val="100"/>
        </w:rPr>
        <w:t> </w:t>
      </w:r>
      <w:r>
        <w:rPr/>
        <w:t>其他说明</w:t>
      </w:r>
    </w:p>
    <w:p>
      <w:pPr>
        <w:pStyle w:val="BodyText"/>
        <w:spacing w:line="246" w:lineRule="exact"/>
        <w:ind w:left="218" w:right="308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3084"/>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8"/>
        <w:ind w:left="218" w:right="3084"/>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37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天津西奥电梯工程有限公司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本公司股东投资的公司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天津恒银物业管理有限公司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李黎</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本公司实际控制人江浩然之妻</w:t>
            </w:r>
          </w:p>
        </w:tc>
      </w:tr>
    </w:tbl>
    <w:p>
      <w:pPr>
        <w:spacing w:line="240" w:lineRule="auto" w:before="7"/>
        <w:rPr>
          <w:rFonts w:ascii="宋体" w:hAnsi="宋体" w:cs="宋体" w:eastAsia="宋体" w:hint="default"/>
          <w:sz w:val="15"/>
          <w:szCs w:val="15"/>
        </w:rPr>
      </w:pPr>
    </w:p>
    <w:p>
      <w:pPr>
        <w:pStyle w:val="BodyText"/>
        <w:spacing w:line="272" w:lineRule="exact" w:before="64"/>
        <w:ind w:left="218" w:right="1592"/>
        <w:jc w:val="left"/>
      </w:pPr>
      <w:r>
        <w:rPr/>
        <w:t>其他说明</w:t>
      </w:r>
      <w:r>
        <w:rPr>
          <w:w w:val="100"/>
        </w:rPr>
        <w:t> </w:t>
      </w:r>
      <w:r>
        <w:rPr>
          <w:spacing w:val="-2"/>
        </w:rPr>
        <w:t>天津恒银物业管理有限公司与本企业关系：本公司实际控制人控制的公司</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2"/>
        <w:spacing w:line="240" w:lineRule="auto" w:before="36"/>
        <w:ind w:right="-18"/>
        <w:jc w:val="left"/>
        <w:rPr>
          <w:b w:val="0"/>
          <w:bCs w:val="0"/>
        </w:rPr>
      </w:pPr>
      <w:r>
        <w:rPr>
          <w:rFonts w:ascii="宋体" w:hAnsi="宋体" w:cs="宋体" w:eastAsia="宋体" w:hint="default"/>
        </w:rPr>
        <w:t>5</w:t>
      </w:r>
      <w:r>
        <w:rPr/>
        <w:t>、</w:t>
      </w:r>
      <w:r>
        <w:rPr>
          <w:spacing w:val="4"/>
        </w:rPr>
        <w:t> </w:t>
      </w:r>
      <w:r>
        <w:rPr/>
        <w:t>关联交易情况</w:t>
      </w:r>
      <w:r>
        <w:rPr>
          <w:b w:val="0"/>
          <w:bCs w:val="0"/>
        </w:rPr>
      </w:r>
    </w:p>
    <w:p>
      <w:pPr>
        <w:spacing w:line="290" w:lineRule="auto" w:before="58"/>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7"/>
          <w:sz w:val="21"/>
          <w:szCs w:val="21"/>
        </w:rPr>
        <w:t> </w:t>
      </w:r>
      <w:r>
        <w:rPr>
          <w:rFonts w:ascii="宋体" w:hAnsi="宋体" w:cs="宋体" w:eastAsia="宋体" w:hint="default"/>
          <w:b/>
          <w:bCs/>
          <w:sz w:val="21"/>
          <w:szCs w:val="21"/>
        </w:rPr>
        <w:t>购销商品、提供和接受劳务的关联交易</w:t>
      </w:r>
      <w:r>
        <w:rPr>
          <w:rFonts w:ascii="宋体" w:hAnsi="宋体" w:cs="宋体" w:eastAsia="宋体" w:hint="default"/>
          <w:b/>
          <w:bCs/>
          <w:w w:val="100"/>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pStyle w:val="BodyText"/>
        <w:spacing w:line="228" w:lineRule="exact"/>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421" w:space="2101"/>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585"/>
        <w:gridCol w:w="1982"/>
        <w:gridCol w:w="2170"/>
        <w:gridCol w:w="2158"/>
      </w:tblGrid>
      <w:tr>
        <w:trPr>
          <w:trHeight w:val="307"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55"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5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4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天津恒银物业管理有限公司</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物业管理服务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3" w:right="0"/>
              <w:jc w:val="left"/>
              <w:rPr>
                <w:rFonts w:ascii="宋体" w:hAnsi="宋体" w:cs="宋体" w:eastAsia="宋体" w:hint="default"/>
                <w:sz w:val="21"/>
                <w:szCs w:val="21"/>
              </w:rPr>
            </w:pPr>
            <w:r>
              <w:rPr>
                <w:rFonts w:ascii="宋体"/>
                <w:sz w:val="21"/>
              </w:rPr>
              <w:t>1,756,185.00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2" w:right="0"/>
              <w:jc w:val="left"/>
              <w:rPr>
                <w:rFonts w:ascii="宋体" w:hAnsi="宋体" w:cs="宋体" w:eastAsia="宋体" w:hint="default"/>
                <w:sz w:val="21"/>
                <w:szCs w:val="21"/>
              </w:rPr>
            </w:pPr>
            <w:r>
              <w:rPr>
                <w:rFonts w:ascii="宋体"/>
                <w:sz w:val="21"/>
              </w:rPr>
              <w:t>1,785,477.00</w:t>
            </w:r>
          </w:p>
        </w:tc>
      </w:tr>
    </w:tbl>
    <w:p>
      <w:pPr>
        <w:spacing w:line="240" w:lineRule="auto" w:before="7"/>
        <w:rPr>
          <w:rFonts w:ascii="宋体" w:hAnsi="宋体" w:cs="宋体" w:eastAsia="宋体" w:hint="default"/>
          <w:sz w:val="15"/>
          <w:szCs w:val="15"/>
        </w:rPr>
      </w:pPr>
    </w:p>
    <w:p>
      <w:pPr>
        <w:pStyle w:val="BodyText"/>
        <w:spacing w:line="273" w:lineRule="exact" w:before="36"/>
        <w:ind w:left="218" w:right="3084"/>
        <w:jc w:val="left"/>
      </w:pPr>
      <w:r>
        <w:rPr/>
        <w:t>出售商品</w:t>
      </w:r>
      <w:r>
        <w:rPr>
          <w:rFonts w:ascii="宋体" w:hAnsi="宋体" w:cs="宋体" w:eastAsia="宋体" w:hint="default"/>
        </w:rPr>
        <w:t>/</w:t>
      </w:r>
      <w:r>
        <w:rPr/>
        <w:t>提供劳务情况表</w:t>
      </w:r>
    </w:p>
    <w:p>
      <w:pPr>
        <w:pStyle w:val="BodyText"/>
        <w:spacing w:line="240" w:lineRule="auto"/>
        <w:ind w:left="218" w:right="4408"/>
        <w:jc w:val="left"/>
      </w:pPr>
      <w:r>
        <w:rPr/>
        <w:t>□适用</w:t>
      </w:r>
      <w:r>
        <w:rPr>
          <w:spacing w:val="-2"/>
        </w:rPr>
        <w:t> </w:t>
      </w:r>
      <w:r>
        <w:rPr/>
        <w:t>√不适用</w:t>
      </w:r>
      <w:r>
        <w:rPr>
          <w:w w:val="100"/>
        </w:rPr>
        <w:t> </w:t>
      </w:r>
      <w:r>
        <w:rPr>
          <w:spacing w:val="-2"/>
        </w:rPr>
        <w:t>购销商品、提供和接受劳务的关联交易说明</w:t>
      </w:r>
    </w:p>
    <w:p>
      <w:pPr>
        <w:pStyle w:val="BodyText"/>
        <w:spacing w:line="271" w:lineRule="exact"/>
        <w:ind w:left="218" w:right="308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73" w:lineRule="auto" w:before="0"/>
        <w:ind w:left="218" w:right="463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9"/>
          <w:sz w:val="21"/>
          <w:szCs w:val="21"/>
        </w:rPr>
        <w:t> </w:t>
      </w:r>
      <w:r>
        <w:rPr>
          <w:rFonts w:ascii="宋体" w:hAnsi="宋体" w:cs="宋体" w:eastAsia="宋体" w:hint="default"/>
          <w:b/>
          <w:bCs/>
          <w:sz w:val="21"/>
          <w:szCs w:val="21"/>
        </w:rPr>
        <w:t>关联受托管理</w:t>
      </w:r>
      <w:r>
        <w:rPr>
          <w:rFonts w:ascii="Cambria" w:hAnsi="Cambria" w:cs="Cambria" w:eastAsia="Cambria" w:hint="default"/>
          <w:b/>
          <w:bCs/>
          <w:sz w:val="21"/>
          <w:szCs w:val="21"/>
        </w:rPr>
        <w:t>/</w:t>
      </w:r>
      <w:r>
        <w:rPr>
          <w:rFonts w:ascii="宋体" w:hAnsi="宋体" w:cs="宋体" w:eastAsia="宋体" w:hint="default"/>
          <w:b/>
          <w:bCs/>
          <w:sz w:val="21"/>
          <w:szCs w:val="21"/>
        </w:rPr>
        <w:t>承包及委托管理</w:t>
      </w:r>
      <w:r>
        <w:rPr>
          <w:rFonts w:ascii="Cambria" w:hAnsi="Cambria" w:cs="Cambria" w:eastAsia="Cambria"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100"/>
          <w:sz w:val="21"/>
          <w:szCs w:val="21"/>
        </w:rPr>
        <w:t> </w:t>
      </w:r>
      <w:r>
        <w:rPr>
          <w:rFonts w:ascii="宋体" w:hAnsi="宋体" w:cs="宋体" w:eastAsia="宋体" w:hint="default"/>
          <w:sz w:val="21"/>
          <w:szCs w:val="21"/>
        </w:rPr>
        <w:t>本公司受托管理</w:t>
      </w:r>
      <w:r>
        <w:rPr>
          <w:rFonts w:ascii="宋体" w:hAnsi="宋体" w:cs="宋体" w:eastAsia="宋体" w:hint="default"/>
          <w:sz w:val="21"/>
          <w:szCs w:val="21"/>
        </w:rPr>
        <w:t>/</w:t>
      </w:r>
      <w:r>
        <w:rPr>
          <w:rFonts w:ascii="宋体" w:hAnsi="宋体" w:cs="宋体" w:eastAsia="宋体" w:hint="default"/>
          <w:sz w:val="21"/>
          <w:szCs w:val="21"/>
        </w:rPr>
        <w:t>承包情况表：</w:t>
      </w:r>
    </w:p>
    <w:p>
      <w:pPr>
        <w:pStyle w:val="BodyText"/>
        <w:spacing w:line="242" w:lineRule="exact"/>
        <w:ind w:left="218" w:right="3084"/>
        <w:jc w:val="left"/>
      </w:pPr>
      <w:r>
        <w:rPr/>
        <w:t>□适用</w:t>
      </w:r>
      <w:r>
        <w:rPr>
          <w:spacing w:val="-1"/>
        </w:rPr>
        <w:t> </w:t>
      </w:r>
      <w:r>
        <w:rPr/>
        <w:t>√不适用</w:t>
      </w:r>
    </w:p>
    <w:p>
      <w:pPr>
        <w:pStyle w:val="BodyText"/>
        <w:spacing w:line="272" w:lineRule="exact"/>
        <w:ind w:left="218" w:right="3084"/>
        <w:jc w:val="left"/>
      </w:pPr>
      <w:r>
        <w:rPr/>
        <w:t>关联托管</w:t>
      </w:r>
      <w:r>
        <w:rPr>
          <w:rFonts w:ascii="宋体" w:hAnsi="宋体" w:cs="宋体" w:eastAsia="宋体" w:hint="default"/>
        </w:rPr>
        <w:t>/</w:t>
      </w:r>
      <w:r>
        <w:rPr/>
        <w:t>承包情况说明</w:t>
      </w:r>
    </w:p>
    <w:p>
      <w:pPr>
        <w:pStyle w:val="BodyText"/>
        <w:spacing w:line="273" w:lineRule="exact"/>
        <w:ind w:left="218" w:right="3084"/>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left="218" w:right="3084"/>
        <w:jc w:val="left"/>
      </w:pPr>
      <w:r>
        <w:rPr/>
        <w:t>本公司委托管理</w:t>
      </w:r>
      <w:r>
        <w:rPr>
          <w:rFonts w:ascii="宋体" w:hAnsi="宋体" w:cs="宋体" w:eastAsia="宋体" w:hint="default"/>
        </w:rPr>
        <w:t>/</w:t>
      </w:r>
      <w:r>
        <w:rPr/>
        <w:t>出包情况表：</w:t>
      </w:r>
    </w:p>
    <w:p>
      <w:pPr>
        <w:pStyle w:val="BodyText"/>
        <w:spacing w:line="272" w:lineRule="exact" w:before="27"/>
        <w:ind w:left="218" w:right="5857"/>
        <w:jc w:val="left"/>
      </w:pPr>
      <w:r>
        <w:rPr/>
        <w:t>□适用</w:t>
      </w:r>
      <w:r>
        <w:rPr>
          <w:spacing w:val="-2"/>
        </w:rPr>
        <w:t> </w:t>
      </w:r>
      <w:r>
        <w:rPr/>
        <w:t>√不适用</w:t>
      </w:r>
      <w:r>
        <w:rPr>
          <w:w w:val="100"/>
        </w:rPr>
        <w:t> </w:t>
      </w:r>
      <w:r>
        <w:rPr>
          <w:spacing w:val="-2"/>
        </w:rPr>
        <w:t>关联管理</w:t>
      </w:r>
      <w:r>
        <w:rPr>
          <w:rFonts w:ascii="宋体" w:hAnsi="宋体" w:cs="宋体" w:eastAsia="宋体" w:hint="default"/>
          <w:spacing w:val="-2"/>
        </w:rPr>
        <w:t>/</w:t>
      </w:r>
      <w:r>
        <w:rPr>
          <w:spacing w:val="-2"/>
        </w:rPr>
        <w:t>出包情况说明</w:t>
      </w:r>
    </w:p>
    <w:p>
      <w:pPr>
        <w:pStyle w:val="BodyText"/>
        <w:spacing w:line="246" w:lineRule="exact"/>
        <w:ind w:left="218" w:right="3084"/>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spacing w:line="290" w:lineRule="auto" w:before="36"/>
        <w:ind w:left="218" w:right="-1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89"/>
          <w:sz w:val="21"/>
          <w:szCs w:val="21"/>
        </w:rPr>
        <w:t> </w:t>
      </w:r>
      <w:r>
        <w:rPr>
          <w:rFonts w:ascii="宋体" w:hAnsi="宋体" w:cs="宋体" w:eastAsia="宋体" w:hint="default"/>
          <w:b/>
          <w:bCs/>
          <w:sz w:val="21"/>
          <w:szCs w:val="21"/>
        </w:rPr>
        <w:t>关联租赁情况</w:t>
      </w:r>
      <w:r>
        <w:rPr>
          <w:rFonts w:ascii="宋体" w:hAnsi="宋体" w:cs="宋体" w:eastAsia="宋体" w:hint="default"/>
          <w:b/>
          <w:bCs/>
          <w:w w:val="100"/>
          <w:sz w:val="21"/>
          <w:szCs w:val="21"/>
        </w:rPr>
        <w:t> </w:t>
      </w:r>
      <w:r>
        <w:rPr>
          <w:rFonts w:ascii="宋体" w:hAnsi="宋体" w:cs="宋体" w:eastAsia="宋体" w:hint="default"/>
          <w:spacing w:val="-1"/>
          <w:sz w:val="21"/>
          <w:szCs w:val="21"/>
        </w:rPr>
        <w:t>本公司作为出租方：</w:t>
      </w:r>
    </w:p>
    <w:p>
      <w:pPr>
        <w:pStyle w:val="BodyText"/>
        <w:spacing w:line="228" w:lineRule="exact"/>
        <w:ind w:left="218" w:right="-1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112" w:space="4409"/>
            <w:col w:w="2769"/>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776"/>
        <w:gridCol w:w="1983"/>
        <w:gridCol w:w="2463"/>
        <w:gridCol w:w="2674"/>
      </w:tblGrid>
      <w:tr>
        <w:trPr>
          <w:trHeight w:val="348"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7"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5"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84"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天津西奥电梯工程</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房屋租赁</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28,571.42</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28,928.57</w:t>
            </w:r>
          </w:p>
        </w:tc>
      </w:tr>
      <w:tr>
        <w:trPr>
          <w:trHeight w:val="557"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天津恒银物业管理</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房屋租赁</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34,285.72</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34,714.29</w:t>
            </w:r>
          </w:p>
        </w:tc>
      </w:tr>
    </w:tbl>
    <w:p>
      <w:pPr>
        <w:spacing w:line="240" w:lineRule="auto" w:before="5"/>
        <w:rPr>
          <w:rFonts w:ascii="宋体" w:hAnsi="宋体" w:cs="宋体" w:eastAsia="宋体" w:hint="default"/>
          <w:sz w:val="15"/>
          <w:szCs w:val="15"/>
        </w:rPr>
      </w:pPr>
    </w:p>
    <w:p>
      <w:pPr>
        <w:pStyle w:val="BodyText"/>
        <w:spacing w:line="274" w:lineRule="exact" w:before="36"/>
        <w:ind w:left="218" w:right="3084"/>
        <w:jc w:val="left"/>
      </w:pPr>
      <w:r>
        <w:rPr/>
        <w:t>本公司作为承租方：</w:t>
      </w:r>
    </w:p>
    <w:p>
      <w:pPr>
        <w:pStyle w:val="BodyText"/>
        <w:spacing w:line="272" w:lineRule="exact" w:before="27"/>
        <w:ind w:left="218" w:right="7167"/>
        <w:jc w:val="left"/>
      </w:pPr>
      <w:r>
        <w:rPr/>
        <w:t>□适用</w:t>
      </w:r>
      <w:r>
        <w:rPr>
          <w:spacing w:val="-2"/>
        </w:rPr>
        <w:t> </w:t>
      </w:r>
      <w:r>
        <w:rPr/>
        <w:t>√不适用</w:t>
      </w:r>
      <w:r>
        <w:rPr>
          <w:w w:val="100"/>
        </w:rPr>
        <w:t> </w:t>
      </w:r>
      <w:r>
        <w:rPr>
          <w:spacing w:val="-2"/>
        </w:rPr>
        <w:t>关联租赁情况说明</w:t>
      </w:r>
    </w:p>
    <w:p>
      <w:pPr>
        <w:pStyle w:val="BodyText"/>
        <w:spacing w:line="249" w:lineRule="exact"/>
        <w:ind w:left="218" w:right="3084"/>
        <w:jc w:val="left"/>
      </w:pPr>
      <w:r>
        <w:rPr/>
        <w:t>□适用</w:t>
      </w:r>
      <w:r>
        <w:rPr>
          <w:spacing w:val="-1"/>
        </w:rPr>
        <w:t> </w:t>
      </w:r>
      <w:r>
        <w:rPr/>
        <w:t>√不适用</w:t>
      </w:r>
    </w:p>
    <w:p>
      <w:pPr>
        <w:spacing w:after="0" w:line="249" w:lineRule="exact"/>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660" w:right="1060"/>
        </w:sectPr>
      </w:pPr>
    </w:p>
    <w:p>
      <w:pPr>
        <w:spacing w:line="290" w:lineRule="auto" w:before="36"/>
        <w:ind w:left="138" w:right="-1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89"/>
          <w:sz w:val="21"/>
          <w:szCs w:val="21"/>
        </w:rPr>
        <w:t> </w:t>
      </w:r>
      <w:r>
        <w:rPr>
          <w:rFonts w:ascii="宋体" w:hAnsi="宋体" w:cs="宋体" w:eastAsia="宋体" w:hint="default"/>
          <w:b/>
          <w:bCs/>
          <w:sz w:val="21"/>
          <w:szCs w:val="21"/>
        </w:rPr>
        <w:t>关联担保情况</w:t>
      </w:r>
      <w:r>
        <w:rPr>
          <w:rFonts w:ascii="宋体" w:hAnsi="宋体" w:cs="宋体" w:eastAsia="宋体" w:hint="default"/>
          <w:b/>
          <w:bCs/>
          <w:w w:val="100"/>
          <w:sz w:val="21"/>
          <w:szCs w:val="21"/>
        </w:rPr>
        <w:t> </w:t>
      </w:r>
      <w:r>
        <w:rPr>
          <w:rFonts w:ascii="宋体" w:hAnsi="宋体" w:cs="宋体" w:eastAsia="宋体" w:hint="default"/>
          <w:sz w:val="21"/>
          <w:szCs w:val="21"/>
        </w:rPr>
        <w:t>本公司作为担保方</w:t>
      </w:r>
    </w:p>
    <w:p>
      <w:pPr>
        <w:pStyle w:val="BodyText"/>
        <w:spacing w:line="226" w:lineRule="exact"/>
        <w:ind w:right="-10"/>
        <w:jc w:val="left"/>
      </w:pPr>
      <w:r>
        <w:rPr/>
        <w:t>□适用</w:t>
      </w:r>
      <w:r>
        <w:rPr>
          <w:spacing w:val="-1"/>
        </w:rPr>
        <w:t> </w:t>
      </w:r>
      <w:r>
        <w:rPr/>
        <w:t>√不适用</w:t>
      </w:r>
    </w:p>
    <w:p>
      <w:pPr>
        <w:pStyle w:val="BodyText"/>
        <w:spacing w:line="272" w:lineRule="exact"/>
        <w:ind w:right="-8"/>
        <w:jc w:val="left"/>
      </w:pPr>
      <w:r>
        <w:rPr>
          <w:spacing w:val="-1"/>
        </w:rPr>
        <w:t>本公司作为被担保方</w:t>
      </w:r>
    </w:p>
    <w:p>
      <w:pPr>
        <w:pStyle w:val="BodyText"/>
        <w:spacing w:line="273" w:lineRule="exact"/>
        <w:ind w:right="-1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1"/>
        <w:ind w:right="0"/>
        <w:jc w:val="left"/>
      </w:pPr>
      <w:r>
        <w:rPr/>
        <w:t>单位：元币种：人民币</w:t>
      </w:r>
    </w:p>
    <w:p>
      <w:pPr>
        <w:spacing w:after="0" w:line="240" w:lineRule="auto"/>
        <w:jc w:val="left"/>
        <w:sectPr>
          <w:type w:val="continuous"/>
          <w:pgSz w:w="11910" w:h="16840"/>
          <w:pgMar w:top="1120" w:bottom="1380" w:left="1660" w:right="1060"/>
          <w:cols w:num="2" w:equalWidth="0">
            <w:col w:w="2032" w:space="4701"/>
            <w:col w:w="2457"/>
          </w:cols>
        </w:sectPr>
      </w:pPr>
    </w:p>
    <w:p>
      <w:pPr>
        <w:pStyle w:val="BodyText"/>
        <w:tabs>
          <w:tab w:pos="2188" w:val="left" w:leader="none"/>
          <w:tab w:pos="3935" w:val="left" w:leader="none"/>
          <w:tab w:pos="5778" w:val="left" w:leader="none"/>
          <w:tab w:pos="7308" w:val="left" w:leader="none"/>
        </w:tabs>
        <w:spacing w:line="240" w:lineRule="auto" w:before="2"/>
        <w:ind w:left="577" w:right="98"/>
        <w:jc w:val="left"/>
      </w:pPr>
      <w:r>
        <w:rPr/>
        <w:pict>
          <v:group style="position:absolute;margin-left:88.103996pt;margin-top:1.243627pt;width:448.65pt;height:608.3pt;mso-position-horizontal-relative:page;mso-position-vertical-relative:paragraph;z-index:-604768" coordorigin="1762,25" coordsize="8973,12166">
            <v:group style="position:absolute;left:1772;top:34;width:1563;height:2" coordorigin="1772,34" coordsize="1563,2">
              <v:shape style="position:absolute;left:1772;top:34;width:1563;height:2" coordorigin="1772,34" coordsize="1563,0" path="m1772,34l3334,34e" filled="false" stroked="true" strokeweight=".48pt" strokecolor="#000000">
                <v:path arrowok="t"/>
              </v:shape>
            </v:group>
            <v:group style="position:absolute;left:3344;top:34;width:1854;height:2" coordorigin="3344,34" coordsize="1854,2">
              <v:shape style="position:absolute;left:3344;top:34;width:1854;height:2" coordorigin="3344,34" coordsize="1854,0" path="m3344,34l5197,34e" filled="false" stroked="true" strokeweight=".48pt" strokecolor="#000000">
                <v:path arrowok="t"/>
              </v:shape>
            </v:group>
            <v:group style="position:absolute;left:5207;top:34;width:1832;height:2" coordorigin="5207,34" coordsize="1832,2">
              <v:shape style="position:absolute;left:5207;top:34;width:1832;height:2" coordorigin="5207,34" coordsize="1832,0" path="m5207,34l7038,34e" filled="false" stroked="true" strokeweight=".48pt" strokecolor="#000000">
                <v:path arrowok="t"/>
              </v:shape>
            </v:group>
            <v:group style="position:absolute;left:7048;top:34;width:1835;height:2" coordorigin="7048,34" coordsize="1835,2">
              <v:shape style="position:absolute;left:7048;top:34;width:1835;height:2" coordorigin="7048,34" coordsize="1835,0" path="m7048,34l8882,34e" filled="false" stroked="true" strokeweight=".48pt" strokecolor="#000000">
                <v:path arrowok="t"/>
              </v:shape>
            </v:group>
            <v:group style="position:absolute;left:8892;top:34;width:1834;height:2" coordorigin="8892,34" coordsize="1834,2">
              <v:shape style="position:absolute;left:8892;top:34;width:1834;height:2" coordorigin="8892,34" coordsize="1834,0" path="m8892,34l10725,34e" filled="false" stroked="true" strokeweight=".48pt" strokecolor="#000000">
                <v:path arrowok="t"/>
              </v:shape>
            </v:group>
            <v:group style="position:absolute;left:1772;top:589;width:1563;height:2" coordorigin="1772,589" coordsize="1563,2">
              <v:shape style="position:absolute;left:1772;top:589;width:1563;height:2" coordorigin="1772,589" coordsize="1563,0" path="m1772,589l3334,589e" filled="false" stroked="true" strokeweight=".48pt" strokecolor="#000000">
                <v:path arrowok="t"/>
              </v:shape>
            </v:group>
            <v:group style="position:absolute;left:3344;top:589;width:1854;height:2" coordorigin="3344,589" coordsize="1854,2">
              <v:shape style="position:absolute;left:3344;top:589;width:1854;height:2" coordorigin="3344,589" coordsize="1854,0" path="m3344,589l5197,589e" filled="false" stroked="true" strokeweight=".48pt" strokecolor="#000000">
                <v:path arrowok="t"/>
              </v:shape>
            </v:group>
            <v:group style="position:absolute;left:5207;top:589;width:1832;height:2" coordorigin="5207,589" coordsize="1832,2">
              <v:shape style="position:absolute;left:5207;top:589;width:1832;height:2" coordorigin="5207,589" coordsize="1832,0" path="m5207,589l7038,589e" filled="false" stroked="true" strokeweight=".48pt" strokecolor="#000000">
                <v:path arrowok="t"/>
              </v:shape>
            </v:group>
            <v:group style="position:absolute;left:7048;top:589;width:1835;height:2" coordorigin="7048,589" coordsize="1835,2">
              <v:shape style="position:absolute;left:7048;top:589;width:1835;height:2" coordorigin="7048,589" coordsize="1835,0" path="m7048,589l8882,589e" filled="false" stroked="true" strokeweight=".48pt" strokecolor="#000000">
                <v:path arrowok="t"/>
              </v:shape>
            </v:group>
            <v:group style="position:absolute;left:8892;top:589;width:1834;height:2" coordorigin="8892,589" coordsize="1834,2">
              <v:shape style="position:absolute;left:8892;top:589;width:1834;height:2" coordorigin="8892,589" coordsize="1834,0" path="m8892,589l10725,589e" filled="false" stroked="true" strokeweight=".48pt" strokecolor="#000000">
                <v:path arrowok="t"/>
              </v:shape>
            </v:group>
            <v:group style="position:absolute;left:1772;top:1146;width:1563;height:2" coordorigin="1772,1146" coordsize="1563,2">
              <v:shape style="position:absolute;left:1772;top:1146;width:1563;height:2" coordorigin="1772,1146" coordsize="1563,0" path="m1772,1146l3334,1146e" filled="false" stroked="true" strokeweight=".48001pt" strokecolor="#000000">
                <v:path arrowok="t"/>
              </v:shape>
            </v:group>
            <v:group style="position:absolute;left:3344;top:1146;width:1854;height:2" coordorigin="3344,1146" coordsize="1854,2">
              <v:shape style="position:absolute;left:3344;top:1146;width:1854;height:2" coordorigin="3344,1146" coordsize="1854,0" path="m3344,1146l5197,1146e" filled="false" stroked="true" strokeweight=".48001pt" strokecolor="#000000">
                <v:path arrowok="t"/>
              </v:shape>
            </v:group>
            <v:group style="position:absolute;left:5207;top:1146;width:1832;height:2" coordorigin="5207,1146" coordsize="1832,2">
              <v:shape style="position:absolute;left:5207;top:1146;width:1832;height:2" coordorigin="5207,1146" coordsize="1832,0" path="m5207,1146l7038,1146e" filled="false" stroked="true" strokeweight=".48001pt" strokecolor="#000000">
                <v:path arrowok="t"/>
              </v:shape>
            </v:group>
            <v:group style="position:absolute;left:7048;top:1146;width:1835;height:2" coordorigin="7048,1146" coordsize="1835,2">
              <v:shape style="position:absolute;left:7048;top:1146;width:1835;height:2" coordorigin="7048,1146" coordsize="1835,0" path="m7048,1146l8882,1146e" filled="false" stroked="true" strokeweight=".48001pt" strokecolor="#000000">
                <v:path arrowok="t"/>
              </v:shape>
            </v:group>
            <v:group style="position:absolute;left:8892;top:1146;width:1834;height:2" coordorigin="8892,1146" coordsize="1834,2">
              <v:shape style="position:absolute;left:8892;top:1146;width:1834;height:2" coordorigin="8892,1146" coordsize="1834,0" path="m8892,1146l10725,1146e" filled="false" stroked="true" strokeweight=".48001pt" strokecolor="#000000">
                <v:path arrowok="t"/>
              </v:shape>
            </v:group>
            <v:group style="position:absolute;left:1772;top:1701;width:1563;height:2" coordorigin="1772,1701" coordsize="1563,2">
              <v:shape style="position:absolute;left:1772;top:1701;width:1563;height:2" coordorigin="1772,1701" coordsize="1563,0" path="m1772,1701l3334,1701e" filled="false" stroked="true" strokeweight=".48pt" strokecolor="#000000">
                <v:path arrowok="t"/>
              </v:shape>
            </v:group>
            <v:group style="position:absolute;left:3344;top:1701;width:1854;height:2" coordorigin="3344,1701" coordsize="1854,2">
              <v:shape style="position:absolute;left:3344;top:1701;width:1854;height:2" coordorigin="3344,1701" coordsize="1854,0" path="m3344,1701l5197,1701e" filled="false" stroked="true" strokeweight=".48pt" strokecolor="#000000">
                <v:path arrowok="t"/>
              </v:shape>
            </v:group>
            <v:group style="position:absolute;left:5207;top:1701;width:1832;height:2" coordorigin="5207,1701" coordsize="1832,2">
              <v:shape style="position:absolute;left:5207;top:1701;width:1832;height:2" coordorigin="5207,1701" coordsize="1832,0" path="m5207,1701l7038,1701e" filled="false" stroked="true" strokeweight=".48pt" strokecolor="#000000">
                <v:path arrowok="t"/>
              </v:shape>
            </v:group>
            <v:group style="position:absolute;left:7048;top:1701;width:1835;height:2" coordorigin="7048,1701" coordsize="1835,2">
              <v:shape style="position:absolute;left:7048;top:1701;width:1835;height:2" coordorigin="7048,1701" coordsize="1835,0" path="m7048,1701l8882,1701e" filled="false" stroked="true" strokeweight=".48pt" strokecolor="#000000">
                <v:path arrowok="t"/>
              </v:shape>
            </v:group>
            <v:group style="position:absolute;left:8892;top:1701;width:1834;height:2" coordorigin="8892,1701" coordsize="1834,2">
              <v:shape style="position:absolute;left:8892;top:1701;width:1834;height:2" coordorigin="8892,1701" coordsize="1834,0" path="m8892,1701l10725,1701e" filled="false" stroked="true" strokeweight=".48pt" strokecolor="#000000">
                <v:path arrowok="t"/>
              </v:shape>
            </v:group>
            <v:group style="position:absolute;left:1772;top:2255;width:1563;height:2" coordorigin="1772,2255" coordsize="1563,2">
              <v:shape style="position:absolute;left:1772;top:2255;width:1563;height:2" coordorigin="1772,2255" coordsize="1563,0" path="m1772,2255l3334,2255e" filled="false" stroked="true" strokeweight=".47998pt" strokecolor="#000000">
                <v:path arrowok="t"/>
              </v:shape>
            </v:group>
            <v:group style="position:absolute;left:3344;top:2255;width:1854;height:2" coordorigin="3344,2255" coordsize="1854,2">
              <v:shape style="position:absolute;left:3344;top:2255;width:1854;height:2" coordorigin="3344,2255" coordsize="1854,0" path="m3344,2255l5197,2255e" filled="false" stroked="true" strokeweight=".47998pt" strokecolor="#000000">
                <v:path arrowok="t"/>
              </v:shape>
            </v:group>
            <v:group style="position:absolute;left:5207;top:2255;width:1832;height:2" coordorigin="5207,2255" coordsize="1832,2">
              <v:shape style="position:absolute;left:5207;top:2255;width:1832;height:2" coordorigin="5207,2255" coordsize="1832,0" path="m5207,2255l7038,2255e" filled="false" stroked="true" strokeweight=".47998pt" strokecolor="#000000">
                <v:path arrowok="t"/>
              </v:shape>
            </v:group>
            <v:group style="position:absolute;left:7048;top:2255;width:1835;height:2" coordorigin="7048,2255" coordsize="1835,2">
              <v:shape style="position:absolute;left:7048;top:2255;width:1835;height:2" coordorigin="7048,2255" coordsize="1835,0" path="m7048,2255l8882,2255e" filled="false" stroked="true" strokeweight=".47998pt" strokecolor="#000000">
                <v:path arrowok="t"/>
              </v:shape>
            </v:group>
            <v:group style="position:absolute;left:8892;top:2255;width:1834;height:2" coordorigin="8892,2255" coordsize="1834,2">
              <v:shape style="position:absolute;left:8892;top:2255;width:1834;height:2" coordorigin="8892,2255" coordsize="1834,0" path="m8892,2255l10725,2255e" filled="false" stroked="true" strokeweight=".47998pt" strokecolor="#000000">
                <v:path arrowok="t"/>
              </v:shape>
            </v:group>
            <v:group style="position:absolute;left:1772;top:3081;width:1563;height:2" coordorigin="1772,3081" coordsize="1563,2">
              <v:shape style="position:absolute;left:1772;top:3081;width:1563;height:2" coordorigin="1772,3081" coordsize="1563,0" path="m1772,3081l3334,3081e" filled="false" stroked="true" strokeweight=".47998pt" strokecolor="#000000">
                <v:path arrowok="t"/>
              </v:shape>
            </v:group>
            <v:group style="position:absolute;left:3344;top:3081;width:1854;height:2" coordorigin="3344,3081" coordsize="1854,2">
              <v:shape style="position:absolute;left:3344;top:3081;width:1854;height:2" coordorigin="3344,3081" coordsize="1854,0" path="m3344,3081l5197,3081e" filled="false" stroked="true" strokeweight=".47998pt" strokecolor="#000000">
                <v:path arrowok="t"/>
              </v:shape>
            </v:group>
            <v:group style="position:absolute;left:5207;top:3081;width:1832;height:2" coordorigin="5207,3081" coordsize="1832,2">
              <v:shape style="position:absolute;left:5207;top:3081;width:1832;height:2" coordorigin="5207,3081" coordsize="1832,0" path="m5207,3081l7038,3081e" filled="false" stroked="true" strokeweight=".47998pt" strokecolor="#000000">
                <v:path arrowok="t"/>
              </v:shape>
            </v:group>
            <v:group style="position:absolute;left:7048;top:3081;width:1835;height:2" coordorigin="7048,3081" coordsize="1835,2">
              <v:shape style="position:absolute;left:7048;top:3081;width:1835;height:2" coordorigin="7048,3081" coordsize="1835,0" path="m7048,3081l8882,3081e" filled="false" stroked="true" strokeweight=".47998pt" strokecolor="#000000">
                <v:path arrowok="t"/>
              </v:shape>
            </v:group>
            <v:group style="position:absolute;left:8892;top:3081;width:1834;height:2" coordorigin="8892,3081" coordsize="1834,2">
              <v:shape style="position:absolute;left:8892;top:3081;width:1834;height:2" coordorigin="8892,3081" coordsize="1834,0" path="m8892,3081l10725,3081e" filled="false" stroked="true" strokeweight=".47998pt" strokecolor="#000000">
                <v:path arrowok="t"/>
              </v:shape>
            </v:group>
            <v:group style="position:absolute;left:1772;top:3909;width:1563;height:2" coordorigin="1772,3909" coordsize="1563,2">
              <v:shape style="position:absolute;left:1772;top:3909;width:1563;height:2" coordorigin="1772,3909" coordsize="1563,0" path="m1772,3909l3334,3909e" filled="false" stroked="true" strokeweight=".47998pt" strokecolor="#000000">
                <v:path arrowok="t"/>
              </v:shape>
            </v:group>
            <v:group style="position:absolute;left:3344;top:3909;width:1854;height:2" coordorigin="3344,3909" coordsize="1854,2">
              <v:shape style="position:absolute;left:3344;top:3909;width:1854;height:2" coordorigin="3344,3909" coordsize="1854,0" path="m3344,3909l5197,3909e" filled="false" stroked="true" strokeweight=".47998pt" strokecolor="#000000">
                <v:path arrowok="t"/>
              </v:shape>
            </v:group>
            <v:group style="position:absolute;left:5207;top:3909;width:1832;height:2" coordorigin="5207,3909" coordsize="1832,2">
              <v:shape style="position:absolute;left:5207;top:3909;width:1832;height:2" coordorigin="5207,3909" coordsize="1832,0" path="m5207,3909l7038,3909e" filled="false" stroked="true" strokeweight=".47998pt" strokecolor="#000000">
                <v:path arrowok="t"/>
              </v:shape>
            </v:group>
            <v:group style="position:absolute;left:7048;top:3909;width:1835;height:2" coordorigin="7048,3909" coordsize="1835,2">
              <v:shape style="position:absolute;left:7048;top:3909;width:1835;height:2" coordorigin="7048,3909" coordsize="1835,0" path="m7048,3909l8882,3909e" filled="false" stroked="true" strokeweight=".47998pt" strokecolor="#000000">
                <v:path arrowok="t"/>
              </v:shape>
            </v:group>
            <v:group style="position:absolute;left:8892;top:3909;width:1834;height:2" coordorigin="8892,3909" coordsize="1834,2">
              <v:shape style="position:absolute;left:8892;top:3909;width:1834;height:2" coordorigin="8892,3909" coordsize="1834,0" path="m8892,3909l10725,3909e" filled="false" stroked="true" strokeweight=".47998pt" strokecolor="#000000">
                <v:path arrowok="t"/>
              </v:shape>
            </v:group>
            <v:group style="position:absolute;left:1772;top:4737;width:1563;height:2" coordorigin="1772,4737" coordsize="1563,2">
              <v:shape style="position:absolute;left:1772;top:4737;width:1563;height:2" coordorigin="1772,4737" coordsize="1563,0" path="m1772,4737l3334,4737e" filled="false" stroked="true" strokeweight=".48001pt" strokecolor="#000000">
                <v:path arrowok="t"/>
              </v:shape>
            </v:group>
            <v:group style="position:absolute;left:3344;top:4737;width:1854;height:2" coordorigin="3344,4737" coordsize="1854,2">
              <v:shape style="position:absolute;left:3344;top:4737;width:1854;height:2" coordorigin="3344,4737" coordsize="1854,0" path="m3344,4737l5197,4737e" filled="false" stroked="true" strokeweight=".48001pt" strokecolor="#000000">
                <v:path arrowok="t"/>
              </v:shape>
            </v:group>
            <v:group style="position:absolute;left:5207;top:4737;width:1832;height:2" coordorigin="5207,4737" coordsize="1832,2">
              <v:shape style="position:absolute;left:5207;top:4737;width:1832;height:2" coordorigin="5207,4737" coordsize="1832,0" path="m5207,4737l7038,4737e" filled="false" stroked="true" strokeweight=".48001pt" strokecolor="#000000">
                <v:path arrowok="t"/>
              </v:shape>
            </v:group>
            <v:group style="position:absolute;left:7048;top:4737;width:1835;height:2" coordorigin="7048,4737" coordsize="1835,2">
              <v:shape style="position:absolute;left:7048;top:4737;width:1835;height:2" coordorigin="7048,4737" coordsize="1835,0" path="m7048,4737l8882,4737e" filled="false" stroked="true" strokeweight=".48001pt" strokecolor="#000000">
                <v:path arrowok="t"/>
              </v:shape>
            </v:group>
            <v:group style="position:absolute;left:8892;top:4737;width:1834;height:2" coordorigin="8892,4737" coordsize="1834,2">
              <v:shape style="position:absolute;left:8892;top:4737;width:1834;height:2" coordorigin="8892,4737" coordsize="1834,0" path="m8892,4737l10725,4737e" filled="false" stroked="true" strokeweight=".48001pt" strokecolor="#000000">
                <v:path arrowok="t"/>
              </v:shape>
            </v:group>
            <v:group style="position:absolute;left:1772;top:5563;width:1563;height:2" coordorigin="1772,5563" coordsize="1563,2">
              <v:shape style="position:absolute;left:1772;top:5563;width:1563;height:2" coordorigin="1772,5563" coordsize="1563,0" path="m1772,5563l3334,5563e" filled="false" stroked="true" strokeweight=".48001pt" strokecolor="#000000">
                <v:path arrowok="t"/>
              </v:shape>
            </v:group>
            <v:group style="position:absolute;left:3344;top:5563;width:1854;height:2" coordorigin="3344,5563" coordsize="1854,2">
              <v:shape style="position:absolute;left:3344;top:5563;width:1854;height:2" coordorigin="3344,5563" coordsize="1854,0" path="m3344,5563l5197,5563e" filled="false" stroked="true" strokeweight=".48001pt" strokecolor="#000000">
                <v:path arrowok="t"/>
              </v:shape>
            </v:group>
            <v:group style="position:absolute;left:5207;top:5563;width:1832;height:2" coordorigin="5207,5563" coordsize="1832,2">
              <v:shape style="position:absolute;left:5207;top:5563;width:1832;height:2" coordorigin="5207,5563" coordsize="1832,0" path="m5207,5563l7038,5563e" filled="false" stroked="true" strokeweight=".48001pt" strokecolor="#000000">
                <v:path arrowok="t"/>
              </v:shape>
            </v:group>
            <v:group style="position:absolute;left:7048;top:5563;width:1835;height:2" coordorigin="7048,5563" coordsize="1835,2">
              <v:shape style="position:absolute;left:7048;top:5563;width:1835;height:2" coordorigin="7048,5563" coordsize="1835,0" path="m7048,5563l8882,5563e" filled="false" stroked="true" strokeweight=".48001pt" strokecolor="#000000">
                <v:path arrowok="t"/>
              </v:shape>
            </v:group>
            <v:group style="position:absolute;left:8892;top:5563;width:1834;height:2" coordorigin="8892,5563" coordsize="1834,2">
              <v:shape style="position:absolute;left:8892;top:5563;width:1834;height:2" coordorigin="8892,5563" coordsize="1834,0" path="m8892,5563l10725,5563e" filled="false" stroked="true" strokeweight=".48001pt" strokecolor="#000000">
                <v:path arrowok="t"/>
              </v:shape>
            </v:group>
            <v:group style="position:absolute;left:1772;top:6391;width:1563;height:2" coordorigin="1772,6391" coordsize="1563,2">
              <v:shape style="position:absolute;left:1772;top:6391;width:1563;height:2" coordorigin="1772,6391" coordsize="1563,0" path="m1772,6391l3334,6391e" filled="false" stroked="true" strokeweight=".47998pt" strokecolor="#000000">
                <v:path arrowok="t"/>
              </v:shape>
            </v:group>
            <v:group style="position:absolute;left:3344;top:6391;width:1854;height:2" coordorigin="3344,6391" coordsize="1854,2">
              <v:shape style="position:absolute;left:3344;top:6391;width:1854;height:2" coordorigin="3344,6391" coordsize="1854,0" path="m3344,6391l5197,6391e" filled="false" stroked="true" strokeweight=".47998pt" strokecolor="#000000">
                <v:path arrowok="t"/>
              </v:shape>
            </v:group>
            <v:group style="position:absolute;left:5207;top:6391;width:1832;height:2" coordorigin="5207,6391" coordsize="1832,2">
              <v:shape style="position:absolute;left:5207;top:6391;width:1832;height:2" coordorigin="5207,6391" coordsize="1832,0" path="m5207,6391l7038,6391e" filled="false" stroked="true" strokeweight=".47998pt" strokecolor="#000000">
                <v:path arrowok="t"/>
              </v:shape>
            </v:group>
            <v:group style="position:absolute;left:7048;top:6391;width:1835;height:2" coordorigin="7048,6391" coordsize="1835,2">
              <v:shape style="position:absolute;left:7048;top:6391;width:1835;height:2" coordorigin="7048,6391" coordsize="1835,0" path="m7048,6391l8882,6391e" filled="false" stroked="true" strokeweight=".47998pt" strokecolor="#000000">
                <v:path arrowok="t"/>
              </v:shape>
            </v:group>
            <v:group style="position:absolute;left:8892;top:6391;width:1834;height:2" coordorigin="8892,6391" coordsize="1834,2">
              <v:shape style="position:absolute;left:8892;top:6391;width:1834;height:2" coordorigin="8892,6391" coordsize="1834,0" path="m8892,6391l10725,6391e" filled="false" stroked="true" strokeweight=".47998pt" strokecolor="#000000">
                <v:path arrowok="t"/>
              </v:shape>
            </v:group>
            <v:group style="position:absolute;left:1772;top:7216;width:1563;height:2" coordorigin="1772,7216" coordsize="1563,2">
              <v:shape style="position:absolute;left:1772;top:7216;width:1563;height:2" coordorigin="1772,7216" coordsize="1563,0" path="m1772,7216l3334,7216e" filled="false" stroked="true" strokeweight=".48004pt" strokecolor="#000000">
                <v:path arrowok="t"/>
              </v:shape>
            </v:group>
            <v:group style="position:absolute;left:3344;top:7216;width:1854;height:2" coordorigin="3344,7216" coordsize="1854,2">
              <v:shape style="position:absolute;left:3344;top:7216;width:1854;height:2" coordorigin="3344,7216" coordsize="1854,0" path="m3344,7216l5197,7216e" filled="false" stroked="true" strokeweight=".48004pt" strokecolor="#000000">
                <v:path arrowok="t"/>
              </v:shape>
            </v:group>
            <v:group style="position:absolute;left:5207;top:7216;width:1832;height:2" coordorigin="5207,7216" coordsize="1832,2">
              <v:shape style="position:absolute;left:5207;top:7216;width:1832;height:2" coordorigin="5207,7216" coordsize="1832,0" path="m5207,7216l7038,7216e" filled="false" stroked="true" strokeweight=".48004pt" strokecolor="#000000">
                <v:path arrowok="t"/>
              </v:shape>
            </v:group>
            <v:group style="position:absolute;left:7048;top:7216;width:1835;height:2" coordorigin="7048,7216" coordsize="1835,2">
              <v:shape style="position:absolute;left:7048;top:7216;width:1835;height:2" coordorigin="7048,7216" coordsize="1835,0" path="m7048,7216l8882,7216e" filled="false" stroked="true" strokeweight=".48004pt" strokecolor="#000000">
                <v:path arrowok="t"/>
              </v:shape>
            </v:group>
            <v:group style="position:absolute;left:8892;top:7216;width:1834;height:2" coordorigin="8892,7216" coordsize="1834,2">
              <v:shape style="position:absolute;left:8892;top:7216;width:1834;height:2" coordorigin="8892,7216" coordsize="1834,0" path="m8892,7216l10725,7216e" filled="false" stroked="true" strokeweight=".48004pt" strokecolor="#000000">
                <v:path arrowok="t"/>
              </v:shape>
            </v:group>
            <v:group style="position:absolute;left:1772;top:8044;width:1563;height:2" coordorigin="1772,8044" coordsize="1563,2">
              <v:shape style="position:absolute;left:1772;top:8044;width:1563;height:2" coordorigin="1772,8044" coordsize="1563,0" path="m1772,8044l3334,8044e" filled="false" stroked="true" strokeweight=".47998pt" strokecolor="#000000">
                <v:path arrowok="t"/>
              </v:shape>
            </v:group>
            <v:group style="position:absolute;left:3344;top:8044;width:1854;height:2" coordorigin="3344,8044" coordsize="1854,2">
              <v:shape style="position:absolute;left:3344;top:8044;width:1854;height:2" coordorigin="3344,8044" coordsize="1854,0" path="m3344,8044l5197,8044e" filled="false" stroked="true" strokeweight=".47998pt" strokecolor="#000000">
                <v:path arrowok="t"/>
              </v:shape>
            </v:group>
            <v:group style="position:absolute;left:5207;top:8044;width:1832;height:2" coordorigin="5207,8044" coordsize="1832,2">
              <v:shape style="position:absolute;left:5207;top:8044;width:1832;height:2" coordorigin="5207,8044" coordsize="1832,0" path="m5207,8044l7038,8044e" filled="false" stroked="true" strokeweight=".47998pt" strokecolor="#000000">
                <v:path arrowok="t"/>
              </v:shape>
            </v:group>
            <v:group style="position:absolute;left:7048;top:8044;width:1835;height:2" coordorigin="7048,8044" coordsize="1835,2">
              <v:shape style="position:absolute;left:7048;top:8044;width:1835;height:2" coordorigin="7048,8044" coordsize="1835,0" path="m7048,8044l8882,8044e" filled="false" stroked="true" strokeweight=".47998pt" strokecolor="#000000">
                <v:path arrowok="t"/>
              </v:shape>
            </v:group>
            <v:group style="position:absolute;left:8892;top:8044;width:1834;height:2" coordorigin="8892,8044" coordsize="1834,2">
              <v:shape style="position:absolute;left:8892;top:8044;width:1834;height:2" coordorigin="8892,8044" coordsize="1834,0" path="m8892,8044l10725,8044e" filled="false" stroked="true" strokeweight=".47998pt" strokecolor="#000000">
                <v:path arrowok="t"/>
              </v:shape>
            </v:group>
            <v:group style="position:absolute;left:1772;top:8873;width:1563;height:2" coordorigin="1772,8873" coordsize="1563,2">
              <v:shape style="position:absolute;left:1772;top:8873;width:1563;height:2" coordorigin="1772,8873" coordsize="1563,0" path="m1772,8873l3334,8873e" filled="false" stroked="true" strokeweight=".47998pt" strokecolor="#000000">
                <v:path arrowok="t"/>
              </v:shape>
            </v:group>
            <v:group style="position:absolute;left:3344;top:8873;width:1854;height:2" coordorigin="3344,8873" coordsize="1854,2">
              <v:shape style="position:absolute;left:3344;top:8873;width:1854;height:2" coordorigin="3344,8873" coordsize="1854,0" path="m3344,8873l5197,8873e" filled="false" stroked="true" strokeweight=".47998pt" strokecolor="#000000">
                <v:path arrowok="t"/>
              </v:shape>
            </v:group>
            <v:group style="position:absolute;left:5207;top:8873;width:1832;height:2" coordorigin="5207,8873" coordsize="1832,2">
              <v:shape style="position:absolute;left:5207;top:8873;width:1832;height:2" coordorigin="5207,8873" coordsize="1832,0" path="m5207,8873l7038,8873e" filled="false" stroked="true" strokeweight=".47998pt" strokecolor="#000000">
                <v:path arrowok="t"/>
              </v:shape>
            </v:group>
            <v:group style="position:absolute;left:7048;top:8873;width:1835;height:2" coordorigin="7048,8873" coordsize="1835,2">
              <v:shape style="position:absolute;left:7048;top:8873;width:1835;height:2" coordorigin="7048,8873" coordsize="1835,0" path="m7048,8873l8882,8873e" filled="false" stroked="true" strokeweight=".47998pt" strokecolor="#000000">
                <v:path arrowok="t"/>
              </v:shape>
            </v:group>
            <v:group style="position:absolute;left:8892;top:8873;width:1834;height:2" coordorigin="8892,8873" coordsize="1834,2">
              <v:shape style="position:absolute;left:8892;top:8873;width:1834;height:2" coordorigin="8892,8873" coordsize="1834,0" path="m8892,8873l10725,8873e" filled="false" stroked="true" strokeweight=".47998pt" strokecolor="#000000">
                <v:path arrowok="t"/>
              </v:shape>
            </v:group>
            <v:group style="position:absolute;left:1772;top:9698;width:1563;height:2" coordorigin="1772,9698" coordsize="1563,2">
              <v:shape style="position:absolute;left:1772;top:9698;width:1563;height:2" coordorigin="1772,9698" coordsize="1563,0" path="m1772,9698l3334,9698e" filled="false" stroked="true" strokeweight=".48004pt" strokecolor="#000000">
                <v:path arrowok="t"/>
              </v:shape>
            </v:group>
            <v:group style="position:absolute;left:3344;top:9698;width:1854;height:2" coordorigin="3344,9698" coordsize="1854,2">
              <v:shape style="position:absolute;left:3344;top:9698;width:1854;height:2" coordorigin="3344,9698" coordsize="1854,0" path="m3344,9698l5197,9698e" filled="false" stroked="true" strokeweight=".48004pt" strokecolor="#000000">
                <v:path arrowok="t"/>
              </v:shape>
            </v:group>
            <v:group style="position:absolute;left:5207;top:9698;width:1832;height:2" coordorigin="5207,9698" coordsize="1832,2">
              <v:shape style="position:absolute;left:5207;top:9698;width:1832;height:2" coordorigin="5207,9698" coordsize="1832,0" path="m5207,9698l7038,9698e" filled="false" stroked="true" strokeweight=".48004pt" strokecolor="#000000">
                <v:path arrowok="t"/>
              </v:shape>
            </v:group>
            <v:group style="position:absolute;left:7048;top:9698;width:1835;height:2" coordorigin="7048,9698" coordsize="1835,2">
              <v:shape style="position:absolute;left:7048;top:9698;width:1835;height:2" coordorigin="7048,9698" coordsize="1835,0" path="m7048,9698l8882,9698e" filled="false" stroked="true" strokeweight=".48004pt" strokecolor="#000000">
                <v:path arrowok="t"/>
              </v:shape>
            </v:group>
            <v:group style="position:absolute;left:8892;top:9698;width:1834;height:2" coordorigin="8892,9698" coordsize="1834,2">
              <v:shape style="position:absolute;left:8892;top:9698;width:1834;height:2" coordorigin="8892,9698" coordsize="1834,0" path="m8892,9698l10725,9698e" filled="false" stroked="true" strokeweight=".48004pt" strokecolor="#000000">
                <v:path arrowok="t"/>
              </v:shape>
            </v:group>
            <v:group style="position:absolute;left:1772;top:10526;width:1563;height:2" coordorigin="1772,10526" coordsize="1563,2">
              <v:shape style="position:absolute;left:1772;top:10526;width:1563;height:2" coordorigin="1772,10526" coordsize="1563,0" path="m1772,10526l3334,10526e" filled="false" stroked="true" strokeweight=".47998pt" strokecolor="#000000">
                <v:path arrowok="t"/>
              </v:shape>
            </v:group>
            <v:group style="position:absolute;left:3344;top:10526;width:1854;height:2" coordorigin="3344,10526" coordsize="1854,2">
              <v:shape style="position:absolute;left:3344;top:10526;width:1854;height:2" coordorigin="3344,10526" coordsize="1854,0" path="m3344,10526l5197,10526e" filled="false" stroked="true" strokeweight=".47998pt" strokecolor="#000000">
                <v:path arrowok="t"/>
              </v:shape>
            </v:group>
            <v:group style="position:absolute;left:5207;top:10526;width:1832;height:2" coordorigin="5207,10526" coordsize="1832,2">
              <v:shape style="position:absolute;left:5207;top:10526;width:1832;height:2" coordorigin="5207,10526" coordsize="1832,0" path="m5207,10526l7038,10526e" filled="false" stroked="true" strokeweight=".47998pt" strokecolor="#000000">
                <v:path arrowok="t"/>
              </v:shape>
            </v:group>
            <v:group style="position:absolute;left:7048;top:10526;width:1835;height:2" coordorigin="7048,10526" coordsize="1835,2">
              <v:shape style="position:absolute;left:7048;top:10526;width:1835;height:2" coordorigin="7048,10526" coordsize="1835,0" path="m7048,10526l8882,10526e" filled="false" stroked="true" strokeweight=".47998pt" strokecolor="#000000">
                <v:path arrowok="t"/>
              </v:shape>
            </v:group>
            <v:group style="position:absolute;left:8892;top:10526;width:1834;height:2" coordorigin="8892,10526" coordsize="1834,2">
              <v:shape style="position:absolute;left:8892;top:10526;width:1834;height:2" coordorigin="8892,10526" coordsize="1834,0" path="m8892,10526l10725,10526e" filled="false" stroked="true" strokeweight=".47998pt" strokecolor="#000000">
                <v:path arrowok="t"/>
              </v:shape>
            </v:group>
            <v:group style="position:absolute;left:1772;top:11352;width:1563;height:2" coordorigin="1772,11352" coordsize="1563,2">
              <v:shape style="position:absolute;left:1772;top:11352;width:1563;height:2" coordorigin="1772,11352" coordsize="1563,0" path="m1772,11352l3334,11352e" filled="false" stroked="true" strokeweight=".48004pt" strokecolor="#000000">
                <v:path arrowok="t"/>
              </v:shape>
            </v:group>
            <v:group style="position:absolute;left:3344;top:11352;width:1854;height:2" coordorigin="3344,11352" coordsize="1854,2">
              <v:shape style="position:absolute;left:3344;top:11352;width:1854;height:2" coordorigin="3344,11352" coordsize="1854,0" path="m3344,11352l5197,11352e" filled="false" stroked="true" strokeweight=".48004pt" strokecolor="#000000">
                <v:path arrowok="t"/>
              </v:shape>
            </v:group>
            <v:group style="position:absolute;left:5207;top:11352;width:1832;height:2" coordorigin="5207,11352" coordsize="1832,2">
              <v:shape style="position:absolute;left:5207;top:11352;width:1832;height:2" coordorigin="5207,11352" coordsize="1832,0" path="m5207,11352l7038,11352e" filled="false" stroked="true" strokeweight=".48004pt" strokecolor="#000000">
                <v:path arrowok="t"/>
              </v:shape>
            </v:group>
            <v:group style="position:absolute;left:7048;top:11352;width:1835;height:2" coordorigin="7048,11352" coordsize="1835,2">
              <v:shape style="position:absolute;left:7048;top:11352;width:1835;height:2" coordorigin="7048,11352" coordsize="1835,0" path="m7048,11352l8882,11352e" filled="false" stroked="true" strokeweight=".48004pt" strokecolor="#000000">
                <v:path arrowok="t"/>
              </v:shape>
            </v:group>
            <v:group style="position:absolute;left:8892;top:11352;width:1834;height:2" coordorigin="8892,11352" coordsize="1834,2">
              <v:shape style="position:absolute;left:8892;top:11352;width:1834;height:2" coordorigin="8892,11352" coordsize="1834,0" path="m8892,11352l10725,11352e" filled="false" stroked="true" strokeweight=".48004pt" strokecolor="#000000">
                <v:path arrowok="t"/>
              </v:shape>
            </v:group>
            <v:group style="position:absolute;left:1767;top:30;width:2;height:12156" coordorigin="1767,30" coordsize="2,12156">
              <v:shape style="position:absolute;left:1767;top:30;width:2;height:12156" coordorigin="1767,30" coordsize="0,12156" path="m1767,30l1767,12185e" filled="false" stroked="true" strokeweight=".48pt" strokecolor="#000000">
                <v:path arrowok="t"/>
              </v:shape>
            </v:group>
            <v:group style="position:absolute;left:1772;top:12180;width:1563;height:2" coordorigin="1772,12180" coordsize="1563,2">
              <v:shape style="position:absolute;left:1772;top:12180;width:1563;height:2" coordorigin="1772,12180" coordsize="1563,0" path="m1772,12180l3334,12180e" filled="false" stroked="true" strokeweight=".48004pt" strokecolor="#000000">
                <v:path arrowok="t"/>
              </v:shape>
            </v:group>
            <v:group style="position:absolute;left:3339;top:30;width:2;height:12156" coordorigin="3339,30" coordsize="2,12156">
              <v:shape style="position:absolute;left:3339;top:30;width:2;height:12156" coordorigin="3339,30" coordsize="0,12156" path="m3339,30l3339,12185e" filled="false" stroked="true" strokeweight=".48001pt" strokecolor="#000000">
                <v:path arrowok="t"/>
              </v:shape>
            </v:group>
            <v:group style="position:absolute;left:3344;top:12180;width:1854;height:2" coordorigin="3344,12180" coordsize="1854,2">
              <v:shape style="position:absolute;left:3344;top:12180;width:1854;height:2" coordorigin="3344,12180" coordsize="1854,0" path="m3344,12180l5197,12180e" filled="false" stroked="true" strokeweight=".48004pt" strokecolor="#000000">
                <v:path arrowok="t"/>
              </v:shape>
            </v:group>
            <v:group style="position:absolute;left:5202;top:30;width:2;height:12156" coordorigin="5202,30" coordsize="2,12156">
              <v:shape style="position:absolute;left:5202;top:30;width:2;height:12156" coordorigin="5202,30" coordsize="0,12156" path="m5202,30l5202,12185e" filled="false" stroked="true" strokeweight=".48001pt" strokecolor="#000000">
                <v:path arrowok="t"/>
              </v:shape>
            </v:group>
            <v:group style="position:absolute;left:5207;top:12180;width:1832;height:2" coordorigin="5207,12180" coordsize="1832,2">
              <v:shape style="position:absolute;left:5207;top:12180;width:1832;height:2" coordorigin="5207,12180" coordsize="1832,0" path="m5207,12180l7038,12180e" filled="false" stroked="true" strokeweight=".48004pt" strokecolor="#000000">
                <v:path arrowok="t"/>
              </v:shape>
            </v:group>
            <v:group style="position:absolute;left:7043;top:30;width:2;height:12156" coordorigin="7043,30" coordsize="2,12156">
              <v:shape style="position:absolute;left:7043;top:30;width:2;height:12156" coordorigin="7043,30" coordsize="0,12156" path="m7043,30l7043,12185e" filled="false" stroked="true" strokeweight=".47998pt" strokecolor="#000000">
                <v:path arrowok="t"/>
              </v:shape>
            </v:group>
            <v:group style="position:absolute;left:7048;top:12180;width:1835;height:2" coordorigin="7048,12180" coordsize="1835,2">
              <v:shape style="position:absolute;left:7048;top:12180;width:1835;height:2" coordorigin="7048,12180" coordsize="1835,0" path="m7048,12180l8882,12180e" filled="false" stroked="true" strokeweight=".48004pt" strokecolor="#000000">
                <v:path arrowok="t"/>
              </v:shape>
            </v:group>
            <v:group style="position:absolute;left:8887;top:30;width:2;height:12156" coordorigin="8887,30" coordsize="2,12156">
              <v:shape style="position:absolute;left:8887;top:30;width:2;height:12156" coordorigin="8887,30" coordsize="0,12156" path="m8887,30l8887,12185e" filled="false" stroked="true" strokeweight=".47998pt" strokecolor="#000000">
                <v:path arrowok="t"/>
              </v:shape>
            </v:group>
            <v:group style="position:absolute;left:8892;top:12180;width:1834;height:2" coordorigin="8892,12180" coordsize="1834,2">
              <v:shape style="position:absolute;left:8892;top:12180;width:1834;height:2" coordorigin="8892,12180" coordsize="1834,0" path="m8892,12180l10725,12180e" filled="false" stroked="true" strokeweight=".48004pt" strokecolor="#000000">
                <v:path arrowok="t"/>
              </v:shape>
            </v:group>
            <v:group style="position:absolute;left:10730;top:30;width:2;height:12156" coordorigin="10730,30" coordsize="2,12156">
              <v:shape style="position:absolute;left:10730;top:30;width:2;height:12156" coordorigin="10730,30" coordsize="0,12156" path="m10730,30l10730,12185e" filled="false" stroked="true" strokeweight=".48004pt" strokecolor="#000000">
                <v:path arrowok="t"/>
              </v:shape>
            </v:group>
            <w10:wrap type="none"/>
          </v:group>
        </w:pict>
      </w:r>
      <w:r>
        <w:rPr/>
        <w:pict>
          <v:shape style="position:absolute;margin-left:88.344002pt;margin-top:17.128647pt;width:414.55pt;height:591.9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86"/>
                    <w:gridCol w:w="1749"/>
                    <w:gridCol w:w="1841"/>
                    <w:gridCol w:w="1844"/>
                    <w:gridCol w:w="1170"/>
                  </w:tblGrid>
                  <w:tr>
                    <w:trPr>
                      <w:trHeight w:val="246" w:hRule="exact"/>
                    </w:trPr>
                    <w:tc>
                      <w:tcPr>
                        <w:tcW w:w="7120" w:type="dxa"/>
                        <w:gridSpan w:val="4"/>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Style w:val="TableParagraph"/>
                          <w:spacing w:line="211" w:lineRule="exact"/>
                          <w:ind w:right="33"/>
                          <w:jc w:val="right"/>
                          <w:rPr>
                            <w:rFonts w:ascii="宋体" w:hAnsi="宋体" w:cs="宋体" w:eastAsia="宋体" w:hint="default"/>
                            <w:sz w:val="21"/>
                            <w:szCs w:val="21"/>
                          </w:rPr>
                        </w:pPr>
                        <w:r>
                          <w:rPr>
                            <w:rFonts w:ascii="宋体" w:hAnsi="宋体" w:cs="宋体" w:eastAsia="宋体" w:hint="default"/>
                            <w:sz w:val="21"/>
                            <w:szCs w:val="21"/>
                          </w:rPr>
                          <w:t>完毕</w:t>
                        </w:r>
                      </w:p>
                    </w:tc>
                  </w:tr>
                  <w:tr>
                    <w:trPr>
                      <w:trHeight w:val="278"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248" w:lineRule="exact"/>
                          <w:ind w:left="31" w:right="0"/>
                          <w:jc w:val="left"/>
                          <w:rPr>
                            <w:rFonts w:ascii="宋体" w:hAnsi="宋体" w:cs="宋体" w:eastAsia="宋体" w:hint="default"/>
                            <w:sz w:val="21"/>
                            <w:szCs w:val="21"/>
                          </w:rPr>
                        </w:pPr>
                        <w:r>
                          <w:rPr>
                            <w:rFonts w:ascii="宋体" w:hAnsi="宋体" w:cs="宋体" w:eastAsia="宋体" w:hint="default"/>
                            <w:sz w:val="21"/>
                            <w:szCs w:val="21"/>
                          </w:rPr>
                          <w:t>恒融投资集团有</w:t>
                        </w:r>
                      </w:p>
                    </w:tc>
                    <w:tc>
                      <w:tcPr>
                        <w:tcW w:w="1749" w:type="dxa"/>
                        <w:tcBorders>
                          <w:top w:val="nil" w:sz="6" w:space="0" w:color="auto"/>
                          <w:left w:val="nil" w:sz="6" w:space="0" w:color="auto"/>
                          <w:bottom w:val="nil" w:sz="6" w:space="0" w:color="auto"/>
                          <w:right w:val="nil" w:sz="6" w:space="0" w:color="auto"/>
                        </w:tcBorders>
                      </w:tcPr>
                      <w:p>
                        <w:pPr>
                          <w:pStyle w:val="TableParagraph"/>
                          <w:spacing w:line="248" w:lineRule="exact"/>
                          <w:ind w:right="29"/>
                          <w:jc w:val="right"/>
                          <w:rPr>
                            <w:rFonts w:ascii="宋体" w:hAnsi="宋体" w:cs="宋体" w:eastAsia="宋体" w:hint="default"/>
                            <w:sz w:val="21"/>
                            <w:szCs w:val="21"/>
                          </w:rPr>
                        </w:pPr>
                        <w:r>
                          <w:rPr>
                            <w:rFonts w:ascii="宋体"/>
                            <w:spacing w:val="-1"/>
                            <w:sz w:val="21"/>
                          </w:rPr>
                          <w:t>6,545,483.82</w:t>
                        </w:r>
                      </w:p>
                    </w:tc>
                    <w:tc>
                      <w:tcPr>
                        <w:tcW w:w="1841" w:type="dxa"/>
                        <w:tcBorders>
                          <w:top w:val="nil" w:sz="6" w:space="0" w:color="auto"/>
                          <w:left w:val="nil" w:sz="6" w:space="0" w:color="auto"/>
                          <w:bottom w:val="nil" w:sz="6" w:space="0" w:color="auto"/>
                          <w:right w:val="nil" w:sz="6" w:space="0" w:color="auto"/>
                        </w:tcBorders>
                      </w:tcPr>
                      <w:p>
                        <w:pPr>
                          <w:pStyle w:val="TableParagraph"/>
                          <w:spacing w:line="248" w:lineRule="exact"/>
                          <w:ind w:right="24"/>
                          <w:jc w:val="right"/>
                          <w:rPr>
                            <w:rFonts w:ascii="宋体" w:hAnsi="宋体" w:cs="宋体" w:eastAsia="宋体" w:hint="default"/>
                            <w:sz w:val="21"/>
                            <w:szCs w:val="21"/>
                          </w:rPr>
                        </w:pPr>
                        <w:r>
                          <w:rPr>
                            <w:rFonts w:ascii="宋体"/>
                            <w:spacing w:val="-1"/>
                            <w:sz w:val="21"/>
                          </w:rPr>
                          <w:t>2017/8/25</w:t>
                        </w:r>
                      </w:p>
                    </w:tc>
                    <w:tc>
                      <w:tcPr>
                        <w:tcW w:w="1844" w:type="dxa"/>
                        <w:tcBorders>
                          <w:top w:val="nil" w:sz="6" w:space="0" w:color="auto"/>
                          <w:left w:val="nil" w:sz="6" w:space="0" w:color="auto"/>
                          <w:bottom w:val="nil" w:sz="6" w:space="0" w:color="auto"/>
                          <w:right w:val="nil" w:sz="6" w:space="0" w:color="auto"/>
                        </w:tcBorders>
                      </w:tcPr>
                      <w:p>
                        <w:pPr>
                          <w:pStyle w:val="TableParagraph"/>
                          <w:spacing w:line="248" w:lineRule="exact"/>
                          <w:ind w:right="24"/>
                          <w:jc w:val="right"/>
                          <w:rPr>
                            <w:rFonts w:ascii="宋体" w:hAnsi="宋体" w:cs="宋体" w:eastAsia="宋体" w:hint="default"/>
                            <w:sz w:val="21"/>
                            <w:szCs w:val="21"/>
                          </w:rPr>
                        </w:pPr>
                        <w:r>
                          <w:rPr>
                            <w:rFonts w:ascii="宋体"/>
                            <w:spacing w:val="-1"/>
                            <w:sz w:val="21"/>
                          </w:rPr>
                          <w:t>2018/02/24</w:t>
                        </w:r>
                      </w:p>
                    </w:tc>
                    <w:tc>
                      <w:tcPr>
                        <w:tcW w:w="1170" w:type="dxa"/>
                        <w:tcBorders>
                          <w:top w:val="nil" w:sz="6" w:space="0" w:color="auto"/>
                          <w:left w:val="nil" w:sz="6" w:space="0" w:color="auto"/>
                          <w:bottom w:val="nil" w:sz="6" w:space="0" w:color="auto"/>
                          <w:right w:val="nil" w:sz="6" w:space="0" w:color="auto"/>
                        </w:tcBorders>
                      </w:tcPr>
                      <w:p>
                        <w:pPr>
                          <w:pStyle w:val="TableParagraph"/>
                          <w:spacing w:line="248" w:lineRule="exact"/>
                          <w:ind w:right="141"/>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79"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限公司、江浩然</w:t>
                        </w:r>
                      </w:p>
                    </w:tc>
                    <w:tc>
                      <w:tcPr>
                        <w:tcW w:w="1749"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r>
                  <w:tr>
                    <w:trPr>
                      <w:trHeight w:val="276"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246" w:lineRule="exact"/>
                          <w:ind w:left="31" w:right="0"/>
                          <w:jc w:val="left"/>
                          <w:rPr>
                            <w:rFonts w:ascii="宋体" w:hAnsi="宋体" w:cs="宋体" w:eastAsia="宋体" w:hint="default"/>
                            <w:sz w:val="21"/>
                            <w:szCs w:val="21"/>
                          </w:rPr>
                        </w:pPr>
                        <w:r>
                          <w:rPr>
                            <w:rFonts w:ascii="宋体" w:hAnsi="宋体" w:cs="宋体" w:eastAsia="宋体" w:hint="default"/>
                            <w:sz w:val="21"/>
                            <w:szCs w:val="21"/>
                          </w:rPr>
                          <w:t>恒融投资集团有</w:t>
                        </w:r>
                      </w:p>
                    </w:tc>
                    <w:tc>
                      <w:tcPr>
                        <w:tcW w:w="1749" w:type="dxa"/>
                        <w:tcBorders>
                          <w:top w:val="nil" w:sz="6" w:space="0" w:color="auto"/>
                          <w:left w:val="nil" w:sz="6" w:space="0" w:color="auto"/>
                          <w:bottom w:val="nil" w:sz="6" w:space="0" w:color="auto"/>
                          <w:right w:val="nil" w:sz="6" w:space="0" w:color="auto"/>
                        </w:tcBorders>
                      </w:tcPr>
                      <w:p>
                        <w:pPr>
                          <w:pStyle w:val="TableParagraph"/>
                          <w:spacing w:line="246" w:lineRule="exact"/>
                          <w:ind w:right="29"/>
                          <w:jc w:val="right"/>
                          <w:rPr>
                            <w:rFonts w:ascii="宋体" w:hAnsi="宋体" w:cs="宋体" w:eastAsia="宋体" w:hint="default"/>
                            <w:sz w:val="21"/>
                            <w:szCs w:val="21"/>
                          </w:rPr>
                        </w:pPr>
                        <w:r>
                          <w:rPr>
                            <w:rFonts w:ascii="宋体"/>
                            <w:spacing w:val="-1"/>
                            <w:sz w:val="21"/>
                          </w:rPr>
                          <w:t>2,853,480.00</w:t>
                        </w:r>
                      </w:p>
                    </w:tc>
                    <w:tc>
                      <w:tcPr>
                        <w:tcW w:w="1841" w:type="dxa"/>
                        <w:tcBorders>
                          <w:top w:val="nil" w:sz="6" w:space="0" w:color="auto"/>
                          <w:left w:val="nil" w:sz="6" w:space="0" w:color="auto"/>
                          <w:bottom w:val="nil" w:sz="6" w:space="0" w:color="auto"/>
                          <w:right w:val="nil" w:sz="6" w:space="0" w:color="auto"/>
                        </w:tcBorders>
                      </w:tcPr>
                      <w:p>
                        <w:pPr>
                          <w:pStyle w:val="TableParagraph"/>
                          <w:spacing w:line="246" w:lineRule="exact"/>
                          <w:ind w:right="24"/>
                          <w:jc w:val="right"/>
                          <w:rPr>
                            <w:rFonts w:ascii="宋体" w:hAnsi="宋体" w:cs="宋体" w:eastAsia="宋体" w:hint="default"/>
                            <w:sz w:val="21"/>
                            <w:szCs w:val="21"/>
                          </w:rPr>
                        </w:pPr>
                        <w:r>
                          <w:rPr>
                            <w:rFonts w:ascii="宋体"/>
                            <w:spacing w:val="-1"/>
                            <w:sz w:val="21"/>
                          </w:rPr>
                          <w:t>2017/10/18</w:t>
                        </w:r>
                      </w:p>
                    </w:tc>
                    <w:tc>
                      <w:tcPr>
                        <w:tcW w:w="1844" w:type="dxa"/>
                        <w:tcBorders>
                          <w:top w:val="nil" w:sz="6" w:space="0" w:color="auto"/>
                          <w:left w:val="nil" w:sz="6" w:space="0" w:color="auto"/>
                          <w:bottom w:val="nil" w:sz="6" w:space="0" w:color="auto"/>
                          <w:right w:val="nil" w:sz="6" w:space="0" w:color="auto"/>
                        </w:tcBorders>
                      </w:tcPr>
                      <w:p>
                        <w:pPr>
                          <w:pStyle w:val="TableParagraph"/>
                          <w:spacing w:line="246" w:lineRule="exact"/>
                          <w:ind w:right="26"/>
                          <w:jc w:val="right"/>
                          <w:rPr>
                            <w:rFonts w:ascii="宋体" w:hAnsi="宋体" w:cs="宋体" w:eastAsia="宋体" w:hint="default"/>
                            <w:sz w:val="21"/>
                            <w:szCs w:val="21"/>
                          </w:rPr>
                        </w:pPr>
                        <w:r>
                          <w:rPr>
                            <w:rFonts w:ascii="宋体"/>
                            <w:spacing w:val="-1"/>
                            <w:sz w:val="21"/>
                          </w:rPr>
                          <w:t>2018/01/18</w:t>
                        </w:r>
                      </w:p>
                    </w:tc>
                    <w:tc>
                      <w:tcPr>
                        <w:tcW w:w="1170" w:type="dxa"/>
                        <w:tcBorders>
                          <w:top w:val="nil" w:sz="6" w:space="0" w:color="auto"/>
                          <w:left w:val="nil" w:sz="6" w:space="0" w:color="auto"/>
                          <w:bottom w:val="nil" w:sz="6" w:space="0" w:color="auto"/>
                          <w:right w:val="nil" w:sz="6" w:space="0" w:color="auto"/>
                        </w:tcBorders>
                      </w:tcPr>
                      <w:p>
                        <w:pPr>
                          <w:pStyle w:val="TableParagraph"/>
                          <w:spacing w:line="246" w:lineRule="exact"/>
                          <w:ind w:right="141"/>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79"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限公司、江浩然</w:t>
                        </w:r>
                      </w:p>
                    </w:tc>
                    <w:tc>
                      <w:tcPr>
                        <w:tcW w:w="1749"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r>
                  <w:tr>
                    <w:trPr>
                      <w:trHeight w:val="276"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246" w:lineRule="exact"/>
                          <w:ind w:left="31" w:right="0"/>
                          <w:jc w:val="left"/>
                          <w:rPr>
                            <w:rFonts w:ascii="宋体" w:hAnsi="宋体" w:cs="宋体" w:eastAsia="宋体" w:hint="default"/>
                            <w:sz w:val="21"/>
                            <w:szCs w:val="21"/>
                          </w:rPr>
                        </w:pPr>
                        <w:r>
                          <w:rPr>
                            <w:rFonts w:ascii="宋体" w:hAnsi="宋体" w:cs="宋体" w:eastAsia="宋体" w:hint="default"/>
                            <w:sz w:val="21"/>
                            <w:szCs w:val="21"/>
                          </w:rPr>
                          <w:t>恒融投资集团有</w:t>
                        </w:r>
                      </w:p>
                    </w:tc>
                    <w:tc>
                      <w:tcPr>
                        <w:tcW w:w="1749" w:type="dxa"/>
                        <w:tcBorders>
                          <w:top w:val="nil" w:sz="6" w:space="0" w:color="auto"/>
                          <w:left w:val="nil" w:sz="6" w:space="0" w:color="auto"/>
                          <w:bottom w:val="nil" w:sz="6" w:space="0" w:color="auto"/>
                          <w:right w:val="nil" w:sz="6" w:space="0" w:color="auto"/>
                        </w:tcBorders>
                      </w:tcPr>
                      <w:p>
                        <w:pPr>
                          <w:pStyle w:val="TableParagraph"/>
                          <w:spacing w:line="246" w:lineRule="exact"/>
                          <w:ind w:right="29"/>
                          <w:jc w:val="right"/>
                          <w:rPr>
                            <w:rFonts w:ascii="宋体" w:hAnsi="宋体" w:cs="宋体" w:eastAsia="宋体" w:hint="default"/>
                            <w:sz w:val="21"/>
                            <w:szCs w:val="21"/>
                          </w:rPr>
                        </w:pPr>
                        <w:r>
                          <w:rPr>
                            <w:rFonts w:ascii="宋体"/>
                            <w:spacing w:val="-1"/>
                            <w:sz w:val="21"/>
                          </w:rPr>
                          <w:t>5,968,202.85</w:t>
                        </w:r>
                      </w:p>
                    </w:tc>
                    <w:tc>
                      <w:tcPr>
                        <w:tcW w:w="1841" w:type="dxa"/>
                        <w:tcBorders>
                          <w:top w:val="nil" w:sz="6" w:space="0" w:color="auto"/>
                          <w:left w:val="nil" w:sz="6" w:space="0" w:color="auto"/>
                          <w:bottom w:val="nil" w:sz="6" w:space="0" w:color="auto"/>
                          <w:right w:val="nil" w:sz="6" w:space="0" w:color="auto"/>
                        </w:tcBorders>
                      </w:tcPr>
                      <w:p>
                        <w:pPr>
                          <w:pStyle w:val="TableParagraph"/>
                          <w:spacing w:line="246" w:lineRule="exact"/>
                          <w:ind w:right="24"/>
                          <w:jc w:val="right"/>
                          <w:rPr>
                            <w:rFonts w:ascii="宋体" w:hAnsi="宋体" w:cs="宋体" w:eastAsia="宋体" w:hint="default"/>
                            <w:sz w:val="21"/>
                            <w:szCs w:val="21"/>
                          </w:rPr>
                        </w:pPr>
                        <w:r>
                          <w:rPr>
                            <w:rFonts w:ascii="宋体"/>
                            <w:spacing w:val="-1"/>
                            <w:sz w:val="21"/>
                          </w:rPr>
                          <w:t>2017/10/18</w:t>
                        </w:r>
                      </w:p>
                    </w:tc>
                    <w:tc>
                      <w:tcPr>
                        <w:tcW w:w="1844" w:type="dxa"/>
                        <w:tcBorders>
                          <w:top w:val="nil" w:sz="6" w:space="0" w:color="auto"/>
                          <w:left w:val="nil" w:sz="6" w:space="0" w:color="auto"/>
                          <w:bottom w:val="nil" w:sz="6" w:space="0" w:color="auto"/>
                          <w:right w:val="nil" w:sz="6" w:space="0" w:color="auto"/>
                        </w:tcBorders>
                      </w:tcPr>
                      <w:p>
                        <w:pPr>
                          <w:pStyle w:val="TableParagraph"/>
                          <w:spacing w:line="246" w:lineRule="exact"/>
                          <w:ind w:right="24"/>
                          <w:jc w:val="right"/>
                          <w:rPr>
                            <w:rFonts w:ascii="宋体" w:hAnsi="宋体" w:cs="宋体" w:eastAsia="宋体" w:hint="default"/>
                            <w:sz w:val="21"/>
                            <w:szCs w:val="21"/>
                          </w:rPr>
                        </w:pPr>
                        <w:r>
                          <w:rPr>
                            <w:rFonts w:ascii="宋体"/>
                            <w:spacing w:val="-1"/>
                            <w:sz w:val="21"/>
                          </w:rPr>
                          <w:t>2018/04/18</w:t>
                        </w:r>
                      </w:p>
                    </w:tc>
                    <w:tc>
                      <w:tcPr>
                        <w:tcW w:w="1170" w:type="dxa"/>
                        <w:tcBorders>
                          <w:top w:val="nil" w:sz="6" w:space="0" w:color="auto"/>
                          <w:left w:val="nil" w:sz="6" w:space="0" w:color="auto"/>
                          <w:bottom w:val="nil" w:sz="6" w:space="0" w:color="auto"/>
                          <w:right w:val="nil" w:sz="6" w:space="0" w:color="auto"/>
                        </w:tcBorders>
                      </w:tcPr>
                      <w:p>
                        <w:pPr>
                          <w:pStyle w:val="TableParagraph"/>
                          <w:spacing w:line="246" w:lineRule="exact"/>
                          <w:ind w:right="141"/>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79"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限公司、江浩然</w:t>
                        </w:r>
                      </w:p>
                    </w:tc>
                    <w:tc>
                      <w:tcPr>
                        <w:tcW w:w="1749"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r>
                  <w:tr>
                    <w:trPr>
                      <w:trHeight w:val="276"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246" w:lineRule="exact"/>
                          <w:ind w:left="31" w:right="0"/>
                          <w:jc w:val="left"/>
                          <w:rPr>
                            <w:rFonts w:ascii="宋体" w:hAnsi="宋体" w:cs="宋体" w:eastAsia="宋体" w:hint="default"/>
                            <w:sz w:val="21"/>
                            <w:szCs w:val="21"/>
                          </w:rPr>
                        </w:pPr>
                        <w:r>
                          <w:rPr>
                            <w:rFonts w:ascii="宋体" w:hAnsi="宋体" w:cs="宋体" w:eastAsia="宋体" w:hint="default"/>
                            <w:sz w:val="21"/>
                            <w:szCs w:val="21"/>
                          </w:rPr>
                          <w:t>恒融投资集团有</w:t>
                        </w:r>
                      </w:p>
                    </w:tc>
                    <w:tc>
                      <w:tcPr>
                        <w:tcW w:w="1749" w:type="dxa"/>
                        <w:tcBorders>
                          <w:top w:val="nil" w:sz="6" w:space="0" w:color="auto"/>
                          <w:left w:val="nil" w:sz="6" w:space="0" w:color="auto"/>
                          <w:bottom w:val="nil" w:sz="6" w:space="0" w:color="auto"/>
                          <w:right w:val="nil" w:sz="6" w:space="0" w:color="auto"/>
                        </w:tcBorders>
                      </w:tcPr>
                      <w:p>
                        <w:pPr>
                          <w:pStyle w:val="TableParagraph"/>
                          <w:spacing w:line="246" w:lineRule="exact"/>
                          <w:ind w:right="29"/>
                          <w:jc w:val="right"/>
                          <w:rPr>
                            <w:rFonts w:ascii="宋体" w:hAnsi="宋体" w:cs="宋体" w:eastAsia="宋体" w:hint="default"/>
                            <w:sz w:val="21"/>
                            <w:szCs w:val="21"/>
                          </w:rPr>
                        </w:pPr>
                        <w:r>
                          <w:rPr>
                            <w:rFonts w:ascii="宋体"/>
                            <w:spacing w:val="-1"/>
                            <w:sz w:val="21"/>
                          </w:rPr>
                          <w:t>10,054,891.56</w:t>
                        </w:r>
                      </w:p>
                    </w:tc>
                    <w:tc>
                      <w:tcPr>
                        <w:tcW w:w="1841" w:type="dxa"/>
                        <w:tcBorders>
                          <w:top w:val="nil" w:sz="6" w:space="0" w:color="auto"/>
                          <w:left w:val="nil" w:sz="6" w:space="0" w:color="auto"/>
                          <w:bottom w:val="nil" w:sz="6" w:space="0" w:color="auto"/>
                          <w:right w:val="nil" w:sz="6" w:space="0" w:color="auto"/>
                        </w:tcBorders>
                      </w:tcPr>
                      <w:p>
                        <w:pPr>
                          <w:pStyle w:val="TableParagraph"/>
                          <w:spacing w:line="246" w:lineRule="exact"/>
                          <w:ind w:right="24"/>
                          <w:jc w:val="right"/>
                          <w:rPr>
                            <w:rFonts w:ascii="宋体" w:hAnsi="宋体" w:cs="宋体" w:eastAsia="宋体" w:hint="default"/>
                            <w:sz w:val="21"/>
                            <w:szCs w:val="21"/>
                          </w:rPr>
                        </w:pPr>
                        <w:r>
                          <w:rPr>
                            <w:rFonts w:ascii="宋体"/>
                            <w:spacing w:val="-1"/>
                            <w:sz w:val="21"/>
                          </w:rPr>
                          <w:t>2017/11/03</w:t>
                        </w:r>
                      </w:p>
                    </w:tc>
                    <w:tc>
                      <w:tcPr>
                        <w:tcW w:w="1844" w:type="dxa"/>
                        <w:tcBorders>
                          <w:top w:val="nil" w:sz="6" w:space="0" w:color="auto"/>
                          <w:left w:val="nil" w:sz="6" w:space="0" w:color="auto"/>
                          <w:bottom w:val="nil" w:sz="6" w:space="0" w:color="auto"/>
                          <w:right w:val="nil" w:sz="6" w:space="0" w:color="auto"/>
                        </w:tcBorders>
                      </w:tcPr>
                      <w:p>
                        <w:pPr>
                          <w:pStyle w:val="TableParagraph"/>
                          <w:spacing w:line="246" w:lineRule="exact"/>
                          <w:ind w:right="24"/>
                          <w:jc w:val="right"/>
                          <w:rPr>
                            <w:rFonts w:ascii="宋体" w:hAnsi="宋体" w:cs="宋体" w:eastAsia="宋体" w:hint="default"/>
                            <w:sz w:val="21"/>
                            <w:szCs w:val="21"/>
                          </w:rPr>
                        </w:pPr>
                        <w:r>
                          <w:rPr>
                            <w:rFonts w:ascii="宋体"/>
                            <w:spacing w:val="-1"/>
                            <w:sz w:val="21"/>
                          </w:rPr>
                          <w:t>2018/05/03</w:t>
                        </w:r>
                      </w:p>
                    </w:tc>
                    <w:tc>
                      <w:tcPr>
                        <w:tcW w:w="1170" w:type="dxa"/>
                        <w:tcBorders>
                          <w:top w:val="nil" w:sz="6" w:space="0" w:color="auto"/>
                          <w:left w:val="nil" w:sz="6" w:space="0" w:color="auto"/>
                          <w:bottom w:val="nil" w:sz="6" w:space="0" w:color="auto"/>
                          <w:right w:val="nil" w:sz="6" w:space="0" w:color="auto"/>
                        </w:tcBorders>
                      </w:tcPr>
                      <w:p>
                        <w:pPr>
                          <w:pStyle w:val="TableParagraph"/>
                          <w:spacing w:line="246" w:lineRule="exact"/>
                          <w:ind w:right="141"/>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72"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pacing w:val="-9"/>
                            <w:sz w:val="21"/>
                            <w:szCs w:val="21"/>
                          </w:rPr>
                          <w:t>限公司、江浩然、</w:t>
                        </w:r>
                      </w:p>
                    </w:tc>
                    <w:tc>
                      <w:tcPr>
                        <w:tcW w:w="1749"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r>
                  <w:tr>
                    <w:trPr>
                      <w:trHeight w:val="278"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242" w:lineRule="exact"/>
                          <w:ind w:left="31" w:right="0"/>
                          <w:jc w:val="left"/>
                          <w:rPr>
                            <w:rFonts w:ascii="宋体" w:hAnsi="宋体" w:cs="宋体" w:eastAsia="宋体" w:hint="default"/>
                            <w:sz w:val="21"/>
                            <w:szCs w:val="21"/>
                          </w:rPr>
                        </w:pPr>
                        <w:r>
                          <w:rPr>
                            <w:rFonts w:ascii="宋体" w:hAnsi="宋体" w:cs="宋体" w:eastAsia="宋体" w:hint="default"/>
                            <w:sz w:val="21"/>
                            <w:szCs w:val="21"/>
                          </w:rPr>
                          <w:t>李黎</w:t>
                        </w:r>
                      </w:p>
                    </w:tc>
                    <w:tc>
                      <w:tcPr>
                        <w:tcW w:w="1749"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r>
                  <w:tr>
                    <w:trPr>
                      <w:trHeight w:val="278"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248" w:lineRule="exact"/>
                          <w:ind w:left="31" w:right="0"/>
                          <w:jc w:val="left"/>
                          <w:rPr>
                            <w:rFonts w:ascii="宋体" w:hAnsi="宋体" w:cs="宋体" w:eastAsia="宋体" w:hint="default"/>
                            <w:sz w:val="21"/>
                            <w:szCs w:val="21"/>
                          </w:rPr>
                        </w:pPr>
                        <w:r>
                          <w:rPr>
                            <w:rFonts w:ascii="宋体" w:hAnsi="宋体" w:cs="宋体" w:eastAsia="宋体" w:hint="default"/>
                            <w:sz w:val="21"/>
                            <w:szCs w:val="21"/>
                          </w:rPr>
                          <w:t>恒融投资集团有</w:t>
                        </w:r>
                      </w:p>
                    </w:tc>
                    <w:tc>
                      <w:tcPr>
                        <w:tcW w:w="1749" w:type="dxa"/>
                        <w:tcBorders>
                          <w:top w:val="nil" w:sz="6" w:space="0" w:color="auto"/>
                          <w:left w:val="nil" w:sz="6" w:space="0" w:color="auto"/>
                          <w:bottom w:val="nil" w:sz="6" w:space="0" w:color="auto"/>
                          <w:right w:val="nil" w:sz="6" w:space="0" w:color="auto"/>
                        </w:tcBorders>
                      </w:tcPr>
                      <w:p>
                        <w:pPr>
                          <w:pStyle w:val="TableParagraph"/>
                          <w:spacing w:line="248" w:lineRule="exact"/>
                          <w:ind w:right="29"/>
                          <w:jc w:val="right"/>
                          <w:rPr>
                            <w:rFonts w:ascii="宋体" w:hAnsi="宋体" w:cs="宋体" w:eastAsia="宋体" w:hint="default"/>
                            <w:sz w:val="21"/>
                            <w:szCs w:val="21"/>
                          </w:rPr>
                        </w:pPr>
                        <w:r>
                          <w:rPr>
                            <w:rFonts w:ascii="宋体"/>
                            <w:spacing w:val="-1"/>
                            <w:sz w:val="21"/>
                          </w:rPr>
                          <w:t>2,510,113.56</w:t>
                        </w:r>
                      </w:p>
                    </w:tc>
                    <w:tc>
                      <w:tcPr>
                        <w:tcW w:w="1841" w:type="dxa"/>
                        <w:tcBorders>
                          <w:top w:val="nil" w:sz="6" w:space="0" w:color="auto"/>
                          <w:left w:val="nil" w:sz="6" w:space="0" w:color="auto"/>
                          <w:bottom w:val="nil" w:sz="6" w:space="0" w:color="auto"/>
                          <w:right w:val="nil" w:sz="6" w:space="0" w:color="auto"/>
                        </w:tcBorders>
                      </w:tcPr>
                      <w:p>
                        <w:pPr>
                          <w:pStyle w:val="TableParagraph"/>
                          <w:spacing w:line="248" w:lineRule="exact"/>
                          <w:ind w:right="24"/>
                          <w:jc w:val="right"/>
                          <w:rPr>
                            <w:rFonts w:ascii="宋体" w:hAnsi="宋体" w:cs="宋体" w:eastAsia="宋体" w:hint="default"/>
                            <w:sz w:val="21"/>
                            <w:szCs w:val="21"/>
                          </w:rPr>
                        </w:pPr>
                        <w:r>
                          <w:rPr>
                            <w:rFonts w:ascii="宋体"/>
                            <w:spacing w:val="-1"/>
                            <w:sz w:val="21"/>
                          </w:rPr>
                          <w:t>2017/11/07</w:t>
                        </w:r>
                      </w:p>
                    </w:tc>
                    <w:tc>
                      <w:tcPr>
                        <w:tcW w:w="1844" w:type="dxa"/>
                        <w:tcBorders>
                          <w:top w:val="nil" w:sz="6" w:space="0" w:color="auto"/>
                          <w:left w:val="nil" w:sz="6" w:space="0" w:color="auto"/>
                          <w:bottom w:val="nil" w:sz="6" w:space="0" w:color="auto"/>
                          <w:right w:val="nil" w:sz="6" w:space="0" w:color="auto"/>
                        </w:tcBorders>
                      </w:tcPr>
                      <w:p>
                        <w:pPr>
                          <w:pStyle w:val="TableParagraph"/>
                          <w:spacing w:line="248" w:lineRule="exact"/>
                          <w:ind w:right="24"/>
                          <w:jc w:val="right"/>
                          <w:rPr>
                            <w:rFonts w:ascii="宋体" w:hAnsi="宋体" w:cs="宋体" w:eastAsia="宋体" w:hint="default"/>
                            <w:sz w:val="21"/>
                            <w:szCs w:val="21"/>
                          </w:rPr>
                        </w:pPr>
                        <w:r>
                          <w:rPr>
                            <w:rFonts w:ascii="宋体"/>
                            <w:spacing w:val="-1"/>
                            <w:sz w:val="21"/>
                          </w:rPr>
                          <w:t>2018/02/07</w:t>
                        </w:r>
                      </w:p>
                    </w:tc>
                    <w:tc>
                      <w:tcPr>
                        <w:tcW w:w="1170" w:type="dxa"/>
                        <w:tcBorders>
                          <w:top w:val="nil" w:sz="6" w:space="0" w:color="auto"/>
                          <w:left w:val="nil" w:sz="6" w:space="0" w:color="auto"/>
                          <w:bottom w:val="nil" w:sz="6" w:space="0" w:color="auto"/>
                          <w:right w:val="nil" w:sz="6" w:space="0" w:color="auto"/>
                        </w:tcBorders>
                      </w:tcPr>
                      <w:p>
                        <w:pPr>
                          <w:pStyle w:val="TableParagraph"/>
                          <w:spacing w:line="248" w:lineRule="exact"/>
                          <w:ind w:right="141"/>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71"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pacing w:val="-9"/>
                            <w:sz w:val="21"/>
                            <w:szCs w:val="21"/>
                          </w:rPr>
                          <w:t>限公司、江浩然、</w:t>
                        </w:r>
                      </w:p>
                    </w:tc>
                    <w:tc>
                      <w:tcPr>
                        <w:tcW w:w="1749"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r>
                  <w:tr>
                    <w:trPr>
                      <w:trHeight w:val="279"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李黎</w:t>
                        </w:r>
                      </w:p>
                    </w:tc>
                    <w:tc>
                      <w:tcPr>
                        <w:tcW w:w="1749"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r>
                  <w:tr>
                    <w:trPr>
                      <w:trHeight w:val="277"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246" w:lineRule="exact"/>
                          <w:ind w:left="31" w:right="0"/>
                          <w:jc w:val="left"/>
                          <w:rPr>
                            <w:rFonts w:ascii="宋体" w:hAnsi="宋体" w:cs="宋体" w:eastAsia="宋体" w:hint="default"/>
                            <w:sz w:val="21"/>
                            <w:szCs w:val="21"/>
                          </w:rPr>
                        </w:pPr>
                        <w:r>
                          <w:rPr>
                            <w:rFonts w:ascii="宋体" w:hAnsi="宋体" w:cs="宋体" w:eastAsia="宋体" w:hint="default"/>
                            <w:sz w:val="21"/>
                            <w:szCs w:val="21"/>
                          </w:rPr>
                          <w:t>恒融投资集团有</w:t>
                        </w:r>
                      </w:p>
                    </w:tc>
                    <w:tc>
                      <w:tcPr>
                        <w:tcW w:w="1749" w:type="dxa"/>
                        <w:tcBorders>
                          <w:top w:val="nil" w:sz="6" w:space="0" w:color="auto"/>
                          <w:left w:val="nil" w:sz="6" w:space="0" w:color="auto"/>
                          <w:bottom w:val="nil" w:sz="6" w:space="0" w:color="auto"/>
                          <w:right w:val="nil" w:sz="6" w:space="0" w:color="auto"/>
                        </w:tcBorders>
                      </w:tcPr>
                      <w:p>
                        <w:pPr>
                          <w:pStyle w:val="TableParagraph"/>
                          <w:spacing w:line="246" w:lineRule="exact"/>
                          <w:ind w:right="29"/>
                          <w:jc w:val="right"/>
                          <w:rPr>
                            <w:rFonts w:ascii="宋体" w:hAnsi="宋体" w:cs="宋体" w:eastAsia="宋体" w:hint="default"/>
                            <w:sz w:val="21"/>
                            <w:szCs w:val="21"/>
                          </w:rPr>
                        </w:pPr>
                        <w:r>
                          <w:rPr>
                            <w:rFonts w:ascii="宋体"/>
                            <w:spacing w:val="-1"/>
                            <w:sz w:val="21"/>
                          </w:rPr>
                          <w:t>3,552,810.00</w:t>
                        </w:r>
                      </w:p>
                    </w:tc>
                    <w:tc>
                      <w:tcPr>
                        <w:tcW w:w="1841" w:type="dxa"/>
                        <w:tcBorders>
                          <w:top w:val="nil" w:sz="6" w:space="0" w:color="auto"/>
                          <w:left w:val="nil" w:sz="6" w:space="0" w:color="auto"/>
                          <w:bottom w:val="nil" w:sz="6" w:space="0" w:color="auto"/>
                          <w:right w:val="nil" w:sz="6" w:space="0" w:color="auto"/>
                        </w:tcBorders>
                      </w:tcPr>
                      <w:p>
                        <w:pPr>
                          <w:pStyle w:val="TableParagraph"/>
                          <w:spacing w:line="246" w:lineRule="exact"/>
                          <w:ind w:right="24"/>
                          <w:jc w:val="right"/>
                          <w:rPr>
                            <w:rFonts w:ascii="宋体" w:hAnsi="宋体" w:cs="宋体" w:eastAsia="宋体" w:hint="default"/>
                            <w:sz w:val="21"/>
                            <w:szCs w:val="21"/>
                          </w:rPr>
                        </w:pPr>
                        <w:r>
                          <w:rPr>
                            <w:rFonts w:ascii="宋体"/>
                            <w:spacing w:val="-1"/>
                            <w:sz w:val="21"/>
                          </w:rPr>
                          <w:t>2017/11/23</w:t>
                        </w:r>
                      </w:p>
                    </w:tc>
                    <w:tc>
                      <w:tcPr>
                        <w:tcW w:w="1844" w:type="dxa"/>
                        <w:tcBorders>
                          <w:top w:val="nil" w:sz="6" w:space="0" w:color="auto"/>
                          <w:left w:val="nil" w:sz="6" w:space="0" w:color="auto"/>
                          <w:bottom w:val="nil" w:sz="6" w:space="0" w:color="auto"/>
                          <w:right w:val="nil" w:sz="6" w:space="0" w:color="auto"/>
                        </w:tcBorders>
                      </w:tcPr>
                      <w:p>
                        <w:pPr>
                          <w:pStyle w:val="TableParagraph"/>
                          <w:spacing w:line="246" w:lineRule="exact"/>
                          <w:ind w:right="26"/>
                          <w:jc w:val="right"/>
                          <w:rPr>
                            <w:rFonts w:ascii="宋体" w:hAnsi="宋体" w:cs="宋体" w:eastAsia="宋体" w:hint="default"/>
                            <w:sz w:val="21"/>
                            <w:szCs w:val="21"/>
                          </w:rPr>
                        </w:pPr>
                        <w:r>
                          <w:rPr>
                            <w:rFonts w:ascii="宋体"/>
                            <w:spacing w:val="-1"/>
                            <w:sz w:val="21"/>
                          </w:rPr>
                          <w:t>2018/02/23</w:t>
                        </w:r>
                      </w:p>
                    </w:tc>
                    <w:tc>
                      <w:tcPr>
                        <w:tcW w:w="1170" w:type="dxa"/>
                        <w:tcBorders>
                          <w:top w:val="nil" w:sz="6" w:space="0" w:color="auto"/>
                          <w:left w:val="nil" w:sz="6" w:space="0" w:color="auto"/>
                          <w:bottom w:val="nil" w:sz="6" w:space="0" w:color="auto"/>
                          <w:right w:val="nil" w:sz="6" w:space="0" w:color="auto"/>
                        </w:tcBorders>
                      </w:tcPr>
                      <w:p>
                        <w:pPr>
                          <w:pStyle w:val="TableParagraph"/>
                          <w:spacing w:line="246" w:lineRule="exact"/>
                          <w:ind w:right="141"/>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72"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242" w:lineRule="exact"/>
                          <w:ind w:left="31" w:right="0"/>
                          <w:jc w:val="left"/>
                          <w:rPr>
                            <w:rFonts w:ascii="宋体" w:hAnsi="宋体" w:cs="宋体" w:eastAsia="宋体" w:hint="default"/>
                            <w:sz w:val="21"/>
                            <w:szCs w:val="21"/>
                          </w:rPr>
                        </w:pPr>
                        <w:r>
                          <w:rPr>
                            <w:rFonts w:ascii="宋体" w:hAnsi="宋体" w:cs="宋体" w:eastAsia="宋体" w:hint="default"/>
                            <w:spacing w:val="-9"/>
                            <w:sz w:val="21"/>
                            <w:szCs w:val="21"/>
                          </w:rPr>
                          <w:t>限公司、江浩然、</w:t>
                        </w:r>
                      </w:p>
                    </w:tc>
                    <w:tc>
                      <w:tcPr>
                        <w:tcW w:w="1749"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r>
                  <w:tr>
                    <w:trPr>
                      <w:trHeight w:val="279"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李黎</w:t>
                        </w:r>
                      </w:p>
                    </w:tc>
                    <w:tc>
                      <w:tcPr>
                        <w:tcW w:w="1749"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r>
                  <w:tr>
                    <w:trPr>
                      <w:trHeight w:val="276"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246" w:lineRule="exact"/>
                          <w:ind w:left="31" w:right="0"/>
                          <w:jc w:val="left"/>
                          <w:rPr>
                            <w:rFonts w:ascii="宋体" w:hAnsi="宋体" w:cs="宋体" w:eastAsia="宋体" w:hint="default"/>
                            <w:sz w:val="21"/>
                            <w:szCs w:val="21"/>
                          </w:rPr>
                        </w:pPr>
                        <w:r>
                          <w:rPr>
                            <w:rFonts w:ascii="宋体" w:hAnsi="宋体" w:cs="宋体" w:eastAsia="宋体" w:hint="default"/>
                            <w:sz w:val="21"/>
                            <w:szCs w:val="21"/>
                          </w:rPr>
                          <w:t>恒融投资集团有</w:t>
                        </w:r>
                      </w:p>
                    </w:tc>
                    <w:tc>
                      <w:tcPr>
                        <w:tcW w:w="1749" w:type="dxa"/>
                        <w:tcBorders>
                          <w:top w:val="nil" w:sz="6" w:space="0" w:color="auto"/>
                          <w:left w:val="nil" w:sz="6" w:space="0" w:color="auto"/>
                          <w:bottom w:val="nil" w:sz="6" w:space="0" w:color="auto"/>
                          <w:right w:val="nil" w:sz="6" w:space="0" w:color="auto"/>
                        </w:tcBorders>
                      </w:tcPr>
                      <w:p>
                        <w:pPr>
                          <w:pStyle w:val="TableParagraph"/>
                          <w:spacing w:line="246" w:lineRule="exact"/>
                          <w:ind w:right="29"/>
                          <w:jc w:val="right"/>
                          <w:rPr>
                            <w:rFonts w:ascii="宋体" w:hAnsi="宋体" w:cs="宋体" w:eastAsia="宋体" w:hint="default"/>
                            <w:sz w:val="21"/>
                            <w:szCs w:val="21"/>
                          </w:rPr>
                        </w:pPr>
                        <w:r>
                          <w:rPr>
                            <w:rFonts w:ascii="宋体"/>
                            <w:spacing w:val="-1"/>
                            <w:sz w:val="21"/>
                          </w:rPr>
                          <w:t>6,251,320.02</w:t>
                        </w:r>
                      </w:p>
                    </w:tc>
                    <w:tc>
                      <w:tcPr>
                        <w:tcW w:w="1841" w:type="dxa"/>
                        <w:tcBorders>
                          <w:top w:val="nil" w:sz="6" w:space="0" w:color="auto"/>
                          <w:left w:val="nil" w:sz="6" w:space="0" w:color="auto"/>
                          <w:bottom w:val="nil" w:sz="6" w:space="0" w:color="auto"/>
                          <w:right w:val="nil" w:sz="6" w:space="0" w:color="auto"/>
                        </w:tcBorders>
                      </w:tcPr>
                      <w:p>
                        <w:pPr>
                          <w:pStyle w:val="TableParagraph"/>
                          <w:spacing w:line="246" w:lineRule="exact"/>
                          <w:ind w:right="24"/>
                          <w:jc w:val="right"/>
                          <w:rPr>
                            <w:rFonts w:ascii="宋体" w:hAnsi="宋体" w:cs="宋体" w:eastAsia="宋体" w:hint="default"/>
                            <w:sz w:val="21"/>
                            <w:szCs w:val="21"/>
                          </w:rPr>
                        </w:pPr>
                        <w:r>
                          <w:rPr>
                            <w:rFonts w:ascii="宋体"/>
                            <w:spacing w:val="-1"/>
                            <w:sz w:val="21"/>
                          </w:rPr>
                          <w:t>2017/11/23</w:t>
                        </w:r>
                      </w:p>
                    </w:tc>
                    <w:tc>
                      <w:tcPr>
                        <w:tcW w:w="1844" w:type="dxa"/>
                        <w:tcBorders>
                          <w:top w:val="nil" w:sz="6" w:space="0" w:color="auto"/>
                          <w:left w:val="nil" w:sz="6" w:space="0" w:color="auto"/>
                          <w:bottom w:val="nil" w:sz="6" w:space="0" w:color="auto"/>
                          <w:right w:val="nil" w:sz="6" w:space="0" w:color="auto"/>
                        </w:tcBorders>
                      </w:tcPr>
                      <w:p>
                        <w:pPr>
                          <w:pStyle w:val="TableParagraph"/>
                          <w:spacing w:line="246" w:lineRule="exact"/>
                          <w:ind w:right="26"/>
                          <w:jc w:val="right"/>
                          <w:rPr>
                            <w:rFonts w:ascii="宋体" w:hAnsi="宋体" w:cs="宋体" w:eastAsia="宋体" w:hint="default"/>
                            <w:sz w:val="21"/>
                            <w:szCs w:val="21"/>
                          </w:rPr>
                        </w:pPr>
                        <w:r>
                          <w:rPr>
                            <w:rFonts w:ascii="宋体"/>
                            <w:spacing w:val="-1"/>
                            <w:sz w:val="21"/>
                          </w:rPr>
                          <w:t>2018/05/23</w:t>
                        </w:r>
                      </w:p>
                    </w:tc>
                    <w:tc>
                      <w:tcPr>
                        <w:tcW w:w="1170" w:type="dxa"/>
                        <w:tcBorders>
                          <w:top w:val="nil" w:sz="6" w:space="0" w:color="auto"/>
                          <w:left w:val="nil" w:sz="6" w:space="0" w:color="auto"/>
                          <w:bottom w:val="nil" w:sz="6" w:space="0" w:color="auto"/>
                          <w:right w:val="nil" w:sz="6" w:space="0" w:color="auto"/>
                        </w:tcBorders>
                      </w:tcPr>
                      <w:p>
                        <w:pPr>
                          <w:pStyle w:val="TableParagraph"/>
                          <w:spacing w:line="246" w:lineRule="exact"/>
                          <w:ind w:right="141"/>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72"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pacing w:val="-9"/>
                            <w:sz w:val="21"/>
                            <w:szCs w:val="21"/>
                          </w:rPr>
                          <w:t>限公司、江浩然、</w:t>
                        </w:r>
                      </w:p>
                    </w:tc>
                    <w:tc>
                      <w:tcPr>
                        <w:tcW w:w="1749"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r>
                  <w:tr>
                    <w:trPr>
                      <w:trHeight w:val="277"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242" w:lineRule="exact"/>
                          <w:ind w:left="31" w:right="0"/>
                          <w:jc w:val="left"/>
                          <w:rPr>
                            <w:rFonts w:ascii="宋体" w:hAnsi="宋体" w:cs="宋体" w:eastAsia="宋体" w:hint="default"/>
                            <w:sz w:val="21"/>
                            <w:szCs w:val="21"/>
                          </w:rPr>
                        </w:pPr>
                        <w:r>
                          <w:rPr>
                            <w:rFonts w:ascii="宋体" w:hAnsi="宋体" w:cs="宋体" w:eastAsia="宋体" w:hint="default"/>
                            <w:sz w:val="21"/>
                            <w:szCs w:val="21"/>
                          </w:rPr>
                          <w:t>李黎</w:t>
                        </w:r>
                      </w:p>
                    </w:tc>
                    <w:tc>
                      <w:tcPr>
                        <w:tcW w:w="1749"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r>
                  <w:tr>
                    <w:trPr>
                      <w:trHeight w:val="277"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246" w:lineRule="exact"/>
                          <w:ind w:left="31" w:right="0"/>
                          <w:jc w:val="left"/>
                          <w:rPr>
                            <w:rFonts w:ascii="宋体" w:hAnsi="宋体" w:cs="宋体" w:eastAsia="宋体" w:hint="default"/>
                            <w:sz w:val="21"/>
                            <w:szCs w:val="21"/>
                          </w:rPr>
                        </w:pPr>
                        <w:r>
                          <w:rPr>
                            <w:rFonts w:ascii="宋体" w:hAnsi="宋体" w:cs="宋体" w:eastAsia="宋体" w:hint="default"/>
                            <w:sz w:val="21"/>
                            <w:szCs w:val="21"/>
                          </w:rPr>
                          <w:t>恒融投资集团有</w:t>
                        </w:r>
                      </w:p>
                    </w:tc>
                    <w:tc>
                      <w:tcPr>
                        <w:tcW w:w="1749" w:type="dxa"/>
                        <w:tcBorders>
                          <w:top w:val="nil" w:sz="6" w:space="0" w:color="auto"/>
                          <w:left w:val="nil" w:sz="6" w:space="0" w:color="auto"/>
                          <w:bottom w:val="nil" w:sz="6" w:space="0" w:color="auto"/>
                          <w:right w:val="nil" w:sz="6" w:space="0" w:color="auto"/>
                        </w:tcBorders>
                      </w:tcPr>
                      <w:p>
                        <w:pPr>
                          <w:pStyle w:val="TableParagraph"/>
                          <w:spacing w:line="246" w:lineRule="exact"/>
                          <w:ind w:right="29"/>
                          <w:jc w:val="right"/>
                          <w:rPr>
                            <w:rFonts w:ascii="宋体" w:hAnsi="宋体" w:cs="宋体" w:eastAsia="宋体" w:hint="default"/>
                            <w:sz w:val="21"/>
                            <w:szCs w:val="21"/>
                          </w:rPr>
                        </w:pPr>
                        <w:r>
                          <w:rPr>
                            <w:rFonts w:ascii="宋体"/>
                            <w:spacing w:val="-1"/>
                            <w:sz w:val="21"/>
                          </w:rPr>
                          <w:t>11,833,492.67</w:t>
                        </w:r>
                      </w:p>
                    </w:tc>
                    <w:tc>
                      <w:tcPr>
                        <w:tcW w:w="1841" w:type="dxa"/>
                        <w:tcBorders>
                          <w:top w:val="nil" w:sz="6" w:space="0" w:color="auto"/>
                          <w:left w:val="nil" w:sz="6" w:space="0" w:color="auto"/>
                          <w:bottom w:val="nil" w:sz="6" w:space="0" w:color="auto"/>
                          <w:right w:val="nil" w:sz="6" w:space="0" w:color="auto"/>
                        </w:tcBorders>
                      </w:tcPr>
                      <w:p>
                        <w:pPr>
                          <w:pStyle w:val="TableParagraph"/>
                          <w:spacing w:line="246" w:lineRule="exact"/>
                          <w:ind w:right="24"/>
                          <w:jc w:val="right"/>
                          <w:rPr>
                            <w:rFonts w:ascii="宋体" w:hAnsi="宋体" w:cs="宋体" w:eastAsia="宋体" w:hint="default"/>
                            <w:sz w:val="21"/>
                            <w:szCs w:val="21"/>
                          </w:rPr>
                        </w:pPr>
                        <w:r>
                          <w:rPr>
                            <w:rFonts w:ascii="宋体"/>
                            <w:spacing w:val="-1"/>
                            <w:sz w:val="21"/>
                          </w:rPr>
                          <w:t>2017/09/27</w:t>
                        </w:r>
                      </w:p>
                    </w:tc>
                    <w:tc>
                      <w:tcPr>
                        <w:tcW w:w="1844" w:type="dxa"/>
                        <w:tcBorders>
                          <w:top w:val="nil" w:sz="6" w:space="0" w:color="auto"/>
                          <w:left w:val="nil" w:sz="6" w:space="0" w:color="auto"/>
                          <w:bottom w:val="nil" w:sz="6" w:space="0" w:color="auto"/>
                          <w:right w:val="nil" w:sz="6" w:space="0" w:color="auto"/>
                        </w:tcBorders>
                      </w:tcPr>
                      <w:p>
                        <w:pPr>
                          <w:pStyle w:val="TableParagraph"/>
                          <w:spacing w:line="246" w:lineRule="exact"/>
                          <w:ind w:right="24"/>
                          <w:jc w:val="right"/>
                          <w:rPr>
                            <w:rFonts w:ascii="宋体" w:hAnsi="宋体" w:cs="宋体" w:eastAsia="宋体" w:hint="default"/>
                            <w:sz w:val="21"/>
                            <w:szCs w:val="21"/>
                          </w:rPr>
                        </w:pPr>
                        <w:r>
                          <w:rPr>
                            <w:rFonts w:ascii="宋体"/>
                            <w:spacing w:val="-1"/>
                            <w:sz w:val="21"/>
                          </w:rPr>
                          <w:t>2018/03/27</w:t>
                        </w:r>
                      </w:p>
                    </w:tc>
                    <w:tc>
                      <w:tcPr>
                        <w:tcW w:w="1170" w:type="dxa"/>
                        <w:tcBorders>
                          <w:top w:val="nil" w:sz="6" w:space="0" w:color="auto"/>
                          <w:left w:val="nil" w:sz="6" w:space="0" w:color="auto"/>
                          <w:bottom w:val="nil" w:sz="6" w:space="0" w:color="auto"/>
                          <w:right w:val="nil" w:sz="6" w:space="0" w:color="auto"/>
                        </w:tcBorders>
                      </w:tcPr>
                      <w:p>
                        <w:pPr>
                          <w:pStyle w:val="TableParagraph"/>
                          <w:spacing w:line="246" w:lineRule="exact"/>
                          <w:ind w:right="141"/>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72"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242" w:lineRule="exact"/>
                          <w:ind w:left="31" w:right="0"/>
                          <w:jc w:val="left"/>
                          <w:rPr>
                            <w:rFonts w:ascii="宋体" w:hAnsi="宋体" w:cs="宋体" w:eastAsia="宋体" w:hint="default"/>
                            <w:sz w:val="21"/>
                            <w:szCs w:val="21"/>
                          </w:rPr>
                        </w:pPr>
                        <w:r>
                          <w:rPr>
                            <w:rFonts w:ascii="宋体" w:hAnsi="宋体" w:cs="宋体" w:eastAsia="宋体" w:hint="default"/>
                            <w:spacing w:val="-9"/>
                            <w:sz w:val="21"/>
                            <w:szCs w:val="21"/>
                          </w:rPr>
                          <w:t>限公司、江浩然、</w:t>
                        </w:r>
                      </w:p>
                    </w:tc>
                    <w:tc>
                      <w:tcPr>
                        <w:tcW w:w="1749"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r>
                  <w:tr>
                    <w:trPr>
                      <w:trHeight w:val="279"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李黎</w:t>
                        </w:r>
                      </w:p>
                    </w:tc>
                    <w:tc>
                      <w:tcPr>
                        <w:tcW w:w="1749"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r>
                  <w:tr>
                    <w:trPr>
                      <w:trHeight w:val="276"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246" w:lineRule="exact"/>
                          <w:ind w:left="31" w:right="0"/>
                          <w:jc w:val="left"/>
                          <w:rPr>
                            <w:rFonts w:ascii="宋体" w:hAnsi="宋体" w:cs="宋体" w:eastAsia="宋体" w:hint="default"/>
                            <w:sz w:val="21"/>
                            <w:szCs w:val="21"/>
                          </w:rPr>
                        </w:pPr>
                        <w:r>
                          <w:rPr>
                            <w:rFonts w:ascii="宋体" w:hAnsi="宋体" w:cs="宋体" w:eastAsia="宋体" w:hint="default"/>
                            <w:sz w:val="21"/>
                            <w:szCs w:val="21"/>
                          </w:rPr>
                          <w:t>恒融投资集团有</w:t>
                        </w:r>
                      </w:p>
                    </w:tc>
                    <w:tc>
                      <w:tcPr>
                        <w:tcW w:w="1749" w:type="dxa"/>
                        <w:tcBorders>
                          <w:top w:val="nil" w:sz="6" w:space="0" w:color="auto"/>
                          <w:left w:val="nil" w:sz="6" w:space="0" w:color="auto"/>
                          <w:bottom w:val="nil" w:sz="6" w:space="0" w:color="auto"/>
                          <w:right w:val="nil" w:sz="6" w:space="0" w:color="auto"/>
                        </w:tcBorders>
                      </w:tcPr>
                      <w:p>
                        <w:pPr>
                          <w:pStyle w:val="TableParagraph"/>
                          <w:spacing w:line="246" w:lineRule="exact"/>
                          <w:ind w:right="29"/>
                          <w:jc w:val="right"/>
                          <w:rPr>
                            <w:rFonts w:ascii="宋体" w:hAnsi="宋体" w:cs="宋体" w:eastAsia="宋体" w:hint="default"/>
                            <w:sz w:val="21"/>
                            <w:szCs w:val="21"/>
                          </w:rPr>
                        </w:pPr>
                        <w:r>
                          <w:rPr>
                            <w:rFonts w:ascii="宋体"/>
                            <w:spacing w:val="-1"/>
                            <w:sz w:val="21"/>
                          </w:rPr>
                          <w:t>2,382,038.40</w:t>
                        </w:r>
                      </w:p>
                    </w:tc>
                    <w:tc>
                      <w:tcPr>
                        <w:tcW w:w="1841" w:type="dxa"/>
                        <w:tcBorders>
                          <w:top w:val="nil" w:sz="6" w:space="0" w:color="auto"/>
                          <w:left w:val="nil" w:sz="6" w:space="0" w:color="auto"/>
                          <w:bottom w:val="nil" w:sz="6" w:space="0" w:color="auto"/>
                          <w:right w:val="nil" w:sz="6" w:space="0" w:color="auto"/>
                        </w:tcBorders>
                      </w:tcPr>
                      <w:p>
                        <w:pPr>
                          <w:pStyle w:val="TableParagraph"/>
                          <w:spacing w:line="246" w:lineRule="exact"/>
                          <w:ind w:right="24"/>
                          <w:jc w:val="right"/>
                          <w:rPr>
                            <w:rFonts w:ascii="宋体" w:hAnsi="宋体" w:cs="宋体" w:eastAsia="宋体" w:hint="default"/>
                            <w:sz w:val="21"/>
                            <w:szCs w:val="21"/>
                          </w:rPr>
                        </w:pPr>
                        <w:r>
                          <w:rPr>
                            <w:rFonts w:ascii="宋体"/>
                            <w:spacing w:val="-1"/>
                            <w:sz w:val="21"/>
                          </w:rPr>
                          <w:t>2017/12/13</w:t>
                        </w:r>
                      </w:p>
                    </w:tc>
                    <w:tc>
                      <w:tcPr>
                        <w:tcW w:w="1844" w:type="dxa"/>
                        <w:tcBorders>
                          <w:top w:val="nil" w:sz="6" w:space="0" w:color="auto"/>
                          <w:left w:val="nil" w:sz="6" w:space="0" w:color="auto"/>
                          <w:bottom w:val="nil" w:sz="6" w:space="0" w:color="auto"/>
                          <w:right w:val="nil" w:sz="6" w:space="0" w:color="auto"/>
                        </w:tcBorders>
                      </w:tcPr>
                      <w:p>
                        <w:pPr>
                          <w:pStyle w:val="TableParagraph"/>
                          <w:spacing w:line="246" w:lineRule="exact"/>
                          <w:ind w:right="24"/>
                          <w:jc w:val="right"/>
                          <w:rPr>
                            <w:rFonts w:ascii="宋体" w:hAnsi="宋体" w:cs="宋体" w:eastAsia="宋体" w:hint="default"/>
                            <w:sz w:val="21"/>
                            <w:szCs w:val="21"/>
                          </w:rPr>
                        </w:pPr>
                        <w:r>
                          <w:rPr>
                            <w:rFonts w:ascii="宋体"/>
                            <w:spacing w:val="-1"/>
                            <w:sz w:val="21"/>
                          </w:rPr>
                          <w:t>2018/03/13</w:t>
                        </w:r>
                      </w:p>
                    </w:tc>
                    <w:tc>
                      <w:tcPr>
                        <w:tcW w:w="1170" w:type="dxa"/>
                        <w:tcBorders>
                          <w:top w:val="nil" w:sz="6" w:space="0" w:color="auto"/>
                          <w:left w:val="nil" w:sz="6" w:space="0" w:color="auto"/>
                          <w:bottom w:val="nil" w:sz="6" w:space="0" w:color="auto"/>
                          <w:right w:val="nil" w:sz="6" w:space="0" w:color="auto"/>
                        </w:tcBorders>
                      </w:tcPr>
                      <w:p>
                        <w:pPr>
                          <w:pStyle w:val="TableParagraph"/>
                          <w:spacing w:line="246" w:lineRule="exact"/>
                          <w:ind w:right="141"/>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72"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pacing w:val="-9"/>
                            <w:sz w:val="21"/>
                            <w:szCs w:val="21"/>
                          </w:rPr>
                          <w:t>限公司、江浩然、</w:t>
                        </w:r>
                      </w:p>
                    </w:tc>
                    <w:tc>
                      <w:tcPr>
                        <w:tcW w:w="1749"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r>
                  <w:tr>
                    <w:trPr>
                      <w:trHeight w:val="277"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242" w:lineRule="exact"/>
                          <w:ind w:left="31" w:right="0"/>
                          <w:jc w:val="left"/>
                          <w:rPr>
                            <w:rFonts w:ascii="宋体" w:hAnsi="宋体" w:cs="宋体" w:eastAsia="宋体" w:hint="default"/>
                            <w:sz w:val="21"/>
                            <w:szCs w:val="21"/>
                          </w:rPr>
                        </w:pPr>
                        <w:r>
                          <w:rPr>
                            <w:rFonts w:ascii="宋体" w:hAnsi="宋体" w:cs="宋体" w:eastAsia="宋体" w:hint="default"/>
                            <w:sz w:val="21"/>
                            <w:szCs w:val="21"/>
                          </w:rPr>
                          <w:t>李黎</w:t>
                        </w:r>
                      </w:p>
                    </w:tc>
                    <w:tc>
                      <w:tcPr>
                        <w:tcW w:w="1749"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r>
                  <w:tr>
                    <w:trPr>
                      <w:trHeight w:val="278"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248" w:lineRule="exact"/>
                          <w:ind w:left="31" w:right="0"/>
                          <w:jc w:val="left"/>
                          <w:rPr>
                            <w:rFonts w:ascii="宋体" w:hAnsi="宋体" w:cs="宋体" w:eastAsia="宋体" w:hint="default"/>
                            <w:sz w:val="21"/>
                            <w:szCs w:val="21"/>
                          </w:rPr>
                        </w:pPr>
                        <w:r>
                          <w:rPr>
                            <w:rFonts w:ascii="宋体" w:hAnsi="宋体" w:cs="宋体" w:eastAsia="宋体" w:hint="default"/>
                            <w:sz w:val="21"/>
                            <w:szCs w:val="21"/>
                          </w:rPr>
                          <w:t>恒融投资集团有</w:t>
                        </w:r>
                      </w:p>
                    </w:tc>
                    <w:tc>
                      <w:tcPr>
                        <w:tcW w:w="1749" w:type="dxa"/>
                        <w:tcBorders>
                          <w:top w:val="nil" w:sz="6" w:space="0" w:color="auto"/>
                          <w:left w:val="nil" w:sz="6" w:space="0" w:color="auto"/>
                          <w:bottom w:val="nil" w:sz="6" w:space="0" w:color="auto"/>
                          <w:right w:val="nil" w:sz="6" w:space="0" w:color="auto"/>
                        </w:tcBorders>
                      </w:tcPr>
                      <w:p>
                        <w:pPr>
                          <w:pStyle w:val="TableParagraph"/>
                          <w:spacing w:line="248" w:lineRule="exact"/>
                          <w:ind w:right="29"/>
                          <w:jc w:val="right"/>
                          <w:rPr>
                            <w:rFonts w:ascii="宋体" w:hAnsi="宋体" w:cs="宋体" w:eastAsia="宋体" w:hint="default"/>
                            <w:sz w:val="21"/>
                            <w:szCs w:val="21"/>
                          </w:rPr>
                        </w:pPr>
                        <w:r>
                          <w:rPr>
                            <w:rFonts w:ascii="宋体"/>
                            <w:spacing w:val="-1"/>
                            <w:sz w:val="21"/>
                          </w:rPr>
                          <w:t>4,690,948.37</w:t>
                        </w:r>
                      </w:p>
                    </w:tc>
                    <w:tc>
                      <w:tcPr>
                        <w:tcW w:w="1841" w:type="dxa"/>
                        <w:tcBorders>
                          <w:top w:val="nil" w:sz="6" w:space="0" w:color="auto"/>
                          <w:left w:val="nil" w:sz="6" w:space="0" w:color="auto"/>
                          <w:bottom w:val="nil" w:sz="6" w:space="0" w:color="auto"/>
                          <w:right w:val="nil" w:sz="6" w:space="0" w:color="auto"/>
                        </w:tcBorders>
                      </w:tcPr>
                      <w:p>
                        <w:pPr>
                          <w:pStyle w:val="TableParagraph"/>
                          <w:spacing w:line="248" w:lineRule="exact"/>
                          <w:ind w:right="24"/>
                          <w:jc w:val="right"/>
                          <w:rPr>
                            <w:rFonts w:ascii="宋体" w:hAnsi="宋体" w:cs="宋体" w:eastAsia="宋体" w:hint="default"/>
                            <w:sz w:val="21"/>
                            <w:szCs w:val="21"/>
                          </w:rPr>
                        </w:pPr>
                        <w:r>
                          <w:rPr>
                            <w:rFonts w:ascii="宋体"/>
                            <w:spacing w:val="-1"/>
                            <w:sz w:val="21"/>
                          </w:rPr>
                          <w:t>2017/12/13</w:t>
                        </w:r>
                      </w:p>
                    </w:tc>
                    <w:tc>
                      <w:tcPr>
                        <w:tcW w:w="1844" w:type="dxa"/>
                        <w:tcBorders>
                          <w:top w:val="nil" w:sz="6" w:space="0" w:color="auto"/>
                          <w:left w:val="nil" w:sz="6" w:space="0" w:color="auto"/>
                          <w:bottom w:val="nil" w:sz="6" w:space="0" w:color="auto"/>
                          <w:right w:val="nil" w:sz="6" w:space="0" w:color="auto"/>
                        </w:tcBorders>
                      </w:tcPr>
                      <w:p>
                        <w:pPr>
                          <w:pStyle w:val="TableParagraph"/>
                          <w:spacing w:line="248" w:lineRule="exact"/>
                          <w:ind w:right="24"/>
                          <w:jc w:val="right"/>
                          <w:rPr>
                            <w:rFonts w:ascii="宋体" w:hAnsi="宋体" w:cs="宋体" w:eastAsia="宋体" w:hint="default"/>
                            <w:sz w:val="21"/>
                            <w:szCs w:val="21"/>
                          </w:rPr>
                        </w:pPr>
                        <w:r>
                          <w:rPr>
                            <w:rFonts w:ascii="宋体"/>
                            <w:spacing w:val="-1"/>
                            <w:sz w:val="21"/>
                          </w:rPr>
                          <w:t>2018/06/13</w:t>
                        </w:r>
                      </w:p>
                    </w:tc>
                    <w:tc>
                      <w:tcPr>
                        <w:tcW w:w="1170" w:type="dxa"/>
                        <w:tcBorders>
                          <w:top w:val="nil" w:sz="6" w:space="0" w:color="auto"/>
                          <w:left w:val="nil" w:sz="6" w:space="0" w:color="auto"/>
                          <w:bottom w:val="nil" w:sz="6" w:space="0" w:color="auto"/>
                          <w:right w:val="nil" w:sz="6" w:space="0" w:color="auto"/>
                        </w:tcBorders>
                      </w:tcPr>
                      <w:p>
                        <w:pPr>
                          <w:pStyle w:val="TableParagraph"/>
                          <w:spacing w:line="248" w:lineRule="exact"/>
                          <w:ind w:right="141"/>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71"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pacing w:val="-9"/>
                            <w:sz w:val="21"/>
                            <w:szCs w:val="21"/>
                          </w:rPr>
                          <w:t>限公司、江浩然、</w:t>
                        </w:r>
                      </w:p>
                    </w:tc>
                    <w:tc>
                      <w:tcPr>
                        <w:tcW w:w="1749"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r>
                  <w:tr>
                    <w:trPr>
                      <w:trHeight w:val="279"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李黎</w:t>
                        </w:r>
                      </w:p>
                    </w:tc>
                    <w:tc>
                      <w:tcPr>
                        <w:tcW w:w="1749"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r>
                  <w:tr>
                    <w:trPr>
                      <w:trHeight w:val="277"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246" w:lineRule="exact"/>
                          <w:ind w:left="31" w:right="0"/>
                          <w:jc w:val="left"/>
                          <w:rPr>
                            <w:rFonts w:ascii="宋体" w:hAnsi="宋体" w:cs="宋体" w:eastAsia="宋体" w:hint="default"/>
                            <w:sz w:val="21"/>
                            <w:szCs w:val="21"/>
                          </w:rPr>
                        </w:pPr>
                        <w:r>
                          <w:rPr>
                            <w:rFonts w:ascii="宋体" w:hAnsi="宋体" w:cs="宋体" w:eastAsia="宋体" w:hint="default"/>
                            <w:sz w:val="21"/>
                            <w:szCs w:val="21"/>
                          </w:rPr>
                          <w:t>恒融投资集团有</w:t>
                        </w:r>
                      </w:p>
                    </w:tc>
                    <w:tc>
                      <w:tcPr>
                        <w:tcW w:w="1749" w:type="dxa"/>
                        <w:tcBorders>
                          <w:top w:val="nil" w:sz="6" w:space="0" w:color="auto"/>
                          <w:left w:val="nil" w:sz="6" w:space="0" w:color="auto"/>
                          <w:bottom w:val="nil" w:sz="6" w:space="0" w:color="auto"/>
                          <w:right w:val="nil" w:sz="6" w:space="0" w:color="auto"/>
                        </w:tcBorders>
                      </w:tcPr>
                      <w:p>
                        <w:pPr>
                          <w:pStyle w:val="TableParagraph"/>
                          <w:spacing w:line="246" w:lineRule="exact"/>
                          <w:ind w:right="29"/>
                          <w:jc w:val="right"/>
                          <w:rPr>
                            <w:rFonts w:ascii="宋体" w:hAnsi="宋体" w:cs="宋体" w:eastAsia="宋体" w:hint="default"/>
                            <w:sz w:val="21"/>
                            <w:szCs w:val="21"/>
                          </w:rPr>
                        </w:pPr>
                        <w:r>
                          <w:rPr>
                            <w:rFonts w:ascii="宋体"/>
                            <w:sz w:val="21"/>
                          </w:rPr>
                          <w:t>USD</w:t>
                        </w:r>
                        <w:r>
                          <w:rPr>
                            <w:rFonts w:ascii="宋体"/>
                            <w:spacing w:val="1"/>
                            <w:sz w:val="21"/>
                          </w:rPr>
                          <w:t> </w:t>
                        </w:r>
                        <w:r>
                          <w:rPr>
                            <w:rFonts w:ascii="宋体"/>
                            <w:sz w:val="21"/>
                          </w:rPr>
                          <w:t>416,250.00</w:t>
                        </w:r>
                      </w:p>
                    </w:tc>
                    <w:tc>
                      <w:tcPr>
                        <w:tcW w:w="1841" w:type="dxa"/>
                        <w:tcBorders>
                          <w:top w:val="nil" w:sz="6" w:space="0" w:color="auto"/>
                          <w:left w:val="nil" w:sz="6" w:space="0" w:color="auto"/>
                          <w:bottom w:val="nil" w:sz="6" w:space="0" w:color="auto"/>
                          <w:right w:val="nil" w:sz="6" w:space="0" w:color="auto"/>
                        </w:tcBorders>
                      </w:tcPr>
                      <w:p>
                        <w:pPr>
                          <w:pStyle w:val="TableParagraph"/>
                          <w:spacing w:line="246" w:lineRule="exact"/>
                          <w:ind w:right="24"/>
                          <w:jc w:val="right"/>
                          <w:rPr>
                            <w:rFonts w:ascii="宋体" w:hAnsi="宋体" w:cs="宋体" w:eastAsia="宋体" w:hint="default"/>
                            <w:sz w:val="21"/>
                            <w:szCs w:val="21"/>
                          </w:rPr>
                        </w:pPr>
                        <w:r>
                          <w:rPr>
                            <w:rFonts w:ascii="宋体"/>
                            <w:spacing w:val="-1"/>
                            <w:sz w:val="21"/>
                          </w:rPr>
                          <w:t>2017/11/14</w:t>
                        </w:r>
                      </w:p>
                    </w:tc>
                    <w:tc>
                      <w:tcPr>
                        <w:tcW w:w="1844" w:type="dxa"/>
                        <w:tcBorders>
                          <w:top w:val="nil" w:sz="6" w:space="0" w:color="auto"/>
                          <w:left w:val="nil" w:sz="6" w:space="0" w:color="auto"/>
                          <w:bottom w:val="nil" w:sz="6" w:space="0" w:color="auto"/>
                          <w:right w:val="nil" w:sz="6" w:space="0" w:color="auto"/>
                        </w:tcBorders>
                      </w:tcPr>
                      <w:p>
                        <w:pPr>
                          <w:pStyle w:val="TableParagraph"/>
                          <w:spacing w:line="246" w:lineRule="exact"/>
                          <w:ind w:right="24"/>
                          <w:jc w:val="right"/>
                          <w:rPr>
                            <w:rFonts w:ascii="宋体" w:hAnsi="宋体" w:cs="宋体" w:eastAsia="宋体" w:hint="default"/>
                            <w:sz w:val="21"/>
                            <w:szCs w:val="21"/>
                          </w:rPr>
                        </w:pPr>
                        <w:r>
                          <w:rPr>
                            <w:rFonts w:ascii="宋体"/>
                            <w:spacing w:val="-1"/>
                            <w:sz w:val="21"/>
                          </w:rPr>
                          <w:t>2018/02/22</w:t>
                        </w:r>
                      </w:p>
                    </w:tc>
                    <w:tc>
                      <w:tcPr>
                        <w:tcW w:w="1170" w:type="dxa"/>
                        <w:tcBorders>
                          <w:top w:val="nil" w:sz="6" w:space="0" w:color="auto"/>
                          <w:left w:val="nil" w:sz="6" w:space="0" w:color="auto"/>
                          <w:bottom w:val="nil" w:sz="6" w:space="0" w:color="auto"/>
                          <w:right w:val="nil" w:sz="6" w:space="0" w:color="auto"/>
                        </w:tcBorders>
                      </w:tcPr>
                      <w:p>
                        <w:pPr>
                          <w:pStyle w:val="TableParagraph"/>
                          <w:spacing w:line="246" w:lineRule="exact"/>
                          <w:ind w:right="141"/>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72"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242" w:lineRule="exact"/>
                          <w:ind w:left="31" w:right="0"/>
                          <w:jc w:val="left"/>
                          <w:rPr>
                            <w:rFonts w:ascii="宋体" w:hAnsi="宋体" w:cs="宋体" w:eastAsia="宋体" w:hint="default"/>
                            <w:sz w:val="21"/>
                            <w:szCs w:val="21"/>
                          </w:rPr>
                        </w:pPr>
                        <w:r>
                          <w:rPr>
                            <w:rFonts w:ascii="宋体" w:hAnsi="宋体" w:cs="宋体" w:eastAsia="宋体" w:hint="default"/>
                            <w:spacing w:val="-9"/>
                            <w:sz w:val="21"/>
                            <w:szCs w:val="21"/>
                          </w:rPr>
                          <w:t>限公司、江浩然、</w:t>
                        </w:r>
                      </w:p>
                    </w:tc>
                    <w:tc>
                      <w:tcPr>
                        <w:tcW w:w="1749"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r>
                  <w:tr>
                    <w:trPr>
                      <w:trHeight w:val="279"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李黎</w:t>
                        </w:r>
                      </w:p>
                    </w:tc>
                    <w:tc>
                      <w:tcPr>
                        <w:tcW w:w="1749"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r>
                  <w:tr>
                    <w:trPr>
                      <w:trHeight w:val="276"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246" w:lineRule="exact"/>
                          <w:ind w:left="31" w:right="0"/>
                          <w:jc w:val="left"/>
                          <w:rPr>
                            <w:rFonts w:ascii="宋体" w:hAnsi="宋体" w:cs="宋体" w:eastAsia="宋体" w:hint="default"/>
                            <w:sz w:val="21"/>
                            <w:szCs w:val="21"/>
                          </w:rPr>
                        </w:pPr>
                        <w:r>
                          <w:rPr>
                            <w:rFonts w:ascii="宋体" w:hAnsi="宋体" w:cs="宋体" w:eastAsia="宋体" w:hint="default"/>
                            <w:sz w:val="21"/>
                            <w:szCs w:val="21"/>
                          </w:rPr>
                          <w:t>恒融投资集团有</w:t>
                        </w:r>
                      </w:p>
                    </w:tc>
                    <w:tc>
                      <w:tcPr>
                        <w:tcW w:w="1749" w:type="dxa"/>
                        <w:tcBorders>
                          <w:top w:val="nil" w:sz="6" w:space="0" w:color="auto"/>
                          <w:left w:val="nil" w:sz="6" w:space="0" w:color="auto"/>
                          <w:bottom w:val="nil" w:sz="6" w:space="0" w:color="auto"/>
                          <w:right w:val="nil" w:sz="6" w:space="0" w:color="auto"/>
                        </w:tcBorders>
                      </w:tcPr>
                      <w:p>
                        <w:pPr>
                          <w:pStyle w:val="TableParagraph"/>
                          <w:spacing w:line="246" w:lineRule="exact"/>
                          <w:ind w:right="29"/>
                          <w:jc w:val="right"/>
                          <w:rPr>
                            <w:rFonts w:ascii="宋体" w:hAnsi="宋体" w:cs="宋体" w:eastAsia="宋体" w:hint="default"/>
                            <w:sz w:val="21"/>
                            <w:szCs w:val="21"/>
                          </w:rPr>
                        </w:pPr>
                        <w:r>
                          <w:rPr>
                            <w:rFonts w:ascii="宋体"/>
                            <w:sz w:val="21"/>
                          </w:rPr>
                          <w:t>USD 1,013,175.00</w:t>
                        </w:r>
                      </w:p>
                    </w:tc>
                    <w:tc>
                      <w:tcPr>
                        <w:tcW w:w="1841" w:type="dxa"/>
                        <w:tcBorders>
                          <w:top w:val="nil" w:sz="6" w:space="0" w:color="auto"/>
                          <w:left w:val="nil" w:sz="6" w:space="0" w:color="auto"/>
                          <w:bottom w:val="nil" w:sz="6" w:space="0" w:color="auto"/>
                          <w:right w:val="nil" w:sz="6" w:space="0" w:color="auto"/>
                        </w:tcBorders>
                      </w:tcPr>
                      <w:p>
                        <w:pPr>
                          <w:pStyle w:val="TableParagraph"/>
                          <w:spacing w:line="246" w:lineRule="exact"/>
                          <w:ind w:right="24"/>
                          <w:jc w:val="right"/>
                          <w:rPr>
                            <w:rFonts w:ascii="宋体" w:hAnsi="宋体" w:cs="宋体" w:eastAsia="宋体" w:hint="default"/>
                            <w:sz w:val="21"/>
                            <w:szCs w:val="21"/>
                          </w:rPr>
                        </w:pPr>
                        <w:r>
                          <w:rPr>
                            <w:rFonts w:ascii="宋体"/>
                            <w:spacing w:val="-1"/>
                            <w:sz w:val="21"/>
                          </w:rPr>
                          <w:t>2017/11/16</w:t>
                        </w:r>
                      </w:p>
                    </w:tc>
                    <w:tc>
                      <w:tcPr>
                        <w:tcW w:w="1844" w:type="dxa"/>
                        <w:tcBorders>
                          <w:top w:val="nil" w:sz="6" w:space="0" w:color="auto"/>
                          <w:left w:val="nil" w:sz="6" w:space="0" w:color="auto"/>
                          <w:bottom w:val="nil" w:sz="6" w:space="0" w:color="auto"/>
                          <w:right w:val="nil" w:sz="6" w:space="0" w:color="auto"/>
                        </w:tcBorders>
                      </w:tcPr>
                      <w:p>
                        <w:pPr>
                          <w:pStyle w:val="TableParagraph"/>
                          <w:spacing w:line="246" w:lineRule="exact"/>
                          <w:ind w:right="24"/>
                          <w:jc w:val="right"/>
                          <w:rPr>
                            <w:rFonts w:ascii="宋体" w:hAnsi="宋体" w:cs="宋体" w:eastAsia="宋体" w:hint="default"/>
                            <w:sz w:val="21"/>
                            <w:szCs w:val="21"/>
                          </w:rPr>
                        </w:pPr>
                        <w:r>
                          <w:rPr>
                            <w:rFonts w:ascii="宋体"/>
                            <w:spacing w:val="-1"/>
                            <w:sz w:val="21"/>
                          </w:rPr>
                          <w:t>2018/03/06</w:t>
                        </w:r>
                      </w:p>
                    </w:tc>
                    <w:tc>
                      <w:tcPr>
                        <w:tcW w:w="1170" w:type="dxa"/>
                        <w:tcBorders>
                          <w:top w:val="nil" w:sz="6" w:space="0" w:color="auto"/>
                          <w:left w:val="nil" w:sz="6" w:space="0" w:color="auto"/>
                          <w:bottom w:val="nil" w:sz="6" w:space="0" w:color="auto"/>
                          <w:right w:val="nil" w:sz="6" w:space="0" w:color="auto"/>
                        </w:tcBorders>
                      </w:tcPr>
                      <w:p>
                        <w:pPr>
                          <w:pStyle w:val="TableParagraph"/>
                          <w:spacing w:line="246" w:lineRule="exact"/>
                          <w:ind w:right="141"/>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72"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pacing w:val="-9"/>
                            <w:sz w:val="21"/>
                            <w:szCs w:val="21"/>
                          </w:rPr>
                          <w:t>限公司、江浩然、</w:t>
                        </w:r>
                      </w:p>
                    </w:tc>
                    <w:tc>
                      <w:tcPr>
                        <w:tcW w:w="1749"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r>
                  <w:tr>
                    <w:trPr>
                      <w:trHeight w:val="277"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242" w:lineRule="exact"/>
                          <w:ind w:left="31" w:right="0"/>
                          <w:jc w:val="left"/>
                          <w:rPr>
                            <w:rFonts w:ascii="宋体" w:hAnsi="宋体" w:cs="宋体" w:eastAsia="宋体" w:hint="default"/>
                            <w:sz w:val="21"/>
                            <w:szCs w:val="21"/>
                          </w:rPr>
                        </w:pPr>
                        <w:r>
                          <w:rPr>
                            <w:rFonts w:ascii="宋体" w:hAnsi="宋体" w:cs="宋体" w:eastAsia="宋体" w:hint="default"/>
                            <w:sz w:val="21"/>
                            <w:szCs w:val="21"/>
                          </w:rPr>
                          <w:t>李黎</w:t>
                        </w:r>
                      </w:p>
                    </w:tc>
                    <w:tc>
                      <w:tcPr>
                        <w:tcW w:w="1749"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r>
                  <w:tr>
                    <w:trPr>
                      <w:trHeight w:val="277"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246" w:lineRule="exact"/>
                          <w:ind w:left="31" w:right="0"/>
                          <w:jc w:val="left"/>
                          <w:rPr>
                            <w:rFonts w:ascii="宋体" w:hAnsi="宋体" w:cs="宋体" w:eastAsia="宋体" w:hint="default"/>
                            <w:sz w:val="21"/>
                            <w:szCs w:val="21"/>
                          </w:rPr>
                        </w:pPr>
                        <w:r>
                          <w:rPr>
                            <w:rFonts w:ascii="宋体" w:hAnsi="宋体" w:cs="宋体" w:eastAsia="宋体" w:hint="default"/>
                            <w:sz w:val="21"/>
                            <w:szCs w:val="21"/>
                          </w:rPr>
                          <w:t>恒融投资集团有</w:t>
                        </w:r>
                      </w:p>
                    </w:tc>
                    <w:tc>
                      <w:tcPr>
                        <w:tcW w:w="1749" w:type="dxa"/>
                        <w:tcBorders>
                          <w:top w:val="nil" w:sz="6" w:space="0" w:color="auto"/>
                          <w:left w:val="nil" w:sz="6" w:space="0" w:color="auto"/>
                          <w:bottom w:val="nil" w:sz="6" w:space="0" w:color="auto"/>
                          <w:right w:val="nil" w:sz="6" w:space="0" w:color="auto"/>
                        </w:tcBorders>
                      </w:tcPr>
                      <w:p>
                        <w:pPr>
                          <w:pStyle w:val="TableParagraph"/>
                          <w:spacing w:line="246" w:lineRule="exact"/>
                          <w:ind w:right="29"/>
                          <w:jc w:val="right"/>
                          <w:rPr>
                            <w:rFonts w:ascii="宋体" w:hAnsi="宋体" w:cs="宋体" w:eastAsia="宋体" w:hint="default"/>
                            <w:sz w:val="21"/>
                            <w:szCs w:val="21"/>
                          </w:rPr>
                        </w:pPr>
                        <w:r>
                          <w:rPr>
                            <w:rFonts w:ascii="宋体"/>
                            <w:sz w:val="21"/>
                          </w:rPr>
                          <w:t>USD</w:t>
                        </w:r>
                        <w:r>
                          <w:rPr>
                            <w:rFonts w:ascii="宋体"/>
                            <w:spacing w:val="1"/>
                            <w:sz w:val="21"/>
                          </w:rPr>
                          <w:t> </w:t>
                        </w:r>
                        <w:r>
                          <w:rPr>
                            <w:rFonts w:ascii="宋体"/>
                            <w:sz w:val="21"/>
                          </w:rPr>
                          <w:t>441,000.00</w:t>
                        </w:r>
                      </w:p>
                    </w:tc>
                    <w:tc>
                      <w:tcPr>
                        <w:tcW w:w="1841" w:type="dxa"/>
                        <w:tcBorders>
                          <w:top w:val="nil" w:sz="6" w:space="0" w:color="auto"/>
                          <w:left w:val="nil" w:sz="6" w:space="0" w:color="auto"/>
                          <w:bottom w:val="nil" w:sz="6" w:space="0" w:color="auto"/>
                          <w:right w:val="nil" w:sz="6" w:space="0" w:color="auto"/>
                        </w:tcBorders>
                      </w:tcPr>
                      <w:p>
                        <w:pPr>
                          <w:pStyle w:val="TableParagraph"/>
                          <w:spacing w:line="246" w:lineRule="exact"/>
                          <w:ind w:right="24"/>
                          <w:jc w:val="right"/>
                          <w:rPr>
                            <w:rFonts w:ascii="宋体" w:hAnsi="宋体" w:cs="宋体" w:eastAsia="宋体" w:hint="default"/>
                            <w:sz w:val="21"/>
                            <w:szCs w:val="21"/>
                          </w:rPr>
                        </w:pPr>
                        <w:r>
                          <w:rPr>
                            <w:rFonts w:ascii="宋体"/>
                            <w:spacing w:val="-1"/>
                            <w:sz w:val="21"/>
                          </w:rPr>
                          <w:t>2017/10/17</w:t>
                        </w:r>
                      </w:p>
                    </w:tc>
                    <w:tc>
                      <w:tcPr>
                        <w:tcW w:w="1844" w:type="dxa"/>
                        <w:tcBorders>
                          <w:top w:val="nil" w:sz="6" w:space="0" w:color="auto"/>
                          <w:left w:val="nil" w:sz="6" w:space="0" w:color="auto"/>
                          <w:bottom w:val="nil" w:sz="6" w:space="0" w:color="auto"/>
                          <w:right w:val="nil" w:sz="6" w:space="0" w:color="auto"/>
                        </w:tcBorders>
                      </w:tcPr>
                      <w:p>
                        <w:pPr>
                          <w:pStyle w:val="TableParagraph"/>
                          <w:spacing w:line="246" w:lineRule="exact"/>
                          <w:ind w:right="24"/>
                          <w:jc w:val="right"/>
                          <w:rPr>
                            <w:rFonts w:ascii="宋体" w:hAnsi="宋体" w:cs="宋体" w:eastAsia="宋体" w:hint="default"/>
                            <w:sz w:val="21"/>
                            <w:szCs w:val="21"/>
                          </w:rPr>
                        </w:pPr>
                        <w:r>
                          <w:rPr>
                            <w:rFonts w:ascii="宋体"/>
                            <w:spacing w:val="-1"/>
                            <w:sz w:val="21"/>
                          </w:rPr>
                          <w:t>2018/01/29</w:t>
                        </w:r>
                      </w:p>
                    </w:tc>
                    <w:tc>
                      <w:tcPr>
                        <w:tcW w:w="1170" w:type="dxa"/>
                        <w:tcBorders>
                          <w:top w:val="nil" w:sz="6" w:space="0" w:color="auto"/>
                          <w:left w:val="nil" w:sz="6" w:space="0" w:color="auto"/>
                          <w:bottom w:val="nil" w:sz="6" w:space="0" w:color="auto"/>
                          <w:right w:val="nil" w:sz="6" w:space="0" w:color="auto"/>
                        </w:tcBorders>
                      </w:tcPr>
                      <w:p>
                        <w:pPr>
                          <w:pStyle w:val="TableParagraph"/>
                          <w:spacing w:line="246" w:lineRule="exact"/>
                          <w:ind w:right="141"/>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72"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242" w:lineRule="exact"/>
                          <w:ind w:left="31" w:right="0"/>
                          <w:jc w:val="left"/>
                          <w:rPr>
                            <w:rFonts w:ascii="宋体" w:hAnsi="宋体" w:cs="宋体" w:eastAsia="宋体" w:hint="default"/>
                            <w:sz w:val="21"/>
                            <w:szCs w:val="21"/>
                          </w:rPr>
                        </w:pPr>
                        <w:r>
                          <w:rPr>
                            <w:rFonts w:ascii="宋体" w:hAnsi="宋体" w:cs="宋体" w:eastAsia="宋体" w:hint="default"/>
                            <w:spacing w:val="-9"/>
                            <w:sz w:val="21"/>
                            <w:szCs w:val="21"/>
                          </w:rPr>
                          <w:t>限公司、江浩然、</w:t>
                        </w:r>
                      </w:p>
                    </w:tc>
                    <w:tc>
                      <w:tcPr>
                        <w:tcW w:w="1749"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r>
                  <w:tr>
                    <w:trPr>
                      <w:trHeight w:val="279"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李黎</w:t>
                        </w:r>
                      </w:p>
                    </w:tc>
                    <w:tc>
                      <w:tcPr>
                        <w:tcW w:w="1749"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r>
                  <w:tr>
                    <w:trPr>
                      <w:trHeight w:val="276"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246" w:lineRule="exact"/>
                          <w:ind w:left="31" w:right="0"/>
                          <w:jc w:val="left"/>
                          <w:rPr>
                            <w:rFonts w:ascii="宋体" w:hAnsi="宋体" w:cs="宋体" w:eastAsia="宋体" w:hint="default"/>
                            <w:sz w:val="21"/>
                            <w:szCs w:val="21"/>
                          </w:rPr>
                        </w:pPr>
                        <w:r>
                          <w:rPr>
                            <w:rFonts w:ascii="宋体" w:hAnsi="宋体" w:cs="宋体" w:eastAsia="宋体" w:hint="default"/>
                            <w:sz w:val="21"/>
                            <w:szCs w:val="21"/>
                          </w:rPr>
                          <w:t>恒融投资集团有</w:t>
                        </w:r>
                      </w:p>
                    </w:tc>
                    <w:tc>
                      <w:tcPr>
                        <w:tcW w:w="1749" w:type="dxa"/>
                        <w:tcBorders>
                          <w:top w:val="nil" w:sz="6" w:space="0" w:color="auto"/>
                          <w:left w:val="nil" w:sz="6" w:space="0" w:color="auto"/>
                          <w:bottom w:val="nil" w:sz="6" w:space="0" w:color="auto"/>
                          <w:right w:val="nil" w:sz="6" w:space="0" w:color="auto"/>
                        </w:tcBorders>
                      </w:tcPr>
                      <w:p>
                        <w:pPr>
                          <w:pStyle w:val="TableParagraph"/>
                          <w:spacing w:line="246" w:lineRule="exact"/>
                          <w:ind w:right="29"/>
                          <w:jc w:val="right"/>
                          <w:rPr>
                            <w:rFonts w:ascii="宋体" w:hAnsi="宋体" w:cs="宋体" w:eastAsia="宋体" w:hint="default"/>
                            <w:sz w:val="21"/>
                            <w:szCs w:val="21"/>
                          </w:rPr>
                        </w:pPr>
                        <w:r>
                          <w:rPr>
                            <w:rFonts w:ascii="宋体"/>
                            <w:sz w:val="21"/>
                          </w:rPr>
                          <w:t>USD</w:t>
                        </w:r>
                        <w:r>
                          <w:rPr>
                            <w:rFonts w:ascii="宋体"/>
                            <w:spacing w:val="1"/>
                            <w:sz w:val="21"/>
                          </w:rPr>
                          <w:t> </w:t>
                        </w:r>
                        <w:r>
                          <w:rPr>
                            <w:rFonts w:ascii="宋体"/>
                            <w:sz w:val="21"/>
                          </w:rPr>
                          <w:t>859,200.00</w:t>
                        </w:r>
                      </w:p>
                    </w:tc>
                    <w:tc>
                      <w:tcPr>
                        <w:tcW w:w="1841" w:type="dxa"/>
                        <w:tcBorders>
                          <w:top w:val="nil" w:sz="6" w:space="0" w:color="auto"/>
                          <w:left w:val="nil" w:sz="6" w:space="0" w:color="auto"/>
                          <w:bottom w:val="nil" w:sz="6" w:space="0" w:color="auto"/>
                          <w:right w:val="nil" w:sz="6" w:space="0" w:color="auto"/>
                        </w:tcBorders>
                      </w:tcPr>
                      <w:p>
                        <w:pPr>
                          <w:pStyle w:val="TableParagraph"/>
                          <w:spacing w:line="246" w:lineRule="exact"/>
                          <w:ind w:right="24"/>
                          <w:jc w:val="right"/>
                          <w:rPr>
                            <w:rFonts w:ascii="宋体" w:hAnsi="宋体" w:cs="宋体" w:eastAsia="宋体" w:hint="default"/>
                            <w:sz w:val="21"/>
                            <w:szCs w:val="21"/>
                          </w:rPr>
                        </w:pPr>
                        <w:r>
                          <w:rPr>
                            <w:rFonts w:ascii="宋体"/>
                            <w:spacing w:val="-1"/>
                            <w:sz w:val="21"/>
                          </w:rPr>
                          <w:t>2017/10/23</w:t>
                        </w:r>
                      </w:p>
                    </w:tc>
                    <w:tc>
                      <w:tcPr>
                        <w:tcW w:w="1844" w:type="dxa"/>
                        <w:tcBorders>
                          <w:top w:val="nil" w:sz="6" w:space="0" w:color="auto"/>
                          <w:left w:val="nil" w:sz="6" w:space="0" w:color="auto"/>
                          <w:bottom w:val="nil" w:sz="6" w:space="0" w:color="auto"/>
                          <w:right w:val="nil" w:sz="6" w:space="0" w:color="auto"/>
                        </w:tcBorders>
                      </w:tcPr>
                      <w:p>
                        <w:pPr>
                          <w:pStyle w:val="TableParagraph"/>
                          <w:spacing w:line="246" w:lineRule="exact"/>
                          <w:ind w:right="24"/>
                          <w:jc w:val="right"/>
                          <w:rPr>
                            <w:rFonts w:ascii="宋体" w:hAnsi="宋体" w:cs="宋体" w:eastAsia="宋体" w:hint="default"/>
                            <w:sz w:val="21"/>
                            <w:szCs w:val="21"/>
                          </w:rPr>
                        </w:pPr>
                        <w:r>
                          <w:rPr>
                            <w:rFonts w:ascii="宋体"/>
                            <w:spacing w:val="-1"/>
                            <w:sz w:val="21"/>
                          </w:rPr>
                          <w:t>2018/01/29</w:t>
                        </w:r>
                      </w:p>
                    </w:tc>
                    <w:tc>
                      <w:tcPr>
                        <w:tcW w:w="1170" w:type="dxa"/>
                        <w:tcBorders>
                          <w:top w:val="nil" w:sz="6" w:space="0" w:color="auto"/>
                          <w:left w:val="nil" w:sz="6" w:space="0" w:color="auto"/>
                          <w:bottom w:val="nil" w:sz="6" w:space="0" w:color="auto"/>
                          <w:right w:val="nil" w:sz="6" w:space="0" w:color="auto"/>
                        </w:tcBorders>
                      </w:tcPr>
                      <w:p>
                        <w:pPr>
                          <w:pStyle w:val="TableParagraph"/>
                          <w:spacing w:line="246" w:lineRule="exact"/>
                          <w:ind w:right="141"/>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72"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pacing w:val="-9"/>
                            <w:sz w:val="21"/>
                            <w:szCs w:val="21"/>
                          </w:rPr>
                          <w:t>限公司、江浩然、</w:t>
                        </w:r>
                      </w:p>
                    </w:tc>
                    <w:tc>
                      <w:tcPr>
                        <w:tcW w:w="1749"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r>
                  <w:tr>
                    <w:trPr>
                      <w:trHeight w:val="277"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242" w:lineRule="exact"/>
                          <w:ind w:left="31" w:right="0"/>
                          <w:jc w:val="left"/>
                          <w:rPr>
                            <w:rFonts w:ascii="宋体" w:hAnsi="宋体" w:cs="宋体" w:eastAsia="宋体" w:hint="default"/>
                            <w:sz w:val="21"/>
                            <w:szCs w:val="21"/>
                          </w:rPr>
                        </w:pPr>
                        <w:r>
                          <w:rPr>
                            <w:rFonts w:ascii="宋体" w:hAnsi="宋体" w:cs="宋体" w:eastAsia="宋体" w:hint="default"/>
                            <w:sz w:val="21"/>
                            <w:szCs w:val="21"/>
                          </w:rPr>
                          <w:t>李黎</w:t>
                        </w:r>
                      </w:p>
                    </w:tc>
                    <w:tc>
                      <w:tcPr>
                        <w:tcW w:w="1749"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r>
                  <w:tr>
                    <w:trPr>
                      <w:trHeight w:val="277"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246" w:lineRule="exact"/>
                          <w:ind w:left="31" w:right="0"/>
                          <w:jc w:val="left"/>
                          <w:rPr>
                            <w:rFonts w:ascii="宋体" w:hAnsi="宋体" w:cs="宋体" w:eastAsia="宋体" w:hint="default"/>
                            <w:sz w:val="21"/>
                            <w:szCs w:val="21"/>
                          </w:rPr>
                        </w:pPr>
                        <w:r>
                          <w:rPr>
                            <w:rFonts w:ascii="宋体" w:hAnsi="宋体" w:cs="宋体" w:eastAsia="宋体" w:hint="default"/>
                            <w:sz w:val="21"/>
                            <w:szCs w:val="21"/>
                          </w:rPr>
                          <w:t>恒融投资集团有</w:t>
                        </w:r>
                      </w:p>
                    </w:tc>
                    <w:tc>
                      <w:tcPr>
                        <w:tcW w:w="1749" w:type="dxa"/>
                        <w:tcBorders>
                          <w:top w:val="nil" w:sz="6" w:space="0" w:color="auto"/>
                          <w:left w:val="nil" w:sz="6" w:space="0" w:color="auto"/>
                          <w:bottom w:val="nil" w:sz="6" w:space="0" w:color="auto"/>
                          <w:right w:val="nil" w:sz="6" w:space="0" w:color="auto"/>
                        </w:tcBorders>
                      </w:tcPr>
                      <w:p>
                        <w:pPr>
                          <w:pStyle w:val="TableParagraph"/>
                          <w:spacing w:line="246" w:lineRule="exact"/>
                          <w:ind w:right="29"/>
                          <w:jc w:val="right"/>
                          <w:rPr>
                            <w:rFonts w:ascii="宋体" w:hAnsi="宋体" w:cs="宋体" w:eastAsia="宋体" w:hint="default"/>
                            <w:sz w:val="21"/>
                            <w:szCs w:val="21"/>
                          </w:rPr>
                        </w:pPr>
                        <w:r>
                          <w:rPr>
                            <w:rFonts w:ascii="宋体"/>
                            <w:sz w:val="21"/>
                          </w:rPr>
                          <w:t>USD 1,672,170.00</w:t>
                        </w:r>
                      </w:p>
                    </w:tc>
                    <w:tc>
                      <w:tcPr>
                        <w:tcW w:w="1841" w:type="dxa"/>
                        <w:tcBorders>
                          <w:top w:val="nil" w:sz="6" w:space="0" w:color="auto"/>
                          <w:left w:val="nil" w:sz="6" w:space="0" w:color="auto"/>
                          <w:bottom w:val="nil" w:sz="6" w:space="0" w:color="auto"/>
                          <w:right w:val="nil" w:sz="6" w:space="0" w:color="auto"/>
                        </w:tcBorders>
                      </w:tcPr>
                      <w:p>
                        <w:pPr>
                          <w:pStyle w:val="TableParagraph"/>
                          <w:spacing w:line="246" w:lineRule="exact"/>
                          <w:ind w:right="24"/>
                          <w:jc w:val="right"/>
                          <w:rPr>
                            <w:rFonts w:ascii="宋体" w:hAnsi="宋体" w:cs="宋体" w:eastAsia="宋体" w:hint="default"/>
                            <w:sz w:val="21"/>
                            <w:szCs w:val="21"/>
                          </w:rPr>
                        </w:pPr>
                        <w:r>
                          <w:rPr>
                            <w:rFonts w:ascii="宋体"/>
                            <w:spacing w:val="-1"/>
                            <w:sz w:val="21"/>
                          </w:rPr>
                          <w:t>2017/10/31</w:t>
                        </w:r>
                      </w:p>
                    </w:tc>
                    <w:tc>
                      <w:tcPr>
                        <w:tcW w:w="1844" w:type="dxa"/>
                        <w:tcBorders>
                          <w:top w:val="nil" w:sz="6" w:space="0" w:color="auto"/>
                          <w:left w:val="nil" w:sz="6" w:space="0" w:color="auto"/>
                          <w:bottom w:val="nil" w:sz="6" w:space="0" w:color="auto"/>
                          <w:right w:val="nil" w:sz="6" w:space="0" w:color="auto"/>
                        </w:tcBorders>
                      </w:tcPr>
                      <w:p>
                        <w:pPr>
                          <w:pStyle w:val="TableParagraph"/>
                          <w:spacing w:line="246" w:lineRule="exact"/>
                          <w:ind w:right="24"/>
                          <w:jc w:val="right"/>
                          <w:rPr>
                            <w:rFonts w:ascii="宋体" w:hAnsi="宋体" w:cs="宋体" w:eastAsia="宋体" w:hint="default"/>
                            <w:sz w:val="21"/>
                            <w:szCs w:val="21"/>
                          </w:rPr>
                        </w:pPr>
                        <w:r>
                          <w:rPr>
                            <w:rFonts w:ascii="宋体"/>
                            <w:spacing w:val="-1"/>
                            <w:sz w:val="21"/>
                          </w:rPr>
                          <w:t>2018/02/08</w:t>
                        </w:r>
                      </w:p>
                    </w:tc>
                    <w:tc>
                      <w:tcPr>
                        <w:tcW w:w="1170" w:type="dxa"/>
                        <w:tcBorders>
                          <w:top w:val="nil" w:sz="6" w:space="0" w:color="auto"/>
                          <w:left w:val="nil" w:sz="6" w:space="0" w:color="auto"/>
                          <w:bottom w:val="nil" w:sz="6" w:space="0" w:color="auto"/>
                          <w:right w:val="nil" w:sz="6" w:space="0" w:color="auto"/>
                        </w:tcBorders>
                      </w:tcPr>
                      <w:p>
                        <w:pPr>
                          <w:pStyle w:val="TableParagraph"/>
                          <w:spacing w:line="246" w:lineRule="exact"/>
                          <w:ind w:right="141"/>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72"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242" w:lineRule="exact"/>
                          <w:ind w:left="31" w:right="0"/>
                          <w:jc w:val="left"/>
                          <w:rPr>
                            <w:rFonts w:ascii="宋体" w:hAnsi="宋体" w:cs="宋体" w:eastAsia="宋体" w:hint="default"/>
                            <w:sz w:val="21"/>
                            <w:szCs w:val="21"/>
                          </w:rPr>
                        </w:pPr>
                        <w:r>
                          <w:rPr>
                            <w:rFonts w:ascii="宋体" w:hAnsi="宋体" w:cs="宋体" w:eastAsia="宋体" w:hint="default"/>
                            <w:spacing w:val="-9"/>
                            <w:sz w:val="21"/>
                            <w:szCs w:val="21"/>
                          </w:rPr>
                          <w:t>限公司、江浩然、</w:t>
                        </w:r>
                      </w:p>
                    </w:tc>
                    <w:tc>
                      <w:tcPr>
                        <w:tcW w:w="1749"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r>
                  <w:tr>
                    <w:trPr>
                      <w:trHeight w:val="279"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李黎</w:t>
                        </w:r>
                      </w:p>
                    </w:tc>
                    <w:tc>
                      <w:tcPr>
                        <w:tcW w:w="1749"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t>担保方</w:t>
        <w:tab/>
      </w:r>
      <w:r>
        <w:rPr>
          <w:spacing w:val="-1"/>
        </w:rPr>
        <w:t>担保金额</w:t>
        <w:tab/>
        <w:t>担保起始日</w:t>
        <w:tab/>
        <w:t>担保到期日</w:t>
        <w:tab/>
      </w:r>
      <w:r>
        <w:rPr>
          <w:spacing w:val="-2"/>
          <w:position w:val="14"/>
        </w:rPr>
        <w:t>担保是否已经履行</w:t>
      </w:r>
      <w:r>
        <w:rPr>
          <w:spacing w:val="-2"/>
        </w:rPr>
      </w:r>
    </w:p>
    <w:p>
      <w:pPr>
        <w:spacing w:after="0" w:line="240" w:lineRule="auto"/>
        <w:jc w:val="left"/>
        <w:sectPr>
          <w:type w:val="continuous"/>
          <w:pgSz w:w="11910" w:h="16840"/>
          <w:pgMar w:top="1120" w:bottom="1380" w:left="166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1572"/>
        <w:gridCol w:w="1863"/>
        <w:gridCol w:w="1841"/>
        <w:gridCol w:w="1844"/>
        <w:gridCol w:w="1843"/>
      </w:tblGrid>
      <w:tr>
        <w:trPr>
          <w:trHeight w:val="28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江浩然</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4"/>
              <w:jc w:val="right"/>
              <w:rPr>
                <w:rFonts w:ascii="宋体" w:hAnsi="宋体" w:cs="宋体" w:eastAsia="宋体" w:hint="default"/>
                <w:sz w:val="21"/>
                <w:szCs w:val="21"/>
              </w:rPr>
            </w:pPr>
            <w:r>
              <w:rPr>
                <w:rFonts w:ascii="宋体"/>
                <w:sz w:val="21"/>
              </w:rPr>
              <w:t>USD</w:t>
            </w:r>
            <w:r>
              <w:rPr>
                <w:rFonts w:ascii="宋体"/>
                <w:spacing w:val="1"/>
                <w:sz w:val="21"/>
              </w:rPr>
              <w:t> </w:t>
            </w:r>
            <w:r>
              <w:rPr>
                <w:rFonts w:ascii="宋体"/>
                <w:sz w:val="21"/>
              </w:rPr>
              <w:t>280,000.00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2017/11/08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0"/>
              <w:jc w:val="right"/>
              <w:rPr>
                <w:rFonts w:ascii="宋体" w:hAnsi="宋体" w:cs="宋体" w:eastAsia="宋体" w:hint="default"/>
                <w:sz w:val="21"/>
                <w:szCs w:val="21"/>
              </w:rPr>
            </w:pPr>
            <w:r>
              <w:rPr>
                <w:rFonts w:ascii="宋体"/>
                <w:spacing w:val="-1"/>
                <w:sz w:val="21"/>
              </w:rPr>
              <w:t>2018/02/22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江浩然</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USD</w:t>
            </w:r>
            <w:r>
              <w:rPr>
                <w:rFonts w:ascii="宋体"/>
                <w:spacing w:val="1"/>
                <w:sz w:val="21"/>
              </w:rPr>
              <w:t> </w:t>
            </w:r>
            <w:r>
              <w:rPr>
                <w:rFonts w:ascii="宋体"/>
                <w:sz w:val="21"/>
              </w:rPr>
              <w:t>212,800.00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2017/11/27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2018/03/08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江浩然</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USD1,219,820.00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2017/12/11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2018/03/22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江浩然</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z w:val="21"/>
              </w:rPr>
              <w:t>USD</w:t>
            </w:r>
            <w:r>
              <w:rPr>
                <w:rFonts w:ascii="宋体"/>
                <w:spacing w:val="1"/>
                <w:sz w:val="21"/>
              </w:rPr>
              <w:t> </w:t>
            </w:r>
            <w:r>
              <w:rPr>
                <w:rFonts w:ascii="宋体"/>
                <w:sz w:val="21"/>
              </w:rPr>
              <w:t>425,480.00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2017/10/10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2018/01/22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江浩然</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USD</w:t>
            </w:r>
            <w:r>
              <w:rPr>
                <w:rFonts w:ascii="宋体"/>
                <w:spacing w:val="1"/>
                <w:sz w:val="21"/>
              </w:rPr>
              <w:t> </w:t>
            </w:r>
            <w:r>
              <w:rPr>
                <w:rFonts w:ascii="宋体"/>
                <w:sz w:val="21"/>
              </w:rPr>
              <w:t>220,500.00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2017/10/12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2018/01/22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江浩然</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USD 2,248,400.00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2017/10/17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2018/02/05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7"/>
        <w:rPr>
          <w:rFonts w:ascii="宋体" w:hAnsi="宋体" w:cs="宋体" w:eastAsia="宋体" w:hint="default"/>
          <w:sz w:val="15"/>
          <w:szCs w:val="15"/>
        </w:rPr>
      </w:pPr>
    </w:p>
    <w:p>
      <w:pPr>
        <w:pStyle w:val="BodyText"/>
        <w:spacing w:line="273" w:lineRule="exact" w:before="36"/>
        <w:ind w:left="218" w:right="3084"/>
        <w:jc w:val="left"/>
      </w:pPr>
      <w:r>
        <w:rPr/>
        <w:t>关联担保情况说明</w:t>
      </w:r>
    </w:p>
    <w:p>
      <w:pPr>
        <w:pStyle w:val="BodyText"/>
        <w:spacing w:line="272" w:lineRule="exact"/>
        <w:ind w:left="218" w:right="3084"/>
        <w:jc w:val="left"/>
      </w:pPr>
      <w:r>
        <w:rPr/>
        <w:t>√适用</w:t>
      </w:r>
      <w:r>
        <w:rPr>
          <w:spacing w:val="-1"/>
        </w:rPr>
        <w:t> </w:t>
      </w:r>
      <w:r>
        <w:rPr/>
        <w:t>□不适用</w:t>
      </w:r>
    </w:p>
    <w:p>
      <w:pPr>
        <w:pStyle w:val="BodyText"/>
        <w:spacing w:line="272" w:lineRule="exact" w:before="27"/>
        <w:ind w:left="218" w:right="227" w:firstLine="419"/>
        <w:jc w:val="left"/>
      </w:pPr>
      <w:r>
        <w:rPr/>
        <w:t>截至</w:t>
      </w:r>
      <w:r>
        <w:rPr>
          <w:spacing w:val="-55"/>
        </w:rPr>
        <w:t> </w:t>
      </w:r>
      <w:r>
        <w:rPr>
          <w:rFonts w:ascii="Cambria" w:hAnsi="Cambria" w:cs="Cambria" w:eastAsia="Cambria" w:hint="default"/>
        </w:rPr>
        <w:t>2017</w:t>
      </w:r>
      <w:r>
        <w:rPr>
          <w:rFonts w:ascii="Cambria" w:hAnsi="Cambria" w:cs="Cambria" w:eastAsia="Cambria" w:hint="default"/>
          <w:spacing w:val="5"/>
        </w:rPr>
        <w:t> </w:t>
      </w:r>
      <w:r>
        <w:rPr/>
        <w:t>年</w:t>
      </w:r>
      <w:r>
        <w:rPr>
          <w:spacing w:val="-55"/>
        </w:rPr>
        <w:t> </w:t>
      </w:r>
      <w:r>
        <w:rPr>
          <w:rFonts w:ascii="Cambria" w:hAnsi="Cambria" w:cs="Cambria" w:eastAsia="Cambria" w:hint="default"/>
        </w:rPr>
        <w:t>12</w:t>
      </w:r>
      <w:r>
        <w:rPr>
          <w:rFonts w:ascii="Cambria" w:hAnsi="Cambria" w:cs="Cambria" w:eastAsia="Cambria" w:hint="default"/>
          <w:spacing w:val="4"/>
        </w:rPr>
        <w:t> </w:t>
      </w:r>
      <w:r>
        <w:rPr/>
        <w:t>月</w:t>
      </w:r>
      <w:r>
        <w:rPr>
          <w:spacing w:val="-52"/>
        </w:rPr>
        <w:t> </w:t>
      </w:r>
      <w:r>
        <w:rPr>
          <w:rFonts w:ascii="Cambria" w:hAnsi="Cambria" w:cs="Cambria" w:eastAsia="Cambria" w:hint="default"/>
        </w:rPr>
        <w:t>31</w:t>
      </w:r>
      <w:r>
        <w:rPr>
          <w:rFonts w:ascii="Cambria" w:hAnsi="Cambria" w:cs="Cambria" w:eastAsia="Cambria" w:hint="default"/>
          <w:spacing w:val="4"/>
        </w:rPr>
        <w:t> </w:t>
      </w:r>
      <w:r>
        <w:rPr/>
        <w:t>日，公司短期借款期末余额为</w:t>
      </w:r>
      <w:r>
        <w:rPr>
          <w:spacing w:val="-53"/>
        </w:rPr>
        <w:t> </w:t>
      </w:r>
      <w:r>
        <w:rPr>
          <w:rFonts w:ascii="Cambria" w:hAnsi="Cambria" w:cs="Cambria" w:eastAsia="Cambria" w:hint="default"/>
        </w:rPr>
        <w:t>0</w:t>
      </w:r>
      <w:r>
        <w:rPr>
          <w:rFonts w:ascii="Cambria" w:hAnsi="Cambria" w:cs="Cambria" w:eastAsia="Cambria" w:hint="default"/>
          <w:spacing w:val="4"/>
        </w:rPr>
        <w:t> </w:t>
      </w:r>
      <w:r>
        <w:rPr/>
        <w:t>元，本期还未履行完毕的担保均为还</w:t>
      </w:r>
      <w:r>
        <w:rPr>
          <w:w w:val="100"/>
        </w:rPr>
        <w:t> </w:t>
      </w:r>
      <w:r>
        <w:rPr/>
        <w:t>未到期的信用证、银行承兑汇票。</w:t>
      </w:r>
    </w:p>
    <w:p>
      <w:pPr>
        <w:spacing w:line="240" w:lineRule="auto" w:before="8"/>
        <w:rPr>
          <w:rFonts w:ascii="宋体" w:hAnsi="宋体" w:cs="宋体" w:eastAsia="宋体" w:hint="default"/>
          <w:sz w:val="20"/>
          <w:szCs w:val="20"/>
        </w:rPr>
      </w:pPr>
    </w:p>
    <w:p>
      <w:pPr>
        <w:pStyle w:val="Heading2"/>
        <w:spacing w:line="240" w:lineRule="auto"/>
        <w:ind w:right="3084"/>
        <w:jc w:val="left"/>
        <w:rPr>
          <w:b w:val="0"/>
          <w:bCs w:val="0"/>
        </w:rPr>
      </w:pPr>
      <w:r>
        <w:rPr>
          <w:rFonts w:ascii="宋体" w:hAnsi="宋体" w:cs="宋体" w:eastAsia="宋体" w:hint="default"/>
        </w:rPr>
        <w:t>(5).</w:t>
      </w:r>
      <w:r>
        <w:rPr>
          <w:rFonts w:ascii="宋体" w:hAnsi="宋体" w:cs="宋体" w:eastAsia="宋体" w:hint="default"/>
          <w:spacing w:val="89"/>
        </w:rPr>
        <w:t> </w:t>
      </w:r>
      <w:r>
        <w:rPr/>
        <w:t>关联方资金拆借</w:t>
      </w:r>
      <w:r>
        <w:rPr>
          <w:b w:val="0"/>
          <w:bCs w:val="0"/>
        </w:rPr>
      </w:r>
    </w:p>
    <w:p>
      <w:pPr>
        <w:pStyle w:val="BodyText"/>
        <w:spacing w:line="240" w:lineRule="auto" w:before="56"/>
        <w:ind w:left="218" w:right="3084"/>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before="36"/>
        <w:ind w:right="-18"/>
        <w:jc w:val="left"/>
        <w:rPr>
          <w:b w:val="0"/>
          <w:bCs w:val="0"/>
        </w:rPr>
      </w:pPr>
      <w:r>
        <w:rPr>
          <w:rFonts w:ascii="宋体" w:hAnsi="宋体" w:cs="宋体" w:eastAsia="宋体" w:hint="default"/>
        </w:rPr>
        <w:t>(6).</w:t>
      </w:r>
      <w:r>
        <w:rPr>
          <w:rFonts w:ascii="宋体" w:hAnsi="宋体" w:cs="宋体" w:eastAsia="宋体" w:hint="default"/>
          <w:spacing w:val="86"/>
        </w:rPr>
        <w:t> </w:t>
      </w:r>
      <w:r>
        <w:rPr/>
        <w:t>关联方资产转让、债务重组情况</w:t>
      </w:r>
      <w:r>
        <w:rPr>
          <w:b w:val="0"/>
          <w:bCs w:val="0"/>
        </w:rPr>
      </w:r>
    </w:p>
    <w:p>
      <w:pPr>
        <w:pStyle w:val="BodyText"/>
        <w:spacing w:line="240" w:lineRule="auto" w:before="56"/>
        <w:ind w:left="218" w:right="-18"/>
        <w:jc w:val="left"/>
      </w:pPr>
      <w:r>
        <w:rPr/>
        <w:t>□适用</w:t>
      </w:r>
      <w:r>
        <w:rPr>
          <w:spacing w:val="-1"/>
        </w:rPr>
        <w:t> </w:t>
      </w:r>
      <w:r>
        <w:rPr/>
        <w:t>√不适用</w:t>
      </w:r>
    </w:p>
    <w:p>
      <w:pPr>
        <w:pStyle w:val="Heading2"/>
        <w:spacing w:line="240" w:lineRule="auto" w:before="58"/>
        <w:ind w:right="-18"/>
        <w:jc w:val="left"/>
        <w:rPr>
          <w:b w:val="0"/>
          <w:bCs w:val="0"/>
        </w:rPr>
      </w:pPr>
      <w:r>
        <w:rPr>
          <w:rFonts w:ascii="宋体" w:hAnsi="宋体" w:cs="宋体" w:eastAsia="宋体" w:hint="default"/>
        </w:rPr>
        <w:t>(7).</w:t>
      </w:r>
      <w:r>
        <w:rPr>
          <w:rFonts w:ascii="宋体" w:hAnsi="宋体" w:cs="宋体" w:eastAsia="宋体" w:hint="default"/>
          <w:spacing w:val="89"/>
        </w:rPr>
        <w:t> </w:t>
      </w:r>
      <w:r>
        <w:rPr/>
        <w:t>关键管理人员报酬</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7" w:val="left" w:leader="none"/>
        </w:tabs>
        <w:spacing w:line="240" w:lineRule="auto"/>
        <w:ind w:left="218"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3787" w:space="2734"/>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19"/>
              <w:jc w:val="right"/>
              <w:rPr>
                <w:rFonts w:ascii="宋体" w:hAnsi="宋体" w:cs="宋体" w:eastAsia="宋体" w:hint="default"/>
                <w:sz w:val="21"/>
                <w:szCs w:val="21"/>
              </w:rPr>
            </w:pPr>
            <w:r>
              <w:rPr>
                <w:rFonts w:ascii="宋体" w:hAnsi="宋体" w:cs="宋体" w:eastAsia="宋体" w:hint="default"/>
                <w:sz w:val="21"/>
                <w:szCs w:val="21"/>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6"/>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01" w:right="0"/>
              <w:jc w:val="left"/>
              <w:rPr>
                <w:rFonts w:ascii="宋体" w:hAnsi="宋体" w:cs="宋体" w:eastAsia="宋体" w:hint="default"/>
                <w:sz w:val="21"/>
                <w:szCs w:val="21"/>
              </w:rPr>
            </w:pPr>
            <w:r>
              <w:rPr>
                <w:rFonts w:ascii="宋体"/>
                <w:sz w:val="21"/>
              </w:rPr>
              <w:t>4,512,877.93</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8" w:right="0"/>
              <w:jc w:val="left"/>
              <w:rPr>
                <w:rFonts w:ascii="宋体" w:hAnsi="宋体" w:cs="宋体" w:eastAsia="宋体" w:hint="default"/>
                <w:sz w:val="21"/>
                <w:szCs w:val="21"/>
              </w:rPr>
            </w:pPr>
            <w:r>
              <w:rPr>
                <w:rFonts w:ascii="宋体"/>
                <w:sz w:val="21"/>
              </w:rPr>
              <w:t>4,473,311.26</w:t>
            </w:r>
          </w:p>
        </w:tc>
      </w:tr>
    </w:tbl>
    <w:p>
      <w:pPr>
        <w:spacing w:line="240" w:lineRule="auto" w:before="13"/>
        <w:rPr>
          <w:rFonts w:ascii="宋体" w:hAnsi="宋体" w:cs="宋体" w:eastAsia="宋体" w:hint="default"/>
          <w:sz w:val="19"/>
          <w:szCs w:val="19"/>
        </w:rPr>
      </w:pPr>
    </w:p>
    <w:p>
      <w:pPr>
        <w:pStyle w:val="Heading2"/>
        <w:spacing w:line="240" w:lineRule="auto" w:before="36"/>
        <w:ind w:right="3084"/>
        <w:jc w:val="left"/>
        <w:rPr>
          <w:b w:val="0"/>
          <w:bCs w:val="0"/>
        </w:rPr>
      </w:pPr>
      <w:r>
        <w:rPr>
          <w:rFonts w:ascii="宋体" w:hAnsi="宋体" w:cs="宋体" w:eastAsia="宋体" w:hint="default"/>
        </w:rPr>
        <w:t>(8).</w:t>
      </w:r>
      <w:r>
        <w:rPr>
          <w:rFonts w:ascii="宋体" w:hAnsi="宋体" w:cs="宋体" w:eastAsia="宋体" w:hint="default"/>
          <w:spacing w:val="89"/>
        </w:rPr>
        <w:t> </w:t>
      </w:r>
      <w:r>
        <w:rPr/>
        <w:t>其他关联交易</w:t>
      </w:r>
      <w:r>
        <w:rPr>
          <w:b w:val="0"/>
          <w:bCs w:val="0"/>
        </w:rPr>
      </w:r>
    </w:p>
    <w:p>
      <w:pPr>
        <w:pStyle w:val="BodyText"/>
        <w:spacing w:line="240" w:lineRule="auto" w:before="58"/>
        <w:ind w:left="218" w:right="308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ind w:right="6723"/>
        <w:jc w:val="left"/>
        <w:rPr>
          <w:b w:val="0"/>
          <w:bCs w:val="0"/>
        </w:rPr>
      </w:pPr>
      <w:r>
        <w:rPr>
          <w:rFonts w:ascii="宋体" w:hAnsi="宋体" w:cs="宋体" w:eastAsia="宋体" w:hint="default"/>
        </w:rPr>
        <w:t>6</w:t>
      </w:r>
      <w:r>
        <w:rPr/>
        <w:t>、</w:t>
      </w:r>
      <w:r>
        <w:rPr>
          <w:spacing w:val="5"/>
        </w:rPr>
        <w:t> </w:t>
      </w:r>
      <w:r>
        <w:rPr/>
        <w:t>关联方应收应付款项</w:t>
      </w:r>
      <w:r>
        <w:rPr>
          <w:w w:val="100"/>
        </w:rPr>
        <w:t> </w:t>
      </w:r>
      <w:r>
        <w:rPr>
          <w:rFonts w:ascii="宋体" w:hAnsi="宋体" w:cs="宋体" w:eastAsia="宋体" w:hint="default"/>
        </w:rPr>
        <w:t>(1).</w:t>
      </w:r>
      <w:r>
        <w:rPr>
          <w:rFonts w:ascii="宋体" w:hAnsi="宋体" w:cs="宋体" w:eastAsia="宋体" w:hint="default"/>
          <w:spacing w:val="88"/>
        </w:rPr>
        <w:t> </w:t>
      </w:r>
      <w:r>
        <w:rPr/>
        <w:t>应收项目</w:t>
      </w:r>
      <w:r>
        <w:rPr>
          <w:b w:val="0"/>
          <w:bCs w:val="0"/>
        </w:rPr>
      </w:r>
    </w:p>
    <w:p>
      <w:pPr>
        <w:spacing w:line="290" w:lineRule="auto" w:before="14"/>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88"/>
          <w:sz w:val="21"/>
          <w:szCs w:val="21"/>
        </w:rPr>
        <w:t> </w:t>
      </w:r>
      <w:r>
        <w:rPr>
          <w:rFonts w:ascii="宋体" w:hAnsi="宋体" w:cs="宋体" w:eastAsia="宋体" w:hint="default"/>
          <w:b/>
          <w:bCs/>
          <w:sz w:val="21"/>
          <w:szCs w:val="21"/>
        </w:rPr>
        <w:t>应付项目</w:t>
      </w:r>
      <w:r>
        <w:rPr>
          <w:rFonts w:ascii="宋体" w:hAnsi="宋体" w:cs="宋体" w:eastAsia="宋体" w:hint="default"/>
          <w:sz w:val="21"/>
          <w:szCs w:val="21"/>
        </w:rPr>
      </w:r>
    </w:p>
    <w:p>
      <w:pPr>
        <w:spacing w:line="290" w:lineRule="auto" w:before="14"/>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7</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关联方承诺</w:t>
      </w:r>
      <w:r>
        <w:rPr>
          <w:rFonts w:ascii="宋体" w:hAnsi="宋体" w:cs="宋体" w:eastAsia="宋体" w:hint="default"/>
          <w:sz w:val="21"/>
          <w:szCs w:val="21"/>
        </w:rPr>
      </w:r>
    </w:p>
    <w:p>
      <w:pPr>
        <w:pStyle w:val="BodyText"/>
        <w:spacing w:line="240" w:lineRule="auto" w:before="15"/>
        <w:ind w:left="218" w:right="3084"/>
        <w:jc w:val="left"/>
      </w:pPr>
      <w:r>
        <w:rPr/>
        <w:t>□适用</w:t>
      </w:r>
      <w:r>
        <w:rPr>
          <w:spacing w:val="-1"/>
        </w:rPr>
        <w:t> </w:t>
      </w:r>
      <w:r>
        <w:rPr/>
        <w:t>√不适用</w:t>
      </w:r>
    </w:p>
    <w:p>
      <w:pPr>
        <w:spacing w:line="240" w:lineRule="auto" w:before="4"/>
        <w:rPr>
          <w:rFonts w:ascii="宋体" w:hAnsi="宋体" w:cs="宋体" w:eastAsia="宋体" w:hint="default"/>
          <w:sz w:val="22"/>
          <w:szCs w:val="22"/>
        </w:rPr>
      </w:pPr>
    </w:p>
    <w:p>
      <w:pPr>
        <w:spacing w:before="0"/>
        <w:ind w:left="218" w:right="3084"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56"/>
        <w:ind w:left="218" w:right="308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1057" w:val="left" w:leader="none"/>
        </w:tabs>
        <w:spacing w:line="240" w:lineRule="auto"/>
        <w:ind w:right="3084"/>
        <w:jc w:val="left"/>
        <w:rPr>
          <w:b w:val="0"/>
          <w:bCs w:val="0"/>
        </w:rPr>
      </w:pPr>
      <w:r>
        <w:rPr/>
        <w:t>十三、</w:t>
        <w:tab/>
        <w:t>股份支付</w:t>
      </w:r>
      <w:r>
        <w:rPr>
          <w:b w:val="0"/>
          <w:bCs w:val="0"/>
        </w:rPr>
      </w:r>
    </w:p>
    <w:p>
      <w:pPr>
        <w:pStyle w:val="Heading2"/>
        <w:spacing w:line="240" w:lineRule="auto" w:before="58"/>
        <w:ind w:right="3084"/>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6"/>
        <w:ind w:left="218" w:right="308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3084"/>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8"/>
        <w:ind w:left="218" w:right="3084"/>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2"/>
        <w:spacing w:line="240" w:lineRule="auto" w:before="36"/>
        <w:ind w:right="3084"/>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8"/>
        <w:ind w:left="218" w:right="308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3084"/>
        <w:jc w:val="left"/>
        <w:rPr>
          <w:b w:val="0"/>
          <w:bCs w:val="0"/>
        </w:rPr>
      </w:pPr>
      <w:r>
        <w:rPr>
          <w:rFonts w:ascii="宋体" w:hAnsi="宋体" w:cs="宋体" w:eastAsia="宋体" w:hint="default"/>
        </w:rPr>
        <w:t>4</w:t>
      </w:r>
      <w:r>
        <w:rPr/>
        <w:t>、 股份支付的修改、终止情况</w:t>
      </w:r>
      <w:r>
        <w:rPr>
          <w:b w:val="0"/>
          <w:bCs w:val="0"/>
        </w:rPr>
      </w:r>
    </w:p>
    <w:p>
      <w:pPr>
        <w:pStyle w:val="BodyText"/>
        <w:spacing w:line="240" w:lineRule="auto" w:before="56"/>
        <w:ind w:left="218" w:right="308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3084"/>
        <w:jc w:val="left"/>
        <w:rPr>
          <w:b w:val="0"/>
          <w:bCs w:val="0"/>
        </w:rPr>
      </w:pPr>
      <w:r>
        <w:rPr>
          <w:rFonts w:ascii="宋体" w:hAnsi="宋体" w:cs="宋体" w:eastAsia="宋体" w:hint="default"/>
        </w:rPr>
        <w:t>5</w:t>
      </w:r>
      <w:r>
        <w:rPr/>
        <w:t>、</w:t>
      </w:r>
      <w:r>
        <w:rPr>
          <w:spacing w:val="2"/>
        </w:rPr>
        <w:t> </w:t>
      </w:r>
      <w:r>
        <w:rPr/>
        <w:t>其他</w:t>
      </w:r>
      <w:r>
        <w:rPr>
          <w:b w:val="0"/>
          <w:bCs w:val="0"/>
        </w:rPr>
      </w:r>
    </w:p>
    <w:p>
      <w:pPr>
        <w:pStyle w:val="BodyText"/>
        <w:spacing w:line="240" w:lineRule="auto" w:before="58"/>
        <w:ind w:left="218" w:right="308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1057" w:val="left" w:leader="none"/>
        </w:tabs>
        <w:spacing w:line="290" w:lineRule="auto"/>
        <w:ind w:right="6748"/>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BodyText"/>
        <w:spacing w:line="240" w:lineRule="auto" w:before="15"/>
        <w:ind w:left="218" w:right="308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3084"/>
        <w:jc w:val="left"/>
        <w:rPr>
          <w:b w:val="0"/>
          <w:bCs w:val="0"/>
        </w:rPr>
      </w:pPr>
      <w:r>
        <w:rPr>
          <w:rFonts w:ascii="宋体" w:hAnsi="宋体" w:cs="宋体" w:eastAsia="宋体" w:hint="default"/>
        </w:rPr>
        <w:t>2</w:t>
      </w:r>
      <w:r>
        <w:rPr/>
        <w:t>、</w:t>
      </w:r>
      <w:r>
        <w:rPr>
          <w:spacing w:val="3"/>
        </w:rPr>
        <w:t> </w:t>
      </w:r>
      <w:r>
        <w:rPr/>
        <w:t>或有事项</w:t>
      </w:r>
      <w:r>
        <w:rPr>
          <w:b w:val="0"/>
          <w:bCs w:val="0"/>
        </w:rPr>
      </w:r>
    </w:p>
    <w:p>
      <w:pPr>
        <w:pStyle w:val="Heading2"/>
        <w:spacing w:line="240" w:lineRule="auto" w:before="56"/>
        <w:ind w:right="3084"/>
        <w:jc w:val="left"/>
        <w:rPr>
          <w:b w:val="0"/>
          <w:bCs w:val="0"/>
        </w:rPr>
      </w:pPr>
      <w:r>
        <w:rPr>
          <w:rFonts w:ascii="宋体" w:hAnsi="宋体" w:cs="宋体" w:eastAsia="宋体" w:hint="default"/>
        </w:rPr>
        <w:t>(1).</w:t>
      </w:r>
      <w:r>
        <w:rPr>
          <w:rFonts w:ascii="宋体" w:hAnsi="宋体" w:cs="宋体" w:eastAsia="宋体" w:hint="default"/>
          <w:spacing w:val="86"/>
        </w:rPr>
        <w:t> </w:t>
      </w:r>
      <w:r>
        <w:rPr/>
        <w:t>资产负债表日存在的重要或有事项</w:t>
      </w:r>
      <w:r>
        <w:rPr>
          <w:b w:val="0"/>
          <w:bCs w:val="0"/>
        </w:rPr>
      </w:r>
    </w:p>
    <w:p>
      <w:pPr>
        <w:pStyle w:val="BodyText"/>
        <w:spacing w:line="240" w:lineRule="auto" w:before="58"/>
        <w:ind w:left="218" w:right="308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3084"/>
        <w:jc w:val="left"/>
        <w:rPr>
          <w:b w:val="0"/>
          <w:bCs w:val="0"/>
        </w:rPr>
      </w:pPr>
      <w:r>
        <w:rPr>
          <w:rFonts w:ascii="宋体" w:hAnsi="宋体" w:cs="宋体" w:eastAsia="宋体" w:hint="default"/>
        </w:rPr>
        <w:t>(2).</w:t>
      </w:r>
      <w:r>
        <w:rPr>
          <w:rFonts w:ascii="宋体" w:hAnsi="宋体" w:cs="宋体" w:eastAsia="宋体" w:hint="default"/>
          <w:spacing w:val="83"/>
        </w:rPr>
        <w:t> </w:t>
      </w:r>
      <w:r>
        <w:rPr/>
        <w:t>公司没有需要披露的重要或有事项，也应予以说明：</w:t>
      </w:r>
      <w:r>
        <w:rPr>
          <w:b w:val="0"/>
          <w:bCs w:val="0"/>
        </w:rPr>
      </w:r>
    </w:p>
    <w:p>
      <w:pPr>
        <w:pStyle w:val="BodyText"/>
        <w:spacing w:line="240" w:lineRule="auto" w:before="56"/>
        <w:ind w:left="218" w:right="3084"/>
        <w:jc w:val="left"/>
      </w:pPr>
      <w:r>
        <w:rPr/>
        <w:t>□适用</w:t>
      </w:r>
      <w:r>
        <w:rPr>
          <w:spacing w:val="-1"/>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3084"/>
        <w:jc w:val="left"/>
        <w:rPr>
          <w:b w:val="0"/>
          <w:bCs w:val="0"/>
        </w:rPr>
      </w:pPr>
      <w:r>
        <w:rPr>
          <w:rFonts w:ascii="宋体" w:hAnsi="宋体" w:cs="宋体" w:eastAsia="宋体" w:hint="default"/>
        </w:rPr>
        <w:t>3</w:t>
      </w:r>
      <w:r>
        <w:rPr/>
        <w:t>、</w:t>
      </w:r>
      <w:r>
        <w:rPr>
          <w:spacing w:val="2"/>
        </w:rPr>
        <w:t> </w:t>
      </w:r>
      <w:r>
        <w:rPr/>
        <w:t>其他</w:t>
      </w:r>
      <w:r>
        <w:rPr>
          <w:b w:val="0"/>
          <w:bCs w:val="0"/>
        </w:rPr>
      </w:r>
    </w:p>
    <w:p>
      <w:pPr>
        <w:pStyle w:val="BodyText"/>
        <w:spacing w:line="240" w:lineRule="auto" w:before="59"/>
        <w:ind w:left="218" w:right="3084"/>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tabs>
          <w:tab w:pos="1057" w:val="left" w:leader="none"/>
        </w:tabs>
        <w:spacing w:line="240" w:lineRule="auto" w:before="36"/>
        <w:ind w:right="-16"/>
        <w:jc w:val="left"/>
        <w:rPr>
          <w:b w:val="0"/>
          <w:bCs w:val="0"/>
        </w:rPr>
      </w:pPr>
      <w:r>
        <w:rPr/>
        <w:t>十五、</w:t>
        <w:tab/>
        <w:t>资产负债表日后事项</w:t>
      </w:r>
      <w:r>
        <w:rPr>
          <w:b w:val="0"/>
          <w:bCs w:val="0"/>
        </w:rPr>
      </w:r>
    </w:p>
    <w:p>
      <w:pPr>
        <w:pStyle w:val="Heading2"/>
        <w:spacing w:line="240" w:lineRule="auto" w:before="56"/>
        <w:ind w:right="-16"/>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32"/>
        <w:ind w:left="218" w:right="-16"/>
        <w:jc w:val="left"/>
      </w:pPr>
      <w:r>
        <w:rPr/>
        <w:t>□适用</w:t>
      </w:r>
      <w:r>
        <w:rPr>
          <w:spacing w:val="-1"/>
        </w:rPr>
        <w:t> </w:t>
      </w:r>
      <w:r>
        <w:rPr/>
        <w:t>√不适用</w:t>
      </w:r>
    </w:p>
    <w:p>
      <w:pPr>
        <w:pStyle w:val="Heading2"/>
        <w:spacing w:line="240" w:lineRule="auto" w:before="54"/>
        <w:ind w:right="-16"/>
        <w:jc w:val="left"/>
        <w:rPr>
          <w:b w:val="0"/>
          <w:bCs w:val="0"/>
        </w:rPr>
      </w:pPr>
      <w:r>
        <w:rPr>
          <w:rFonts w:ascii="Calibri" w:hAnsi="Calibri" w:cs="Calibri" w:eastAsia="Calibri" w:hint="default"/>
        </w:rPr>
        <w:t>2</w:t>
      </w:r>
      <w:r>
        <w:rPr/>
        <w:t>、</w:t>
      </w:r>
      <w:r>
        <w:rPr>
          <w:b w:val="0"/>
          <w:bCs w:val="0"/>
        </w:rPr>
      </w:r>
    </w:p>
    <w:p>
      <w:pPr>
        <w:pStyle w:val="Heading2"/>
        <w:spacing w:line="240" w:lineRule="auto" w:before="29"/>
        <w:ind w:right="-16"/>
        <w:jc w:val="left"/>
        <w:rPr>
          <w:b w:val="0"/>
          <w:bCs w:val="0"/>
        </w:rPr>
      </w:pPr>
      <w:r>
        <w:rPr>
          <w:rFonts w:ascii="Calibri" w:hAnsi="Calibri" w:cs="Calibri" w:eastAsia="Calibri" w:hint="default"/>
        </w:rPr>
        <w:t>3</w:t>
      </w:r>
      <w:r>
        <w:rPr/>
        <w:t>、</w:t>
      </w:r>
      <w:r>
        <w:rPr>
          <w:spacing w:val="1"/>
        </w:rPr>
        <w:t> </w:t>
      </w:r>
      <w:r>
        <w:rPr/>
        <w:t>情况</w:t>
      </w:r>
      <w:r>
        <w:rPr>
          <w:b w:val="0"/>
          <w:bCs w:val="0"/>
        </w:rPr>
      </w:r>
    </w:p>
    <w:p>
      <w:pPr>
        <w:pStyle w:val="BodyText"/>
        <w:spacing w:line="240" w:lineRule="auto" w:before="29"/>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33"/>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59" w:space="3562"/>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3"/>
        <w:gridCol w:w="5327"/>
      </w:tblGrid>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7,000,000.00</w:t>
            </w:r>
          </w:p>
        </w:tc>
      </w:tr>
      <w:tr>
        <w:trPr>
          <w:trHeight w:val="284"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7,000,000.00</w:t>
            </w:r>
          </w:p>
        </w:tc>
      </w:tr>
    </w:tbl>
    <w:p>
      <w:pPr>
        <w:spacing w:line="240" w:lineRule="auto" w:before="11"/>
        <w:rPr>
          <w:rFonts w:ascii="宋体" w:hAnsi="宋体" w:cs="宋体" w:eastAsia="宋体" w:hint="default"/>
          <w:sz w:val="25"/>
          <w:szCs w:val="25"/>
        </w:rPr>
      </w:pPr>
    </w:p>
    <w:p>
      <w:pPr>
        <w:pStyle w:val="BodyText"/>
        <w:spacing w:line="240" w:lineRule="auto" w:before="36"/>
        <w:ind w:left="638" w:right="0"/>
        <w:jc w:val="left"/>
      </w:pPr>
      <w:r>
        <w:rPr/>
        <w:t>根据公司第一届董事会第二十次会议决议：拟以公司 </w:t>
      </w:r>
      <w:r>
        <w:rPr>
          <w:rFonts w:ascii="宋体" w:hAnsi="宋体" w:cs="宋体" w:eastAsia="宋体" w:hint="default"/>
        </w:rPr>
        <w:t>2017</w:t>
      </w:r>
      <w:r>
        <w:rPr>
          <w:rFonts w:ascii="宋体" w:hAnsi="宋体" w:cs="宋体" w:eastAsia="宋体" w:hint="default"/>
          <w:spacing w:val="-5"/>
        </w:rPr>
        <w:t> </w:t>
      </w:r>
      <w:r>
        <w:rPr/>
        <w:t>年度利润分配方案实施时股权登</w:t>
      </w:r>
    </w:p>
    <w:p>
      <w:pPr>
        <w:pStyle w:val="BodyText"/>
        <w:spacing w:line="240" w:lineRule="auto" w:before="133"/>
        <w:ind w:left="218" w:right="0"/>
        <w:jc w:val="left"/>
      </w:pPr>
      <w:r>
        <w:rPr/>
        <w:t>记日的总股本为基数，向全体股东以每</w:t>
      </w:r>
      <w:r>
        <w:rPr>
          <w:spacing w:val="-55"/>
        </w:rPr>
        <w:t> </w:t>
      </w:r>
      <w:r>
        <w:rPr>
          <w:rFonts w:ascii="宋体" w:hAnsi="宋体" w:cs="宋体" w:eastAsia="宋体" w:hint="default"/>
        </w:rPr>
        <w:t>10</w:t>
      </w:r>
      <w:r>
        <w:rPr>
          <w:rFonts w:ascii="宋体" w:hAnsi="宋体" w:cs="宋体" w:eastAsia="宋体" w:hint="default"/>
          <w:spacing w:val="-55"/>
        </w:rPr>
        <w:t> </w:t>
      </w:r>
      <w:r>
        <w:rPr/>
        <w:t>股派发现金红利人民币</w:t>
      </w:r>
      <w:r>
        <w:rPr>
          <w:spacing w:val="-55"/>
        </w:rPr>
        <w:t> </w:t>
      </w:r>
      <w:r>
        <w:rPr>
          <w:rFonts w:ascii="宋体" w:hAnsi="宋体" w:cs="宋体" w:eastAsia="宋体" w:hint="default"/>
        </w:rPr>
        <w:t>0.25</w:t>
      </w:r>
      <w:r>
        <w:rPr>
          <w:rFonts w:ascii="宋体" w:hAnsi="宋体" w:cs="宋体" w:eastAsia="宋体" w:hint="default"/>
          <w:spacing w:val="-57"/>
        </w:rPr>
        <w:t> </w:t>
      </w:r>
      <w:r>
        <w:rPr/>
        <w:t>元（含税），同时以资本</w:t>
      </w:r>
    </w:p>
    <w:p>
      <w:pPr>
        <w:pStyle w:val="BodyText"/>
        <w:spacing w:line="240" w:lineRule="auto" w:before="133"/>
        <w:ind w:left="218" w:right="227"/>
        <w:jc w:val="left"/>
      </w:pPr>
      <w:r>
        <w:rPr/>
        <w:t>公积转增股本，每 </w:t>
      </w:r>
      <w:r>
        <w:rPr>
          <w:rFonts w:ascii="宋体" w:hAnsi="宋体" w:cs="宋体" w:eastAsia="宋体" w:hint="default"/>
        </w:rPr>
        <w:t>10 </w:t>
      </w:r>
      <w:r>
        <w:rPr/>
        <w:t>股转增 </w:t>
      </w:r>
      <w:r>
        <w:rPr>
          <w:rFonts w:ascii="宋体" w:hAnsi="宋体" w:cs="宋体" w:eastAsia="宋体" w:hint="default"/>
        </w:rPr>
        <w:t>1</w:t>
      </w:r>
      <w:r>
        <w:rPr>
          <w:rFonts w:ascii="宋体" w:hAnsi="宋体" w:cs="宋体" w:eastAsia="宋体" w:hint="default"/>
          <w:spacing w:val="-58"/>
        </w:rPr>
        <w:t> </w:t>
      </w:r>
      <w:r>
        <w:rPr/>
        <w:t>股。该利润分配事项尚需提交股东大会审议批准。</w:t>
      </w:r>
    </w:p>
    <w:p>
      <w:pPr>
        <w:spacing w:line="240" w:lineRule="auto" w:before="12"/>
        <w:rPr>
          <w:rFonts w:ascii="宋体" w:hAnsi="宋体" w:cs="宋体" w:eastAsia="宋体" w:hint="default"/>
          <w:sz w:val="14"/>
          <w:szCs w:val="14"/>
        </w:rPr>
      </w:pPr>
    </w:p>
    <w:p>
      <w:pPr>
        <w:pStyle w:val="Heading2"/>
        <w:spacing w:line="240" w:lineRule="auto"/>
        <w:ind w:right="3084"/>
        <w:jc w:val="left"/>
        <w:rPr>
          <w:b w:val="0"/>
          <w:bCs w:val="0"/>
        </w:rPr>
      </w:pPr>
      <w:r>
        <w:rPr>
          <w:rFonts w:ascii="Calibri" w:hAnsi="Calibri" w:cs="Calibri" w:eastAsia="Calibri" w:hint="default"/>
        </w:rPr>
        <w:t>4</w:t>
      </w:r>
      <w:r>
        <w:rPr/>
        <w:t>、</w:t>
      </w:r>
      <w:r>
        <w:rPr>
          <w:spacing w:val="2"/>
        </w:rPr>
        <w:t> </w:t>
      </w:r>
      <w:r>
        <w:rPr/>
        <w:t>销售退回</w:t>
      </w:r>
      <w:r>
        <w:rPr>
          <w:b w:val="0"/>
          <w:bCs w:val="0"/>
        </w:rPr>
      </w:r>
    </w:p>
    <w:p>
      <w:pPr>
        <w:pStyle w:val="BodyText"/>
        <w:spacing w:line="240" w:lineRule="auto" w:before="29"/>
        <w:ind w:left="218" w:right="308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3084"/>
        <w:jc w:val="left"/>
        <w:rPr>
          <w:b w:val="0"/>
          <w:bCs w:val="0"/>
        </w:rPr>
      </w:pPr>
      <w:r>
        <w:rPr>
          <w:rFonts w:ascii="Calibri" w:hAnsi="Calibri" w:cs="Calibri" w:eastAsia="Calibri" w:hint="default"/>
        </w:rPr>
        <w:t>5</w:t>
      </w:r>
      <w:r>
        <w:rPr/>
        <w:t>、</w:t>
      </w:r>
      <w:r>
        <w:rPr>
          <w:spacing w:val="-1"/>
        </w:rPr>
        <w:t> </w:t>
      </w:r>
      <w:r>
        <w:rPr/>
        <w:t>其他资产负债表日后事项说明</w:t>
      </w:r>
      <w:r>
        <w:rPr>
          <w:b w:val="0"/>
          <w:bCs w:val="0"/>
        </w:rPr>
      </w:r>
    </w:p>
    <w:p>
      <w:pPr>
        <w:pStyle w:val="BodyText"/>
        <w:spacing w:line="240" w:lineRule="auto" w:before="30"/>
        <w:ind w:left="218" w:right="3084"/>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2"/>
        <w:spacing w:line="290" w:lineRule="auto" w:before="36"/>
        <w:ind w:left="138" w:right="6852"/>
        <w:jc w:val="both"/>
        <w:rPr>
          <w:b w:val="0"/>
          <w:bCs w:val="0"/>
        </w:rPr>
      </w:pPr>
      <w:r>
        <w:rPr/>
        <w:t>十六、</w:t>
      </w:r>
      <w:r>
        <w:rPr>
          <w:spacing w:val="103"/>
        </w:rPr>
        <w:t> </w:t>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rFonts w:ascii="宋体" w:hAnsi="宋体" w:cs="宋体" w:eastAsia="宋体" w:hint="default"/>
          <w:spacing w:val="74"/>
        </w:rPr>
        <w:t> </w:t>
      </w:r>
      <w:r>
        <w:rPr/>
        <w:t>追溯重述法</w:t>
      </w:r>
      <w:r>
        <w:rPr>
          <w:b w:val="0"/>
          <w:bCs w:val="0"/>
        </w:rPr>
      </w:r>
    </w:p>
    <w:p>
      <w:pPr>
        <w:spacing w:line="290" w:lineRule="auto" w:before="14"/>
        <w:ind w:left="138" w:right="729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74"/>
          <w:sz w:val="21"/>
          <w:szCs w:val="21"/>
        </w:rPr>
        <w:t> </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90" w:lineRule="auto" w:before="14"/>
        <w:ind w:left="138" w:right="73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pStyle w:val="BodyText"/>
        <w:spacing w:line="240" w:lineRule="auto" w:before="14"/>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3</w:t>
      </w:r>
      <w:r>
        <w:rPr/>
        <w:t>、</w:t>
      </w:r>
      <w:r>
        <w:rPr>
          <w:spacing w:val="3"/>
        </w:rPr>
        <w:t> </w:t>
      </w:r>
      <w:r>
        <w:rPr/>
        <w:t>资产置换</w:t>
      </w:r>
      <w:r>
        <w:rPr>
          <w:b w:val="0"/>
          <w:bCs w:val="0"/>
        </w:rPr>
      </w:r>
    </w:p>
    <w:p>
      <w:pPr>
        <w:pStyle w:val="Heading2"/>
        <w:spacing w:line="240" w:lineRule="auto" w:before="57"/>
        <w:ind w:left="138" w:right="0"/>
        <w:jc w:val="both"/>
        <w:rPr>
          <w:b w:val="0"/>
          <w:bCs w:val="0"/>
        </w:rPr>
      </w:pPr>
      <w:r>
        <w:rPr>
          <w:rFonts w:ascii="宋体" w:hAnsi="宋体" w:cs="宋体" w:eastAsia="宋体" w:hint="default"/>
        </w:rPr>
        <w:t>(1). </w:t>
      </w:r>
      <w:r>
        <w:rPr>
          <w:rFonts w:ascii="宋体" w:hAnsi="宋体" w:cs="宋体" w:eastAsia="宋体" w:hint="default"/>
          <w:spacing w:val="11"/>
        </w:rPr>
        <w:t> </w:t>
      </w:r>
      <w:r>
        <w:rPr/>
        <w:t>非货币性资产交换</w:t>
      </w:r>
      <w:r>
        <w:rPr>
          <w:b w:val="0"/>
          <w:bCs w:val="0"/>
        </w:rPr>
      </w:r>
    </w:p>
    <w:p>
      <w:pPr>
        <w:pStyle w:val="BodyText"/>
        <w:spacing w:line="240" w:lineRule="auto" w:before="135"/>
        <w:ind w:right="0"/>
        <w:jc w:val="both"/>
      </w:pPr>
      <w:r>
        <w:rPr/>
        <w:t>□适用</w:t>
      </w:r>
      <w:r>
        <w:rPr>
          <w:spacing w:val="-1"/>
        </w:rPr>
        <w:t> </w:t>
      </w:r>
      <w:r>
        <w:rPr/>
        <w:t>√不适用</w:t>
      </w:r>
    </w:p>
    <w:p>
      <w:pPr>
        <w:spacing w:line="240" w:lineRule="auto" w:before="12"/>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(2). </w:t>
      </w:r>
      <w:r>
        <w:rPr>
          <w:rFonts w:ascii="宋体" w:hAnsi="宋体" w:cs="宋体" w:eastAsia="宋体" w:hint="default"/>
          <w:spacing w:val="10"/>
        </w:rPr>
        <w:t> </w:t>
      </w:r>
      <w:r>
        <w:rPr/>
        <w:t>其他资产置换</w:t>
      </w:r>
      <w:r>
        <w:rPr>
          <w:b w:val="0"/>
          <w:bCs w:val="0"/>
        </w:rPr>
      </w:r>
    </w:p>
    <w:p>
      <w:pPr>
        <w:pStyle w:val="BodyText"/>
        <w:spacing w:line="240" w:lineRule="auto" w:before="58"/>
        <w:ind w:right="0"/>
        <w:jc w:val="both"/>
      </w:pPr>
      <w:r>
        <w:rPr/>
        <w:t>□适用</w:t>
      </w:r>
      <w:r>
        <w:rPr>
          <w:spacing w:val="8"/>
        </w:rPr>
        <w:t> </w:t>
      </w:r>
      <w:r>
        <w:rPr>
          <w:spacing w:val="-3"/>
        </w:rPr>
        <w:t>√不适用</w:t>
      </w:r>
      <w:r>
        <w:rPr/>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40" w:lineRule="auto" w:before="56"/>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5</w:t>
      </w:r>
      <w:r>
        <w:rPr/>
        <w:t>、</w:t>
      </w:r>
      <w:r>
        <w:rPr>
          <w:spacing w:val="3"/>
        </w:rPr>
        <w:t> </w:t>
      </w:r>
      <w:r>
        <w:rPr/>
        <w:t>终止经营</w:t>
      </w:r>
      <w:r>
        <w:rPr>
          <w:b w:val="0"/>
          <w:bCs w:val="0"/>
        </w:rPr>
      </w:r>
    </w:p>
    <w:p>
      <w:pPr>
        <w:pStyle w:val="BodyText"/>
        <w:spacing w:line="240" w:lineRule="auto" w:before="56"/>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6</w:t>
      </w:r>
      <w:r>
        <w:rPr/>
        <w:t>、</w:t>
      </w:r>
      <w:r>
        <w:rPr>
          <w:spacing w:val="3"/>
        </w:rPr>
        <w:t> </w:t>
      </w:r>
      <w:r>
        <w:rPr/>
        <w:t>分部信息</w:t>
      </w:r>
      <w:r>
        <w:rPr>
          <w:b w:val="0"/>
          <w:bCs w:val="0"/>
        </w:rPr>
      </w:r>
    </w:p>
    <w:p>
      <w:pPr>
        <w:pStyle w:val="Heading2"/>
        <w:spacing w:line="240" w:lineRule="auto" w:before="58"/>
        <w:ind w:left="138" w:right="0"/>
        <w:jc w:val="both"/>
        <w:rPr>
          <w:b w:val="0"/>
          <w:bCs w:val="0"/>
        </w:rPr>
      </w:pPr>
      <w:r>
        <w:rPr>
          <w:rFonts w:ascii="宋体" w:hAnsi="宋体" w:cs="宋体" w:eastAsia="宋体" w:hint="default"/>
        </w:rPr>
        <w:t>(1). </w:t>
      </w:r>
      <w:r>
        <w:rPr>
          <w:rFonts w:ascii="宋体" w:hAnsi="宋体" w:cs="宋体" w:eastAsia="宋体" w:hint="default"/>
          <w:spacing w:val="7"/>
        </w:rPr>
        <w:t> </w:t>
      </w:r>
      <w:r>
        <w:rPr/>
        <w:t>报告分部的确定依据与会计政策：</w:t>
      </w:r>
      <w:r>
        <w:rPr>
          <w:b w:val="0"/>
          <w:bCs w:val="0"/>
        </w:rPr>
      </w:r>
    </w:p>
    <w:p>
      <w:pPr>
        <w:pStyle w:val="BodyText"/>
        <w:spacing w:line="240" w:lineRule="auto" w:before="56"/>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(2). </w:t>
      </w:r>
      <w:r>
        <w:rPr>
          <w:rFonts w:ascii="宋体" w:hAnsi="宋体" w:cs="宋体" w:eastAsia="宋体" w:hint="default"/>
          <w:spacing w:val="11"/>
        </w:rPr>
        <w:t> </w:t>
      </w:r>
      <w:r>
        <w:rPr/>
        <w:t>报告分部的财务信息</w:t>
      </w:r>
      <w:r>
        <w:rPr>
          <w:b w:val="0"/>
          <w:bCs w:val="0"/>
        </w:rPr>
      </w:r>
    </w:p>
    <w:p>
      <w:pPr>
        <w:pStyle w:val="BodyText"/>
        <w:spacing w:line="240" w:lineRule="auto" w:before="58"/>
        <w:ind w:right="0"/>
        <w:jc w:val="both"/>
      </w:pPr>
      <w:r>
        <w:rPr/>
        <w:t>□适用</w:t>
      </w:r>
      <w:r>
        <w:rPr>
          <w:spacing w:val="-1"/>
        </w:rPr>
        <w:t> </w:t>
      </w:r>
      <w:r>
        <w:rPr/>
        <w:t>√不适用</w:t>
      </w:r>
    </w:p>
    <w:p>
      <w:pPr>
        <w:pStyle w:val="Heading2"/>
        <w:spacing w:line="240" w:lineRule="auto" w:before="56"/>
        <w:ind w:left="138" w:right="0"/>
        <w:jc w:val="both"/>
        <w:rPr>
          <w:b w:val="0"/>
          <w:bCs w:val="0"/>
        </w:rPr>
      </w:pPr>
      <w:r>
        <w:rPr>
          <w:rFonts w:ascii="宋体" w:hAnsi="宋体" w:cs="宋体" w:eastAsia="宋体" w:hint="default"/>
        </w:rPr>
        <w:t>(3). </w:t>
      </w:r>
      <w:r>
        <w:rPr>
          <w:rFonts w:ascii="宋体" w:hAnsi="宋体" w:cs="宋体" w:eastAsia="宋体" w:hint="default"/>
          <w:spacing w:val="4"/>
        </w:rPr>
        <w:t> </w:t>
      </w:r>
      <w:r>
        <w:rPr/>
        <w:t>公司无报告分部的，或者不能披露各报告分部的资产总额和负债总额的，应说明原因</w:t>
      </w:r>
      <w:r>
        <w:rPr>
          <w:b w:val="0"/>
          <w:bCs w:val="0"/>
        </w:rPr>
      </w:r>
    </w:p>
    <w:p>
      <w:pPr>
        <w:pStyle w:val="BodyText"/>
        <w:spacing w:line="240" w:lineRule="auto" w:before="58"/>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(4). </w:t>
      </w:r>
      <w:r>
        <w:rPr>
          <w:rFonts w:ascii="宋体" w:hAnsi="宋体" w:cs="宋体" w:eastAsia="宋体" w:hint="default"/>
          <w:spacing w:val="10"/>
        </w:rPr>
        <w:t> </w:t>
      </w:r>
      <w:r>
        <w:rPr/>
        <w:t>其他说明：</w:t>
      </w:r>
      <w:r>
        <w:rPr>
          <w:b w:val="0"/>
          <w:bCs w:val="0"/>
        </w:rPr>
      </w:r>
    </w:p>
    <w:p>
      <w:pPr>
        <w:pStyle w:val="BodyText"/>
        <w:spacing w:line="240" w:lineRule="auto" w:before="56"/>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BodyText"/>
        <w:spacing w:line="240" w:lineRule="auto" w:before="135"/>
        <w:ind w:right="0"/>
        <w:jc w:val="both"/>
      </w:pPr>
      <w:r>
        <w:rPr/>
        <w:t>□适用</w:t>
      </w:r>
      <w:r>
        <w:rPr>
          <w:spacing w:val="-1"/>
        </w:rPr>
        <w:t> </w:t>
      </w:r>
      <w:r>
        <w:rPr/>
        <w:t>√不适用</w:t>
      </w:r>
    </w:p>
    <w:p>
      <w:pPr>
        <w:spacing w:line="240" w:lineRule="auto" w:before="12"/>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8</w:t>
      </w:r>
      <w:r>
        <w:rPr/>
        <w:t>、</w:t>
      </w:r>
      <w:r>
        <w:rPr>
          <w:spacing w:val="2"/>
        </w:rPr>
        <w:t> </w:t>
      </w:r>
      <w:r>
        <w:rPr/>
        <w:t>其他</w:t>
      </w:r>
      <w:r>
        <w:rPr>
          <w:b w:val="0"/>
          <w:bCs w:val="0"/>
        </w:rPr>
      </w:r>
    </w:p>
    <w:p>
      <w:pPr>
        <w:pStyle w:val="BodyText"/>
        <w:spacing w:line="240" w:lineRule="auto" w:before="58"/>
        <w:ind w:right="0"/>
        <w:jc w:val="both"/>
      </w:pPr>
      <w:r>
        <w:rPr/>
        <w:t>□适用</w:t>
      </w:r>
      <w:r>
        <w:rPr>
          <w:spacing w:val="-1"/>
        </w:rPr>
        <w:t> </w:t>
      </w:r>
      <w:r>
        <w:rPr/>
        <w:t>√不适用</w:t>
      </w:r>
    </w:p>
    <w:p>
      <w:pPr>
        <w:pStyle w:val="Heading2"/>
        <w:tabs>
          <w:tab w:pos="977" w:val="left" w:leader="none"/>
        </w:tabs>
        <w:spacing w:line="292" w:lineRule="auto" w:before="56"/>
        <w:ind w:left="138" w:right="5385"/>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3"/>
        </w:rPr>
        <w:t> </w:t>
      </w:r>
      <w:r>
        <w:rPr/>
        <w:t>应收账款</w:t>
      </w:r>
      <w:r>
        <w:rPr>
          <w:b w:val="0"/>
          <w:bCs w:val="0"/>
        </w:rPr>
      </w:r>
    </w:p>
    <w:p>
      <w:pPr>
        <w:pStyle w:val="Heading2"/>
        <w:tabs>
          <w:tab w:pos="977" w:val="left" w:leader="none"/>
        </w:tabs>
        <w:spacing w:line="240" w:lineRule="auto" w:before="10"/>
        <w:ind w:left="279" w:right="0"/>
        <w:jc w:val="left"/>
        <w:rPr>
          <w:b w:val="0"/>
          <w:bCs w:val="0"/>
        </w:rPr>
      </w:pPr>
      <w:r>
        <w:rPr>
          <w:rFonts w:ascii="宋体" w:hAnsi="宋体" w:cs="宋体" w:eastAsia="宋体" w:hint="default"/>
          <w:w w:val="95"/>
        </w:rPr>
        <w:t>(1).</w:t>
        <w:tab/>
      </w:r>
      <w:r>
        <w:rPr/>
        <w:t>应收账款分类披露：</w:t>
      </w:r>
      <w:r>
        <w:rPr>
          <w:b w:val="0"/>
          <w:bCs w:val="0"/>
        </w:rPr>
      </w:r>
    </w:p>
    <w:p>
      <w:pPr>
        <w:pStyle w:val="BodyText"/>
        <w:spacing w:line="240" w:lineRule="auto" w:before="56"/>
        <w:ind w:right="0"/>
        <w:jc w:val="both"/>
      </w:pPr>
      <w:r>
        <w:rPr/>
        <w:t>□适用</w:t>
      </w:r>
      <w:r>
        <w:rPr>
          <w:spacing w:val="-1"/>
        </w:rPr>
        <w:t> </w:t>
      </w:r>
      <w:r>
        <w:rPr/>
        <w:t>√不适用</w:t>
      </w:r>
    </w:p>
    <w:p>
      <w:pPr>
        <w:spacing w:after="0" w:line="240"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40" w:lineRule="auto" w:before="36"/>
        <w:ind w:right="0"/>
        <w:jc w:val="left"/>
      </w:pPr>
      <w:r>
        <w:rPr/>
        <w:t>期末单项金额重大并单项计提坏账准备的应收账款：</w:t>
      </w:r>
    </w:p>
    <w:p>
      <w:pPr>
        <w:pStyle w:val="BodyText"/>
        <w:spacing w:line="290" w:lineRule="auto" w:before="58"/>
        <w:ind w:right="3467"/>
        <w:jc w:val="left"/>
      </w:pPr>
      <w:r>
        <w:rPr/>
        <w:t>□适用</w:t>
      </w:r>
      <w:r>
        <w:rPr>
          <w:spacing w:val="-2"/>
        </w:rPr>
        <w:t> </w:t>
      </w:r>
      <w:r>
        <w:rPr/>
        <w:t>√不适用</w:t>
      </w:r>
      <w:r>
        <w:rPr>
          <w:w w:val="100"/>
        </w:rPr>
        <w:t> </w:t>
      </w:r>
      <w:r>
        <w:rPr>
          <w:spacing w:val="-2"/>
        </w:rPr>
        <w:t>组合中，按账龄分析法计提坏账准备的应收账款：</w:t>
      </w:r>
    </w:p>
    <w:p>
      <w:pPr>
        <w:pStyle w:val="BodyText"/>
        <w:spacing w:line="240" w:lineRule="auto" w:before="14"/>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BodyText"/>
        <w:spacing w:line="240" w:lineRule="auto"/>
        <w:ind w:right="0"/>
        <w:jc w:val="left"/>
      </w:pPr>
      <w:r>
        <w:rPr/>
        <w:t>组合中，采用余额百分比法计提坏账准备的应收账款：</w:t>
      </w:r>
    </w:p>
    <w:p>
      <w:pPr>
        <w:pStyle w:val="BodyText"/>
        <w:spacing w:line="240" w:lineRule="auto" w:before="56"/>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BodyText"/>
        <w:spacing w:line="240" w:lineRule="auto"/>
        <w:ind w:right="0"/>
        <w:jc w:val="left"/>
      </w:pPr>
      <w:r>
        <w:rPr/>
        <w:t>组合中，采用其他方法计提坏账准备的应收账款：</w:t>
      </w:r>
    </w:p>
    <w:p>
      <w:pPr>
        <w:pStyle w:val="BodyText"/>
        <w:spacing w:line="240" w:lineRule="auto" w:before="58"/>
        <w:ind w:right="0"/>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2"/>
        <w:tabs>
          <w:tab w:pos="977" w:val="left" w:leader="none"/>
        </w:tabs>
        <w:spacing w:line="240" w:lineRule="auto"/>
        <w:ind w:left="279" w:right="0"/>
        <w:jc w:val="left"/>
        <w:rPr>
          <w:b w:val="0"/>
          <w:bCs w:val="0"/>
        </w:rPr>
      </w:pPr>
      <w:r>
        <w:rPr>
          <w:rFonts w:ascii="宋体" w:hAnsi="宋体" w:cs="宋体" w:eastAsia="宋体" w:hint="default"/>
          <w:w w:val="95"/>
        </w:rPr>
        <w:t>(2).</w:t>
        <w:tab/>
      </w:r>
      <w:r>
        <w:rPr/>
        <w:t>本期计提、收回或转回的坏账准备情况：</w:t>
      </w:r>
      <w:r>
        <w:rPr>
          <w:b w:val="0"/>
          <w:bCs w:val="0"/>
        </w:rPr>
      </w:r>
    </w:p>
    <w:p>
      <w:pPr>
        <w:pStyle w:val="BodyText"/>
        <w:spacing w:line="240" w:lineRule="auto" w:before="56"/>
        <w:ind w:left="558" w:right="0"/>
        <w:jc w:val="left"/>
      </w:pPr>
      <w:r>
        <w:rPr/>
        <w:t>本期计提坏账准备金额</w:t>
      </w:r>
      <w:r>
        <w:rPr>
          <w:spacing w:val="-55"/>
        </w:rPr>
        <w:t> </w:t>
      </w:r>
      <w:r>
        <w:rPr>
          <w:rFonts w:ascii="宋体" w:hAnsi="宋体" w:cs="宋体" w:eastAsia="宋体" w:hint="default"/>
        </w:rPr>
        <w:t>3,689,661.92</w:t>
      </w:r>
      <w:r>
        <w:rPr>
          <w:rFonts w:ascii="宋体" w:hAnsi="宋体" w:cs="宋体" w:eastAsia="宋体" w:hint="default"/>
          <w:spacing w:val="-56"/>
        </w:rPr>
        <w:t> </w:t>
      </w:r>
      <w:r>
        <w:rPr/>
        <w:t>元；本期收回或转回坏账准备金额</w:t>
      </w:r>
      <w:r>
        <w:rPr>
          <w:spacing w:val="-55"/>
        </w:rPr>
        <w:t> </w:t>
      </w:r>
      <w:r>
        <w:rPr>
          <w:rFonts w:ascii="宋体" w:hAnsi="宋体" w:cs="宋体" w:eastAsia="宋体" w:hint="default"/>
        </w:rPr>
        <w:t>0.00</w:t>
      </w:r>
      <w:r>
        <w:rPr>
          <w:rFonts w:ascii="宋体" w:hAnsi="宋体" w:cs="宋体" w:eastAsia="宋体" w:hint="default"/>
          <w:spacing w:val="-58"/>
        </w:rPr>
        <w:t> </w:t>
      </w:r>
      <w:r>
        <w:rPr/>
        <w:t>元。</w:t>
      </w:r>
    </w:p>
    <w:p>
      <w:pPr>
        <w:spacing w:line="240" w:lineRule="auto" w:before="8"/>
        <w:rPr>
          <w:rFonts w:ascii="宋体" w:hAnsi="宋体" w:cs="宋体" w:eastAsia="宋体" w:hint="default"/>
          <w:sz w:val="20"/>
          <w:szCs w:val="20"/>
        </w:rPr>
      </w:pPr>
    </w:p>
    <w:p>
      <w:pPr>
        <w:pStyle w:val="BodyText"/>
        <w:spacing w:line="274" w:lineRule="exact"/>
        <w:ind w:right="0"/>
        <w:jc w:val="left"/>
      </w:pPr>
      <w:r>
        <w:rPr/>
        <w:t>其中本期坏账准备收回或转回金额重要的：</w:t>
      </w:r>
    </w:p>
    <w:p>
      <w:pPr>
        <w:pStyle w:val="BodyText"/>
        <w:spacing w:line="274" w:lineRule="exact"/>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977" w:val="left" w:leader="none"/>
        </w:tabs>
        <w:spacing w:line="240" w:lineRule="auto"/>
        <w:ind w:left="279" w:right="0"/>
        <w:jc w:val="left"/>
        <w:rPr>
          <w:b w:val="0"/>
          <w:bCs w:val="0"/>
        </w:rPr>
      </w:pPr>
      <w:r>
        <w:rPr>
          <w:rFonts w:ascii="宋体" w:hAnsi="宋体" w:cs="宋体" w:eastAsia="宋体" w:hint="default"/>
          <w:w w:val="95"/>
        </w:rPr>
        <w:t>(3).</w:t>
        <w:tab/>
      </w:r>
      <w:r>
        <w:rPr/>
        <w:t>本期实际核销的应收账款情况</w:t>
      </w:r>
      <w:r>
        <w:rPr>
          <w:b w:val="0"/>
          <w:bCs w:val="0"/>
        </w:rPr>
      </w:r>
    </w:p>
    <w:p>
      <w:pPr>
        <w:pStyle w:val="BodyText"/>
        <w:spacing w:line="272" w:lineRule="exact" w:before="84"/>
        <w:ind w:right="5169"/>
        <w:jc w:val="left"/>
      </w:pPr>
      <w:r>
        <w:rPr/>
        <w:t>□适用</w:t>
      </w:r>
      <w:r>
        <w:rPr>
          <w:spacing w:val="-2"/>
        </w:rPr>
        <w:t> </w:t>
      </w:r>
      <w:r>
        <w:rPr/>
        <w:t>√不适用</w:t>
      </w:r>
      <w:r>
        <w:rPr>
          <w:w w:val="100"/>
        </w:rPr>
        <w:t> </w:t>
      </w:r>
      <w:r>
        <w:rPr>
          <w:spacing w:val="-2"/>
        </w:rPr>
        <w:t>其中重要的应收账款核销情况</w:t>
      </w:r>
    </w:p>
    <w:p>
      <w:pPr>
        <w:pStyle w:val="BodyText"/>
        <w:spacing w:line="249" w:lineRule="exact"/>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977" w:val="left" w:leader="none"/>
        </w:tabs>
        <w:spacing w:line="240" w:lineRule="auto"/>
        <w:ind w:left="279" w:right="0"/>
        <w:jc w:val="left"/>
        <w:rPr>
          <w:b w:val="0"/>
          <w:bCs w:val="0"/>
        </w:rPr>
      </w:pPr>
      <w:r>
        <w:rPr>
          <w:rFonts w:ascii="宋体" w:hAnsi="宋体" w:cs="宋体" w:eastAsia="宋体" w:hint="default"/>
          <w:w w:val="95"/>
        </w:rPr>
        <w:t>(4).</w:t>
        <w:tab/>
      </w:r>
      <w:r>
        <w:rPr/>
        <w:t>按欠款方归集的期末余额前五名的应收账款情况：</w:t>
      </w:r>
      <w:r>
        <w:rPr>
          <w:b w:val="0"/>
          <w:bCs w:val="0"/>
        </w:rPr>
      </w:r>
    </w:p>
    <w:p>
      <w:pPr>
        <w:pStyle w:val="BodyText"/>
        <w:spacing w:line="240" w:lineRule="auto" w:before="56"/>
        <w:ind w:right="0"/>
        <w:jc w:val="left"/>
      </w:pPr>
      <w:r>
        <w:rPr/>
        <w:t>□适用</w:t>
      </w:r>
      <w:r>
        <w:rPr>
          <w:spacing w:val="-1"/>
        </w:rPr>
        <w:t> </w:t>
      </w:r>
      <w:r>
        <w:rPr/>
        <w:t>√不适用</w:t>
      </w:r>
    </w:p>
    <w:p>
      <w:pPr>
        <w:pStyle w:val="Heading2"/>
        <w:tabs>
          <w:tab w:pos="977" w:val="left" w:leader="none"/>
        </w:tabs>
        <w:spacing w:line="240" w:lineRule="auto" w:before="58"/>
        <w:ind w:left="279" w:right="0"/>
        <w:jc w:val="left"/>
        <w:rPr>
          <w:b w:val="0"/>
          <w:bCs w:val="0"/>
        </w:rPr>
      </w:pPr>
      <w:r>
        <w:rPr>
          <w:rFonts w:ascii="宋体" w:hAnsi="宋体" w:cs="宋体" w:eastAsia="宋体" w:hint="default"/>
          <w:w w:val="95"/>
        </w:rPr>
        <w:t>(5).</w:t>
        <w:tab/>
      </w:r>
      <w:r>
        <w:rPr/>
        <w:t>因金融资产转移而终止确认的应收账款：</w:t>
      </w:r>
      <w:r>
        <w:rPr>
          <w:b w:val="0"/>
          <w:bCs w:val="0"/>
        </w:rPr>
      </w:r>
    </w:p>
    <w:p>
      <w:pPr>
        <w:pStyle w:val="BodyText"/>
        <w:spacing w:line="240" w:lineRule="auto" w:before="56"/>
        <w:ind w:right="0"/>
        <w:jc w:val="left"/>
      </w:pPr>
      <w:r>
        <w:rPr/>
        <w:t>□适用</w:t>
      </w:r>
      <w:r>
        <w:rPr>
          <w:spacing w:val="-1"/>
        </w:rPr>
        <w:t> </w:t>
      </w:r>
      <w:r>
        <w:rPr/>
        <w:t>√不适用</w:t>
      </w:r>
    </w:p>
    <w:p>
      <w:pPr>
        <w:spacing w:line="240" w:lineRule="auto" w:before="11"/>
        <w:rPr>
          <w:rFonts w:ascii="宋体" w:hAnsi="宋体" w:cs="宋体" w:eastAsia="宋体" w:hint="default"/>
          <w:sz w:val="22"/>
          <w:szCs w:val="22"/>
        </w:rPr>
      </w:pPr>
    </w:p>
    <w:p>
      <w:pPr>
        <w:pStyle w:val="Heading2"/>
        <w:tabs>
          <w:tab w:pos="977" w:val="left" w:leader="none"/>
        </w:tabs>
        <w:spacing w:line="240" w:lineRule="auto"/>
        <w:ind w:left="279" w:right="0"/>
        <w:jc w:val="left"/>
        <w:rPr>
          <w:b w:val="0"/>
          <w:bCs w:val="0"/>
        </w:rPr>
      </w:pPr>
      <w:r>
        <w:rPr>
          <w:rFonts w:ascii="宋体" w:hAnsi="宋体" w:cs="宋体" w:eastAsia="宋体" w:hint="default"/>
          <w:w w:val="95"/>
        </w:rPr>
        <w:t>(6).</w:t>
        <w:tab/>
      </w:r>
      <w:r>
        <w:rPr/>
        <w:t>转移应收账款且继续涉入形成的资产、负债金额：</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3"/>
        <w:rPr>
          <w:rFonts w:ascii="宋体" w:hAnsi="宋体" w:cs="宋体" w:eastAsia="宋体" w:hint="default"/>
          <w:sz w:val="18"/>
          <w:szCs w:val="18"/>
        </w:rPr>
      </w:pPr>
    </w:p>
    <w:p>
      <w:pPr>
        <w:pStyle w:val="BodyText"/>
        <w:spacing w:line="273" w:lineRule="exact"/>
        <w:ind w:right="0"/>
        <w:jc w:val="left"/>
      </w:pPr>
      <w:r>
        <w:rPr/>
        <w:t>其他说明：</w:t>
      </w:r>
    </w:p>
    <w:p>
      <w:pPr>
        <w:spacing w:line="292" w:lineRule="auto" w:before="0"/>
        <w:ind w:left="138" w:right="73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其他应收款</w:t>
      </w:r>
      <w:r>
        <w:rPr>
          <w:rFonts w:ascii="宋体" w:hAnsi="宋体" w:cs="宋体" w:eastAsia="宋体" w:hint="default"/>
          <w:sz w:val="21"/>
          <w:szCs w:val="21"/>
        </w:rPr>
      </w:r>
    </w:p>
    <w:p>
      <w:pPr>
        <w:pStyle w:val="Heading2"/>
        <w:spacing w:line="240" w:lineRule="auto" w:before="10"/>
        <w:ind w:left="138" w:right="0"/>
        <w:jc w:val="left"/>
        <w:rPr>
          <w:b w:val="0"/>
          <w:bCs w:val="0"/>
        </w:rPr>
      </w:pPr>
      <w:r>
        <w:rPr>
          <w:rFonts w:ascii="宋体" w:hAnsi="宋体" w:cs="宋体" w:eastAsia="宋体" w:hint="default"/>
        </w:rPr>
        <w:t>(1).</w:t>
      </w:r>
      <w:r>
        <w:rPr>
          <w:rFonts w:ascii="宋体" w:hAnsi="宋体" w:cs="宋体" w:eastAsia="宋体" w:hint="default"/>
          <w:spacing w:val="-1"/>
        </w:rPr>
        <w:t> </w:t>
      </w:r>
      <w:r>
        <w:rPr/>
        <w:t>其他应收款分类披露：</w:t>
      </w:r>
      <w:r>
        <w:rPr>
          <w:b w:val="0"/>
          <w:bCs w:val="0"/>
        </w:rPr>
      </w:r>
    </w:p>
    <w:p>
      <w:pPr>
        <w:pStyle w:val="BodyText"/>
        <w:spacing w:line="290" w:lineRule="auto" w:before="58"/>
        <w:ind w:right="3467"/>
        <w:jc w:val="left"/>
      </w:pPr>
      <w:r>
        <w:rPr/>
        <w:t>□适用</w:t>
      </w:r>
      <w:r>
        <w:rPr>
          <w:spacing w:val="-2"/>
        </w:rPr>
        <w:t> </w:t>
      </w:r>
      <w:r>
        <w:rPr/>
        <w:t>√不适用</w:t>
      </w:r>
      <w:r>
        <w:rPr>
          <w:w w:val="100"/>
        </w:rPr>
        <w:t> </w:t>
      </w:r>
      <w:r>
        <w:rPr>
          <w:spacing w:val="-2"/>
        </w:rPr>
        <w:t>期末单项金额重大并单项计提坏账准备的其他应收款：</w:t>
      </w:r>
    </w:p>
    <w:p>
      <w:pPr>
        <w:pStyle w:val="BodyText"/>
        <w:spacing w:line="290" w:lineRule="auto" w:before="14"/>
        <w:ind w:right="3467"/>
        <w:jc w:val="left"/>
      </w:pPr>
      <w:r>
        <w:rPr/>
        <w:t>□适用</w:t>
      </w:r>
      <w:r>
        <w:rPr>
          <w:spacing w:val="-2"/>
        </w:rPr>
        <w:t> </w:t>
      </w:r>
      <w:r>
        <w:rPr/>
        <w:t>√不适用</w:t>
      </w:r>
      <w:r>
        <w:rPr>
          <w:w w:val="100"/>
        </w:rPr>
        <w:t> </w:t>
      </w:r>
      <w:r>
        <w:rPr>
          <w:spacing w:val="-2"/>
        </w:rPr>
        <w:t>组合中，按账龄分析法计提坏账准备的其他应收款：</w:t>
      </w:r>
    </w:p>
    <w:p>
      <w:pPr>
        <w:pStyle w:val="BodyText"/>
        <w:spacing w:line="240" w:lineRule="auto" w:before="14"/>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BodyText"/>
        <w:spacing w:line="240" w:lineRule="auto"/>
        <w:ind w:right="0"/>
        <w:jc w:val="left"/>
      </w:pPr>
      <w:r>
        <w:rPr/>
        <w:t>组合中，采用余额百分比法计提坏账准备的其他应收款：</w:t>
      </w:r>
    </w:p>
    <w:p>
      <w:pPr>
        <w:pStyle w:val="BodyText"/>
        <w:spacing w:line="240" w:lineRule="auto" w:before="56"/>
        <w:ind w:right="0"/>
        <w:jc w:val="left"/>
      </w:pPr>
      <w:r>
        <w:rPr/>
        <w:t>□适用</w:t>
      </w:r>
      <w:r>
        <w:rPr>
          <w:spacing w:val="-1"/>
        </w:rPr>
        <w:t> </w:t>
      </w:r>
      <w:r>
        <w:rPr/>
        <w:t>√不适用</w:t>
      </w:r>
    </w:p>
    <w:p>
      <w:pPr>
        <w:spacing w:after="0" w:line="240" w:lineRule="auto"/>
        <w:jc w:val="left"/>
        <w:sectPr>
          <w:footerReference w:type="default" r:id="rId57"/>
          <w:pgSz w:w="11910" w:h="16840"/>
          <w:pgMar w:footer="1309" w:header="882" w:top="1120" w:bottom="1500" w:left="1660" w:right="1140"/>
          <w:pgNumType w:start="128"/>
        </w:sectPr>
      </w:pPr>
    </w:p>
    <w:p>
      <w:pPr>
        <w:spacing w:line="240" w:lineRule="auto" w:before="1"/>
        <w:rPr>
          <w:rFonts w:ascii="宋体" w:hAnsi="宋体" w:cs="宋体" w:eastAsia="宋体" w:hint="default"/>
          <w:sz w:val="25"/>
          <w:szCs w:val="25"/>
        </w:rPr>
      </w:pPr>
    </w:p>
    <w:p>
      <w:pPr>
        <w:pStyle w:val="BodyText"/>
        <w:spacing w:line="240" w:lineRule="auto" w:before="36"/>
        <w:ind w:left="218" w:right="308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3084"/>
        <w:jc w:val="left"/>
        <w:rPr>
          <w:b w:val="0"/>
          <w:bCs w:val="0"/>
        </w:rPr>
      </w:pPr>
      <w:r>
        <w:rPr>
          <w:rFonts w:ascii="宋体" w:hAnsi="宋体" w:cs="宋体" w:eastAsia="宋体" w:hint="default"/>
        </w:rPr>
        <w:t>(2).</w:t>
      </w:r>
      <w:r>
        <w:rPr>
          <w:rFonts w:ascii="宋体" w:hAnsi="宋体" w:cs="宋体" w:eastAsia="宋体" w:hint="default"/>
          <w:spacing w:val="-2"/>
        </w:rPr>
        <w:t> </w:t>
      </w:r>
      <w:r>
        <w:rPr/>
        <w:t>本期计提、收回或转回的坏账准备情况：</w:t>
      </w:r>
      <w:r>
        <w:rPr>
          <w:b w:val="0"/>
          <w:bCs w:val="0"/>
        </w:rPr>
      </w:r>
    </w:p>
    <w:p>
      <w:pPr>
        <w:pStyle w:val="BodyText"/>
        <w:spacing w:line="272" w:lineRule="exact" w:before="86"/>
        <w:ind w:left="218" w:right="1500"/>
        <w:jc w:val="left"/>
      </w:pPr>
      <w:r>
        <w:rPr/>
        <w:t>本期计提坏账准备金额</w:t>
      </w:r>
      <w:r>
        <w:rPr>
          <w:spacing w:val="-55"/>
        </w:rPr>
        <w:t> </w:t>
      </w:r>
      <w:r>
        <w:rPr>
          <w:rFonts w:ascii="宋体" w:hAnsi="宋体" w:cs="宋体" w:eastAsia="宋体" w:hint="default"/>
        </w:rPr>
        <w:t>1,326,085.25</w:t>
      </w:r>
      <w:r>
        <w:rPr>
          <w:rFonts w:ascii="宋体" w:hAnsi="宋体" w:cs="宋体" w:eastAsia="宋体" w:hint="default"/>
          <w:spacing w:val="-55"/>
        </w:rPr>
        <w:t> </w:t>
      </w:r>
      <w:r>
        <w:rPr/>
        <w:t>元；本期收回或转回坏账准备金额</w:t>
      </w:r>
      <w:r>
        <w:rPr>
          <w:spacing w:val="-55"/>
        </w:rPr>
        <w:t> </w:t>
      </w:r>
      <w:r>
        <w:rPr>
          <w:rFonts w:ascii="宋体" w:hAnsi="宋体" w:cs="宋体" w:eastAsia="宋体" w:hint="default"/>
        </w:rPr>
        <w:t>0.00</w:t>
      </w:r>
      <w:r>
        <w:rPr>
          <w:rFonts w:ascii="宋体" w:hAnsi="宋体" w:cs="宋体" w:eastAsia="宋体" w:hint="default"/>
          <w:spacing w:val="-57"/>
        </w:rPr>
        <w:t> </w:t>
      </w:r>
      <w:r>
        <w:rPr/>
        <w:t>元。</w:t>
      </w:r>
      <w:r>
        <w:rPr>
          <w:w w:val="100"/>
        </w:rPr>
        <w:t> </w:t>
      </w:r>
      <w:r>
        <w:rPr/>
        <w:t>其中本期坏账准备转回或收回金额重要的：</w:t>
      </w:r>
    </w:p>
    <w:p>
      <w:pPr>
        <w:pStyle w:val="BodyText"/>
        <w:spacing w:line="249" w:lineRule="exact"/>
        <w:ind w:left="218" w:right="308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3084"/>
        <w:jc w:val="left"/>
        <w:rPr>
          <w:b w:val="0"/>
          <w:bCs w:val="0"/>
        </w:rPr>
      </w:pPr>
      <w:r>
        <w:rPr>
          <w:rFonts w:ascii="宋体" w:hAnsi="宋体" w:cs="宋体" w:eastAsia="宋体" w:hint="default"/>
        </w:rPr>
        <w:t>(3).</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6"/>
        <w:ind w:left="218" w:right="3084"/>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spacing w:line="240" w:lineRule="auto"/>
        <w:ind w:right="3084"/>
        <w:jc w:val="left"/>
        <w:rPr>
          <w:b w:val="0"/>
          <w:bCs w:val="0"/>
        </w:rPr>
      </w:pPr>
      <w:r>
        <w:rPr>
          <w:rFonts w:ascii="宋体" w:hAnsi="宋体" w:cs="宋体" w:eastAsia="宋体" w:hint="default"/>
        </w:rPr>
        <w:t>(4).</w:t>
      </w:r>
      <w:r>
        <w:rPr>
          <w:rFonts w:ascii="宋体" w:hAnsi="宋体" w:cs="宋体" w:eastAsia="宋体" w:hint="default"/>
          <w:spacing w:val="-3"/>
        </w:rPr>
        <w:t> </w:t>
      </w:r>
      <w:r>
        <w:rPr/>
        <w:t>其他应收款按款项性质分类情况</w:t>
      </w:r>
      <w:r>
        <w:rPr>
          <w:b w:val="0"/>
          <w:bCs w:val="0"/>
        </w:rPr>
      </w:r>
    </w:p>
    <w:p>
      <w:pPr>
        <w:pStyle w:val="BodyText"/>
        <w:spacing w:line="240" w:lineRule="auto" w:before="56"/>
        <w:ind w:left="218" w:right="3084"/>
        <w:jc w:val="left"/>
      </w:pPr>
      <w:r>
        <w:rPr/>
        <w:t>□适用</w:t>
      </w:r>
      <w:r>
        <w:rPr>
          <w:spacing w:val="-1"/>
        </w:rPr>
        <w:t> </w:t>
      </w:r>
      <w:r>
        <w:rPr/>
        <w:t>√不适用</w:t>
      </w:r>
    </w:p>
    <w:p>
      <w:pPr>
        <w:pStyle w:val="Heading2"/>
        <w:spacing w:line="240" w:lineRule="auto" w:before="58"/>
        <w:ind w:right="3084"/>
        <w:jc w:val="left"/>
        <w:rPr>
          <w:b w:val="0"/>
          <w:bCs w:val="0"/>
        </w:rPr>
      </w:pPr>
      <w:r>
        <w:rPr>
          <w:rFonts w:ascii="宋体" w:hAnsi="宋体" w:cs="宋体" w:eastAsia="宋体" w:hint="default"/>
        </w:rPr>
        <w:t>(5).</w:t>
      </w:r>
      <w:r>
        <w:rPr>
          <w:rFonts w:ascii="宋体" w:hAnsi="宋体" w:cs="宋体" w:eastAsia="宋体" w:hint="default"/>
          <w:spacing w:val="-6"/>
        </w:rPr>
        <w:t> </w:t>
      </w:r>
      <w:r>
        <w:rPr/>
        <w:t>按欠款方归集的期末余额前五名的其他应收款情况：</w:t>
      </w:r>
      <w:r>
        <w:rPr>
          <w:b w:val="0"/>
          <w:bCs w:val="0"/>
        </w:rPr>
      </w:r>
    </w:p>
    <w:p>
      <w:pPr>
        <w:pStyle w:val="BodyText"/>
        <w:spacing w:line="240" w:lineRule="auto" w:before="56"/>
        <w:ind w:left="218" w:right="3084"/>
        <w:jc w:val="left"/>
      </w:pPr>
      <w:r>
        <w:rPr/>
        <w:t>□适用</w:t>
      </w:r>
      <w:r>
        <w:rPr>
          <w:spacing w:val="-1"/>
        </w:rPr>
        <w:t> </w:t>
      </w:r>
      <w:r>
        <w:rPr/>
        <w:t>√不适用</w:t>
      </w:r>
    </w:p>
    <w:p>
      <w:pPr>
        <w:pStyle w:val="Heading2"/>
        <w:spacing w:line="240" w:lineRule="auto" w:before="58"/>
        <w:ind w:right="3084"/>
        <w:jc w:val="left"/>
        <w:rPr>
          <w:b w:val="0"/>
          <w:bCs w:val="0"/>
        </w:rPr>
      </w:pPr>
      <w:r>
        <w:rPr>
          <w:rFonts w:ascii="宋体" w:hAnsi="宋体" w:cs="宋体" w:eastAsia="宋体" w:hint="default"/>
        </w:rPr>
        <w:t>(6).</w:t>
      </w:r>
      <w:r>
        <w:rPr>
          <w:rFonts w:ascii="宋体" w:hAnsi="宋体" w:cs="宋体" w:eastAsia="宋体" w:hint="default"/>
          <w:spacing w:val="-1"/>
        </w:rPr>
        <w:t> </w:t>
      </w:r>
      <w:r>
        <w:rPr/>
        <w:t>涉及政府补助的应收款项</w:t>
      </w:r>
      <w:r>
        <w:rPr>
          <w:b w:val="0"/>
          <w:bCs w:val="0"/>
        </w:rPr>
      </w:r>
    </w:p>
    <w:p>
      <w:pPr>
        <w:pStyle w:val="BodyText"/>
        <w:spacing w:line="240" w:lineRule="auto" w:before="56"/>
        <w:ind w:left="218" w:right="308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3084"/>
        <w:jc w:val="left"/>
        <w:rPr>
          <w:b w:val="0"/>
          <w:bCs w:val="0"/>
        </w:rPr>
      </w:pPr>
      <w:r>
        <w:rPr>
          <w:rFonts w:ascii="宋体" w:hAnsi="宋体" w:cs="宋体" w:eastAsia="宋体" w:hint="default"/>
        </w:rPr>
        <w:t>(7).</w:t>
      </w:r>
      <w:r>
        <w:rPr>
          <w:rFonts w:ascii="宋体" w:hAnsi="宋体" w:cs="宋体" w:eastAsia="宋体" w:hint="default"/>
          <w:spacing w:val="-1"/>
        </w:rPr>
        <w:t> </w:t>
      </w:r>
      <w:r>
        <w:rPr/>
        <w:t>因金融资产转移而终止确认的其他应收款：</w:t>
      </w:r>
      <w:r>
        <w:rPr>
          <w:b w:val="0"/>
          <w:bCs w:val="0"/>
        </w:rPr>
      </w:r>
    </w:p>
    <w:p>
      <w:pPr>
        <w:pStyle w:val="BodyText"/>
        <w:spacing w:line="240" w:lineRule="auto" w:before="56"/>
        <w:ind w:left="218" w:right="308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3084"/>
        <w:jc w:val="left"/>
        <w:rPr>
          <w:b w:val="0"/>
          <w:bCs w:val="0"/>
        </w:rPr>
      </w:pPr>
      <w:r>
        <w:rPr>
          <w:rFonts w:ascii="宋体" w:hAnsi="宋体" w:cs="宋体" w:eastAsia="宋体" w:hint="default"/>
        </w:rPr>
        <w:t>(8).</w:t>
      </w:r>
      <w:r>
        <w:rPr>
          <w:rFonts w:ascii="宋体" w:hAnsi="宋体" w:cs="宋体" w:eastAsia="宋体" w:hint="default"/>
          <w:spacing w:val="-6"/>
        </w:rPr>
        <w:t> </w:t>
      </w:r>
      <w:r>
        <w:rPr/>
        <w:t>转移其他应收款且继续涉入形成的资产、负债金额：</w:t>
      </w:r>
      <w:r>
        <w:rPr>
          <w:b w:val="0"/>
          <w:bCs w:val="0"/>
        </w:rPr>
      </w:r>
    </w:p>
    <w:p>
      <w:pPr>
        <w:pStyle w:val="BodyText"/>
        <w:spacing w:line="240" w:lineRule="auto" w:before="58"/>
        <w:ind w:left="218" w:right="3084"/>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left="218" w:right="3084"/>
        <w:jc w:val="left"/>
      </w:pPr>
      <w:r>
        <w:rPr/>
        <w:t>其他说明：</w:t>
      </w:r>
    </w:p>
    <w:p>
      <w:pPr>
        <w:pStyle w:val="BodyText"/>
        <w:spacing w:line="273" w:lineRule="exact"/>
        <w:ind w:left="218" w:right="308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3084"/>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8"/>
        <w:ind w:left="218" w:right="308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3084"/>
        <w:jc w:val="left"/>
        <w:rPr>
          <w:b w:val="0"/>
          <w:bCs w:val="0"/>
        </w:rPr>
      </w:pPr>
      <w:r>
        <w:rPr>
          <w:rFonts w:ascii="宋体" w:hAnsi="宋体" w:cs="宋体" w:eastAsia="宋体" w:hint="default"/>
        </w:rPr>
        <w:t>4</w:t>
      </w:r>
      <w:r>
        <w:rPr/>
        <w:t>、</w:t>
      </w:r>
      <w:r>
        <w:rPr>
          <w:spacing w:val="2"/>
        </w:rPr>
        <w:t> </w:t>
      </w:r>
      <w:r>
        <w:rPr/>
        <w:t>营业收入和营业成本：</w:t>
      </w:r>
      <w:r>
        <w:rPr>
          <w:b w:val="0"/>
          <w:bCs w:val="0"/>
        </w:rPr>
      </w:r>
    </w:p>
    <w:p>
      <w:pPr>
        <w:pStyle w:val="BodyText"/>
        <w:spacing w:line="240" w:lineRule="auto" w:before="56"/>
        <w:ind w:left="218" w:right="308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3084"/>
        <w:jc w:val="left"/>
        <w:rPr>
          <w:b w:val="0"/>
          <w:bCs w:val="0"/>
        </w:rPr>
      </w:pPr>
      <w:r>
        <w:rPr>
          <w:rFonts w:ascii="宋体" w:hAnsi="宋体" w:cs="宋体" w:eastAsia="宋体" w:hint="default"/>
        </w:rPr>
        <w:t>5</w:t>
      </w:r>
      <w:r>
        <w:rPr/>
        <w:t>、</w:t>
      </w:r>
      <w:r>
        <w:rPr>
          <w:spacing w:val="3"/>
        </w:rPr>
        <w:t> </w:t>
      </w:r>
      <w:r>
        <w:rPr/>
        <w:t>投资收益</w:t>
      </w:r>
      <w:r>
        <w:rPr>
          <w:b w:val="0"/>
          <w:bCs w:val="0"/>
        </w:rPr>
      </w:r>
    </w:p>
    <w:p>
      <w:pPr>
        <w:spacing w:line="290" w:lineRule="auto" w:before="58"/>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14"/>
        <w:ind w:left="218" w:right="3084"/>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58"/>
          <w:pgSz w:w="11910" w:h="16840"/>
          <w:pgMar w:footer="1195" w:header="882" w:top="1120" w:bottom="1380" w:left="1580" w:right="1040"/>
          <w:pgNumType w:start="12"/>
        </w:sectPr>
      </w:pPr>
    </w:p>
    <w:p>
      <w:pPr>
        <w:pStyle w:val="Heading2"/>
        <w:tabs>
          <w:tab w:pos="1057" w:val="left" w:leader="none"/>
        </w:tabs>
        <w:spacing w:line="240" w:lineRule="auto" w:before="36"/>
        <w:ind w:right="-19"/>
        <w:jc w:val="left"/>
        <w:rPr>
          <w:b w:val="0"/>
          <w:bCs w:val="0"/>
        </w:rPr>
      </w:pPr>
      <w:r>
        <w:rPr/>
        <w:t>十八、</w:t>
        <w:tab/>
        <w:t>补充资料</w:t>
      </w:r>
      <w:r>
        <w:rPr>
          <w:b w:val="0"/>
          <w:bCs w:val="0"/>
        </w:rPr>
      </w:r>
    </w:p>
    <w:p>
      <w:pPr>
        <w:pStyle w:val="Heading2"/>
        <w:spacing w:line="240" w:lineRule="auto" w:before="56"/>
        <w:ind w:right="-19"/>
        <w:jc w:val="left"/>
        <w:rPr>
          <w:b w:val="0"/>
          <w:bCs w:val="0"/>
        </w:rPr>
      </w:pPr>
      <w:r>
        <w:rPr>
          <w:rFonts w:ascii="宋体" w:hAnsi="宋体" w:cs="宋体" w:eastAsia="宋体" w:hint="default"/>
        </w:rPr>
        <w:t>1</w:t>
      </w:r>
      <w:r>
        <w:rPr/>
        <w:t>、 当期非经常性损益明细表</w:t>
      </w:r>
      <w:r>
        <w:rPr>
          <w:b w:val="0"/>
          <w:bCs w:val="0"/>
        </w:rPr>
      </w:r>
    </w:p>
    <w:p>
      <w:pPr>
        <w:pStyle w:val="BodyText"/>
        <w:spacing w:line="240" w:lineRule="auto" w:before="56"/>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62" w:space="3560"/>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72" w:lineRule="exact" w:before="27"/>
              <w:ind w:left="103" w:right="158"/>
              <w:jc w:val="left"/>
              <w:rPr>
                <w:rFonts w:ascii="宋体" w:hAnsi="宋体" w:cs="宋体" w:eastAsia="宋体" w:hint="default"/>
                <w:sz w:val="21"/>
                <w:szCs w:val="21"/>
              </w:rPr>
            </w:pPr>
            <w:r>
              <w:rPr>
                <w:rFonts w:ascii="宋体" w:hAnsi="宋体" w:cs="宋体" w:eastAsia="宋体" w:hint="default"/>
                <w:spacing w:val="-2"/>
                <w:sz w:val="21"/>
                <w:szCs w:val="21"/>
              </w:rPr>
              <w:t>切相关，按照国家统一标准定额或定量享</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受的政府补助除外）</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6,678,547.28</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40" w:lineRule="auto"/>
              <w:ind w:left="103" w:right="158"/>
              <w:jc w:val="left"/>
              <w:rPr>
                <w:rFonts w:ascii="宋体" w:hAnsi="宋体" w:cs="宋体" w:eastAsia="宋体" w:hint="default"/>
                <w:sz w:val="21"/>
                <w:szCs w:val="21"/>
              </w:rPr>
            </w:pPr>
            <w:r>
              <w:rPr>
                <w:rFonts w:ascii="宋体" w:hAnsi="宋体" w:cs="宋体" w:eastAsia="宋体" w:hint="default"/>
                <w:spacing w:val="-2"/>
                <w:sz w:val="21"/>
                <w:szCs w:val="21"/>
              </w:rPr>
              <w:t>投资成本小于取得投资时应享有被投资单</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位可辨认净资产公允价值产生的收益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1,524,492.15</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37" w:lineRule="auto" w:before="2"/>
              <w:ind w:left="103" w:right="158"/>
              <w:jc w:val="both"/>
              <w:rPr>
                <w:rFonts w:ascii="宋体" w:hAnsi="宋体" w:cs="宋体" w:eastAsia="宋体" w:hint="default"/>
                <w:sz w:val="21"/>
                <w:szCs w:val="21"/>
              </w:rPr>
            </w:pPr>
            <w:r>
              <w:rPr>
                <w:rFonts w:ascii="宋体" w:hAnsi="宋体" w:cs="宋体" w:eastAsia="宋体" w:hint="default"/>
                <w:spacing w:val="-2"/>
                <w:sz w:val="21"/>
                <w:szCs w:val="21"/>
              </w:rPr>
              <w:t>值业务外，持有交易性金融资产、交易性</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金融负债产生的公允价值变动损益，以及</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处置交易性金融资产、交易性金融负债和</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可供出售金融资产取得的投资收益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回</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23,646.24</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-1,234,002.85</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6,992,682.82</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left="218" w:right="0"/>
        <w:jc w:val="left"/>
      </w:pPr>
      <w:r>
        <w:rPr/>
        <w:t>对公司根据《公开发行证券的公司信息披露解释性公告第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号——非经常性损益》定义界定的非</w:t>
      </w:r>
    </w:p>
    <w:p>
      <w:pPr>
        <w:pStyle w:val="BodyText"/>
        <w:spacing w:line="240" w:lineRule="auto"/>
        <w:ind w:left="218" w:right="233"/>
        <w:jc w:val="left"/>
      </w:pPr>
      <w:r>
        <w:rPr/>
        <w:t>经常性损益项目，以及把《公开发行证券的公司信息披露解释性公告第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w:t>
      </w:r>
      <w:r>
        <w:rPr>
          <w:w w:val="100"/>
        </w:rPr>
        <w:t> </w:t>
      </w:r>
      <w:r>
        <w:rPr/>
        <w:t>中列举的非经常性损益项目界定为经常性损益的项目，应说明原因。</w:t>
      </w:r>
    </w:p>
    <w:p>
      <w:pPr>
        <w:pStyle w:val="BodyText"/>
        <w:spacing w:line="271" w:lineRule="exact"/>
        <w:ind w:left="218" w:right="308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3084"/>
        <w:jc w:val="left"/>
        <w:rPr>
          <w:b w:val="0"/>
          <w:bCs w:val="0"/>
        </w:rPr>
      </w:pPr>
      <w:r>
        <w:rPr>
          <w:rFonts w:ascii="宋体" w:hAnsi="宋体" w:cs="宋体" w:eastAsia="宋体" w:hint="default"/>
        </w:rPr>
        <w:t>2</w:t>
      </w:r>
      <w:r>
        <w:rPr/>
        <w:t>、 净资产收益率及每股收益</w:t>
      </w:r>
      <w:r>
        <w:rPr>
          <w:b w:val="0"/>
          <w:bCs w:val="0"/>
        </w:rPr>
      </w:r>
    </w:p>
    <w:p>
      <w:pPr>
        <w:pStyle w:val="BodyText"/>
        <w:spacing w:line="240" w:lineRule="auto" w:before="59"/>
        <w:ind w:left="218" w:right="3084"/>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4294"/>
      </w:tblGrid>
      <w:tr>
        <w:trPr>
          <w:trHeight w:val="283"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加权平均净资产</w:t>
            </w:r>
          </w:p>
        </w:tc>
        <w:tc>
          <w:tcPr>
            <w:tcW w:w="4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bl>
    <w:p>
      <w:pPr>
        <w:spacing w:after="0" w:line="241" w:lineRule="exact"/>
        <w:jc w:val="center"/>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372" w:hRule="exact"/>
        </w:trPr>
        <w:tc>
          <w:tcPr>
            <w:tcW w:w="291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38" w:right="0"/>
              <w:jc w:val="left"/>
              <w:rPr>
                <w:rFonts w:ascii="宋体" w:hAnsi="宋体" w:cs="宋体" w:eastAsia="宋体" w:hint="default"/>
                <w:sz w:val="21"/>
                <w:szCs w:val="21"/>
              </w:rPr>
            </w:pP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15.19</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0.66</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0.66</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14.47</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0.63</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0.63</w:t>
            </w:r>
          </w:p>
        </w:tc>
      </w:tr>
    </w:tbl>
    <w:p>
      <w:pPr>
        <w:spacing w:line="240" w:lineRule="auto" w:before="12"/>
        <w:rPr>
          <w:rFonts w:ascii="宋体" w:hAnsi="宋体" w:cs="宋体" w:eastAsia="宋体" w:hint="default"/>
          <w:sz w:val="19"/>
          <w:szCs w:val="19"/>
        </w:rPr>
      </w:pPr>
    </w:p>
    <w:p>
      <w:pPr>
        <w:pStyle w:val="Heading2"/>
        <w:spacing w:line="240" w:lineRule="auto" w:before="36"/>
        <w:ind w:right="3084"/>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8"/>
        <w:ind w:left="218" w:right="3084"/>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2"/>
        <w:spacing w:line="240" w:lineRule="auto"/>
        <w:ind w:right="3084"/>
        <w:jc w:val="left"/>
        <w:rPr>
          <w:b w:val="0"/>
          <w:bCs w:val="0"/>
        </w:rPr>
      </w:pPr>
      <w:r>
        <w:rPr>
          <w:rFonts w:ascii="宋体" w:hAnsi="宋体" w:cs="宋体" w:eastAsia="宋体" w:hint="default"/>
        </w:rPr>
        <w:t>4</w:t>
      </w:r>
      <w:r>
        <w:rPr/>
        <w:t>、</w:t>
      </w:r>
      <w:r>
        <w:rPr>
          <w:spacing w:val="-1"/>
        </w:rPr>
        <w:t> </w:t>
      </w:r>
      <w:r>
        <w:rPr/>
        <w:t>其他</w:t>
      </w:r>
      <w:r>
        <w:rPr>
          <w:b w:val="0"/>
          <w:bCs w:val="0"/>
        </w:rPr>
      </w:r>
    </w:p>
    <w:p>
      <w:pPr>
        <w:pStyle w:val="BodyText"/>
        <w:spacing w:line="240" w:lineRule="auto" w:before="59"/>
        <w:ind w:left="218" w:right="3084"/>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1"/>
        <w:spacing w:line="240" w:lineRule="auto"/>
        <w:ind w:right="14"/>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82" w:type="dxa"/>
        <w:tblLayout w:type="fixed"/>
        <w:tblCellMar>
          <w:top w:w="0" w:type="dxa"/>
          <w:left w:w="0" w:type="dxa"/>
          <w:bottom w:w="0" w:type="dxa"/>
          <w:right w:w="0" w:type="dxa"/>
        </w:tblCellMar>
        <w:tblLook w:val="01E0"/>
      </w:tblPr>
      <w:tblGrid>
        <w:gridCol w:w="2295"/>
        <w:gridCol w:w="6601"/>
      </w:tblGrid>
      <w:tr>
        <w:trPr>
          <w:trHeight w:val="828"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载有公司负责人、主管会计工作负责人、会计机构负责人（会计主管</w:t>
            </w:r>
          </w:p>
          <w:p>
            <w:pPr>
              <w:pStyle w:val="TableParagraph"/>
              <w:spacing w:line="240" w:lineRule="auto" w:before="135"/>
              <w:ind w:left="26" w:right="0"/>
              <w:jc w:val="left"/>
              <w:rPr>
                <w:rFonts w:ascii="宋体" w:hAnsi="宋体" w:cs="宋体" w:eastAsia="宋体" w:hint="default"/>
                <w:sz w:val="21"/>
                <w:szCs w:val="21"/>
              </w:rPr>
            </w:pPr>
            <w:r>
              <w:rPr>
                <w:rFonts w:ascii="宋体" w:hAnsi="宋体" w:cs="宋体" w:eastAsia="宋体" w:hint="default"/>
                <w:sz w:val="21"/>
                <w:szCs w:val="21"/>
              </w:rPr>
              <w:t>人员）</w:t>
            </w:r>
            <w:r>
              <w:rPr>
                <w:rFonts w:ascii="宋体" w:hAnsi="宋体" w:cs="宋体" w:eastAsia="宋体" w:hint="default"/>
                <w:spacing w:val="-1"/>
                <w:sz w:val="21"/>
                <w:szCs w:val="21"/>
              </w:rPr>
              <w:t> </w:t>
            </w:r>
            <w:r>
              <w:rPr>
                <w:rFonts w:ascii="宋体" w:hAnsi="宋体" w:cs="宋体" w:eastAsia="宋体" w:hint="default"/>
                <w:sz w:val="21"/>
                <w:szCs w:val="21"/>
              </w:rPr>
              <w:t>签名并盖章的财务报表。</w:t>
            </w:r>
          </w:p>
        </w:tc>
      </w:tr>
      <w:tr>
        <w:trPr>
          <w:trHeight w:val="418"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载有会计师事务所盖章、注册会计师签名并盖章的审计报告原件。</w:t>
            </w:r>
          </w:p>
        </w:tc>
      </w:tr>
      <w:tr>
        <w:trPr>
          <w:trHeight w:val="828"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报告期内在中国证监会指定网站上公开披露过的所有公司文件的正本</w:t>
            </w:r>
          </w:p>
          <w:p>
            <w:pPr>
              <w:pStyle w:val="TableParagraph"/>
              <w:spacing w:line="240" w:lineRule="auto" w:before="135"/>
              <w:ind w:left="26" w:right="0"/>
              <w:jc w:val="left"/>
              <w:rPr>
                <w:rFonts w:ascii="宋体" w:hAnsi="宋体" w:cs="宋体" w:eastAsia="宋体" w:hint="default"/>
                <w:sz w:val="21"/>
                <w:szCs w:val="21"/>
              </w:rPr>
            </w:pPr>
            <w:r>
              <w:rPr>
                <w:rFonts w:ascii="宋体" w:hAnsi="宋体" w:cs="宋体" w:eastAsia="宋体" w:hint="default"/>
                <w:sz w:val="21"/>
                <w:szCs w:val="21"/>
              </w:rPr>
              <w:t>及公告的原稿。</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5"/>
          <w:szCs w:val="15"/>
        </w:rPr>
      </w:pPr>
    </w:p>
    <w:p>
      <w:pPr>
        <w:pStyle w:val="BodyText"/>
        <w:spacing w:line="314" w:lineRule="auto" w:before="36"/>
        <w:ind w:left="5319" w:right="228" w:firstLine="2256"/>
        <w:jc w:val="left"/>
      </w:pPr>
      <w:r>
        <w:rPr>
          <w:spacing w:val="-1"/>
        </w:rPr>
        <w:t>董事长：江浩然</w:t>
      </w:r>
      <w:r>
        <w:rPr>
          <w:w w:val="100"/>
        </w:rPr>
        <w:t> </w:t>
      </w:r>
      <w:r>
        <w:rPr/>
        <w:t>董事会批准报送日期：</w:t>
      </w:r>
      <w:r>
        <w:rPr>
          <w:rFonts w:ascii="宋体" w:hAnsi="宋体" w:cs="宋体" w:eastAsia="宋体" w:hint="default"/>
        </w:rPr>
        <w:t>2018</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16</w:t>
      </w:r>
      <w:r>
        <w:rPr>
          <w:rFonts w:ascii="宋体" w:hAnsi="宋体" w:cs="宋体" w:eastAsia="宋体" w:hint="default"/>
          <w:spacing w:val="-54"/>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1"/>
        <w:ind w:left="218" w:right="3084"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sz w:val="24"/>
          <w:szCs w:val="24"/>
        </w:rPr>
      </w:r>
    </w:p>
    <w:p>
      <w:pPr>
        <w:pStyle w:val="BodyText"/>
        <w:spacing w:line="240" w:lineRule="auto" w:before="4"/>
        <w:ind w:left="218" w:right="3084"/>
        <w:jc w:val="left"/>
      </w:pPr>
      <w:r>
        <w:rPr/>
        <w:t>□适用</w:t>
      </w:r>
      <w:r>
        <w:rPr>
          <w:spacing w:val="-1"/>
        </w:rPr>
        <w:t> </w:t>
      </w:r>
      <w:r>
        <w:rPr/>
        <w:t>√不适用</w:t>
      </w:r>
    </w:p>
    <w:sectPr>
      <w:footerReference w:type="default" r:id="rId59"/>
      <w:pgSz w:w="11910" w:h="16840"/>
      <w:pgMar w:footer="1195" w:header="882" w:top="1120" w:bottom="1380" w:left="158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Calibri">
    <w:altName w:val="Calibri"/>
    <w:charset w:val="0"/>
    <w:family w:val="swiss"/>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6048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131</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6044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38</w:t>
                </w:r>
                <w:r>
                  <w:rPr/>
                  <w:fldChar w:fldCharType="end"/>
                </w:r>
                <w:r>
                  <w:rPr>
                    <w:rFonts w:ascii="Calibri"/>
                    <w:b/>
                    <w:sz w:val="18"/>
                  </w:rPr>
                  <w:t> </w:t>
                </w:r>
                <w:r>
                  <w:rPr>
                    <w:rFonts w:ascii="Calibri"/>
                    <w:sz w:val="18"/>
                  </w:rPr>
                  <w:t>/</w:t>
                </w:r>
                <w:r>
                  <w:rPr>
                    <w:rFonts w:ascii="Calibri"/>
                    <w:spacing w:val="-3"/>
                    <w:sz w:val="18"/>
                  </w:rPr>
                  <w:t> </w:t>
                </w:r>
                <w:r>
                  <w:rPr>
                    <w:rFonts w:ascii="Calibri"/>
                    <w:b/>
                    <w:sz w:val="18"/>
                  </w:rPr>
                  <w:t>131</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24.546021pt;width:32.4pt;height:11pt;mso-position-horizontal-relative:page;mso-position-vertical-relative:page;z-index:-6044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131</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6044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131</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6043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43</w:t>
                </w:r>
                <w:r>
                  <w:rPr/>
                  <w:fldChar w:fldCharType="end"/>
                </w:r>
                <w:r>
                  <w:rPr>
                    <w:rFonts w:ascii="Calibri"/>
                    <w:b/>
                    <w:sz w:val="18"/>
                  </w:rPr>
                  <w:t> </w:t>
                </w:r>
                <w:r>
                  <w:rPr>
                    <w:rFonts w:ascii="Calibri"/>
                    <w:sz w:val="18"/>
                  </w:rPr>
                  <w:t>/</w:t>
                </w:r>
                <w:r>
                  <w:rPr>
                    <w:rFonts w:ascii="Calibri"/>
                    <w:spacing w:val="-3"/>
                    <w:sz w:val="18"/>
                  </w:rPr>
                  <w:t> </w:t>
                </w:r>
                <w:r>
                  <w:rPr>
                    <w:rFonts w:ascii="Calibri"/>
                    <w:b/>
                    <w:sz w:val="18"/>
                  </w:rPr>
                  <w:t>131</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6043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131</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6042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131</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6042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53</w:t>
                </w:r>
                <w:r>
                  <w:rPr/>
                  <w:fldChar w:fldCharType="end"/>
                </w:r>
                <w:r>
                  <w:rPr>
                    <w:rFonts w:ascii="Calibri"/>
                    <w:b/>
                    <w:sz w:val="18"/>
                  </w:rPr>
                  <w:t> </w:t>
                </w:r>
                <w:r>
                  <w:rPr>
                    <w:rFonts w:ascii="Calibri"/>
                    <w:sz w:val="18"/>
                  </w:rPr>
                  <w:t>/</w:t>
                </w:r>
                <w:r>
                  <w:rPr>
                    <w:rFonts w:ascii="Calibri"/>
                    <w:spacing w:val="-3"/>
                    <w:sz w:val="18"/>
                  </w:rPr>
                  <w:t> </w:t>
                </w:r>
                <w:r>
                  <w:rPr>
                    <w:rFonts w:ascii="Calibri"/>
                    <w:b/>
                    <w:sz w:val="18"/>
                  </w:rPr>
                  <w:t>131</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6041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w:t>
                </w:r>
                <w:r>
                  <w:rPr/>
                  <w:fldChar w:fldCharType="end"/>
                </w:r>
                <w:r>
                  <w:rPr>
                    <w:rFonts w:ascii="Calibri"/>
                    <w:b/>
                    <w:sz w:val="18"/>
                  </w:rPr>
                  <w:t>9 </w:t>
                </w:r>
                <w:r>
                  <w:rPr>
                    <w:rFonts w:ascii="Calibri"/>
                    <w:sz w:val="18"/>
                  </w:rPr>
                  <w:t>/</w:t>
                </w:r>
                <w:r>
                  <w:rPr>
                    <w:rFonts w:ascii="Calibri"/>
                    <w:spacing w:val="-3"/>
                    <w:sz w:val="18"/>
                  </w:rPr>
                  <w:t> </w:t>
                </w:r>
                <w:r>
                  <w:rPr>
                    <w:rFonts w:ascii="Calibri"/>
                    <w:b/>
                    <w:sz w:val="18"/>
                  </w:rPr>
                  <w:t>131</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6041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61 </w:t>
                </w:r>
                <w:r>
                  <w:rPr>
                    <w:rFonts w:ascii="Calibri"/>
                    <w:sz w:val="18"/>
                  </w:rPr>
                  <w:t>/</w:t>
                </w:r>
                <w:r>
                  <w:rPr>
                    <w:rFonts w:ascii="Calibri"/>
                    <w:spacing w:val="-4"/>
                    <w:sz w:val="18"/>
                  </w:rPr>
                  <w:t> </w:t>
                </w:r>
                <w:r>
                  <w:rPr>
                    <w:rFonts w:ascii="Calibri"/>
                    <w:b/>
                    <w:sz w:val="18"/>
                  </w:rPr>
                  <w:t>131</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6040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62</w:t>
                </w:r>
                <w:r>
                  <w:rPr/>
                  <w:fldChar w:fldCharType="end"/>
                </w:r>
                <w:r>
                  <w:rPr>
                    <w:rFonts w:ascii="Calibri"/>
                    <w:b/>
                    <w:sz w:val="18"/>
                  </w:rPr>
                  <w:t> </w:t>
                </w:r>
                <w:r>
                  <w:rPr>
                    <w:rFonts w:ascii="Calibri"/>
                    <w:sz w:val="18"/>
                  </w:rPr>
                  <w:t>/</w:t>
                </w:r>
                <w:r>
                  <w:rPr>
                    <w:rFonts w:ascii="Calibri"/>
                    <w:spacing w:val="-3"/>
                    <w:sz w:val="18"/>
                  </w:rPr>
                  <w:t> </w:t>
                </w:r>
                <w:r>
                  <w:rPr>
                    <w:rFonts w:ascii="Calibri"/>
                    <w:b/>
                    <w:sz w:val="18"/>
                  </w:rPr>
                  <w:t>131</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6048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131</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6040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131</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6040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71 </w:t>
                </w:r>
                <w:r>
                  <w:rPr>
                    <w:rFonts w:ascii="Calibri"/>
                    <w:sz w:val="18"/>
                  </w:rPr>
                  <w:t>/</w:t>
                </w:r>
                <w:r>
                  <w:rPr>
                    <w:rFonts w:ascii="Calibri"/>
                    <w:spacing w:val="-4"/>
                    <w:sz w:val="18"/>
                  </w:rPr>
                  <w:t> </w:t>
                </w:r>
                <w:r>
                  <w:rPr>
                    <w:rFonts w:ascii="Calibri"/>
                    <w:b/>
                    <w:sz w:val="18"/>
                  </w:rPr>
                  <w:t>131</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6039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72</w:t>
                </w:r>
                <w:r>
                  <w:rPr/>
                  <w:fldChar w:fldCharType="end"/>
                </w:r>
                <w:r>
                  <w:rPr>
                    <w:rFonts w:ascii="Calibri"/>
                    <w:b/>
                    <w:sz w:val="18"/>
                  </w:rPr>
                  <w:t> </w:t>
                </w:r>
                <w:r>
                  <w:rPr>
                    <w:rFonts w:ascii="Calibri"/>
                    <w:sz w:val="18"/>
                  </w:rPr>
                  <w:t>/</w:t>
                </w:r>
                <w:r>
                  <w:rPr>
                    <w:rFonts w:ascii="Calibri"/>
                    <w:spacing w:val="-3"/>
                    <w:sz w:val="18"/>
                  </w:rPr>
                  <w:t> </w:t>
                </w:r>
                <w:r>
                  <w:rPr>
                    <w:rFonts w:ascii="Calibri"/>
                    <w:b/>
                    <w:sz w:val="18"/>
                  </w:rPr>
                  <w:t>131</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6039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75</w:t>
                </w:r>
                <w:r>
                  <w:rPr/>
                  <w:fldChar w:fldCharType="end"/>
                </w:r>
                <w:r>
                  <w:rPr>
                    <w:rFonts w:ascii="Calibri"/>
                    <w:b/>
                    <w:sz w:val="18"/>
                  </w:rPr>
                  <w:t> </w:t>
                </w:r>
                <w:r>
                  <w:rPr>
                    <w:rFonts w:ascii="Calibri"/>
                    <w:sz w:val="18"/>
                  </w:rPr>
                  <w:t>/</w:t>
                </w:r>
                <w:r>
                  <w:rPr>
                    <w:rFonts w:ascii="Calibri"/>
                    <w:spacing w:val="-3"/>
                    <w:sz w:val="18"/>
                  </w:rPr>
                  <w:t> </w:t>
                </w:r>
                <w:r>
                  <w:rPr>
                    <w:rFonts w:ascii="Calibri"/>
                    <w:b/>
                    <w:sz w:val="18"/>
                  </w:rPr>
                  <w:t>131</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6038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77</w:t>
                </w:r>
                <w:r>
                  <w:rPr/>
                  <w:fldChar w:fldCharType="end"/>
                </w:r>
                <w:r>
                  <w:rPr>
                    <w:rFonts w:ascii="Calibri"/>
                    <w:b/>
                    <w:sz w:val="18"/>
                  </w:rPr>
                  <w:t> </w:t>
                </w:r>
                <w:r>
                  <w:rPr>
                    <w:rFonts w:ascii="Calibri"/>
                    <w:sz w:val="18"/>
                  </w:rPr>
                  <w:t>/</w:t>
                </w:r>
                <w:r>
                  <w:rPr>
                    <w:rFonts w:ascii="Calibri"/>
                    <w:spacing w:val="-3"/>
                    <w:sz w:val="18"/>
                  </w:rPr>
                  <w:t> </w:t>
                </w:r>
                <w:r>
                  <w:rPr>
                    <w:rFonts w:ascii="Calibri"/>
                    <w:b/>
                    <w:sz w:val="18"/>
                  </w:rPr>
                  <w:t>131</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6038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78</w:t>
                </w:r>
                <w:r>
                  <w:rPr/>
                  <w:fldChar w:fldCharType="end"/>
                </w:r>
                <w:r>
                  <w:rPr>
                    <w:rFonts w:ascii="Calibri"/>
                    <w:b/>
                    <w:sz w:val="18"/>
                  </w:rPr>
                  <w:t> </w:t>
                </w:r>
                <w:r>
                  <w:rPr>
                    <w:rFonts w:ascii="Calibri"/>
                    <w:sz w:val="18"/>
                  </w:rPr>
                  <w:t>/</w:t>
                </w:r>
                <w:r>
                  <w:rPr>
                    <w:rFonts w:ascii="Calibri"/>
                    <w:spacing w:val="-3"/>
                    <w:sz w:val="18"/>
                  </w:rPr>
                  <w:t> </w:t>
                </w:r>
                <w:r>
                  <w:rPr>
                    <w:rFonts w:ascii="Calibri"/>
                    <w:b/>
                    <w:sz w:val="18"/>
                  </w:rPr>
                  <w:t>131</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6038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131</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6038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131</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6037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131</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53.60498pt;width:80.850pt;height:12.6pt;mso-position-horizontal-relative:page;mso-position-vertical-relative:page;z-index:-603760" type="#_x0000_t202" filled="false" stroked="false">
          <v:textbox inset="0,0,0,0">
            <w:txbxContent>
              <w:p>
                <w:pPr>
                  <w:pStyle w:val="BodyText"/>
                  <w:spacing w:line="231" w:lineRule="exact"/>
                  <w:ind w:left="20" w:right="0"/>
                  <w:jc w:val="left"/>
                </w:pPr>
                <w:r>
                  <w:rPr/>
                  <w:t>□适用</w:t>
                </w:r>
                <w:r>
                  <w:rPr>
                    <w:spacing w:val="-1"/>
                  </w:rPr>
                  <w:t> </w:t>
                </w:r>
                <w:r>
                  <w:rPr/>
                  <w:t>√不适用</w:t>
                </w:r>
              </w:p>
            </w:txbxContent>
          </v:textbox>
          <w10:wrap type="none"/>
        </v:shape>
      </w:pict>
    </w:r>
    <w:r>
      <w:rPr/>
      <w:pict>
        <v:shape style="position:absolute;margin-left:293.489990pt;margin-top:771.169983pt;width:33.4pt;height:11pt;mso-position-horizontal-relative:page;mso-position-vertical-relative:page;z-index:-6037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131</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6047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131</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6037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93</w:t>
                </w:r>
                <w:r>
                  <w:rPr/>
                  <w:fldChar w:fldCharType="end"/>
                </w:r>
                <w:r>
                  <w:rPr>
                    <w:rFonts w:ascii="Calibri"/>
                    <w:b/>
                    <w:sz w:val="18"/>
                  </w:rPr>
                  <w:t> </w:t>
                </w:r>
                <w:r>
                  <w:rPr>
                    <w:rFonts w:ascii="Calibri"/>
                    <w:sz w:val="18"/>
                  </w:rPr>
                  <w:t>/</w:t>
                </w:r>
                <w:r>
                  <w:rPr>
                    <w:rFonts w:ascii="Calibri"/>
                    <w:spacing w:val="-3"/>
                    <w:sz w:val="18"/>
                  </w:rPr>
                  <w:t> </w:t>
                </w:r>
                <w:r>
                  <w:rPr>
                    <w:rFonts w:ascii="Calibri"/>
                    <w:b/>
                    <w:sz w:val="18"/>
                  </w:rPr>
                  <w:t>131</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6036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131</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6036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131</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6036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131</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6036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131</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6035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131</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6035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131</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43.284973pt;width:243.75pt;height:12.6pt;mso-position-horizontal-relative:page;mso-position-vertical-relative:page;z-index:-603544" type="#_x0000_t202" filled="false" stroked="false">
          <v:textbox inset="0,0,0,0">
            <w:txbxContent>
              <w:p>
                <w:pPr>
                  <w:pStyle w:val="BodyText"/>
                  <w:spacing w:line="231" w:lineRule="exact"/>
                  <w:ind w:left="20" w:right="0"/>
                  <w:jc w:val="left"/>
                </w:pPr>
                <w:r>
                  <w:rPr>
                    <w:spacing w:val="-2"/>
                  </w:rPr>
                  <w:t>组合中，采用其他方法计提坏账准备的其他应收款：</w:t>
                </w:r>
              </w:p>
            </w:txbxContent>
          </v:textbox>
          <w10:wrap type="none"/>
        </v:shape>
      </w:pict>
    </w:r>
    <w:r>
      <w:rPr/>
      <w:pict>
        <v:shape style="position:absolute;margin-left:291.209991pt;margin-top:771.169983pt;width:37.950pt;height:11pt;mso-position-horizontal-relative:page;mso-position-vertical-relative:page;z-index:-6035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128</w:t>
                </w:r>
                <w:r>
                  <w:rPr/>
                  <w:fldChar w:fldCharType="end"/>
                </w:r>
                <w:r>
                  <w:rPr>
                    <w:rFonts w:ascii="Calibri"/>
                    <w:b/>
                    <w:sz w:val="18"/>
                  </w:rPr>
                  <w:t> </w:t>
                </w:r>
                <w:r>
                  <w:rPr>
                    <w:rFonts w:ascii="Calibri"/>
                    <w:sz w:val="18"/>
                  </w:rPr>
                  <w:t>/</w:t>
                </w:r>
                <w:r>
                  <w:rPr>
                    <w:rFonts w:ascii="Calibri"/>
                    <w:spacing w:val="-3"/>
                    <w:sz w:val="18"/>
                  </w:rPr>
                  <w:t> </w:t>
                </w:r>
                <w:r>
                  <w:rPr>
                    <w:rFonts w:ascii="Calibri"/>
                    <w:b/>
                    <w:sz w:val="18"/>
                  </w:rPr>
                  <w:t>131</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6034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w:t>
                </w:r>
                <w:r>
                  <w:rPr/>
                  <w:fldChar w:fldCharType="end"/>
                </w:r>
                <w:r>
                  <w:rPr>
                    <w:rFonts w:ascii="Calibri"/>
                    <w:b/>
                    <w:sz w:val="18"/>
                  </w:rPr>
                  <w:t>9 </w:t>
                </w:r>
                <w:r>
                  <w:rPr>
                    <w:rFonts w:ascii="Calibri"/>
                    <w:sz w:val="18"/>
                  </w:rPr>
                  <w:t>/</w:t>
                </w:r>
                <w:r>
                  <w:rPr>
                    <w:rFonts w:ascii="Calibri"/>
                    <w:spacing w:val="-3"/>
                    <w:sz w:val="18"/>
                  </w:rPr>
                  <w:t> </w:t>
                </w:r>
                <w:r>
                  <w:rPr>
                    <w:rFonts w:ascii="Calibri"/>
                    <w:b/>
                    <w:sz w:val="18"/>
                  </w:rPr>
                  <w:t>131</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6034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131 </w:t>
                </w:r>
                <w:r>
                  <w:rPr>
                    <w:rFonts w:ascii="Calibri"/>
                    <w:sz w:val="18"/>
                  </w:rPr>
                  <w:t>/</w:t>
                </w:r>
                <w:r>
                  <w:rPr>
                    <w:rFonts w:ascii="Calibri"/>
                    <w:spacing w:val="-5"/>
                    <w:sz w:val="18"/>
                  </w:rPr>
                  <w:t> </w:t>
                </w:r>
                <w:r>
                  <w:rPr>
                    <w:rFonts w:ascii="Calibri"/>
                    <w:b/>
                    <w:sz w:val="18"/>
                  </w:rPr>
                  <w:t>131</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6047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131</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6047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131</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6046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30</w:t>
                </w:r>
                <w:r>
                  <w:rPr/>
                  <w:fldChar w:fldCharType="end"/>
                </w:r>
                <w:r>
                  <w:rPr>
                    <w:rFonts w:ascii="Calibri"/>
                    <w:b/>
                    <w:sz w:val="18"/>
                  </w:rPr>
                  <w:t> </w:t>
                </w:r>
                <w:r>
                  <w:rPr>
                    <w:rFonts w:ascii="Calibri"/>
                    <w:sz w:val="18"/>
                  </w:rPr>
                  <w:t>/</w:t>
                </w:r>
                <w:r>
                  <w:rPr>
                    <w:rFonts w:ascii="Calibri"/>
                    <w:spacing w:val="-3"/>
                    <w:sz w:val="18"/>
                  </w:rPr>
                  <w:t> </w:t>
                </w:r>
                <w:r>
                  <w:rPr>
                    <w:rFonts w:ascii="Calibri"/>
                    <w:b/>
                    <w:sz w:val="18"/>
                  </w:rPr>
                  <w:t>131</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6046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34</w:t>
                </w:r>
                <w:r>
                  <w:rPr/>
                  <w:fldChar w:fldCharType="end"/>
                </w:r>
                <w:r>
                  <w:rPr>
                    <w:rFonts w:ascii="Calibri"/>
                    <w:b/>
                    <w:sz w:val="18"/>
                  </w:rPr>
                  <w:t> </w:t>
                </w:r>
                <w:r>
                  <w:rPr>
                    <w:rFonts w:ascii="Calibri"/>
                    <w:sz w:val="18"/>
                  </w:rPr>
                  <w:t>/</w:t>
                </w:r>
                <w:r>
                  <w:rPr>
                    <w:rFonts w:ascii="Calibri"/>
                    <w:spacing w:val="-3"/>
                    <w:sz w:val="18"/>
                  </w:rPr>
                  <w:t> </w:t>
                </w:r>
                <w:r>
                  <w:rPr>
                    <w:rFonts w:ascii="Calibri"/>
                    <w:b/>
                    <w:sz w:val="18"/>
                  </w:rPr>
                  <w:t>131</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49.044983pt;width:80.850pt;height:12.6pt;mso-position-horizontal-relative:page;mso-position-vertical-relative:page;z-index:-604576" type="#_x0000_t202" filled="false" stroked="false">
          <v:textbox inset="0,0,0,0">
            <w:txbxContent>
              <w:p>
                <w:pPr>
                  <w:pStyle w:val="BodyText"/>
                  <w:spacing w:line="231" w:lineRule="exact"/>
                  <w:ind w:left="20" w:right="0"/>
                  <w:jc w:val="left"/>
                </w:pPr>
                <w:r>
                  <w:rPr/>
                  <w:t>□适用</w:t>
                </w:r>
                <w:r>
                  <w:rPr>
                    <w:spacing w:val="-1"/>
                  </w:rPr>
                  <w:t> </w:t>
                </w:r>
                <w:r>
                  <w:rPr/>
                  <w:t>√不适用</w:t>
                </w:r>
              </w:p>
            </w:txbxContent>
          </v:textbox>
          <w10:wrap type="none"/>
        </v:shape>
      </w:pict>
    </w:r>
    <w:r>
      <w:rPr/>
      <w:pict>
        <v:shape style="position:absolute;margin-left:293.489990pt;margin-top:771.169983pt;width:33.4pt;height:11pt;mso-position-horizontal-relative:page;mso-position-vertical-relative:page;z-index:-6045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35</w:t>
                </w:r>
                <w:r>
                  <w:rPr/>
                  <w:fldChar w:fldCharType="end"/>
                </w:r>
                <w:r>
                  <w:rPr>
                    <w:rFonts w:ascii="Calibri"/>
                    <w:b/>
                    <w:sz w:val="18"/>
                  </w:rPr>
                  <w:t> </w:t>
                </w:r>
                <w:r>
                  <w:rPr>
                    <w:rFonts w:ascii="Calibri"/>
                    <w:sz w:val="18"/>
                  </w:rPr>
                  <w:t>/</w:t>
                </w:r>
                <w:r>
                  <w:rPr>
                    <w:rFonts w:ascii="Calibri"/>
                    <w:spacing w:val="-3"/>
                    <w:sz w:val="18"/>
                  </w:rPr>
                  <w:t> </w:t>
                </w:r>
                <w:r>
                  <w:rPr>
                    <w:rFonts w:ascii="Calibri"/>
                    <w:b/>
                    <w:sz w:val="18"/>
                  </w:rPr>
                  <w:t>131</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6045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37 </w:t>
                </w:r>
                <w:r>
                  <w:rPr>
                    <w:rFonts w:ascii="Calibri"/>
                    <w:sz w:val="18"/>
                  </w:rPr>
                  <w:t>/</w:t>
                </w:r>
                <w:r>
                  <w:rPr>
                    <w:rFonts w:ascii="Calibri"/>
                    <w:spacing w:val="-4"/>
                    <w:sz w:val="18"/>
                  </w:rPr>
                  <w:t> </w:t>
                </w:r>
                <w:r>
                  <w:rPr>
                    <w:rFonts w:ascii="Calibri"/>
                    <w:b/>
                    <w:sz w:val="18"/>
                  </w:rPr>
                  <w:t>131</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604888"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6048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604720"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6046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604648"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6046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604504"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6044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604384"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60436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604264"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6042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604192"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6041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604024"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6040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603952"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6039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138"/>
    </w:pPr>
    <w:rPr>
      <w:rFonts w:ascii="宋体" w:hAnsi="宋体" w:eastAsia="宋体"/>
      <w:sz w:val="21"/>
      <w:szCs w:val="21"/>
    </w:rPr>
  </w:style>
  <w:style w:styleId="Heading1" w:type="paragraph">
    <w:name w:val="Heading 1"/>
    <w:basedOn w:val="Normal"/>
    <w:uiPriority w:val="1"/>
    <w:qFormat/>
    <w:pPr>
      <w:outlineLvl w:val="1"/>
    </w:pPr>
    <w:rPr>
      <w:rFonts w:ascii="黑体" w:hAnsi="黑体" w:eastAsia="黑体"/>
      <w:b/>
      <w:bCs/>
      <w:sz w:val="28"/>
      <w:szCs w:val="28"/>
    </w:rPr>
  </w:style>
  <w:style w:styleId="Heading2" w:type="paragraph">
    <w:name w:val="Heading 2"/>
    <w:basedOn w:val="Normal"/>
    <w:uiPriority w:val="1"/>
    <w:qFormat/>
    <w:pPr>
      <w:ind w:left="218"/>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mailto:cashway@cashwaytech.com" TargetMode="External"/><Relationship Id="rId9" Type="http://schemas.openxmlformats.org/officeDocument/2006/relationships/hyperlink" Target="http://www.cashwaytech.com/" TargetMode="External"/><Relationship Id="rId10" Type="http://schemas.openxmlformats.org/officeDocument/2006/relationships/hyperlink" Target="http://www.sse.com.cn/"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image" Target="media/image2.jpeg"/><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header" Target="header2.xml"/><Relationship Id="rId17" Type="http://schemas.openxmlformats.org/officeDocument/2006/relationships/footer" Target="footer6.xml"/><Relationship Id="rId18" Type="http://schemas.openxmlformats.org/officeDocument/2006/relationships/header" Target="header3.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header" Target="header4.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header" Target="header5.xml"/><Relationship Id="rId27" Type="http://schemas.openxmlformats.org/officeDocument/2006/relationships/footer" Target="footer13.xml"/><Relationship Id="rId28" Type="http://schemas.openxmlformats.org/officeDocument/2006/relationships/footer" Target="footer14.xml"/><Relationship Id="rId29" Type="http://schemas.openxmlformats.org/officeDocument/2006/relationships/footer" Target="footer15.xml"/><Relationship Id="rId30" Type="http://schemas.openxmlformats.org/officeDocument/2006/relationships/image" Target="media/image3.png"/><Relationship Id="rId31" Type="http://schemas.openxmlformats.org/officeDocument/2006/relationships/image" Target="media/image4.png"/><Relationship Id="rId32" Type="http://schemas.openxmlformats.org/officeDocument/2006/relationships/header" Target="header6.xml"/><Relationship Id="rId33" Type="http://schemas.openxmlformats.org/officeDocument/2006/relationships/footer" Target="footer16.xml"/><Relationship Id="rId34" Type="http://schemas.openxmlformats.org/officeDocument/2006/relationships/header" Target="header7.xml"/><Relationship Id="rId35" Type="http://schemas.openxmlformats.org/officeDocument/2006/relationships/footer" Target="footer17.xml"/><Relationship Id="rId36" Type="http://schemas.openxmlformats.org/officeDocument/2006/relationships/footer" Target="footer18.xml"/><Relationship Id="rId37" Type="http://schemas.openxmlformats.org/officeDocument/2006/relationships/footer" Target="footer19.xml"/><Relationship Id="rId38" Type="http://schemas.openxmlformats.org/officeDocument/2006/relationships/footer" Target="footer20.xml"/><Relationship Id="rId39" Type="http://schemas.openxmlformats.org/officeDocument/2006/relationships/footer" Target="footer21.xml"/><Relationship Id="rId40" Type="http://schemas.openxmlformats.org/officeDocument/2006/relationships/header" Target="header8.xml"/><Relationship Id="rId41" Type="http://schemas.openxmlformats.org/officeDocument/2006/relationships/footer" Target="footer22.xml"/><Relationship Id="rId42" Type="http://schemas.openxmlformats.org/officeDocument/2006/relationships/header" Target="header9.xml"/><Relationship Id="rId43" Type="http://schemas.openxmlformats.org/officeDocument/2006/relationships/footer" Target="footer23.xml"/><Relationship Id="rId44" Type="http://schemas.openxmlformats.org/officeDocument/2006/relationships/footer" Target="footer24.xml"/><Relationship Id="rId45" Type="http://schemas.openxmlformats.org/officeDocument/2006/relationships/footer" Target="footer25.xml"/><Relationship Id="rId46" Type="http://schemas.openxmlformats.org/officeDocument/2006/relationships/footer" Target="footer26.xml"/><Relationship Id="rId47" Type="http://schemas.openxmlformats.org/officeDocument/2006/relationships/footer" Target="footer27.xml"/><Relationship Id="rId48" Type="http://schemas.openxmlformats.org/officeDocument/2006/relationships/footer" Target="footer28.xml"/><Relationship Id="rId49" Type="http://schemas.openxmlformats.org/officeDocument/2006/relationships/footer" Target="footer29.xml"/><Relationship Id="rId50" Type="http://schemas.openxmlformats.org/officeDocument/2006/relationships/footer" Target="footer30.xml"/><Relationship Id="rId51" Type="http://schemas.openxmlformats.org/officeDocument/2006/relationships/footer" Target="footer31.xml"/><Relationship Id="rId52" Type="http://schemas.openxmlformats.org/officeDocument/2006/relationships/footer" Target="footer32.xml"/><Relationship Id="rId53" Type="http://schemas.openxmlformats.org/officeDocument/2006/relationships/footer" Target="footer33.xml"/><Relationship Id="rId54" Type="http://schemas.openxmlformats.org/officeDocument/2006/relationships/footer" Target="footer34.xml"/><Relationship Id="rId55" Type="http://schemas.openxmlformats.org/officeDocument/2006/relationships/footer" Target="footer35.xml"/><Relationship Id="rId56" Type="http://schemas.openxmlformats.org/officeDocument/2006/relationships/footer" Target="footer36.xml"/><Relationship Id="rId57" Type="http://schemas.openxmlformats.org/officeDocument/2006/relationships/footer" Target="footer37.xml"/><Relationship Id="rId58" Type="http://schemas.openxmlformats.org/officeDocument/2006/relationships/footer" Target="footer38.xml"/><Relationship Id="rId59" Type="http://schemas.openxmlformats.org/officeDocument/2006/relationships/footer" Target="footer3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2020-05-03T05:55:00Z</dcterms:created>
  <dcterms:modified xsi:type="dcterms:W3CDTF">2020-05-03T05:55:00Z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2018-04-16T00:00:00Z</vt:filetime>
  </property>
  <property fmtid="{D5CDD505-2E9C-101B-9397-08002B2CF9AE}" pid="3" name="Creator">
    <vt:lpwstr>Microsoft® Office Word 2007</vt:lpwstr>
  </property>
  <property fmtid="{D5CDD505-2E9C-101B-9397-08002B2CF9AE}" pid="4" name="LastSaved">
    <vt:filetime>2020-05-02T00:00:00Z</vt:filetime>
  </property>
</Properties>
</file>